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November 7, 2017</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220"/>
        <w:spacing w:after="0" w:line="347" w:lineRule="auto"/>
        <w:rPr>
          <w:sz w:val="20"/>
          <w:szCs w:val="20"/>
          <w:color w:val="auto"/>
        </w:rPr>
      </w:pPr>
      <w:r>
        <w:rPr>
          <w:rFonts w:ascii="Arial" w:cs="Arial" w:eastAsia="Arial" w:hAnsi="Arial"/>
          <w:sz w:val="18"/>
          <w:szCs w:val="18"/>
          <w:color w:val="auto"/>
        </w:rPr>
        <w:t>On November 7, 2017, AnaptysBio, Inc.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issued a press release announcing its financial results for the three and nine months ended September 30, 2017. A copy of the press release is attached as Exhibit 99.01 to this Current Report on Form 8-K.</w:t>
      </w:r>
    </w:p>
    <w:p>
      <w:pPr>
        <w:spacing w:after="0" w:line="77"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0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380" w:type="dxa"/>
            <w:vAlign w:val="bottom"/>
            <w:gridSpan w:val="2"/>
          </w:tcPr>
          <w:p>
            <w:pPr>
              <w:jc w:val="right"/>
              <w:ind w:right="940"/>
              <w:spacing w:after="0"/>
              <w:rPr>
                <w:rFonts w:ascii="Arial" w:cs="Arial" w:eastAsia="Arial" w:hAnsi="Arial"/>
                <w:sz w:val="20"/>
                <w:szCs w:val="20"/>
                <w:color w:val="0000FF"/>
                <w:w w:val="83"/>
              </w:rPr>
            </w:pPr>
            <w:hyperlink w:anchor="page5">
              <w:r>
                <w:rPr>
                  <w:rFonts w:ascii="Arial" w:cs="Arial" w:eastAsia="Arial" w:hAnsi="Arial"/>
                  <w:sz w:val="20"/>
                  <w:szCs w:val="20"/>
                  <w:color w:val="0000FF"/>
                  <w:w w:val="83"/>
                </w:rPr>
                <w:t>99.</w:t>
              </w:r>
              <w:r>
                <w:rPr>
                  <w:rFonts w:ascii="Arial" w:cs="Arial" w:eastAsia="Arial" w:hAnsi="Arial"/>
                  <w:sz w:val="20"/>
                  <w:szCs w:val="20"/>
                  <w:u w:val="single" w:color="auto"/>
                  <w:color w:val="0000FF"/>
                  <w:w w:val="83"/>
                </w:rPr>
                <w:t>01</w:t>
              </w:r>
            </w:hyperlink>
          </w:p>
        </w:tc>
        <w:tc>
          <w:tcPr>
            <w:tcW w:w="9740" w:type="dxa"/>
            <w:vAlign w:val="bottom"/>
            <w:gridSpan w:val="2"/>
          </w:tcPr>
          <w:p>
            <w:pPr>
              <w:spacing w:after="0"/>
              <w:rPr>
                <w:rFonts w:ascii="Arial" w:cs="Arial" w:eastAsia="Arial" w:hAnsi="Arial"/>
                <w:sz w:val="20"/>
                <w:szCs w:val="20"/>
                <w:color w:val="0000FF"/>
                <w:w w:val="88"/>
              </w:rPr>
            </w:pPr>
            <w:hyperlink w:anchor="page5">
              <w:r>
                <w:rPr>
                  <w:rFonts w:ascii="Arial" w:cs="Arial" w:eastAsia="Arial" w:hAnsi="Arial"/>
                  <w:sz w:val="20"/>
                  <w:szCs w:val="20"/>
                  <w:color w:val="0000FF"/>
                  <w:w w:val="88"/>
                </w:rPr>
                <w:t>Press release issued by AnaptysBio regarding its financial results for the three and nine months ended September 30, 2017,</w:t>
              </w:r>
            </w:hyperlink>
          </w:p>
        </w:tc>
      </w:tr>
      <w:tr>
        <w:trPr>
          <w:trHeight w:val="216"/>
        </w:trPr>
        <w:tc>
          <w:tcPr>
            <w:tcW w:w="440" w:type="dxa"/>
            <w:vAlign w:val="bottom"/>
            <w:tcBorders>
              <w:top w:val="single" w:sz="8" w:color="0000FF"/>
            </w:tcBorders>
          </w:tcPr>
          <w:p>
            <w:pPr>
              <w:spacing w:after="0"/>
              <w:rPr>
                <w:sz w:val="18"/>
                <w:szCs w:val="18"/>
                <w:color w:val="auto"/>
              </w:rPr>
            </w:pPr>
          </w:p>
        </w:tc>
        <w:tc>
          <w:tcPr>
            <w:tcW w:w="940" w:type="dxa"/>
            <w:vAlign w:val="bottom"/>
          </w:tcPr>
          <w:p>
            <w:pPr>
              <w:spacing w:after="0"/>
              <w:rPr>
                <w:sz w:val="18"/>
                <w:szCs w:val="18"/>
                <w:color w:val="auto"/>
              </w:rPr>
            </w:pPr>
          </w:p>
        </w:tc>
        <w:tc>
          <w:tcPr>
            <w:tcW w:w="2000" w:type="dxa"/>
            <w:vAlign w:val="bottom"/>
            <w:tcBorders>
              <w:top w:val="single" w:sz="8" w:color="0000FF"/>
              <w:bottom w:val="single" w:sz="8" w:color="0000FF"/>
            </w:tcBorders>
          </w:tcPr>
          <w:p>
            <w:pPr>
              <w:spacing w:after="0" w:line="216" w:lineRule="exact"/>
              <w:rPr>
                <w:rFonts w:ascii="Arial" w:cs="Arial" w:eastAsia="Arial" w:hAnsi="Arial"/>
                <w:sz w:val="20"/>
                <w:szCs w:val="20"/>
                <w:color w:val="0000FF"/>
                <w:w w:val="87"/>
              </w:rPr>
            </w:pPr>
            <w:hyperlink w:anchor="page5">
              <w:r>
                <w:rPr>
                  <w:rFonts w:ascii="Arial" w:cs="Arial" w:eastAsia="Arial" w:hAnsi="Arial"/>
                  <w:sz w:val="20"/>
                  <w:szCs w:val="20"/>
                  <w:color w:val="0000FF"/>
                  <w:w w:val="87"/>
                </w:rPr>
                <w:t>dated November 7, 2017.</w:t>
              </w:r>
            </w:hyperlink>
          </w:p>
        </w:tc>
        <w:tc>
          <w:tcPr>
            <w:tcW w:w="7740" w:type="dxa"/>
            <w:vAlign w:val="bottom"/>
            <w:tcBorders>
              <w:top w:val="single" w:sz="8" w:color="0000FF"/>
            </w:tcBorders>
          </w:tcPr>
          <w:p>
            <w:pPr>
              <w:spacing w:after="0"/>
              <w:rPr>
                <w:sz w:val="18"/>
                <w:szCs w:val="18"/>
                <w:color w:val="auto"/>
              </w:rPr>
            </w:pPr>
          </w:p>
        </w:tc>
      </w:tr>
    </w:tbl>
    <w:p>
      <w:pPr>
        <w:sectPr>
          <w:pgSz w:w="11900" w:h="16838" w:orient="portrait"/>
          <w:cols w:equalWidth="0" w:num="1">
            <w:col w:w="11380"/>
          </w:cols>
          <w:pgMar w:left="240" w:top="441"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740" w:val="left"/>
          <w:tab w:leader="none" w:pos="3220" w:val="left"/>
        </w:tabs>
        <w:rPr>
          <w:sz w:val="20"/>
          <w:szCs w:val="20"/>
          <w:color w:val="auto"/>
        </w:rPr>
      </w:pPr>
      <w:r>
        <w:rPr>
          <w:rFonts w:ascii="Arial" w:cs="Arial" w:eastAsia="Arial" w:hAnsi="Arial"/>
          <w:sz w:val="20"/>
          <w:szCs w:val="20"/>
          <w:color w:val="auto"/>
        </w:rPr>
        <w:t>Date: November 7, 2017</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740" w:type="dxa"/>
            <w:vAlign w:val="bottom"/>
          </w:tcPr>
          <w:p>
            <w:pPr>
              <w:ind w:left="1520"/>
              <w:spacing w:after="0"/>
              <w:rPr>
                <w:sz w:val="20"/>
                <w:szCs w:val="20"/>
                <w:color w:val="auto"/>
              </w:rPr>
            </w:pPr>
            <w:r>
              <w:rPr>
                <w:rFonts w:ascii="Arial" w:cs="Arial" w:eastAsia="Arial" w:hAnsi="Arial"/>
                <w:sz w:val="20"/>
                <w:szCs w:val="20"/>
                <w:b w:val="1"/>
                <w:bCs w:val="1"/>
                <w:color w:val="auto"/>
              </w:rPr>
              <w:t>EXHIBIT INDEX</w:t>
            </w:r>
          </w:p>
        </w:tc>
      </w:tr>
      <w:tr>
        <w:trPr>
          <w:trHeight w:val="577"/>
        </w:trPr>
        <w:tc>
          <w:tcPr>
            <w:tcW w:w="1380" w:type="dxa"/>
            <w:vAlign w:val="bottom"/>
            <w:gridSpan w:val="3"/>
          </w:tcPr>
          <w:p>
            <w:pPr>
              <w:spacing w:after="0"/>
              <w:rPr>
                <w:sz w:val="20"/>
                <w:szCs w:val="20"/>
                <w:color w:val="auto"/>
              </w:rPr>
            </w:pPr>
            <w:r>
              <w:rPr>
                <w:rFonts w:ascii="Arial" w:cs="Arial" w:eastAsia="Arial" w:hAnsi="Arial"/>
                <w:sz w:val="20"/>
                <w:szCs w:val="20"/>
                <w:color w:val="auto"/>
              </w:rPr>
              <w:t>Number</w:t>
            </w:r>
          </w:p>
        </w:tc>
        <w:tc>
          <w:tcPr>
            <w:tcW w:w="9740" w:type="dxa"/>
            <w:vAlign w:val="bottom"/>
            <w:gridSpan w:val="3"/>
          </w:tcPr>
          <w:p>
            <w:pPr>
              <w:spacing w:after="0"/>
              <w:rPr>
                <w:sz w:val="20"/>
                <w:szCs w:val="20"/>
                <w:color w:val="auto"/>
              </w:rPr>
            </w:pPr>
            <w:r>
              <w:rPr>
                <w:rFonts w:ascii="Arial" w:cs="Arial" w:eastAsia="Arial" w:hAnsi="Arial"/>
                <w:sz w:val="20"/>
                <w:szCs w:val="20"/>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06"/>
        </w:trPr>
        <w:tc>
          <w:tcPr>
            <w:tcW w:w="640" w:type="dxa"/>
            <w:vAlign w:val="bottom"/>
            <w:gridSpan w:val="2"/>
          </w:tcPr>
          <w:p>
            <w:pPr>
              <w:spacing w:after="0"/>
              <w:rPr>
                <w:rFonts w:ascii="Arial" w:cs="Arial" w:eastAsia="Arial" w:hAnsi="Arial"/>
                <w:sz w:val="20"/>
                <w:szCs w:val="20"/>
                <w:color w:val="0000FF"/>
              </w:rPr>
            </w:pPr>
            <w:hyperlink w:anchor="page5">
              <w:r>
                <w:rPr>
                  <w:rFonts w:ascii="Arial" w:cs="Arial" w:eastAsia="Arial" w:hAnsi="Arial"/>
                  <w:sz w:val="20"/>
                  <w:szCs w:val="20"/>
                  <w:color w:val="0000FF"/>
                </w:rPr>
                <w:t>99.</w:t>
              </w:r>
              <w:r>
                <w:rPr>
                  <w:rFonts w:ascii="Arial" w:cs="Arial" w:eastAsia="Arial" w:hAnsi="Arial"/>
                  <w:sz w:val="20"/>
                  <w:szCs w:val="20"/>
                  <w:u w:val="single" w:color="auto"/>
                  <w:color w:val="0000FF"/>
                </w:rPr>
                <w:t>01</w:t>
              </w:r>
            </w:hyperlink>
          </w:p>
        </w:tc>
        <w:tc>
          <w:tcPr>
            <w:tcW w:w="740" w:type="dxa"/>
            <w:vAlign w:val="bottom"/>
          </w:tcPr>
          <w:p>
            <w:pPr>
              <w:spacing w:after="0"/>
              <w:rPr>
                <w:sz w:val="24"/>
                <w:szCs w:val="24"/>
                <w:color w:val="auto"/>
              </w:rPr>
            </w:pPr>
          </w:p>
        </w:tc>
        <w:tc>
          <w:tcPr>
            <w:tcW w:w="9740" w:type="dxa"/>
            <w:vAlign w:val="bottom"/>
            <w:gridSpan w:val="3"/>
          </w:tcPr>
          <w:p>
            <w:pPr>
              <w:spacing w:after="0"/>
              <w:rPr>
                <w:rFonts w:ascii="Arial" w:cs="Arial" w:eastAsia="Arial" w:hAnsi="Arial"/>
                <w:sz w:val="20"/>
                <w:szCs w:val="20"/>
                <w:color w:val="0000FF"/>
                <w:w w:val="88"/>
              </w:rPr>
            </w:pPr>
            <w:hyperlink w:anchor="page5">
              <w:r>
                <w:rPr>
                  <w:rFonts w:ascii="Arial" w:cs="Arial" w:eastAsia="Arial" w:hAnsi="Arial"/>
                  <w:sz w:val="20"/>
                  <w:szCs w:val="20"/>
                  <w:color w:val="0000FF"/>
                  <w:w w:val="88"/>
                </w:rPr>
                <w:t>Press release issued by AnaptysBio regarding its financial results for the three and nine months ended September 30, 2017,</w:t>
              </w:r>
            </w:hyperlink>
          </w:p>
        </w:tc>
      </w:tr>
      <w:tr>
        <w:trPr>
          <w:trHeight w:val="216"/>
        </w:trPr>
        <w:tc>
          <w:tcPr>
            <w:tcW w:w="44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2"/>
          </w:tcPr>
          <w:p>
            <w:pPr>
              <w:spacing w:after="0" w:line="216" w:lineRule="exact"/>
              <w:rPr>
                <w:rFonts w:ascii="Arial" w:cs="Arial" w:eastAsia="Arial" w:hAnsi="Arial"/>
                <w:sz w:val="20"/>
                <w:szCs w:val="20"/>
                <w:color w:val="0000FF"/>
                <w:w w:val="87"/>
              </w:rPr>
            </w:pPr>
            <w:hyperlink w:anchor="page5">
              <w:r>
                <w:rPr>
                  <w:rFonts w:ascii="Arial" w:cs="Arial" w:eastAsia="Arial" w:hAnsi="Arial"/>
                  <w:sz w:val="20"/>
                  <w:szCs w:val="20"/>
                  <w:color w:val="0000FF"/>
                  <w:w w:val="87"/>
                </w:rPr>
                <w:t>dated November 7, 2017.</w:t>
              </w:r>
            </w:hyperlink>
          </w:p>
        </w:tc>
        <w:tc>
          <w:tcPr>
            <w:tcW w:w="7740" w:type="dxa"/>
            <w:vAlign w:val="bottom"/>
            <w:tcBorders>
              <w:top w:val="single" w:sz="8" w:color="0000FF"/>
            </w:tcBorders>
          </w:tcPr>
          <w:p>
            <w:pPr>
              <w:spacing w:after="0"/>
              <w:rPr>
                <w:sz w:val="18"/>
                <w:szCs w:val="18"/>
                <w:color w:val="auto"/>
              </w:rPr>
            </w:pPr>
          </w:p>
        </w:tc>
      </w:tr>
    </w:tbl>
    <w:p>
      <w:pPr>
        <w:sectPr>
          <w:pgSz w:w="11900" w:h="16838" w:orient="portrait"/>
          <w:cols w:equalWidth="0" w:num="1">
            <w:col w:w="11120"/>
          </w:cols>
          <w:pgMar w:left="280" w:top="360"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5"/>
          <w:szCs w:val="25"/>
          <w:b w:val="1"/>
          <w:bCs w:val="1"/>
          <w:color w:val="auto"/>
        </w:rPr>
        <w:t>AnaptysBio Announces Third Quarter 2017 Financial Results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and Provides Pipeline Updates</w:t>
      </w:r>
    </w:p>
    <w:p>
      <w:pPr>
        <w:spacing w:after="0" w:line="200" w:lineRule="exact"/>
        <w:rPr>
          <w:sz w:val="20"/>
          <w:szCs w:val="20"/>
          <w:color w:val="auto"/>
        </w:rPr>
      </w:pPr>
    </w:p>
    <w:p>
      <w:pPr>
        <w:spacing w:after="0" w:line="256" w:lineRule="exact"/>
        <w:rPr>
          <w:sz w:val="20"/>
          <w:szCs w:val="20"/>
          <w:color w:val="auto"/>
        </w:rPr>
      </w:pPr>
    </w:p>
    <w:p>
      <w:pPr>
        <w:jc w:val="center"/>
        <w:spacing w:after="0" w:line="378" w:lineRule="auto"/>
        <w:rPr>
          <w:sz w:val="20"/>
          <w:szCs w:val="20"/>
          <w:color w:val="auto"/>
        </w:rPr>
      </w:pPr>
      <w:r>
        <w:rPr>
          <w:rFonts w:ascii="Arial" w:cs="Arial" w:eastAsia="Arial" w:hAnsi="Arial"/>
          <w:sz w:val="21"/>
          <w:szCs w:val="21"/>
          <w:i w:val="1"/>
          <w:iCs w:val="1"/>
          <w:color w:val="auto"/>
        </w:rPr>
        <w:t>Announced Positive Proof-of-Concept Data for ANB020 in Atopic Dermatitis Announced Positive ANB019 Top-Line Phase 1 Trial Results Multiple Top-Line Clinical Data Readouts Expected Through the First Half of 2018</w:t>
      </w:r>
    </w:p>
    <w:p>
      <w:pPr>
        <w:spacing w:after="0" w:line="6" w:lineRule="exact"/>
        <w:rPr>
          <w:sz w:val="20"/>
          <w:szCs w:val="20"/>
          <w:color w:val="auto"/>
        </w:rPr>
      </w:pPr>
    </w:p>
    <w:p>
      <w:pPr>
        <w:ind w:right="80"/>
        <w:spacing w:after="0" w:line="281"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 Nov. 7, 2017 - AnaptysBio, Inc. (Nasdaq: ANAB), a clinical-stage biotechnology company developing first-in-class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candidates focused on unmet medical needs in inflammation, today provided pipeline updates and reported third quarter 2017 financial results.</w:t>
      </w:r>
    </w:p>
    <w:p>
      <w:pPr>
        <w:spacing w:after="0" w:line="225" w:lineRule="exact"/>
        <w:rPr>
          <w:sz w:val="20"/>
          <w:szCs w:val="20"/>
          <w:color w:val="auto"/>
        </w:rPr>
      </w:pPr>
    </w:p>
    <w:p>
      <w:pPr>
        <w:ind w:right="140"/>
        <w:spacing w:after="0" w:line="307" w:lineRule="auto"/>
        <w:rPr>
          <w:sz w:val="20"/>
          <w:szCs w:val="20"/>
          <w:color w:val="auto"/>
        </w:rPr>
      </w:pPr>
      <w:r>
        <w:rPr>
          <w:rFonts w:ascii="Arial" w:cs="Arial" w:eastAsia="Arial" w:hAnsi="Arial"/>
          <w:sz w:val="18"/>
          <w:szCs w:val="18"/>
          <w:color w:val="auto"/>
        </w:rPr>
        <w:t>“Throughout 2017, we are continuing to execute on our strategy of developing first-in-class antibody therapeutics for patients with severe inflammatory diseases and have recently announced positive proof-of-concept data for our wholly-owned ANB020 program in adults with moderate-to-severe atopic dermatitis,” said Hamza Suria, president and chief executive officer of AnaptysBio. “We are on track to report top-line data from our on-going ANB020 Phase 2a studies in severe adult peanut allergy, and severe adult eosinophilic asthma during the first and second quarters of 2018, respectively. Our wholly-owned ANB019 program generated positive top-line Phase 1 healthy volunteer data and we plan to advance this program into Phase 2 orphan inflammatory disease patients studies during 2018.”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and Business Highlights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ANB020 (Anti-IL-33 Program)</w:t>
      </w:r>
    </w:p>
    <w:p>
      <w:pPr>
        <w:spacing w:after="0" w:line="81" w:lineRule="exact"/>
        <w:rPr>
          <w:sz w:val="20"/>
          <w:szCs w:val="20"/>
          <w:color w:val="auto"/>
        </w:rPr>
      </w:pPr>
    </w:p>
    <w:p>
      <w:pPr>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In October, the company reported positive proof-of-concept data for ANB020, its investigational anti-IL-33 therapeutic antibody, in an ongoing Phase 2a clinical trial in adult patients with moderate-to-severe atopic dermatitis. After a single dose of ANB020, 75 percent of patients achieved an Eczema Area Severity Index (EASI) score improvement of 50 percent relative to enrollment baseline (EASI-50) at day 15, 83 percent of patients achieved EASI-50 at day 29 and 75 percent of patients achieved EASI-50 at day 57. All 12 patients achieved EASI-50 at one or more time points through Day 57 post-ANB020 administration. ANB020 was generally well tolerated in all patients as of this interim analysis. During the first half of 2018, AnaptysBio plans to initiate a Phase 2b randomized, double-blinded, placebo-controlled study in 200-300 adult patients with moderate-to-severe atopic dermatitis to evaluate multi-dose subcutaneous administration of ANB020, with data expected in 2019.</w:t>
      </w:r>
    </w:p>
    <w:p>
      <w:pPr>
        <w:spacing w:after="0" w:line="23" w:lineRule="exact"/>
        <w:rPr>
          <w:rFonts w:ascii="Arial" w:cs="Arial" w:eastAsia="Arial" w:hAnsi="Arial"/>
          <w:sz w:val="17"/>
          <w:szCs w:val="17"/>
          <w:color w:val="auto"/>
        </w:rPr>
      </w:pPr>
    </w:p>
    <w:p>
      <w:pPr>
        <w:ind w:left="660" w:right="160" w:hanging="328"/>
        <w:spacing w:after="0" w:line="358" w:lineRule="auto"/>
        <w:tabs>
          <w:tab w:leader="none" w:pos="660" w:val="left"/>
        </w:tabs>
        <w:numPr>
          <w:ilvl w:val="0"/>
          <w:numId w:val="2"/>
        </w:numPr>
        <w:rPr>
          <w:rFonts w:ascii="Arial" w:cs="Arial" w:eastAsia="Arial" w:hAnsi="Arial"/>
          <w:sz w:val="15"/>
          <w:szCs w:val="15"/>
          <w:color w:val="auto"/>
        </w:rPr>
      </w:pPr>
      <w:r>
        <w:rPr>
          <w:rFonts w:ascii="Arial" w:cs="Arial" w:eastAsia="Arial" w:hAnsi="Arial"/>
          <w:sz w:val="16"/>
          <w:szCs w:val="16"/>
          <w:color w:val="auto"/>
        </w:rPr>
        <w:t>Enrollment continued in the company’s ongoing Phase 2a double-blinded, placebo-controlled trial assessing the tolerance of oral food challenge before and after administration of a single dose of ANB020 or placebo in a total of 20 adult patients with severe peanut allergy. As of October 31, 2017, 75 percent of the study has been enrolled and top-line data are expected in the first quarter of 2018.</w:t>
      </w:r>
    </w:p>
    <w:p>
      <w:pPr>
        <w:ind w:left="660" w:right="20" w:hanging="328"/>
        <w:spacing w:after="0" w:line="299"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Enrollment was initiated in the company’s an ongoing double-blinded, placebo-controlled Phase 2a trial in 24 adult patients with severe eosinophilic asthma, with top-line results, including a Forced Expiratory Volume in One Second (FEV1) assessment of patients administered a single dose of ANB020 or placebo, with top-line data expected in the second quarter of 2018.</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81" w:lineRule="exact"/>
        <w:rPr>
          <w:sz w:val="20"/>
          <w:szCs w:val="20"/>
          <w:color w:val="auto"/>
        </w:rPr>
      </w:pPr>
    </w:p>
    <w:p>
      <w:pPr>
        <w:ind w:left="660" w:right="60" w:hanging="328"/>
        <w:spacing w:after="0" w:line="278"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announced positive top-line results from an interim analysis of an ongoing single and multiple ascending dose healthy volunteer Phase 1 trial of ANB019, its investigational anti-interleukin-36 receptor (IL-36R) therapeutic antibody. Top-line data showed favorable safety, pharmacokinetics and</w:t>
      </w:r>
    </w:p>
    <w:p>
      <w:pPr>
        <w:sectPr>
          <w:pgSz w:w="11900" w:h="16838" w:orient="portrait"/>
          <w:cols w:equalWidth="0" w:num="1">
            <w:col w:w="11420"/>
          </w:cols>
          <w:pgMar w:left="240" w:top="576" w:right="239" w:bottom="1440" w:gutter="0" w:footer="0" w:header="0"/>
        </w:sectPr>
      </w:pPr>
    </w:p>
    <w:bookmarkStart w:id="5" w:name="page6"/>
    <w:bookmarkEnd w:id="5"/>
    <w:p>
      <w:pPr>
        <w:ind w:left="660" w:right="140"/>
        <w:spacing w:after="0" w:line="295" w:lineRule="auto"/>
        <w:rPr>
          <w:sz w:val="20"/>
          <w:szCs w:val="20"/>
          <w:color w:val="auto"/>
        </w:rPr>
      </w:pPr>
      <w:r>
        <w:rPr>
          <w:rFonts w:ascii="Arial" w:cs="Arial" w:eastAsia="Arial" w:hAnsi="Arial"/>
          <w:sz w:val="20"/>
          <w:szCs w:val="20"/>
          <w:color w:val="auto"/>
        </w:rPr>
        <w:t>pharmacodynamic properties that support advancement of ANB019 into Phase 2 studies for generalized pustular psoriasis and palmo-plantar pustular psoriasis during 2018.</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Business Update</w:t>
      </w:r>
    </w:p>
    <w:p>
      <w:pPr>
        <w:spacing w:after="0" w:line="121" w:lineRule="exact"/>
        <w:rPr>
          <w:sz w:val="20"/>
          <w:szCs w:val="20"/>
          <w:color w:val="auto"/>
        </w:rPr>
      </w:pPr>
    </w:p>
    <w:p>
      <w:pPr>
        <w:ind w:left="660" w:right="200" w:hanging="328"/>
        <w:spacing w:after="0" w:line="278"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20"/>
          <w:szCs w:val="20"/>
          <w:color w:val="auto"/>
        </w:rPr>
        <w:t>On Oct. 17, 2017, the company completed an underwritten public offering selling 3,000,000 shares of common stock at a price to the public of $68.50 per share. The aggregate net proceeds received by the company from the offering were $194.7 million, net of underwriting discounts and commissions.</w:t>
      </w:r>
    </w:p>
    <w:p>
      <w:pPr>
        <w:spacing w:after="0" w:line="24" w:lineRule="exact"/>
        <w:rPr>
          <w:rFonts w:ascii="Arial" w:cs="Arial" w:eastAsia="Arial" w:hAnsi="Arial"/>
          <w:sz w:val="18"/>
          <w:szCs w:val="18"/>
          <w:b w:val="1"/>
          <w:bCs w:val="1"/>
          <w:color w:val="auto"/>
        </w:rPr>
      </w:pPr>
    </w:p>
    <w:p>
      <w:pPr>
        <w:ind w:left="660" w:right="260" w:hanging="328"/>
        <w:spacing w:after="0" w:line="299"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9"/>
          <w:szCs w:val="19"/>
          <w:color w:val="auto"/>
        </w:rPr>
        <w:t>In August, the company announced the appointment of J. Anthony Ware, M.D. to its board of directors. Dr. Ware currently serves as the senior vice president of product development of Lilly Bio-Medicines at Eli Lilly and Company, where he is responsible for the clinical development and regulatory approval of new medicines in multiple therapeutic areas.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and Financial Guidance</w:t>
      </w:r>
    </w:p>
    <w:p>
      <w:pPr>
        <w:spacing w:after="0" w:line="87" w:lineRule="exact"/>
        <w:rPr>
          <w:sz w:val="20"/>
          <w:szCs w:val="20"/>
          <w:color w:val="auto"/>
        </w:rPr>
      </w:pPr>
    </w:p>
    <w:p>
      <w:pPr>
        <w:ind w:left="660" w:right="40" w:hanging="328"/>
        <w:spacing w:after="0" w:line="274"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cash equivalents and investments totaled $116.7 million as of September 30, 2017, which includes net proceeds of $80.2 million from the company’s initial public offering completed in January 2017, compared to $51.2 million as of December 31, 2016. Including the net proceeds from the company’s follow-on offering in October 2017, of approximately $194.7 million, the company expects that it has sufficient capital to fund its operating plan through the end of 2019.</w:t>
      </w:r>
    </w:p>
    <w:p>
      <w:pPr>
        <w:spacing w:after="0" w:line="30" w:lineRule="exact"/>
        <w:rPr>
          <w:rFonts w:ascii="Arial" w:cs="Arial" w:eastAsia="Arial" w:hAnsi="Arial"/>
          <w:sz w:val="20"/>
          <w:szCs w:val="20"/>
          <w:color w:val="auto"/>
        </w:rPr>
      </w:pPr>
    </w:p>
    <w:p>
      <w:pPr>
        <w:ind w:left="660" w:hanging="328"/>
        <w:spacing w:after="0" w:line="288"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Revenue was zero and $7.0 million for the three and nine months ended September 30, 2017, respectively as compared to $3.2 million and $13.9 million for the three and nine months ended September 30, 2016, respectively. The nine months ended September 30, 2017 included revenue related to two milestones earned from the company’s partnership with TESARO. The three and nine months ended September 30, 2016 included revenue of related to the amortization of the upfront payment from TESARO, research and development services with TESARO and milestone-related revenues from TESARO and Celgene. The upfront payment was fully recognized and the research and development services were completed as of December 31, 2016.</w:t>
      </w:r>
    </w:p>
    <w:p>
      <w:pPr>
        <w:spacing w:after="0" w:line="20" w:lineRule="exact"/>
        <w:rPr>
          <w:rFonts w:ascii="Arial" w:cs="Arial" w:eastAsia="Arial" w:hAnsi="Arial"/>
          <w:sz w:val="19"/>
          <w:szCs w:val="19"/>
          <w:color w:val="auto"/>
        </w:rPr>
      </w:pPr>
    </w:p>
    <w:p>
      <w:pPr>
        <w:ind w:left="660" w:right="200" w:hanging="328"/>
        <w:spacing w:after="0" w:line="293"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Research and development expenses were $6.7 million and $21.8 million, respectively, for the three and nine months ended September 30, 2017, as compared to $3.3 million and $10.4 million, respectively, for the three and nine months ended September 30, 2016. The increase was primarily due to an increase in preclinical and clinical trial expenses as well as the recognition of higher research and development tax incentives in the three and nine months ended September 30, 2016.</w:t>
      </w:r>
    </w:p>
    <w:p>
      <w:pPr>
        <w:spacing w:after="0" w:line="13" w:lineRule="exact"/>
        <w:rPr>
          <w:rFonts w:ascii="Arial" w:cs="Arial" w:eastAsia="Arial" w:hAnsi="Arial"/>
          <w:sz w:val="19"/>
          <w:szCs w:val="19"/>
          <w:color w:val="auto"/>
        </w:rPr>
      </w:pPr>
    </w:p>
    <w:p>
      <w:pPr>
        <w:ind w:left="660" w:right="340" w:hanging="328"/>
        <w:spacing w:after="0" w:line="274" w:lineRule="auto"/>
        <w:tabs>
          <w:tab w:leader="none" w:pos="6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$2.4 million and $6.8 million, respectively, for the three and nine months ended September 30, 2017, as compared to $1.0 million and $3.4 million, respectively, for the three and six months ended September 30, 2016. The increase was attributable to additional personnel-related expenses, including non-cash stock-based compensation, and an increase in public company related expenses.</w:t>
      </w:r>
    </w:p>
    <w:p>
      <w:pPr>
        <w:sectPr>
          <w:pgSz w:w="11900" w:h="16838" w:orient="portrait"/>
          <w:cols w:equalWidth="0" w:num="1">
            <w:col w:w="11400"/>
          </w:cols>
          <w:pgMar w:left="240" w:top="663" w:right="2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AnaptysBio</w:t>
      </w:r>
    </w:p>
    <w:p>
      <w:pPr>
        <w:spacing w:after="0" w:line="33"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 xml:space="preserve">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severe adult peanut allergy and severe adult eosinophilic asthma; its anti-IL-36R antibody (ANB019) for the treatment of rare inflammatory diseases, including generalized pustular psoriasis and palmo-plantar pustular psoriasis; and a portfolio of checkpoint receptor agonist antibodies for the treatment of certain autoimmune diseases where immune checkpoint receptors are insufficiently activated, which have demonstrated efficacy in an animal model of graft-versus-host disease. AnaptysBio’s antibody pipeline has been developed using its proprietary somatic hypermutation (SHM) platform, which uses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ANB020’s Phase 2a and Phase 2b clinical trials in adults with moderate-to-severe atopic dermatitis, Phase 2a clinical trials for the treatment of severe peanut allergy and severe adult eosinophilic asthma and Phase 1 clinical trial of ANB019; our ability to launch a Phase 2b clinical trial of ANB020 in adults with moderate-to-severe atopic dermatitis and Phase 2 clinical trials of ANB019; and the success of our partnership with TESARO.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Chelcie Lister</w:t>
      </w:r>
    </w:p>
    <w:p>
      <w:pPr>
        <w:spacing w:after="0"/>
        <w:rPr>
          <w:sz w:val="20"/>
          <w:szCs w:val="20"/>
          <w:color w:val="auto"/>
        </w:rPr>
      </w:pPr>
      <w:r>
        <w:rPr>
          <w:rFonts w:ascii="Arial" w:cs="Arial" w:eastAsia="Arial" w:hAnsi="Arial"/>
          <w:sz w:val="20"/>
          <w:szCs w:val="20"/>
          <w:color w:val="auto"/>
        </w:rPr>
        <w:t>THRUST Investor Relations</w:t>
      </w:r>
    </w:p>
    <w:p>
      <w:pPr>
        <w:spacing w:after="0"/>
        <w:rPr>
          <w:sz w:val="20"/>
          <w:szCs w:val="20"/>
          <w:color w:val="auto"/>
        </w:rPr>
      </w:pPr>
      <w:r>
        <w:rPr>
          <w:rFonts w:ascii="Arial" w:cs="Arial" w:eastAsia="Arial" w:hAnsi="Arial"/>
          <w:sz w:val="20"/>
          <w:szCs w:val="20"/>
          <w:color w:val="auto"/>
        </w:rPr>
        <w:t>910.777.3049</w:t>
      </w:r>
    </w:p>
    <w:p>
      <w:pPr>
        <w:spacing w:after="0"/>
        <w:rPr>
          <w:sz w:val="20"/>
          <w:szCs w:val="20"/>
          <w:color w:val="auto"/>
        </w:rPr>
      </w:pPr>
      <w:r>
        <w:rPr>
          <w:rFonts w:ascii="Arial" w:cs="Arial" w:eastAsia="Arial" w:hAnsi="Arial"/>
          <w:sz w:val="20"/>
          <w:szCs w:val="20"/>
          <w:color w:val="auto"/>
        </w:rPr>
        <w:t>chelcie@thrustir.com</w:t>
      </w:r>
    </w:p>
    <w:p>
      <w:pPr>
        <w:sectPr>
          <w:pgSz w:w="11900" w:h="16838" w:orient="portrait"/>
          <w:cols w:equalWidth="0" w:num="1">
            <w:col w:w="11420"/>
          </w:cols>
          <w:pgMar w:left="240" w:top="589"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par value data)</w:t>
      </w:r>
    </w:p>
    <w:p>
      <w:pPr>
        <w:spacing w:after="0" w:line="227"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380"/>
          </w:cols>
          <w:pgMar w:left="280" w:top="580" w:right="239" w:bottom="1440" w:gutter="0" w:footer="0" w:header="0"/>
        </w:sectPr>
      </w:pPr>
    </w:p>
    <w:p>
      <w:pPr>
        <w:spacing w:after="0" w:line="118"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Receivable from collaborative partners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Long-term vendor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jc w:val="center"/>
        <w:ind w:left="3040"/>
        <w:spacing w:after="0"/>
        <w:rPr>
          <w:sz w:val="20"/>
          <w:szCs w:val="20"/>
          <w:color w:val="auto"/>
        </w:rPr>
      </w:pPr>
      <w:r>
        <w:rPr>
          <w:rFonts w:ascii="Arial" w:cs="Arial" w:eastAsia="Arial" w:hAnsi="Arial"/>
          <w:sz w:val="16"/>
          <w:szCs w:val="16"/>
          <w:b w:val="1"/>
          <w:bCs w:val="1"/>
          <w:color w:val="auto"/>
        </w:rPr>
        <w:t>LIABILITIES, CONVERTIBLE PREFERRED STOCK AND</w:t>
      </w:r>
    </w:p>
    <w:p>
      <w:pPr>
        <w:spacing w:after="0" w:line="26" w:lineRule="exact"/>
        <w:rPr>
          <w:sz w:val="20"/>
          <w:szCs w:val="20"/>
          <w:color w:val="auto"/>
        </w:rPr>
      </w:pPr>
    </w:p>
    <w:p>
      <w:pPr>
        <w:jc w:val="center"/>
        <w:ind w:left="3040"/>
        <w:spacing w:after="0"/>
        <w:rPr>
          <w:sz w:val="20"/>
          <w:szCs w:val="20"/>
          <w:color w:val="auto"/>
        </w:rPr>
      </w:pPr>
      <w:r>
        <w:rPr>
          <w:rFonts w:ascii="Arial" w:cs="Arial" w:eastAsia="Arial" w:hAnsi="Arial"/>
          <w:sz w:val="16"/>
          <w:szCs w:val="16"/>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33020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Notes payable, net of current portion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warrant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Series B convertible preferred stock, $0.001 par value, no shares and 3,963 authorized, issued and outstanding at September 30, 2017 and December 31, 2016, respectively</w:t>
      </w:r>
    </w:p>
    <w:p>
      <w:pPr>
        <w:spacing w:after="0" w:line="23"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Series C convertible preferred stock, $0.001 par value, no shares and 1,887 shares authorized, no shares and 1,593 shares issued and outstanding at September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Series C-1 convertible preferred stock, $0.001 par value, no shares and 474 shares authorized, issued and outstanding at September 30, 2017 and December 31, 2016, respectively</w:t>
      </w:r>
    </w:p>
    <w:p>
      <w:pPr>
        <w:spacing w:after="0" w:line="23"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Series D convertible preferred stock, $0.001 par value, no shares and 5,491 shares authorized, issued and outstanding at September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Stockholders’ equity (deficit):</w:t>
      </w:r>
    </w:p>
    <w:p>
      <w:pPr>
        <w:spacing w:after="0" w:line="10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Preferred stock, $0.001 par value, 10,000 shares and no shares authorized, issued or outstanding at September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Common stock, $0.001 par value, 500,000 and 17,214 authorized, 20,496 shares and 2,651 shares issued and outstanding at September 30, 2017 and December 31, 2016,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 (deficit)</w:t>
      </w:r>
    </w:p>
    <w:p>
      <w:pPr>
        <w:spacing w:after="0" w:line="8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convertible preferred stock and stockholders’ equity (deficit)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26,669</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51,232</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1,486</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89,053</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3,119</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120,327</w:t>
            </w: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58,208</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513</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471</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999</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46</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3,441</w:t>
            </w:r>
          </w:p>
        </w:tc>
      </w:tr>
      <w:tr>
        <w:trPr>
          <w:trHeight w:val="33"/>
        </w:trPr>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121,945</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-8255</wp:posOffset>
            </wp:positionV>
            <wp:extent cx="1029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2,557</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3,604</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3,429</w:t>
            </w: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5,000</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60" w:type="dxa"/>
            <w:vAlign w:val="bottom"/>
          </w:tcPr>
          <w:p>
            <w:pPr>
              <w:jc w:val="right"/>
              <w:ind w:right="139"/>
              <w:spacing w:after="0"/>
              <w:rPr>
                <w:sz w:val="20"/>
                <w:szCs w:val="20"/>
                <w:color w:val="auto"/>
              </w:rPr>
            </w:pPr>
            <w:r>
              <w:rPr>
                <w:rFonts w:ascii="Arial" w:cs="Arial" w:eastAsia="Arial" w:hAnsi="Arial"/>
                <w:sz w:val="16"/>
                <w:szCs w:val="16"/>
                <w:color w:val="auto"/>
                <w:w w:val="85"/>
              </w:rPr>
              <w:t>11,174</w:t>
            </w: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5,708</w:t>
            </w: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9,269</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13,809</w:t>
            </w: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147</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-664210</wp:posOffset>
            </wp:positionV>
            <wp:extent cx="1029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28,220</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6,452</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2,156</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40,688</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54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179,551</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16,672</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(43)</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(78,173)</w:t>
            </w: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(54,923)</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101,355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(38,248)</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121,945</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-25400</wp:posOffset>
            </wp:positionV>
            <wp:extent cx="1029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-8255</wp:posOffset>
            </wp:positionV>
            <wp:extent cx="1029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-196850</wp:posOffset>
            </wp:positionV>
            <wp:extent cx="1029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2">
            <w:col w:w="8320" w:space="720"/>
            <w:col w:w="2340"/>
          </w:cols>
          <w:pgMar w:left="280" w:top="58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900" w:type="dxa"/>
            <w:vAlign w:val="bottom"/>
            <w:tcBorders>
              <w:bottom w:val="single" w:sz="8" w:color="CFF0FC"/>
            </w:tcBorders>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3,214</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13,930</w:t>
            </w:r>
          </w:p>
        </w:tc>
        <w:tc>
          <w:tcPr>
            <w:tcW w:w="0" w:type="dxa"/>
            <w:vAlign w:val="bottom"/>
          </w:tcPr>
          <w:p>
            <w:pPr>
              <w:spacing w:after="0"/>
              <w:rPr>
                <w:sz w:val="1"/>
                <w:szCs w:val="1"/>
                <w:color w:val="auto"/>
              </w:rPr>
            </w:pP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6,697</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3,282</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21,837</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10,403</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6,793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9,087</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4,289</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28,630</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13,781</w:t>
            </w:r>
          </w:p>
        </w:tc>
        <w:tc>
          <w:tcPr>
            <w:tcW w:w="0" w:type="dxa"/>
            <w:vAlign w:val="bottom"/>
          </w:tcPr>
          <w:p>
            <w:pPr>
              <w:spacing w:after="0"/>
              <w:rPr>
                <w:sz w:val="1"/>
                <w:szCs w:val="1"/>
                <w:color w:val="auto"/>
              </w:rPr>
            </w:pPr>
          </w:p>
        </w:tc>
      </w:tr>
      <w:tr>
        <w:trPr>
          <w:trHeight w:val="217"/>
        </w:trPr>
        <w:tc>
          <w:tcPr>
            <w:tcW w:w="5160" w:type="dxa"/>
            <w:vAlign w:val="bottom"/>
          </w:tcPr>
          <w:p>
            <w:pPr>
              <w:ind w:left="800"/>
              <w:spacing w:after="0"/>
              <w:rPr>
                <w:sz w:val="20"/>
                <w:szCs w:val="20"/>
                <w:color w:val="auto"/>
              </w:rPr>
            </w:pPr>
            <w:r>
              <w:rPr>
                <w:rFonts w:ascii="Arial" w:cs="Arial" w:eastAsia="Arial" w:hAnsi="Arial"/>
                <w:sz w:val="16"/>
                <w:szCs w:val="16"/>
                <w:color w:val="auto"/>
              </w:rPr>
              <w:t>Income (loss) from operations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(9,087)</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(1,075)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(21,630)</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9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5160" w:type="dxa"/>
            <w:vAlign w:val="bottom"/>
          </w:tcPr>
          <w:p>
            <w:pPr>
              <w:ind w:left="760"/>
              <w:spacing w:after="0"/>
              <w:rPr>
                <w:sz w:val="20"/>
                <w:szCs w:val="20"/>
                <w:color w:val="auto"/>
              </w:rPr>
            </w:pPr>
            <w:r>
              <w:rPr>
                <w:rFonts w:ascii="Arial" w:cs="Arial" w:eastAsia="Arial" w:hAnsi="Arial"/>
                <w:sz w:val="16"/>
                <w:szCs w:val="16"/>
                <w:color w:val="auto"/>
              </w:rPr>
              <w:t>Net income (loss)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(9,090)</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(1,115)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(23,209)</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Net income attributed to participating securities</w:t>
            </w:r>
          </w:p>
        </w:tc>
        <w:tc>
          <w:tcPr>
            <w:tcW w:w="9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7"/>
        </w:trPr>
        <w:tc>
          <w:tcPr>
            <w:tcW w:w="5160" w:type="dxa"/>
            <w:vAlign w:val="bottom"/>
          </w:tcPr>
          <w:p>
            <w:pPr>
              <w:ind w:left="520"/>
              <w:spacing w:after="0"/>
              <w:rPr>
                <w:sz w:val="20"/>
                <w:szCs w:val="20"/>
                <w:color w:val="auto"/>
              </w:rPr>
            </w:pPr>
            <w:r>
              <w:rPr>
                <w:rFonts w:ascii="Arial" w:cs="Arial" w:eastAsia="Arial" w:hAnsi="Arial"/>
                <w:sz w:val="16"/>
                <w:szCs w:val="16"/>
                <w:color w:val="auto"/>
              </w:rPr>
              <w:t>Net loss attributed to common stockholders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(9,090)</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(1,115)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(23,209)</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Unrealized income (loss) on available for sale securities</w:t>
            </w:r>
          </w:p>
        </w:tc>
        <w:tc>
          <w:tcPr>
            <w:tcW w:w="9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Other comprehensive income (loss)</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Comprehensive loss</w:t>
            </w:r>
          </w:p>
        </w:tc>
        <w:tc>
          <w:tcPr>
            <w:tcW w:w="900" w:type="dxa"/>
            <w:vAlign w:val="bottom"/>
            <w:tcBorders>
              <w:bottom w:val="single" w:sz="8" w:color="CFF0FC"/>
            </w:tcBorders>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(9,074)</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4"/>
              </w:rPr>
              <w:t>(1,115)</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(23,252)</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Net loss per common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Basic</w:t>
            </w:r>
          </w:p>
        </w:tc>
        <w:tc>
          <w:tcPr>
            <w:tcW w:w="900" w:type="dxa"/>
            <w:vAlign w:val="bottom"/>
            <w:tcBorders>
              <w:bottom w:val="single" w:sz="8" w:color="CFF0FC"/>
            </w:tcBorders>
            <w:shd w:val="clear" w:color="auto" w:fill="CFF0FC"/>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6"/>
                <w:szCs w:val="16"/>
                <w:color w:val="auto"/>
              </w:rPr>
              <w:t>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7"/>
                <w:szCs w:val="17"/>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160" w:type="dxa"/>
            <w:vAlign w:val="bottom"/>
            <w:tcBorders>
              <w:bottom w:val="single" w:sz="8" w:color="CFF0FC"/>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520"/>
              <w:spacing w:after="0"/>
              <w:rPr>
                <w:sz w:val="20"/>
                <w:szCs w:val="20"/>
                <w:color w:val="auto"/>
              </w:rPr>
            </w:pPr>
            <w:r>
              <w:rPr>
                <w:rFonts w:ascii="Arial" w:cs="Arial" w:eastAsia="Arial" w:hAnsi="Arial"/>
                <w:sz w:val="16"/>
                <w:szCs w:val="16"/>
                <w:color w:val="auto"/>
              </w:rPr>
              <w:t>Basic</w:t>
            </w:r>
          </w:p>
        </w:tc>
        <w:tc>
          <w:tcPr>
            <w:tcW w:w="900" w:type="dxa"/>
            <w:vAlign w:val="bottom"/>
          </w:tcPr>
          <w:p>
            <w:pPr>
              <w:spacing w:after="0"/>
              <w:rPr>
                <w:sz w:val="19"/>
                <w:szCs w:val="19"/>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20,382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18,668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73"/>
        </w:trPr>
        <w:tc>
          <w:tcPr>
            <w:tcW w:w="5160" w:type="dxa"/>
            <w:vAlign w:val="bottom"/>
            <w:tcBorders>
              <w:bottom w:val="single" w:sz="8" w:color="CFF0FC"/>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160" w:type="dxa"/>
            <w:vAlign w:val="bottom"/>
            <w:tcBorders>
              <w:bottom w:val="single" w:sz="8" w:color="CFF0FC"/>
            </w:tcBorders>
            <w:shd w:val="clear" w:color="auto" w:fill="CFF0FC"/>
          </w:tcPr>
          <w:p>
            <w:pPr>
              <w:ind w:left="520"/>
              <w:spacing w:after="0" w:line="177" w:lineRule="exact"/>
              <w:rPr>
                <w:sz w:val="20"/>
                <w:szCs w:val="20"/>
                <w:color w:val="auto"/>
              </w:rPr>
            </w:pPr>
            <w:r>
              <w:rPr>
                <w:rFonts w:ascii="Arial" w:cs="Arial" w:eastAsia="Arial" w:hAnsi="Arial"/>
                <w:sz w:val="16"/>
                <w:szCs w:val="16"/>
                <w:color w:val="auto"/>
              </w:rPr>
              <w:t>Diluted</w:t>
            </w:r>
          </w:p>
        </w:tc>
        <w:tc>
          <w:tcPr>
            <w:tcW w:w="9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93"/>
              </w:rPr>
              <w:t>20,382</w:t>
            </w: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2,636</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18,668</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emdash "/>
      <w:numFmt w:val="bullet"/>
      <w:start w:val="1"/>
    </w:lvl>
  </w:abstractNum>
  <w:abstractNum w:abstractNumId="6">
    <w:nsid w:val="41B71EF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2019-12-29T03:15:46Z</dcterms:created>
  <dcterms:modified xsi:type="dcterms:W3CDTF">2019-12-29T03:15:46Z</dcterms:modified>
</cp:coreProperties>
</file>