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25, 2021</w:t>
      </w:r>
    </w:p>
    <w:p>
      <w:pPr>
        <w:spacing w:after="0" w:line="117" w:lineRule="exact"/>
        <w:rPr>
          <w:sz w:val="24"/>
          <w:szCs w:val="24"/>
          <w:color w:val="auto"/>
        </w:rPr>
      </w:pPr>
    </w:p>
    <w:p>
      <w:pPr>
        <w:ind w:left="8760"/>
        <w:spacing w:after="0"/>
        <w:rPr>
          <w:sz w:val="20"/>
          <w:szCs w:val="20"/>
          <w:color w:val="auto"/>
        </w:rPr>
      </w:pPr>
      <w:r>
        <w:rPr>
          <w:rFonts w:ascii="Arial" w:cs="Arial" w:eastAsia="Arial" w:hAnsi="Arial"/>
          <w:sz w:val="18"/>
          <w:szCs w:val="18"/>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132715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ANAPTYSBIO, INC.</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3"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20-3828755</w:t>
            </w:r>
          </w:p>
        </w:tc>
      </w:tr>
      <w:tr>
        <w:trPr>
          <w:trHeight w:val="144"/>
        </w:trPr>
        <w:tc>
          <w:tcPr>
            <w:tcW w:w="3920" w:type="dxa"/>
            <w:vAlign w:val="bottom"/>
          </w:tcPr>
          <w:p>
            <w:pPr>
              <w:jc w:val="center"/>
              <w:ind w:right="196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196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Freedman,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Julia Forbess,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Fenwick &amp; West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875-2300</w:t>
      </w:r>
    </w:p>
    <w:p>
      <w:pPr>
        <w:spacing w:after="0" w:line="9"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______________________</w:t>
      </w:r>
    </w:p>
    <w:p>
      <w:pPr>
        <w:spacing w:after="0" w:line="59"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239"/>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700"/>
              <w:spacing w:after="0"/>
              <w:rPr>
                <w:sz w:val="20"/>
                <w:szCs w:val="20"/>
                <w:color w:val="auto"/>
              </w:rPr>
            </w:pPr>
            <w:r>
              <w:rPr>
                <w:rFonts w:ascii="Arial" w:cs="Arial" w:eastAsia="Arial" w:hAnsi="Arial"/>
                <w:sz w:val="14"/>
                <w:szCs w:val="14"/>
                <w:color w:val="auto"/>
              </w:rPr>
              <w:t>x</w:t>
            </w:r>
          </w:p>
        </w:tc>
        <w:tc>
          <w:tcPr>
            <w:tcW w:w="478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00"/>
              <w:spacing w:after="0"/>
              <w:rPr>
                <w:sz w:val="20"/>
                <w:szCs w:val="20"/>
                <w:color w:val="auto"/>
              </w:rPr>
            </w:pPr>
            <w:r>
              <w:rPr>
                <w:rFonts w:ascii="Arial" w:cs="Arial" w:eastAsia="Arial" w:hAnsi="Arial"/>
                <w:sz w:val="14"/>
                <w:szCs w:val="14"/>
                <w:color w:val="auto"/>
              </w:rPr>
              <w:t>x</w:t>
            </w:r>
          </w:p>
        </w:tc>
      </w:tr>
      <w:tr>
        <w:trPr>
          <w:trHeight w:val="245"/>
        </w:trPr>
        <w:tc>
          <w:tcPr>
            <w:tcW w:w="2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78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8" w:lineRule="exact"/>
        <w:rPr>
          <w:sz w:val="24"/>
          <w:szCs w:val="24"/>
          <w:color w:val="auto"/>
        </w:rPr>
      </w:pPr>
    </w:p>
    <w:p>
      <w:pPr>
        <w:sectPr>
          <w:pgSz w:w="11900" w:h="16838" w:orient="portrait"/>
          <w:cols w:equalWidth="0" w:num="1">
            <w:col w:w="11240"/>
          </w:cols>
          <w:pgMar w:left="320" w:top="756" w:right="339" w:bottom="1440" w:gutter="0" w:footer="0" w:header="0"/>
        </w:sectPr>
      </w:pPr>
    </w:p>
    <w:p>
      <w:pPr>
        <w:ind w:left="20" w:right="5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60" w:type="dxa"/>
            <w:vAlign w:val="bottom"/>
            <w:tcBorders>
              <w:top w:val="single" w:sz="8" w:color="auto"/>
              <w:left w:val="single" w:sz="8" w:color="auto"/>
            </w:tcBorders>
            <w:vMerge w:val="restart"/>
          </w:tcPr>
          <w:p>
            <w:pPr>
              <w:jc w:val="right"/>
              <w:ind w:right="1928"/>
              <w:spacing w:after="0"/>
              <w:rPr>
                <w:sz w:val="20"/>
                <w:szCs w:val="20"/>
                <w:color w:val="auto"/>
              </w:rPr>
            </w:pPr>
            <w:r>
              <w:rPr>
                <w:rFonts w:ascii="Arial" w:cs="Arial" w:eastAsia="Arial" w:hAnsi="Arial"/>
                <w:sz w:val="14"/>
                <w:szCs w:val="14"/>
                <w:b w:val="1"/>
                <w:bCs w:val="1"/>
                <w:color w:val="auto"/>
              </w:rPr>
              <w:t>Title of Securities</w:t>
            </w: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To Be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Proposed Maximum</w:t>
            </w: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Proposed Maximum</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5160" w:type="dxa"/>
            <w:vAlign w:val="bottom"/>
            <w:tcBorders>
              <w:left w:val="single" w:sz="8" w:color="auto"/>
            </w:tcBorders>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0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Aggregate Offering</w:t>
            </w:r>
          </w:p>
        </w:tc>
        <w:tc>
          <w:tcPr>
            <w:tcW w:w="120" w:type="dxa"/>
            <w:vAlign w:val="bottom"/>
          </w:tcPr>
          <w:p>
            <w:pPr>
              <w:spacing w:after="0"/>
              <w:rPr>
                <w:sz w:val="11"/>
                <w:szCs w:val="11"/>
                <w:color w:val="auto"/>
              </w:rPr>
            </w:pPr>
          </w:p>
        </w:tc>
        <w:tc>
          <w:tcPr>
            <w:tcW w:w="13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jc w:val="right"/>
              <w:ind w:right="1928"/>
              <w:spacing w:after="0"/>
              <w:rPr>
                <w:sz w:val="20"/>
                <w:szCs w:val="20"/>
                <w:color w:val="auto"/>
              </w:rPr>
            </w:pPr>
            <w:r>
              <w:rPr>
                <w:rFonts w:ascii="Arial" w:cs="Arial" w:eastAsia="Arial" w:hAnsi="Arial"/>
                <w:sz w:val="14"/>
                <w:szCs w:val="14"/>
                <w:b w:val="1"/>
                <w:bCs w:val="1"/>
                <w:color w:val="auto"/>
              </w:rPr>
              <w:t>To Be Registered</w:t>
            </w:r>
          </w:p>
        </w:tc>
        <w:tc>
          <w:tcPr>
            <w:tcW w:w="1480" w:type="dxa"/>
            <w:vAlign w:val="bottom"/>
          </w:tcPr>
          <w:p>
            <w:pPr>
              <w:jc w:val="center"/>
              <w:spacing w:after="0" w:line="184" w:lineRule="exact"/>
              <w:rPr>
                <w:sz w:val="20"/>
                <w:szCs w:val="20"/>
                <w:color w:val="auto"/>
              </w:rPr>
            </w:pPr>
            <w:r>
              <w:rPr>
                <w:rFonts w:ascii="Arial" w:cs="Arial" w:eastAsia="Arial" w:hAnsi="Arial"/>
                <w:sz w:val="14"/>
                <w:szCs w:val="14"/>
                <w:b w:val="1"/>
                <w:bCs w:val="1"/>
                <w:color w:val="auto"/>
                <w:w w:val="87"/>
              </w:rPr>
              <w:t xml:space="preserve">Registered </w:t>
            </w:r>
            <w:r>
              <w:rPr>
                <w:rFonts w:ascii="Arial" w:cs="Arial" w:eastAsia="Arial" w:hAnsi="Arial"/>
                <w:sz w:val="18"/>
                <w:szCs w:val="18"/>
                <w:b w:val="1"/>
                <w:bCs w:val="1"/>
                <w:color w:val="auto"/>
                <w:w w:val="87"/>
                <w:vertAlign w:val="superscript"/>
              </w:rPr>
              <w:t>(1)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0"/>
        </w:trPr>
        <w:tc>
          <w:tcPr>
            <w:tcW w:w="5160" w:type="dxa"/>
            <w:vAlign w:val="bottom"/>
            <w:tcBorders>
              <w:left w:val="single" w:sz="8" w:color="auto"/>
            </w:tcBorders>
          </w:tcPr>
          <w:p>
            <w:pPr>
              <w:ind w:left="140"/>
              <w:spacing w:after="0" w:line="141" w:lineRule="exact"/>
              <w:rPr>
                <w:sz w:val="20"/>
                <w:szCs w:val="20"/>
                <w:color w:val="auto"/>
              </w:rPr>
            </w:pPr>
            <w:r>
              <w:rPr>
                <w:rFonts w:ascii="Arial" w:cs="Arial" w:eastAsia="Arial" w:hAnsi="Arial"/>
                <w:sz w:val="14"/>
                <w:szCs w:val="14"/>
                <w:color w:val="auto"/>
                <w:w w:val="91"/>
              </w:rPr>
              <w:t>Common Stock, $0.001 par value per share, reserved for issuance pursuant to the 2017</w:t>
            </w:r>
          </w:p>
        </w:tc>
        <w:tc>
          <w:tcPr>
            <w:tcW w:w="1480" w:type="dxa"/>
            <w:vAlign w:val="bottom"/>
            <w:vMerge w:val="restart"/>
          </w:tcPr>
          <w:p>
            <w:pPr>
              <w:jc w:val="center"/>
              <w:ind w:right="228"/>
              <w:spacing w:after="0"/>
              <w:rPr>
                <w:sz w:val="20"/>
                <w:szCs w:val="20"/>
                <w:color w:val="auto"/>
              </w:rPr>
            </w:pPr>
            <w:r>
              <w:rPr>
                <w:rFonts w:ascii="Arial" w:cs="Arial" w:eastAsia="Arial" w:hAnsi="Arial"/>
                <w:sz w:val="14"/>
                <w:szCs w:val="14"/>
                <w:color w:val="auto"/>
              </w:rPr>
              <w:t>1,094,223</w:t>
            </w:r>
            <w:r>
              <w:rPr>
                <w:rFonts w:ascii="Arial" w:cs="Arial" w:eastAsia="Arial" w:hAnsi="Arial"/>
                <w:sz w:val="18"/>
                <w:szCs w:val="18"/>
                <w:color w:val="auto"/>
                <w:vertAlign w:val="superscript"/>
              </w:rPr>
              <w:t>(2)</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86"/>
              </w:rPr>
              <w:t>$29.63</w:t>
            </w:r>
            <w:r>
              <w:rPr>
                <w:rFonts w:ascii="Arial" w:cs="Arial" w:eastAsia="Arial" w:hAnsi="Arial"/>
                <w:sz w:val="18"/>
                <w:szCs w:val="18"/>
                <w:color w:val="auto"/>
                <w:w w:val="86"/>
                <w:vertAlign w:val="superscript"/>
              </w:rPr>
              <w:t>(3)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32,416,356</w:t>
            </w:r>
          </w:p>
        </w:tc>
        <w:tc>
          <w:tcPr>
            <w:tcW w:w="1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3,537</w:t>
            </w: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Equity Incentive Plan</w:t>
            </w:r>
          </w:p>
        </w:tc>
        <w:tc>
          <w:tcPr>
            <w:tcW w:w="14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160" w:type="dxa"/>
            <w:vAlign w:val="bottom"/>
            <w:tcBorders>
              <w:left w:val="single" w:sz="8" w:color="auto"/>
            </w:tcBorders>
          </w:tcPr>
          <w:p>
            <w:pPr>
              <w:ind w:left="140"/>
              <w:spacing w:after="0" w:line="141" w:lineRule="exact"/>
              <w:rPr>
                <w:sz w:val="20"/>
                <w:szCs w:val="20"/>
                <w:color w:val="auto"/>
              </w:rPr>
            </w:pPr>
            <w:r>
              <w:rPr>
                <w:rFonts w:ascii="Arial" w:cs="Arial" w:eastAsia="Arial" w:hAnsi="Arial"/>
                <w:sz w:val="14"/>
                <w:szCs w:val="14"/>
                <w:color w:val="auto"/>
                <w:w w:val="91"/>
              </w:rPr>
              <w:t>Common Stock, $0.001 par value per share, reserved for issuance pursuant to the 2017</w:t>
            </w:r>
          </w:p>
        </w:tc>
        <w:tc>
          <w:tcPr>
            <w:tcW w:w="1480" w:type="dxa"/>
            <w:vAlign w:val="bottom"/>
            <w:vMerge w:val="restart"/>
          </w:tcPr>
          <w:p>
            <w:pPr>
              <w:jc w:val="center"/>
              <w:ind w:right="268"/>
              <w:spacing w:after="0"/>
              <w:rPr>
                <w:sz w:val="20"/>
                <w:szCs w:val="20"/>
                <w:color w:val="auto"/>
              </w:rPr>
            </w:pPr>
            <w:r>
              <w:rPr>
                <w:rFonts w:ascii="Arial" w:cs="Arial" w:eastAsia="Arial" w:hAnsi="Arial"/>
                <w:sz w:val="14"/>
                <w:szCs w:val="14"/>
                <w:color w:val="auto"/>
              </w:rPr>
              <w:t>273,555</w:t>
            </w:r>
            <w:r>
              <w:rPr>
                <w:rFonts w:ascii="Arial" w:cs="Arial" w:eastAsia="Arial" w:hAnsi="Arial"/>
                <w:sz w:val="18"/>
                <w:szCs w:val="18"/>
                <w:color w:val="auto"/>
                <w:vertAlign w:val="superscript"/>
              </w:rPr>
              <w:t>(4)</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86"/>
              </w:rPr>
              <w:t>$25.18</w:t>
            </w:r>
            <w:r>
              <w:rPr>
                <w:rFonts w:ascii="Arial" w:cs="Arial" w:eastAsia="Arial" w:hAnsi="Arial"/>
                <w:sz w:val="18"/>
                <w:szCs w:val="18"/>
                <w:color w:val="auto"/>
                <w:w w:val="86"/>
                <w:vertAlign w:val="superscript"/>
              </w:rPr>
              <w:t>(5)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6,888,457</w:t>
            </w:r>
          </w:p>
        </w:tc>
        <w:tc>
          <w:tcPr>
            <w:tcW w:w="1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752</w:t>
            </w: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Employee Stock Purchase Plan</w:t>
            </w:r>
          </w:p>
        </w:tc>
        <w:tc>
          <w:tcPr>
            <w:tcW w:w="1480" w:type="dxa"/>
            <w:vAlign w:val="bottom"/>
            <w:tcBorders>
              <w:bottom w:val="single" w:sz="8" w:color="auto"/>
            </w:tcBorders>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Common Stock, $0.001 par value per share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1,367,778</w:t>
            </w:r>
          </w:p>
        </w:tc>
        <w:tc>
          <w:tcPr>
            <w:tcW w:w="15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39,304,813</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4,289</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160" w:type="dxa"/>
            <w:vAlign w:val="bottom"/>
            <w:tcBorders>
              <w:lef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340" w:right="20" w:hanging="332"/>
        <w:spacing w:after="0" w:line="257" w:lineRule="auto"/>
        <w:tabs>
          <w:tab w:leader="none" w:pos="345"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by reason of any stock dividend, stock split, recapitalization or other similar transaction effected without the receipt of consideration that increases the number of the Registrant’s outstanding shares of Common Stock.</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Equity Incentive Plan as of the date of this Registration Statement.</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42"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19, 2021.</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Employee Stock Purchase Plan as of the date of this Registration Statement.</w:t>
      </w:r>
    </w:p>
    <w:p>
      <w:pPr>
        <w:spacing w:after="0" w:line="95" w:lineRule="exact"/>
        <w:rPr>
          <w:rFonts w:ascii="Arial" w:cs="Arial" w:eastAsia="Arial" w:hAnsi="Arial"/>
          <w:sz w:val="14"/>
          <w:szCs w:val="14"/>
          <w:color w:val="auto"/>
        </w:rPr>
      </w:pPr>
    </w:p>
    <w:p>
      <w:pPr>
        <w:jc w:val="both"/>
        <w:ind w:left="340" w:right="20" w:hanging="332"/>
        <w:spacing w:after="0" w:line="267" w:lineRule="auto"/>
        <w:tabs>
          <w:tab w:leader="none" w:pos="364"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19, 2021. In the case of the 2017 Employee Stock Purchase Plan, this price per share is multiplied by 85%, which is the percentage of the price per share applicable to purchases under the 2017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142240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sectPr>
      </w:pPr>
    </w:p>
    <w:bookmarkStart w:id="2" w:name="page3"/>
    <w:bookmarkEnd w:id="2"/>
    <w:p>
      <w:pPr>
        <w:ind w:left="4000"/>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GENERAL INSTRUCTION E</w:t>
      </w:r>
    </w:p>
    <w:p>
      <w:pPr>
        <w:spacing w:after="0" w:line="238" w:lineRule="exact"/>
        <w:rPr>
          <w:sz w:val="20"/>
          <w:szCs w:val="20"/>
          <w:color w:val="auto"/>
        </w:rPr>
      </w:pPr>
    </w:p>
    <w:p>
      <w:pPr>
        <w:ind w:right="60" w:firstLine="405"/>
        <w:spacing w:after="0" w:line="294" w:lineRule="auto"/>
        <w:rPr>
          <w:sz w:val="20"/>
          <w:szCs w:val="20"/>
          <w:color w:val="auto"/>
        </w:rPr>
      </w:pPr>
      <w:r>
        <w:rPr>
          <w:rFonts w:ascii="Arial" w:cs="Arial" w:eastAsia="Arial" w:hAnsi="Arial"/>
          <w:sz w:val="16"/>
          <w:szCs w:val="16"/>
          <w:color w:val="auto"/>
        </w:rPr>
        <w:t>Pursuant to General Instruction E of Form S-8, AnaptysBio, Inc. (the “Registrant”) is filing this Registration Statement with the Securities and Exchange Commission (the “Commission”) to register 1,094,223 additional shares of Common Stock under the Registrant’s 2017 Equity Incentive Plan (“EIP”), pursuant to the provisions of the EIP providing for an automatic increase in the number of shares reserved for issuance under the EIP, and 273,555 additional shares of Common Stock under the Registrant’s 2017 Employee Stock Purchase Plan (“ESPP”), pursuant to the provisions of the ESPP</w:t>
      </w:r>
    </w:p>
    <w:p>
      <w:pPr>
        <w:spacing w:after="0" w:line="3"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providing for an automatic increase in the number of shares reserved for issuance under the ESPP. This Registration Statement hereby incorporates by reference the contents of the Registrant’s registration statements on Form S-8 filed with the Commission on January 26, 2017 (Registration No. 333-215741), March 5, 2018 (Registration No. 333-223446), February 28, 2019 (Registration No. 333-229927) and March 2, 2020 (Registration No. 333-</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236805).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w w:val="95"/>
              </w:rPr>
              <w:t>Incorporated by Reference</w:t>
            </w:r>
          </w:p>
        </w:tc>
        <w:tc>
          <w:tcPr>
            <w:tcW w:w="1760" w:type="dxa"/>
            <w:vAlign w:val="bottom"/>
            <w:tcBorders>
              <w:bottom w:val="single" w:sz="8" w:color="auto"/>
            </w:tcBorders>
          </w:tcPr>
          <w:p>
            <w:pPr>
              <w:spacing w:after="0"/>
              <w:rPr>
                <w:sz w:val="16"/>
                <w:szCs w:val="16"/>
                <w:color w:val="auto"/>
              </w:rPr>
            </w:pPr>
          </w:p>
        </w:tc>
        <w:tc>
          <w:tcPr>
            <w:tcW w:w="980" w:type="dxa"/>
            <w:vAlign w:val="bottom"/>
          </w:tcPr>
          <w:p>
            <w:pPr>
              <w:jc w:val="center"/>
              <w:ind w:left="336"/>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01"/>
        </w:trPr>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3580" w:type="dxa"/>
            <w:vAlign w:val="bottom"/>
            <w:gridSpan w:val="12"/>
          </w:tcPr>
          <w:p>
            <w:pPr>
              <w:spacing w:after="0"/>
              <w:rPr>
                <w:sz w:val="20"/>
                <w:szCs w:val="20"/>
                <w:color w:val="auto"/>
              </w:rPr>
            </w:pPr>
            <w:r>
              <w:rPr>
                <w:rFonts w:ascii="Arial" w:cs="Arial" w:eastAsia="Arial" w:hAnsi="Arial"/>
                <w:sz w:val="14"/>
                <w:szCs w:val="14"/>
                <w:b w:val="1"/>
                <w:bCs w:val="1"/>
                <w:color w:val="auto"/>
              </w:rPr>
              <w:t>Exhibit Description</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260" w:type="dxa"/>
            <w:vAlign w:val="bottom"/>
          </w:tcPr>
          <w:p>
            <w:pPr>
              <w:spacing w:after="0"/>
              <w:rPr>
                <w:sz w:val="17"/>
                <w:szCs w:val="17"/>
                <w:color w:val="auto"/>
              </w:rPr>
            </w:pPr>
          </w:p>
        </w:tc>
        <w:tc>
          <w:tcPr>
            <w:tcW w:w="14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File No.</w:t>
            </w:r>
          </w:p>
        </w:tc>
        <w:tc>
          <w:tcPr>
            <w:tcW w:w="240" w:type="dxa"/>
            <w:vAlign w:val="bottom"/>
          </w:tcPr>
          <w:p>
            <w:pPr>
              <w:spacing w:after="0"/>
              <w:rPr>
                <w:sz w:val="17"/>
                <w:szCs w:val="17"/>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980" w:type="dxa"/>
            <w:vAlign w:val="bottom"/>
          </w:tcPr>
          <w:p>
            <w:pPr>
              <w:jc w:val="center"/>
              <w:ind w:left="336"/>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3580" w:type="dxa"/>
            <w:vAlign w:val="bottom"/>
            <w:gridSpan w:val="12"/>
          </w:tcPr>
          <w:p>
            <w:pPr>
              <w:spacing w:after="0"/>
              <w:rPr>
                <w:rFonts w:ascii="Arial" w:cs="Arial" w:eastAsia="Arial" w:hAnsi="Arial"/>
                <w:sz w:val="18"/>
                <w:szCs w:val="18"/>
                <w:color w:val="0000FF"/>
              </w:rPr>
            </w:pPr>
            <w:hyperlink r:id="rId15">
              <w:r>
                <w:rPr>
                  <w:rFonts w:ascii="Arial" w:cs="Arial" w:eastAsia="Arial" w:hAnsi="Arial"/>
                  <w:sz w:val="18"/>
                  <w:szCs w:val="18"/>
                  <w:color w:val="0000FF"/>
                </w:rPr>
                <w:t>Amended and Restated Certificate of</w:t>
              </w:r>
            </w:hyperlink>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May 12, 2017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68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Incorporation of the Registrant</w:t>
              </w:r>
            </w:hyperlink>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3580" w:type="dxa"/>
            <w:vAlign w:val="bottom"/>
            <w:gridSpan w:val="12"/>
          </w:tcPr>
          <w:p>
            <w:pPr>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Form of Restated Bylaws of the Registrant</w:t>
              </w:r>
            </w:hyperlink>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3580" w:type="dxa"/>
            <w:vAlign w:val="bottom"/>
            <w:gridSpan w:val="12"/>
          </w:tcPr>
          <w:p>
            <w:pPr>
              <w:spacing w:after="0"/>
              <w:rPr>
                <w:rFonts w:ascii="Arial" w:cs="Arial" w:eastAsia="Arial" w:hAnsi="Arial"/>
                <w:sz w:val="18"/>
                <w:szCs w:val="18"/>
                <w:color w:val="0000FF"/>
              </w:rPr>
            </w:pPr>
            <w:hyperlink r:id="rId17">
              <w:r>
                <w:rPr>
                  <w:rFonts w:ascii="Arial" w:cs="Arial" w:eastAsia="Arial" w:hAnsi="Arial"/>
                  <w:sz w:val="18"/>
                  <w:szCs w:val="18"/>
                  <w:color w:val="0000FF"/>
                </w:rPr>
                <w:t>Form of Registrant’s Common Stock</w:t>
              </w:r>
            </w:hyperlink>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Dec. 23, 2015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7">
              <w:r>
                <w:rPr>
                  <w:rFonts w:ascii="Arial" w:cs="Arial" w:eastAsia="Arial" w:hAnsi="Arial"/>
                  <w:sz w:val="18"/>
                  <w:szCs w:val="18"/>
                  <w:color w:val="0000FF"/>
                </w:rPr>
                <w:t>certificate</w:t>
              </w:r>
            </w:hyperlink>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3580" w:type="dxa"/>
            <w:vAlign w:val="bottom"/>
            <w:gridSpan w:val="12"/>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2017 Equity Incentive Plan and forms of</w:t>
              </w:r>
            </w:hyperlink>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Jan. 17, 2017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18">
              <w:r>
                <w:rPr>
                  <w:rFonts w:ascii="Arial" w:cs="Arial" w:eastAsia="Arial" w:hAnsi="Arial"/>
                  <w:sz w:val="18"/>
                  <w:szCs w:val="18"/>
                  <w:color w:val="0000FF"/>
                  <w:w w:val="87"/>
                </w:rPr>
                <w:t>award agreements</w:t>
              </w:r>
            </w:hyperlink>
          </w:p>
        </w:tc>
        <w:tc>
          <w:tcPr>
            <w:tcW w:w="16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vMerge w:val="restart"/>
          </w:tcPr>
          <w:p>
            <w:pPr>
              <w:spacing w:after="0"/>
              <w:rPr>
                <w:sz w:val="20"/>
                <w:szCs w:val="20"/>
                <w:color w:val="auto"/>
              </w:rPr>
            </w:pPr>
            <w:r>
              <w:rPr>
                <w:rFonts w:ascii="Arial" w:cs="Arial" w:eastAsia="Arial" w:hAnsi="Arial"/>
                <w:sz w:val="18"/>
                <w:szCs w:val="18"/>
                <w:color w:val="auto"/>
              </w:rPr>
              <w:t>4.5</w:t>
            </w:r>
          </w:p>
        </w:tc>
        <w:tc>
          <w:tcPr>
            <w:tcW w:w="3580" w:type="dxa"/>
            <w:vAlign w:val="bottom"/>
            <w:gridSpan w:val="12"/>
          </w:tcPr>
          <w:p>
            <w:pPr>
              <w:spacing w:after="0"/>
              <w:rPr>
                <w:rFonts w:ascii="Arial" w:cs="Arial" w:eastAsia="Arial" w:hAnsi="Arial"/>
                <w:sz w:val="18"/>
                <w:szCs w:val="18"/>
                <w:color w:val="0000FF"/>
              </w:rPr>
            </w:pPr>
            <w:hyperlink r:id="rId19">
              <w:r>
                <w:rPr>
                  <w:rFonts w:ascii="Arial" w:cs="Arial" w:eastAsia="Arial" w:hAnsi="Arial"/>
                  <w:sz w:val="18"/>
                  <w:szCs w:val="18"/>
                  <w:color w:val="0000FF"/>
                </w:rPr>
                <w:t>2017 Employee Stock Purchase Plan and</w:t>
              </w:r>
            </w:hyperlink>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5"/>
              </w:rPr>
              <w:t>S-1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9"/>
              </w:rPr>
              <w:t>333-206849</w:t>
            </w:r>
          </w:p>
        </w:tc>
        <w:tc>
          <w:tcPr>
            <w:tcW w:w="2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10.4</w:t>
            </w:r>
          </w:p>
        </w:tc>
        <w:tc>
          <w:tcPr>
            <w:tcW w:w="24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7"/>
              </w:rPr>
              <w:t>Jan. 17, 2017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9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forms of award agreements</w:t>
              </w:r>
            </w:hyperlink>
          </w:p>
        </w:tc>
        <w:tc>
          <w:tcPr>
            <w:tcW w:w="98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3580" w:type="dxa"/>
            <w:vAlign w:val="bottom"/>
            <w:gridSpan w:val="12"/>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Opinion of Fenwick &amp; West LLP</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jc w:val="center"/>
              <w:ind w:left="336"/>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3580" w:type="dxa"/>
            <w:vAlign w:val="bottom"/>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Consent of Fenwick &amp; West LLP (contained</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jc w:val="center"/>
              <w:ind w:left="336"/>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w:anchor="page6">
              <w:r>
                <w:rPr>
                  <w:rFonts w:ascii="Arial" w:cs="Arial" w:eastAsia="Arial" w:hAnsi="Arial"/>
                  <w:sz w:val="18"/>
                  <w:szCs w:val="18"/>
                  <w:color w:val="0000FF"/>
                  <w:w w:val="95"/>
                </w:rPr>
                <w:t>in Exhibit 5.1)</w:t>
              </w:r>
            </w:hyperlink>
          </w:p>
        </w:tc>
        <w:tc>
          <w:tcPr>
            <w:tcW w:w="2160" w:type="dxa"/>
            <w:vAlign w:val="bottom"/>
            <w:tcBorders>
              <w:top w:val="single" w:sz="8" w:color="0000FF"/>
            </w:tcBorders>
            <w:gridSpan w:val="9"/>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3580" w:type="dxa"/>
            <w:vAlign w:val="bottom"/>
            <w:gridSpan w:val="1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KPMG, independent registered</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jc w:val="center"/>
              <w:ind w:left="336"/>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public accounting firm</w:t>
              </w:r>
            </w:hyperlink>
          </w:p>
        </w:tc>
        <w:tc>
          <w:tcPr>
            <w:tcW w:w="5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164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Power of Attorney</w:t>
              </w:r>
            </w:hyperlink>
          </w:p>
        </w:tc>
        <w:tc>
          <w:tcPr>
            <w:tcW w:w="194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jc w:val="center"/>
              <w:ind w:left="336"/>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1417" w:right="5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25</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February, 2021.</w:t>
      </w:r>
    </w:p>
    <w:p>
      <w:pPr>
        <w:spacing w:after="0" w:line="1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AnaptysBio, Inc.</w:t>
      </w:r>
    </w:p>
    <w:p>
      <w:pPr>
        <w:spacing w:after="0" w:line="3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-10160</wp:posOffset>
            </wp:positionV>
            <wp:extent cx="843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Hamza Suria</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officers and directors of AnaptysBio, Inc., a Delaware corporation,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 and appoint Hamza Suria and Dennis Mulroy,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20" w:type="dxa"/>
            <w:vAlign w:val="bottom"/>
          </w:tcPr>
          <w:p>
            <w:pPr>
              <w:spacing w:after="0"/>
              <w:rPr>
                <w:sz w:val="16"/>
                <w:szCs w:val="16"/>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6"/>
                <w:szCs w:val="16"/>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r>
      <w:tr>
        <w:trPr>
          <w:trHeight w:val="391"/>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Hamza Suria</w:t>
            </w:r>
          </w:p>
        </w:tc>
        <w:tc>
          <w:tcPr>
            <w:tcW w:w="320" w:type="dxa"/>
            <w:vAlign w:val="bottom"/>
          </w:tcPr>
          <w:p>
            <w:pPr>
              <w:spacing w:after="0"/>
              <w:rPr>
                <w:sz w:val="24"/>
                <w:szCs w:val="24"/>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tcPr>
          <w:p>
            <w:pPr>
              <w:spacing w:after="0"/>
              <w:rPr>
                <w:sz w:val="24"/>
                <w:szCs w:val="24"/>
                <w:color w:val="auto"/>
              </w:rPr>
            </w:pPr>
          </w:p>
        </w:tc>
      </w:tr>
      <w:tr>
        <w:trPr>
          <w:trHeight w:val="224"/>
        </w:trPr>
        <w:tc>
          <w:tcPr>
            <w:tcW w:w="3920" w:type="dxa"/>
            <w:vAlign w:val="bottom"/>
          </w:tcPr>
          <w:p>
            <w:pPr>
              <w:jc w:val="center"/>
              <w:spacing w:after="0"/>
              <w:rPr>
                <w:sz w:val="20"/>
                <w:szCs w:val="20"/>
                <w:color w:val="auto"/>
              </w:rPr>
            </w:pPr>
            <w:r>
              <w:rPr>
                <w:rFonts w:ascii="Arial" w:cs="Arial" w:eastAsia="Arial" w:hAnsi="Arial"/>
                <w:sz w:val="18"/>
                <w:szCs w:val="18"/>
                <w:color w:val="auto"/>
                <w:w w:val="90"/>
              </w:rPr>
              <w:t>Hamza Suria</w:t>
            </w:r>
          </w:p>
        </w:tc>
        <w:tc>
          <w:tcPr>
            <w:tcW w:w="320" w:type="dxa"/>
            <w:vAlign w:val="bottom"/>
          </w:tcPr>
          <w:p>
            <w:pPr>
              <w:spacing w:after="0"/>
              <w:rPr>
                <w:sz w:val="19"/>
                <w:szCs w:val="19"/>
                <w:color w:val="auto"/>
              </w:rPr>
            </w:pPr>
          </w:p>
        </w:tc>
        <w:tc>
          <w:tcPr>
            <w:tcW w:w="506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4"/>
              </w:rPr>
              <w:t>(Principal Executive Officer)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418"/>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Dennis Mulroy</w:t>
            </w:r>
          </w:p>
        </w:tc>
        <w:tc>
          <w:tcPr>
            <w:tcW w:w="320" w:type="dxa"/>
            <w:vAlign w:val="bottom"/>
          </w:tcPr>
          <w:p>
            <w:pPr>
              <w:spacing w:after="0"/>
              <w:rPr>
                <w:sz w:val="24"/>
                <w:szCs w:val="24"/>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24"/>
                <w:szCs w:val="24"/>
                <w:color w:val="auto"/>
              </w:rPr>
            </w:pPr>
          </w:p>
        </w:tc>
      </w:tr>
      <w:tr>
        <w:trPr>
          <w:trHeight w:val="224"/>
        </w:trPr>
        <w:tc>
          <w:tcPr>
            <w:tcW w:w="3920" w:type="dxa"/>
            <w:vAlign w:val="bottom"/>
          </w:tcPr>
          <w:p>
            <w:pPr>
              <w:jc w:val="center"/>
              <w:spacing w:after="0"/>
              <w:rPr>
                <w:sz w:val="20"/>
                <w:szCs w:val="20"/>
                <w:color w:val="auto"/>
              </w:rPr>
            </w:pPr>
            <w:r>
              <w:rPr>
                <w:rFonts w:ascii="Arial" w:cs="Arial" w:eastAsia="Arial" w:hAnsi="Arial"/>
                <w:sz w:val="18"/>
                <w:szCs w:val="18"/>
                <w:color w:val="auto"/>
                <w:w w:val="95"/>
              </w:rPr>
              <w:t>Dennis Mulroy</w:t>
            </w:r>
          </w:p>
        </w:tc>
        <w:tc>
          <w:tcPr>
            <w:tcW w:w="320" w:type="dxa"/>
            <w:vAlign w:val="bottom"/>
          </w:tcPr>
          <w:p>
            <w:pPr>
              <w:spacing w:after="0"/>
              <w:rPr>
                <w:sz w:val="19"/>
                <w:szCs w:val="19"/>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418"/>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Dennis Fenton</w:t>
            </w:r>
          </w:p>
        </w:tc>
        <w:tc>
          <w:tcPr>
            <w:tcW w:w="320" w:type="dxa"/>
            <w:vAlign w:val="bottom"/>
          </w:tcPr>
          <w:p>
            <w:pPr>
              <w:spacing w:after="0"/>
              <w:rPr>
                <w:sz w:val="24"/>
                <w:szCs w:val="24"/>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89"/>
              </w:rPr>
              <w:t>Dennis Fenton Ph.D.</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Laura J. Hamill</w:t>
            </w:r>
          </w:p>
        </w:tc>
        <w:tc>
          <w:tcPr>
            <w:tcW w:w="320" w:type="dxa"/>
            <w:vAlign w:val="bottom"/>
          </w:tcPr>
          <w:p>
            <w:pPr>
              <w:spacing w:after="0"/>
              <w:rPr>
                <w:sz w:val="20"/>
                <w:szCs w:val="20"/>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Magda Marquet</w:t>
            </w:r>
          </w:p>
        </w:tc>
        <w:tc>
          <w:tcPr>
            <w:tcW w:w="320" w:type="dxa"/>
            <w:vAlign w:val="bottom"/>
          </w:tcPr>
          <w:p>
            <w:pPr>
              <w:spacing w:after="0"/>
              <w:rPr>
                <w:sz w:val="20"/>
                <w:szCs w:val="20"/>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91"/>
              </w:rPr>
              <w:t>Magda Marquet, Ph.D.</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Hollings Renton</w:t>
            </w:r>
          </w:p>
        </w:tc>
        <w:tc>
          <w:tcPr>
            <w:tcW w:w="320" w:type="dxa"/>
            <w:vAlign w:val="bottom"/>
          </w:tcPr>
          <w:p>
            <w:pPr>
              <w:spacing w:after="0"/>
              <w:rPr>
                <w:sz w:val="20"/>
                <w:szCs w:val="20"/>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92"/>
              </w:rPr>
              <w:t>Hollings Renton</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Schmid</w:t>
            </w:r>
          </w:p>
        </w:tc>
        <w:tc>
          <w:tcPr>
            <w:tcW w:w="320" w:type="dxa"/>
            <w:vAlign w:val="bottom"/>
          </w:tcPr>
          <w:p>
            <w:pPr>
              <w:spacing w:after="0"/>
              <w:rPr>
                <w:sz w:val="20"/>
                <w:szCs w:val="20"/>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90"/>
              </w:rPr>
              <w:t>John Schmid</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N. Topper</w:t>
            </w:r>
          </w:p>
        </w:tc>
        <w:tc>
          <w:tcPr>
            <w:tcW w:w="320" w:type="dxa"/>
            <w:vAlign w:val="bottom"/>
          </w:tcPr>
          <w:p>
            <w:pPr>
              <w:spacing w:after="0"/>
              <w:rPr>
                <w:sz w:val="20"/>
                <w:szCs w:val="20"/>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90"/>
              </w:rPr>
              <w:t>James N. Topper, M.D., Ph.D.</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 Anthony Ware</w:t>
            </w:r>
          </w:p>
        </w:tc>
        <w:tc>
          <w:tcPr>
            <w:tcW w:w="320" w:type="dxa"/>
            <w:vAlign w:val="bottom"/>
          </w:tcPr>
          <w:p>
            <w:pPr>
              <w:spacing w:after="0"/>
              <w:rPr>
                <w:sz w:val="20"/>
                <w:szCs w:val="20"/>
                <w:color w:val="auto"/>
              </w:rPr>
            </w:pP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600"/>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2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ectPr>
          <w:pgSz w:w="11900" w:h="16838" w:orient="portrait"/>
          <w:cols w:equalWidth="0" w:num="1">
            <w:col w:w="11240"/>
          </w:cols>
          <w:pgMar w:left="320" w:top="76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5.01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counsel to AnaptysBio,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have examined the Registration Statement on Form S-8 to be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or about February 25, 2021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an aggregate of 1,367,778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subject to issuance by the Company (a) upon the exercise or settlement of awards (including any stock option, restricted stock, stock bonus, stock appreciation right, restricted stock unit or award of performance shares) granted or to be granted under the 2017 Equity Incentive Plan (the “</w:t>
      </w:r>
      <w:r>
        <w:rPr>
          <w:rFonts w:ascii="Arial" w:cs="Arial" w:eastAsia="Arial" w:hAnsi="Arial"/>
          <w:sz w:val="16"/>
          <w:szCs w:val="16"/>
          <w:b w:val="1"/>
          <w:bCs w:val="1"/>
          <w:i w:val="1"/>
          <w:iCs w:val="1"/>
          <w:color w:val="auto"/>
        </w:rPr>
        <w:t>EIP</w:t>
      </w:r>
      <w:r>
        <w:rPr>
          <w:rFonts w:ascii="Arial" w:cs="Arial" w:eastAsia="Arial" w:hAnsi="Arial"/>
          <w:sz w:val="16"/>
          <w:szCs w:val="16"/>
          <w:color w:val="auto"/>
        </w:rPr>
        <w:t>”) and (b) pursuant to purchase rights granted or to be granted under the Company’s 2017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The plans referred to in clauses (a) through (b) above are collectively referred to in this letter as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At your request we are providing this letter to express our opinion on the matters set forth below in this letter (“</w:t>
      </w:r>
      <w:r>
        <w:rPr>
          <w:rFonts w:ascii="Arial" w:cs="Arial" w:eastAsia="Arial" w:hAnsi="Arial"/>
          <w:sz w:val="16"/>
          <w:szCs w:val="16"/>
          <w:b w:val="1"/>
          <w:bCs w:val="1"/>
          <w:i w:val="1"/>
          <w:iCs w:val="1"/>
          <w:color w:val="auto"/>
        </w:rPr>
        <w:t>our opinion</w:t>
      </w:r>
      <w:r>
        <w:rPr>
          <w:rFonts w:ascii="Arial" w:cs="Arial" w:eastAsia="Arial" w:hAnsi="Arial"/>
          <w:sz w:val="16"/>
          <w:szCs w:val="16"/>
          <w:color w:val="auto"/>
        </w:rPr>
        <w: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our opinion expressed below we have examined originals or copies of the Company’s certificate of incorporation and bylaws, certain corporate proceedings of the Company’s board of directors and stockholders relating to the Registration Statement, the Plans and the Company’s current certificate of incorporation and bylaws, and such other agreements, documents, certificates and statements of the Company, its transfer agent and public or governmental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w:t>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648"/>
        <w:spacing w:after="0" w:line="293" w:lineRule="auto"/>
        <w:rPr>
          <w:sz w:val="20"/>
          <w:szCs w:val="20"/>
          <w:color w:val="auto"/>
        </w:rPr>
      </w:pPr>
      <w:r>
        <w:rPr>
          <w:rFonts w:ascii="Arial" w:cs="Arial" w:eastAsia="Arial" w:hAnsi="Arial"/>
          <w:sz w:val="16"/>
          <w:szCs w:val="16"/>
          <w:color w:val="auto"/>
        </w:rPr>
        <w:t>Based upon, and subject to, the foregoing, it is our opinion that when the 1,367,778 Shares of Common Stock that may be issued and sold by the Company (a) upon the exercise or settlement of awards (including any stock option, restricted stock, stock bonus, stock appreciation right, restricted stock unit or award of performance shares) granted or to be granted under the EIP and (b) pursuant to purchase rights granted or to be granted under the ESPP, have been issued and sold by the Company against the Company’s receipt of payment therefor (in an amount and type of consideration not less than the par value per Share) in accordance with the terms (including payment provisions) of the applicable Plan and have been duly registered on the books of the transfer agent and registrar for the Shares in the name or on behalf of the holders thereof, such Shares will be validly issued, fully paid and non-assessable.</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Fenwick &amp; West LLP</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240"/>
          </w:cols>
          <w:pgMar w:left="320" w:top="14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with respect to the consolidated financial statements incorporated by reference herein.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5" Type="http://schemas.openxmlformats.org/officeDocument/2006/relationships/hyperlink" Target="http://www.sec.gov/Archives/edgar/data/1370053/000137005317000005/anab-033117x10qxexx31.htm" TargetMode="External"/><Relationship Id="rId16" Type="http://schemas.openxmlformats.org/officeDocument/2006/relationships/hyperlink" Target="http://www.sec.gov/Archives/edgar/data/1370053/000119312515315918/d942137dex34.htm" TargetMode="External"/><Relationship Id="rId17" Type="http://schemas.openxmlformats.org/officeDocument/2006/relationships/hyperlink" Target="http://www.sec.gov/Archives/edgar/data/1370053/000119312515412604/d942137dex41.htm" TargetMode="External"/><Relationship Id="rId18" Type="http://schemas.openxmlformats.org/officeDocument/2006/relationships/hyperlink" Target="http://www.sec.gov/Archives/edgar/data/1370053/000119312517010405/d320192dex103.htm" TargetMode="External"/><Relationship Id="rId19"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2021-02-25T15:46:43Z</dcterms:created>
  <dcterms:modified xsi:type="dcterms:W3CDTF">2021-02-25T15:46:43Z</dcterms:modified>
</cp:coreProperties>
</file>