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4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w:t>
      </w:r>
    </w:p>
    <w:p>
      <w:pPr>
        <w:spacing w:after="0" w:line="63" w:lineRule="exact"/>
        <w:rPr>
          <w:sz w:val="24"/>
          <w:szCs w:val="24"/>
          <w:color w:val="auto"/>
        </w:rPr>
      </w:pPr>
    </w:p>
    <w:p>
      <w:pPr>
        <w:ind w:left="860" w:hanging="804"/>
        <w:spacing w:after="0"/>
        <w:tabs>
          <w:tab w:leader="none" w:pos="8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8" w:lineRule="exact"/>
        <w:rPr>
          <w:sz w:val="24"/>
          <w:szCs w:val="24"/>
          <w:color w:val="auto"/>
        </w:rPr>
      </w:pPr>
    </w:p>
    <w:p>
      <w:pPr>
        <w:ind w:left="860" w:hanging="804"/>
        <w:spacing w:after="0"/>
        <w:tabs>
          <w:tab w:leader="none" w:pos="8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5" w:lineRule="exact"/>
        <w:rPr>
          <w:sz w:val="24"/>
          <w:szCs w:val="24"/>
          <w:color w:val="auto"/>
        </w:rPr>
      </w:pPr>
    </w:p>
    <w:p>
      <w:pPr>
        <w:ind w:left="3620"/>
        <w:spacing w:after="0"/>
        <w:tabs>
          <w:tab w:leader="none" w:pos="66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3984625</wp:posOffset>
            </wp:positionH>
            <wp:positionV relativeFrom="paragraph">
              <wp:posOffset>0</wp:posOffset>
            </wp:positionV>
            <wp:extent cx="22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Commission File Number: 001-37985</w:t>
            </w:r>
          </w:p>
        </w:tc>
        <w:tc>
          <w:tcPr>
            <w:tcW w:w="3580" w:type="dxa"/>
            <w:vAlign w:val="bottom"/>
          </w:tcPr>
          <w:p>
            <w:pPr>
              <w:spacing w:after="0"/>
              <w:rPr>
                <w:sz w:val="16"/>
                <w:szCs w:val="16"/>
                <w:color w:val="auto"/>
              </w:rPr>
            </w:pPr>
          </w:p>
        </w:tc>
      </w:tr>
      <w:tr>
        <w:trPr>
          <w:trHeight w:val="239"/>
        </w:trPr>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8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w:t>
            </w:r>
          </w:p>
        </w:tc>
        <w:tc>
          <w:tcPr>
            <w:tcW w:w="3580" w:type="dxa"/>
            <w:vAlign w:val="bottom"/>
          </w:tcPr>
          <w:p>
            <w:pPr>
              <w:spacing w:after="0"/>
              <w:rPr>
                <w:sz w:val="20"/>
                <w:szCs w:val="20"/>
                <w:color w:val="auto"/>
              </w:rPr>
            </w:pPr>
          </w:p>
        </w:tc>
      </w:tr>
      <w:tr>
        <w:trPr>
          <w:trHeight w:val="353"/>
        </w:trPr>
        <w:tc>
          <w:tcPr>
            <w:tcW w:w="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gridSpan w:val="3"/>
          </w:tcPr>
          <w:p>
            <w:pPr>
              <w:jc w:val="center"/>
              <w:ind w:right="540"/>
              <w:spacing w:after="0"/>
              <w:rPr>
                <w:sz w:val="20"/>
                <w:szCs w:val="20"/>
                <w:color w:val="auto"/>
              </w:rPr>
            </w:pPr>
            <w:r>
              <w:rPr>
                <w:rFonts w:ascii="Times New Roman" w:cs="Times New Roman" w:eastAsia="Times New Roman" w:hAnsi="Times New Roman"/>
                <w:sz w:val="25"/>
                <w:szCs w:val="25"/>
                <w:b w:val="1"/>
                <w:bCs w:val="1"/>
                <w:color w:val="auto"/>
              </w:rPr>
              <w:t>ANAPTYSBIO, INC.</w:t>
            </w:r>
          </w:p>
        </w:tc>
        <w:tc>
          <w:tcPr>
            <w:tcW w:w="3580" w:type="dxa"/>
            <w:vAlign w:val="bottom"/>
          </w:tcPr>
          <w:p>
            <w:pPr>
              <w:spacing w:after="0"/>
              <w:rPr>
                <w:sz w:val="24"/>
                <w:szCs w:val="24"/>
                <w:color w:val="auto"/>
              </w:rPr>
            </w:pPr>
          </w:p>
        </w:tc>
      </w:tr>
      <w:tr>
        <w:trPr>
          <w:trHeight w:val="190"/>
        </w:trPr>
        <w:tc>
          <w:tcPr>
            <w:tcW w:w="1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8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580" w:type="dxa"/>
            <w:vAlign w:val="bottom"/>
          </w:tcPr>
          <w:p>
            <w:pPr>
              <w:spacing w:after="0"/>
              <w:rPr>
                <w:sz w:val="16"/>
                <w:szCs w:val="16"/>
                <w:color w:val="auto"/>
              </w:rPr>
            </w:pPr>
          </w:p>
        </w:tc>
      </w:tr>
      <w:tr>
        <w:trPr>
          <w:trHeight w:val="253"/>
        </w:trPr>
        <w:tc>
          <w:tcPr>
            <w:tcW w:w="1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8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w:t>
            </w:r>
          </w:p>
        </w:tc>
        <w:tc>
          <w:tcPr>
            <w:tcW w:w="3580" w:type="dxa"/>
            <w:vAlign w:val="bottom"/>
          </w:tcPr>
          <w:p>
            <w:pPr>
              <w:spacing w:after="0"/>
              <w:rPr>
                <w:sz w:val="22"/>
                <w:szCs w:val="22"/>
                <w:color w:val="auto"/>
              </w:rPr>
            </w:pPr>
          </w:p>
        </w:tc>
      </w:tr>
      <w:tr>
        <w:trPr>
          <w:trHeight w:val="273"/>
        </w:trPr>
        <w:tc>
          <w:tcPr>
            <w:tcW w:w="140" w:type="dxa"/>
            <w:vAlign w:val="bottom"/>
          </w:tcPr>
          <w:p>
            <w:pPr>
              <w:spacing w:after="0"/>
              <w:rPr>
                <w:sz w:val="23"/>
                <w:szCs w:val="23"/>
                <w:color w:val="auto"/>
              </w:rPr>
            </w:pPr>
          </w:p>
        </w:tc>
        <w:tc>
          <w:tcPr>
            <w:tcW w:w="3580" w:type="dxa"/>
            <w:vAlign w:val="bottom"/>
          </w:tcPr>
          <w:p>
            <w:pPr>
              <w:jc w:val="center"/>
              <w:ind w:left="149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580" w:type="dxa"/>
            <w:vAlign w:val="bottom"/>
          </w:tcPr>
          <w:p>
            <w:pPr>
              <w:jc w:val="center"/>
              <w:ind w:right="1612"/>
              <w:spacing w:after="0"/>
              <w:rPr>
                <w:sz w:val="20"/>
                <w:szCs w:val="20"/>
                <w:color w:val="auto"/>
              </w:rPr>
            </w:pPr>
            <w:r>
              <w:rPr>
                <w:rFonts w:ascii="Times New Roman" w:cs="Times New Roman" w:eastAsia="Times New Roman" w:hAnsi="Times New Roman"/>
                <w:sz w:val="14"/>
                <w:szCs w:val="14"/>
                <w:b w:val="1"/>
                <w:bCs w:val="1"/>
                <w:color w:val="auto"/>
              </w:rPr>
              <w:t>20-3828755</w:t>
            </w:r>
          </w:p>
        </w:tc>
      </w:tr>
      <w:tr>
        <w:trPr>
          <w:trHeight w:val="165"/>
        </w:trPr>
        <w:tc>
          <w:tcPr>
            <w:tcW w:w="140" w:type="dxa"/>
            <w:vAlign w:val="bottom"/>
          </w:tcPr>
          <w:p>
            <w:pPr>
              <w:spacing w:after="0"/>
              <w:rPr>
                <w:sz w:val="14"/>
                <w:szCs w:val="14"/>
                <w:color w:val="auto"/>
              </w:rPr>
            </w:pPr>
          </w:p>
        </w:tc>
        <w:tc>
          <w:tcPr>
            <w:tcW w:w="3580" w:type="dxa"/>
            <w:vAlign w:val="bottom"/>
          </w:tcPr>
          <w:p>
            <w:pPr>
              <w:jc w:val="center"/>
              <w:ind w:left="1492"/>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80" w:type="dxa"/>
            <w:vAlign w:val="bottom"/>
          </w:tcPr>
          <w:p>
            <w:pPr>
              <w:jc w:val="center"/>
              <w:ind w:right="1612"/>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140" w:type="dxa"/>
            <w:vAlign w:val="bottom"/>
          </w:tcPr>
          <w:p>
            <w:pPr>
              <w:spacing w:after="0"/>
              <w:rPr>
                <w:sz w:val="14"/>
                <w:szCs w:val="14"/>
                <w:color w:val="auto"/>
              </w:rPr>
            </w:pPr>
          </w:p>
        </w:tc>
        <w:tc>
          <w:tcPr>
            <w:tcW w:w="3580" w:type="dxa"/>
            <w:vAlign w:val="bottom"/>
          </w:tcPr>
          <w:p>
            <w:pPr>
              <w:jc w:val="center"/>
              <w:ind w:left="1512"/>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80" w:type="dxa"/>
            <w:vAlign w:val="bottom"/>
          </w:tcPr>
          <w:p>
            <w:pPr>
              <w:jc w:val="center"/>
              <w:ind w:right="1612"/>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r>
        <w:trPr>
          <w:trHeight w:val="257"/>
        </w:trPr>
        <w:tc>
          <w:tcPr>
            <w:tcW w:w="1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10770 Wateridge Circle, Suite 210</w:t>
            </w:r>
          </w:p>
        </w:tc>
        <w:tc>
          <w:tcPr>
            <w:tcW w:w="3580" w:type="dxa"/>
            <w:vAlign w:val="bottom"/>
          </w:tcPr>
          <w:p>
            <w:pPr>
              <w:spacing w:after="0"/>
              <w:rPr>
                <w:sz w:val="22"/>
                <w:szCs w:val="22"/>
                <w:color w:val="auto"/>
              </w:rPr>
            </w:pPr>
          </w:p>
        </w:tc>
      </w:tr>
      <w:tr>
        <w:trPr>
          <w:trHeight w:val="171"/>
        </w:trPr>
        <w:tc>
          <w:tcPr>
            <w:tcW w:w="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7"/>
              </w:rPr>
              <w:t>San Diego, CA 92121</w:t>
            </w:r>
          </w:p>
        </w:tc>
        <w:tc>
          <w:tcPr>
            <w:tcW w:w="358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4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and zip code)</w:t>
            </w:r>
          </w:p>
        </w:tc>
        <w:tc>
          <w:tcPr>
            <w:tcW w:w="3580" w:type="dxa"/>
            <w:vAlign w:val="bottom"/>
          </w:tcPr>
          <w:p>
            <w:pPr>
              <w:spacing w:after="0"/>
              <w:rPr>
                <w:sz w:val="14"/>
                <w:szCs w:val="14"/>
                <w:color w:val="auto"/>
              </w:rPr>
            </w:pPr>
          </w:p>
        </w:tc>
      </w:tr>
      <w:tr>
        <w:trPr>
          <w:trHeight w:val="249"/>
        </w:trPr>
        <w:tc>
          <w:tcPr>
            <w:tcW w:w="1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40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(858) 362-6295</w:t>
            </w:r>
          </w:p>
        </w:tc>
        <w:tc>
          <w:tcPr>
            <w:tcW w:w="46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183"/>
        </w:trPr>
        <w:tc>
          <w:tcPr>
            <w:tcW w:w="1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4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3580" w:type="dxa"/>
            <w:vAlign w:val="bottom"/>
          </w:tcPr>
          <w:p>
            <w:pPr>
              <w:spacing w:after="0"/>
              <w:rPr>
                <w:sz w:val="15"/>
                <w:szCs w:val="15"/>
                <w:color w:val="auto"/>
              </w:rPr>
            </w:pPr>
          </w:p>
        </w:tc>
      </w:tr>
      <w:tr>
        <w:trPr>
          <w:trHeight w:val="246"/>
        </w:trPr>
        <w:tc>
          <w:tcPr>
            <w:tcW w:w="14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8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w:t>
            </w:r>
          </w:p>
        </w:tc>
        <w:tc>
          <w:tcPr>
            <w:tcW w:w="3580" w:type="dxa"/>
            <w:vAlign w:val="bottom"/>
          </w:tcPr>
          <w:p>
            <w:pPr>
              <w:spacing w:after="0"/>
              <w:rPr>
                <w:sz w:val="21"/>
                <w:szCs w:val="21"/>
                <w:color w:val="auto"/>
              </w:rPr>
            </w:pPr>
          </w:p>
        </w:tc>
      </w:tr>
      <w:tr>
        <w:trPr>
          <w:trHeight w:val="233"/>
        </w:trPr>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8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80" w:type="dxa"/>
            <w:vAlign w:val="bottom"/>
          </w:tcPr>
          <w:p>
            <w:pPr>
              <w:spacing w:after="0"/>
              <w:rPr>
                <w:sz w:val="20"/>
                <w:szCs w:val="20"/>
                <w:color w:val="auto"/>
              </w:rPr>
            </w:pPr>
          </w:p>
        </w:tc>
      </w:tr>
      <w:tr>
        <w:trPr>
          <w:trHeight w:val="47"/>
        </w:trPr>
        <w:tc>
          <w:tcPr>
            <w:tcW w:w="140" w:type="dxa"/>
            <w:vAlign w:val="bottom"/>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r>
      <w:tr>
        <w:trPr>
          <w:trHeight w:val="203"/>
        </w:trPr>
        <w:tc>
          <w:tcPr>
            <w:tcW w:w="140" w:type="dxa"/>
            <w:vAlign w:val="bottom"/>
            <w:tcBorders>
              <w:right w:val="single" w:sz="8" w:color="auto"/>
            </w:tcBorders>
          </w:tcPr>
          <w:p>
            <w:pPr>
              <w:spacing w:after="0"/>
              <w:rPr>
                <w:sz w:val="17"/>
                <w:szCs w:val="17"/>
                <w:color w:val="auto"/>
              </w:rPr>
            </w:pPr>
          </w:p>
        </w:tc>
        <w:tc>
          <w:tcPr>
            <w:tcW w:w="3580" w:type="dxa"/>
            <w:vAlign w:val="bottom"/>
          </w:tcPr>
          <w:p>
            <w:pPr>
              <w:jc w:val="center"/>
              <w:ind w:left="312"/>
              <w:spacing w:after="0"/>
              <w:rPr>
                <w:sz w:val="20"/>
                <w:szCs w:val="20"/>
                <w:color w:val="auto"/>
              </w:rPr>
            </w:pPr>
            <w:r>
              <w:rPr>
                <w:rFonts w:ascii="Times New Roman" w:cs="Times New Roman" w:eastAsia="Times New Roman" w:hAnsi="Times New Roman"/>
                <w:sz w:val="14"/>
                <w:szCs w:val="14"/>
                <w:color w:val="auto"/>
              </w:rPr>
              <w:t>Title of each class</w:t>
            </w:r>
          </w:p>
        </w:tc>
        <w:tc>
          <w:tcPr>
            <w:tcW w:w="42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Trading Symbol(s)</w:t>
            </w:r>
          </w:p>
        </w:tc>
        <w:tc>
          <w:tcPr>
            <w:tcW w:w="460" w:type="dxa"/>
            <w:vAlign w:val="bottom"/>
          </w:tcPr>
          <w:p>
            <w:pPr>
              <w:spacing w:after="0"/>
              <w:rPr>
                <w:sz w:val="17"/>
                <w:szCs w:val="17"/>
                <w:color w:val="auto"/>
              </w:rPr>
            </w:pPr>
          </w:p>
        </w:tc>
        <w:tc>
          <w:tcPr>
            <w:tcW w:w="3580" w:type="dxa"/>
            <w:vAlign w:val="bottom"/>
            <w:tcBorders>
              <w:right w:val="single" w:sz="8" w:color="auto"/>
            </w:tcBorders>
          </w:tcPr>
          <w:p>
            <w:pPr>
              <w:jc w:val="center"/>
              <w:ind w:right="492"/>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3580" w:type="dxa"/>
            <w:vAlign w:val="bottom"/>
          </w:tcPr>
          <w:p>
            <w:pPr>
              <w:jc w:val="center"/>
              <w:ind w:left="312"/>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420" w:type="dxa"/>
            <w:vAlign w:val="bottom"/>
            <w:tcBorders>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940" w:type="dxa"/>
            <w:vAlign w:val="bottom"/>
            <w:tcBorders>
              <w:right w:val="single" w:sz="8" w:color="auto"/>
            </w:tcBorders>
          </w:tcPr>
          <w:p>
            <w:pPr>
              <w:jc w:val="center"/>
              <w:ind w:right="1080"/>
              <w:spacing w:after="0"/>
              <w:rPr>
                <w:sz w:val="20"/>
                <w:szCs w:val="20"/>
                <w:color w:val="auto"/>
              </w:rPr>
            </w:pPr>
            <w:r>
              <w:rPr>
                <w:rFonts w:ascii="Times New Roman" w:cs="Times New Roman" w:eastAsia="Times New Roman" w:hAnsi="Times New Roman"/>
                <w:sz w:val="14"/>
                <w:szCs w:val="14"/>
                <w:color w:val="auto"/>
              </w:rPr>
              <w:t>ANAB</w:t>
            </w:r>
          </w:p>
        </w:tc>
        <w:tc>
          <w:tcPr>
            <w:tcW w:w="460" w:type="dxa"/>
            <w:vAlign w:val="bottom"/>
          </w:tcPr>
          <w:p>
            <w:pPr>
              <w:spacing w:after="0"/>
              <w:rPr>
                <w:sz w:val="18"/>
                <w:szCs w:val="18"/>
                <w:color w:val="auto"/>
              </w:rPr>
            </w:pPr>
          </w:p>
        </w:tc>
        <w:tc>
          <w:tcPr>
            <w:tcW w:w="3580" w:type="dxa"/>
            <w:vAlign w:val="bottom"/>
            <w:tcBorders>
              <w:right w:val="single" w:sz="8" w:color="auto"/>
            </w:tcBorders>
          </w:tcPr>
          <w:p>
            <w:pPr>
              <w:jc w:val="center"/>
              <w:ind w:right="492"/>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3"/>
        </w:trPr>
        <w:tc>
          <w:tcPr>
            <w:tcW w:w="140" w:type="dxa"/>
            <w:vAlign w:val="bottom"/>
            <w:tcBorders>
              <w:right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r>
      <w:tr>
        <w:trPr>
          <w:trHeight w:val="174"/>
        </w:trPr>
        <w:tc>
          <w:tcPr>
            <w:tcW w:w="3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Securities registered pursuant to Section 12(g) of the Act: </w:t>
            </w:r>
            <w:r>
              <w:rPr>
                <w:rFonts w:ascii="Times New Roman" w:cs="Times New Roman" w:eastAsia="Times New Roman" w:hAnsi="Times New Roman"/>
                <w:sz w:val="11"/>
                <w:szCs w:val="11"/>
                <w:b w:val="1"/>
                <w:bCs w:val="1"/>
                <w:color w:val="auto"/>
              </w:rPr>
              <w:t>None</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00"/>
        </w:trPr>
        <w:tc>
          <w:tcPr>
            <w:tcW w:w="5180" w:type="dxa"/>
            <w:vAlign w:val="bottom"/>
            <w:gridSpan w:val="4"/>
          </w:tcPr>
          <w:p>
            <w:pPr>
              <w:spacing w:after="0"/>
              <w:rPr>
                <w:sz w:val="20"/>
                <w:szCs w:val="20"/>
                <w:color w:val="auto"/>
              </w:rPr>
            </w:pPr>
            <w:r>
              <w:rPr>
                <w:rFonts w:ascii="Times New Roman" w:cs="Times New Roman" w:eastAsia="Times New Roman" w:hAnsi="Times New Roman"/>
                <w:sz w:val="11"/>
                <w:szCs w:val="11"/>
                <w:color w:val="auto"/>
                <w:w w:val="99"/>
              </w:rPr>
              <w:t>Indicate by check mark if the registrant is a well-known seasoned issuer, as defined in Rule 405 of the Securities Act.</w:t>
            </w:r>
          </w:p>
        </w:tc>
        <w:tc>
          <w:tcPr>
            <w:tcW w:w="240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tc>
        <w:tc>
          <w:tcPr>
            <w:tcW w:w="3580" w:type="dxa"/>
            <w:vAlign w:val="bottom"/>
          </w:tcPr>
          <w:p>
            <w:pPr>
              <w:spacing w:after="0"/>
              <w:rPr>
                <w:sz w:val="17"/>
                <w:szCs w:val="17"/>
                <w:color w:val="auto"/>
              </w:rPr>
            </w:pPr>
          </w:p>
        </w:tc>
      </w:tr>
      <w:tr>
        <w:trPr>
          <w:trHeight w:val="180"/>
        </w:trPr>
        <w:tc>
          <w:tcPr>
            <w:tcW w:w="5180" w:type="dxa"/>
            <w:vAlign w:val="bottom"/>
            <w:gridSpan w:val="4"/>
          </w:tcPr>
          <w:p>
            <w:pPr>
              <w:spacing w:after="0"/>
              <w:rPr>
                <w:sz w:val="20"/>
                <w:szCs w:val="20"/>
                <w:color w:val="auto"/>
              </w:rPr>
            </w:pPr>
            <w:r>
              <w:rPr>
                <w:rFonts w:ascii="Times New Roman" w:cs="Times New Roman" w:eastAsia="Times New Roman" w:hAnsi="Times New Roman"/>
                <w:sz w:val="11"/>
                <w:szCs w:val="11"/>
                <w:color w:val="auto"/>
                <w:w w:val="98"/>
              </w:rPr>
              <w:t>Indicate by check mark if the registrant is not required to file reports pursuant to Section 13 or Section 15(d) of the Act.</w:t>
            </w:r>
          </w:p>
        </w:tc>
        <w:tc>
          <w:tcPr>
            <w:tcW w:w="2400" w:type="dxa"/>
            <w:vAlign w:val="bottom"/>
            <w:gridSpan w:val="2"/>
          </w:tcPr>
          <w:p>
            <w:pPr>
              <w:jc w:val="center"/>
              <w:ind w:right="148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tc>
        <w:tc>
          <w:tcPr>
            <w:tcW w:w="3580" w:type="dxa"/>
            <w:vAlign w:val="bottom"/>
          </w:tcPr>
          <w:p>
            <w:pPr>
              <w:spacing w:after="0"/>
              <w:rPr>
                <w:sz w:val="15"/>
                <w:szCs w:val="15"/>
                <w:color w:val="auto"/>
              </w:rPr>
            </w:pPr>
          </w:p>
        </w:tc>
      </w:tr>
    </w:tbl>
    <w:p>
      <w:pPr>
        <w:spacing w:after="0" w:line="33" w:lineRule="exact"/>
        <w:rPr>
          <w:sz w:val="24"/>
          <w:szCs w:val="24"/>
          <w:color w:val="auto"/>
        </w:rPr>
      </w:pPr>
    </w:p>
    <w:p>
      <w:pPr>
        <w:jc w:val="both"/>
        <w:ind w:right="200"/>
        <w:spacing w:after="0" w:line="15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33" w:lineRule="exact"/>
        <w:rPr>
          <w:sz w:val="24"/>
          <w:szCs w:val="24"/>
          <w:color w:val="auto"/>
        </w:rPr>
      </w:pPr>
    </w:p>
    <w:p>
      <w:pPr>
        <w:ind w:right="120"/>
        <w:spacing w:after="0" w:line="15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9" w:lineRule="exact"/>
        <w:rPr>
          <w:sz w:val="24"/>
          <w:szCs w:val="24"/>
          <w:color w:val="auto"/>
        </w:rPr>
      </w:pPr>
    </w:p>
    <w:p>
      <w:pPr>
        <w:ind w:right="160"/>
        <w:spacing w:after="0" w:line="30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60" w:type="dxa"/>
        <w:tblCellMar>
          <w:top w:w="0" w:type="dxa"/>
          <w:left w:w="0" w:type="dxa"/>
          <w:bottom w:w="0" w:type="dxa"/>
          <w:right w:w="0" w:type="dxa"/>
        </w:tblCellMar>
      </w:tblPr>
      <w:tr>
        <w:trPr>
          <w:trHeight w:val="196"/>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440" w:type="dxa"/>
            <w:vAlign w:val="bottom"/>
          </w:tcPr>
          <w:p>
            <w:pPr>
              <w:ind w:left="780"/>
              <w:spacing w:after="0" w:line="121" w:lineRule="exact"/>
              <w:rPr>
                <w:sz w:val="20"/>
                <w:szCs w:val="20"/>
                <w:color w:val="auto"/>
              </w:rPr>
            </w:pPr>
            <w:r>
              <w:rPr>
                <w:rFonts w:ascii="MS PGothic" w:cs="MS PGothic" w:eastAsia="MS PGothic" w:hAnsi="MS PGothic"/>
                <w:sz w:val="12"/>
                <w:szCs w:val="12"/>
                <w:color w:val="auto"/>
              </w:rPr>
              <w:t>☐</w:t>
            </w:r>
          </w:p>
        </w:tc>
        <w:tc>
          <w:tcPr>
            <w:tcW w:w="460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Accelerated Filer</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24"/>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440" w:type="dxa"/>
            <w:vAlign w:val="bottom"/>
          </w:tcPr>
          <w:p>
            <w:pPr>
              <w:ind w:left="780"/>
              <w:spacing w:after="0" w:line="121" w:lineRule="exact"/>
              <w:rPr>
                <w:sz w:val="20"/>
                <w:szCs w:val="20"/>
                <w:color w:val="auto"/>
              </w:rPr>
            </w:pPr>
            <w:r>
              <w:rPr>
                <w:rFonts w:ascii="MS PGothic" w:cs="MS PGothic" w:eastAsia="MS PGothic" w:hAnsi="MS PGothic"/>
                <w:sz w:val="12"/>
                <w:szCs w:val="12"/>
                <w:color w:val="auto"/>
              </w:rPr>
              <w:t>☒</w:t>
            </w:r>
          </w:p>
        </w:tc>
        <w:tc>
          <w:tcPr>
            <w:tcW w:w="460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24"/>
        </w:trPr>
        <w:tc>
          <w:tcPr>
            <w:tcW w:w="19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60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Emerging Growth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bl>
    <w:p>
      <w:pPr>
        <w:ind w:right="140"/>
        <w:spacing w:after="0" w:line="162"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33" w:lineRule="exact"/>
        <w:rPr>
          <w:sz w:val="24"/>
          <w:szCs w:val="24"/>
          <w:color w:val="auto"/>
        </w:rPr>
      </w:pPr>
    </w:p>
    <w:p>
      <w:pPr>
        <w:spacing w:after="0" w:line="16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7" w:lineRule="exact"/>
        <w:rPr>
          <w:sz w:val="24"/>
          <w:szCs w:val="24"/>
          <w:color w:val="auto"/>
        </w:rPr>
      </w:pPr>
    </w:p>
    <w:p>
      <w:pPr>
        <w:jc w:val="both"/>
        <w:ind w:right="220"/>
        <w:spacing w:after="0" w:line="183"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7" w:lineRule="exact"/>
        <w:rPr>
          <w:sz w:val="24"/>
          <w:szCs w:val="24"/>
          <w:color w:val="auto"/>
        </w:rPr>
      </w:pPr>
    </w:p>
    <w:p>
      <w:pPr>
        <w:spacing w:after="0" w:line="138" w:lineRule="exact"/>
        <w:tabs>
          <w:tab w:leader="none" w:pos="5420" w:val="left"/>
          <w:tab w:leader="none" w:pos="588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The aggregate market value of voting common equity held by non-affiliates of the registrant was $432,512,876 as of June 30, 2025.</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The number of shares of registrant’s common stock outstanding was 28,748,255 as of February 27, 2026.</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33" w:lineRule="exact"/>
        <w:rPr>
          <w:sz w:val="24"/>
          <w:szCs w:val="24"/>
          <w:color w:val="auto"/>
        </w:rPr>
      </w:pPr>
    </w:p>
    <w:p>
      <w:pPr>
        <w:ind w:right="20"/>
        <w:spacing w:after="0" w:line="362" w:lineRule="auto"/>
        <w:rPr>
          <w:sz w:val="20"/>
          <w:szCs w:val="20"/>
          <w:color w:val="auto"/>
        </w:rPr>
      </w:pPr>
      <w:r>
        <w:rPr>
          <w:rFonts w:ascii="Times New Roman" w:cs="Times New Roman" w:eastAsia="Times New Roman" w:hAnsi="Times New Roman"/>
          <w:sz w:val="10"/>
          <w:szCs w:val="10"/>
          <w:color w:val="auto"/>
        </w:rPr>
        <w:t>Portions of the registrant’s Definitive Proxy Statement relating to the 2026 Annual Meeting of Stockholders are incorporated by reference into Part III of this Annual Report on Form 10-K to the extent stated herein. The Definitive Proxy Statement will be filed within 120 days of the Registrant’s fiscal year ended December 31, 2025. Except with respect to information specifically incorporated by reference in this Form 10-K, the Definitive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85"/>
        </w:trPr>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8"/>
        </w:trPr>
        <w:tc>
          <w:tcPr>
            <w:tcW w:w="15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1"/>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Business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1A.</w:t>
            </w: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1B.</w:t>
            </w: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540" w:type="dxa"/>
            <w:vAlign w:val="bottom"/>
            <w:gridSpan w:val="12"/>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580" w:type="dxa"/>
            <w:vAlign w:val="bottom"/>
            <w:gridSpan w:val="19"/>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21"/>
                <w:szCs w:val="21"/>
                <w:color w:val="auto"/>
              </w:rPr>
            </w:pPr>
          </w:p>
        </w:tc>
        <w:tc>
          <w:tcPr>
            <w:tcW w:w="7220" w:type="dxa"/>
            <w:vAlign w:val="bottom"/>
            <w:gridSpan w:val="16"/>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r>
      <w:tr>
        <w:trPr>
          <w:trHeight w:val="561"/>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6.</w:t>
            </w: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Reserved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7.</w:t>
            </w: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3"/>
          </w:tcPr>
          <w:p>
            <w:pPr>
              <w:spacing w:after="0"/>
              <w:rPr>
                <w:sz w:val="21"/>
                <w:szCs w:val="21"/>
                <w:color w:val="auto"/>
              </w:rPr>
            </w:pPr>
          </w:p>
        </w:tc>
        <w:tc>
          <w:tcPr>
            <w:tcW w:w="2120" w:type="dxa"/>
            <w:vAlign w:val="bottom"/>
            <w:gridSpan w:val="4"/>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8.</w:t>
            </w: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Consolidated Financial Statements and Supplementary Data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060" w:type="dxa"/>
            <w:vAlign w:val="bottom"/>
            <w:gridSpan w:val="3"/>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9A.</w:t>
            </w: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top w:val="single" w:sz="8" w:color="0000FF"/>
              <w:bottom w:val="single" w:sz="8" w:color="0000EE"/>
            </w:tcBorders>
          </w:tcPr>
          <w:p>
            <w:pPr>
              <w:spacing w:after="0"/>
              <w:rPr>
                <w:sz w:val="21"/>
                <w:szCs w:val="21"/>
                <w:color w:val="auto"/>
              </w:rPr>
            </w:pPr>
          </w:p>
        </w:tc>
        <w:tc>
          <w:tcPr>
            <w:tcW w:w="420" w:type="dxa"/>
            <w:vAlign w:val="bottom"/>
            <w:tcBorders>
              <w:top w:val="single" w:sz="8" w:color="0000FF"/>
            </w:tcBorders>
            <w:gridSpan w:val="3"/>
          </w:tcPr>
          <w:p>
            <w:pPr>
              <w:spacing w:after="0"/>
              <w:rPr>
                <w:sz w:val="21"/>
                <w:szCs w:val="21"/>
                <w:color w:val="auto"/>
              </w:rPr>
            </w:pPr>
          </w:p>
        </w:tc>
        <w:tc>
          <w:tcPr>
            <w:tcW w:w="6820" w:type="dxa"/>
            <w:vAlign w:val="bottom"/>
            <w:gridSpan w:val="14"/>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9C.</w:t>
            </w: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r>
      <w:tr>
        <w:trPr>
          <w:trHeight w:val="56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480" w:type="dxa"/>
            <w:vAlign w:val="bottom"/>
            <w:gridSpan w:val="9"/>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11.</w:t>
            </w: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280" w:type="dxa"/>
            <w:vAlign w:val="bottom"/>
            <w:gridSpan w:val="2"/>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120" w:type="dxa"/>
            <w:vAlign w:val="bottom"/>
            <w:gridSpan w:val="5"/>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14.</w:t>
            </w: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r>
      <w:tr>
        <w:trPr>
          <w:trHeight w:val="56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15.</w:t>
            </w:r>
          </w:p>
        </w:tc>
        <w:tc>
          <w:tcPr>
            <w:tcW w:w="39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Exhibits, Consolidated Financial Statement Schedules</w:t>
            </w:r>
          </w:p>
        </w:tc>
        <w:tc>
          <w:tcPr>
            <w:tcW w:w="4680" w:type="dxa"/>
            <w:vAlign w:val="bottom"/>
            <w:gridSpan w:val="10"/>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r>
      <w:tr>
        <w:trPr>
          <w:trHeight w:val="250"/>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16.</w:t>
            </w:r>
          </w:p>
        </w:tc>
        <w:tc>
          <w:tcPr>
            <w:tcW w:w="8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r>
      <w:tr>
        <w:trPr>
          <w:trHeight w:val="250"/>
        </w:trPr>
        <w:tc>
          <w:tcPr>
            <w:tcW w:w="1500" w:type="dxa"/>
            <w:vAlign w:val="bottom"/>
          </w:tcPr>
          <w:p>
            <w:pPr>
              <w:spacing w:after="0"/>
              <w:rPr>
                <w:sz w:val="21"/>
                <w:szCs w:val="21"/>
                <w:color w:val="auto"/>
              </w:rPr>
            </w:pPr>
          </w:p>
        </w:tc>
        <w:tc>
          <w:tcPr>
            <w:tcW w:w="15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040" w:type="dxa"/>
            <w:vAlign w:val="bottom"/>
            <w:gridSpan w:val="15"/>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r>
      <w:tr>
        <w:trPr>
          <w:trHeight w:val="1040"/>
        </w:trPr>
        <w:tc>
          <w:tcPr>
            <w:tcW w:w="150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ind w:right="240" w:firstLine="656"/>
        <w:spacing w:after="0" w:line="302"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forward-looking statements in this report include, among other things, statements about:</w:t>
      </w:r>
    </w:p>
    <w:p>
      <w:pPr>
        <w:spacing w:after="0" w:line="144" w:lineRule="exact"/>
        <w:rPr>
          <w:sz w:val="20"/>
          <w:szCs w:val="20"/>
          <w:color w:val="auto"/>
        </w:rPr>
      </w:pPr>
    </w:p>
    <w:p>
      <w:pPr>
        <w:ind w:left="1040" w:hanging="37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candidate development activities and ongoing and planned clinical trials;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develop and commercialize antibodies;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clinical data generated in any study we performed, are performing, or plan to perform in a non-U.S. jurisdiction will be</w:t>
      </w:r>
    </w:p>
    <w:p>
      <w:pPr>
        <w:spacing w:after="0" w:line="49" w:lineRule="exact"/>
        <w:rPr>
          <w:rFonts w:ascii="Times New Roman" w:cs="Times New Roman" w:eastAsia="Times New Roman" w:hAnsi="Times New Roman"/>
          <w:sz w:val="18"/>
          <w:szCs w:val="18"/>
          <w:color w:val="auto"/>
        </w:rPr>
      </w:pPr>
    </w:p>
    <w:p>
      <w:pPr>
        <w:ind w:left="10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subsequently accepted by the </w:t>
      </w:r>
      <w:r>
        <w:rPr>
          <w:rFonts w:ascii="Times New Roman" w:cs="Times New Roman" w:eastAsia="Times New Roman" w:hAnsi="Times New Roman"/>
          <w:sz w:val="18"/>
          <w:szCs w:val="18"/>
          <w:color w:val="231F20"/>
        </w:rPr>
        <w:t>U.S. Food and Drug Administration (“FDA”)</w:t>
      </w:r>
      <w:r>
        <w:rPr>
          <w:rFonts w:ascii="Times New Roman" w:cs="Times New Roman" w:eastAsia="Times New Roman" w:hAnsi="Times New Roman"/>
          <w:sz w:val="18"/>
          <w:szCs w:val="18"/>
          <w:color w:val="auto"/>
        </w:rPr>
        <w:t xml:space="preserve"> and/or by foreign regulatory authorities outside of the jurisdiction where the study was being performed;</w:t>
      </w:r>
    </w:p>
    <w:p>
      <w:pPr>
        <w:spacing w:after="0" w:line="5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advantages of our product candidates and approaches versus those of our competitors;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44" w:lineRule="exact"/>
        <w:rPr>
          <w:rFonts w:ascii="Times New Roman" w:cs="Times New Roman" w:eastAsia="Times New Roman" w:hAnsi="Times New Roman"/>
          <w:sz w:val="18"/>
          <w:szCs w:val="18"/>
          <w:color w:val="auto"/>
        </w:rPr>
      </w:pPr>
    </w:p>
    <w:p>
      <w:pPr>
        <w:ind w:left="1040" w:right="400" w:hanging="373"/>
        <w:spacing w:after="0" w:line="313"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ability to obtain and maintain regulatory approvals for our product candidates, partnered product candidates and/or product candidates for which we may receive royalties;</w:t>
      </w:r>
    </w:p>
    <w:p>
      <w:pPr>
        <w:spacing w:after="0" w:line="6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approved product candidates;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any approved product candidates, and our ability to serve those markets;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(“U.S.”) and foreign countries;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economic or public health events on our business and the U.S. and global economies;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57" w:lineRule="exact"/>
        <w:rPr>
          <w:rFonts w:ascii="Times New Roman" w:cs="Times New Roman" w:eastAsia="Times New Roman" w:hAnsi="Times New Roman"/>
          <w:sz w:val="18"/>
          <w:szCs w:val="18"/>
          <w:color w:val="auto"/>
        </w:rPr>
      </w:pPr>
    </w:p>
    <w:p>
      <w:pPr>
        <w:ind w:left="1040" w:right="140" w:hanging="373"/>
        <w:spacing w:after="0" w:line="313"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factors, including volatility in equity markets, and fluctuations in interest rates, foreign exchange rates and political and regulatory developments or changes in trade policy, including tariffs;</w:t>
      </w:r>
    </w:p>
    <w:p>
      <w:pPr>
        <w:spacing w:after="0" w:line="67" w:lineRule="exact"/>
        <w:rPr>
          <w:rFonts w:ascii="Times New Roman" w:cs="Times New Roman" w:eastAsia="Times New Roman" w:hAnsi="Times New Roman"/>
          <w:sz w:val="18"/>
          <w:szCs w:val="18"/>
          <w:color w:val="auto"/>
        </w:rPr>
      </w:pPr>
    </w:p>
    <w:p>
      <w:pPr>
        <w:ind w:left="1040" w:right="20" w:hanging="373"/>
        <w:spacing w:after="0" w:line="313"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on favorable terms or at all, including funding necessary to complete further development and commercialization of our product candidates;</w:t>
      </w:r>
    </w:p>
    <w:p>
      <w:pPr>
        <w:spacing w:after="0" w:line="5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our collaborators to develop and commercialize our partnered product candidates;</w:t>
      </w:r>
    </w:p>
    <w:p>
      <w:pPr>
        <w:spacing w:after="0" w:line="157" w:lineRule="exact"/>
        <w:rPr>
          <w:rFonts w:ascii="Times New Roman" w:cs="Times New Roman" w:eastAsia="Times New Roman" w:hAnsi="Times New Roman"/>
          <w:sz w:val="18"/>
          <w:szCs w:val="18"/>
          <w:color w:val="auto"/>
        </w:rPr>
      </w:pPr>
    </w:p>
    <w:p>
      <w:pPr>
        <w:ind w:left="1040" w:right="100" w:hanging="373"/>
        <w:spacing w:after="0" w:line="313"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separation of the Company’s operations into two independent, publicly traded companies, including the completion and timing of the separation, the business and operations of each company and any benefits or costs of the separation;</w:t>
      </w:r>
    </w:p>
    <w:p>
      <w:pPr>
        <w:spacing w:after="0" w:line="67" w:lineRule="exact"/>
        <w:rPr>
          <w:rFonts w:ascii="Times New Roman" w:cs="Times New Roman" w:eastAsia="Times New Roman" w:hAnsi="Times New Roman"/>
          <w:sz w:val="18"/>
          <w:szCs w:val="18"/>
          <w:color w:val="auto"/>
        </w:rPr>
      </w:pPr>
    </w:p>
    <w:p>
      <w:pPr>
        <w:ind w:left="1040" w:right="360" w:hanging="373"/>
        <w:spacing w:after="0" w:line="313"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structure, infrastructure, timing and taxation of the proposed separation of the Company’s operations into two independent, publicly traded companies;</w:t>
      </w:r>
    </w:p>
    <w:p>
      <w:pPr>
        <w:spacing w:after="0" w:line="5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our public offerings and other financing transactions; and</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44" w:lineRule="exact"/>
        <w:rPr>
          <w:sz w:val="20"/>
          <w:szCs w:val="20"/>
          <w:color w:val="auto"/>
        </w:rPr>
      </w:pPr>
    </w:p>
    <w:p>
      <w:pPr>
        <w:ind w:right="100" w:firstLine="656"/>
        <w:spacing w:after="0" w:line="29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Item 1A, “Risk Factors,” and elsewhere in this Annual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 w:name="page4"/>
    <w:bookmarkEnd w:id="3"/>
    <w:p>
      <w:pPr>
        <w:ind w:right="240" w:firstLine="659"/>
        <w:spacing w:after="0" w:line="297"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82" w:lineRule="exact"/>
        <w:rPr>
          <w:sz w:val="20"/>
          <w:szCs w:val="20"/>
          <w:color w:val="auto"/>
        </w:rPr>
      </w:pPr>
    </w:p>
    <w:p>
      <w:pPr>
        <w:ind w:right="740" w:firstLine="656"/>
        <w:spacing w:after="0" w:line="313" w:lineRule="auto"/>
        <w:rPr>
          <w:sz w:val="20"/>
          <w:szCs w:val="20"/>
          <w:color w:val="auto"/>
        </w:rPr>
      </w:pPr>
      <w:r>
        <w:rPr>
          <w:rFonts w:ascii="Times New Roman" w:cs="Times New Roman" w:eastAsia="Times New Roman" w:hAnsi="Times New Roman"/>
          <w:sz w:val="18"/>
          <w:szCs w:val="18"/>
          <w:color w:val="auto"/>
        </w:rPr>
        <w:t>You should read this Annual Report with the understanding that our actual future results, levels of activity, performance, and events and circumstances may be materially different from what we expect.</w:t>
      </w:r>
    </w:p>
    <w:p>
      <w:pPr>
        <w:spacing w:after="0" w:line="54" w:lineRule="exact"/>
        <w:rPr>
          <w:sz w:val="20"/>
          <w:szCs w:val="20"/>
          <w:color w:val="auto"/>
        </w:rPr>
      </w:pPr>
    </w:p>
    <w:p>
      <w:pPr>
        <w:ind w:firstLine="656"/>
        <w:spacing w:after="0" w:line="297" w:lineRule="auto"/>
        <w:rPr>
          <w:sz w:val="20"/>
          <w:szCs w:val="20"/>
          <w:color w:val="auto"/>
        </w:rPr>
      </w:pPr>
      <w:r>
        <w:rPr>
          <w:rFonts w:ascii="Times New Roman" w:cs="Times New Roman" w:eastAsia="Times New Roman" w:hAnsi="Times New Roman"/>
          <w:sz w:val="18"/>
          <w:szCs w:val="18"/>
          <w:color w:val="auto"/>
        </w:rPr>
        <w:t>Unless the context indicates otherwise, as used in this Annual Report, the terms “AnaptysBio,” “Anaptys,” “company,” “we,” “us” and “our” refer to AnaptysBio, Inc., a Delaware corporation, and its subsidiaries taken as a whole, unless otherwise noted. AnaptysBio is our common law trademark.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innovative immunology therapeutics for autoimmune and inflammatory diseases. Our clinical-stage pipeline includes rosnilimab, a selective pathogenic T cell depleter, for which we completed a Phase 2b trial for the treatment of moderate-to-severe rheumatoid arthritis (“RA”), ANB033, a CD122 antagonist, in a Phase 1b trial for celiac disease (“CeD”) and eosinophilic esophagitis (“EoE”), and ANB101, a BDCA2 modulator, in a Phase 1a trial. We also discovered and out-licensed, in financial collaborations, multiple therapeutic antibodies, including a PD-1 antagonist (Jemperli (dostarlimab-gxly) or “Jemperli”) to GSK and an IL-36R antagonist (imsidolimab) to Vanda Pharmaceuticals Inc. (“Vanda”). We currently recognize revenue from milestones and royalties achieved under our immuno-oncology collaboration with GSK and license and transition services revenue from our collaboration with Vanda.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Intention to Separate Company</w:t>
      </w:r>
    </w:p>
    <w:p>
      <w:pPr>
        <w:spacing w:after="0" w:line="148" w:lineRule="exact"/>
        <w:rPr>
          <w:sz w:val="20"/>
          <w:szCs w:val="20"/>
          <w:color w:val="auto"/>
        </w:rPr>
      </w:pPr>
    </w:p>
    <w:p>
      <w:pPr>
        <w:ind w:right="100" w:firstLine="656"/>
        <w:spacing w:after="0" w:line="292" w:lineRule="auto"/>
        <w:rPr>
          <w:sz w:val="20"/>
          <w:szCs w:val="20"/>
          <w:color w:val="auto"/>
        </w:rPr>
      </w:pPr>
      <w:r>
        <w:rPr>
          <w:rFonts w:ascii="Times New Roman" w:cs="Times New Roman" w:eastAsia="Times New Roman" w:hAnsi="Times New Roman"/>
          <w:sz w:val="18"/>
          <w:szCs w:val="18"/>
          <w:color w:val="auto"/>
        </w:rPr>
        <w:t>In September 2025, we announced that our board of directors (“Board of Directors”) approved plans to explore separating our business into two independent, publicly traded companies. One company is expected to hold and continue to manage the financial collaboration for Jemperli from GSK and for imsidolimab from Vanda, with a focus on protecting and returning value of the royalties to its shareholders. The other company is expected to be a clinical-stage biotechnology company focused on the development and potential commercialization of innovative therapeutics for autoimmune and inflammatory diseases, including rosnilimab, ANB033 and ANB101. Upon completion of the proposed separation, which we expect to complete in the second quarter of 2026, we intend to launch the clinical-stage biotechnology company with adequate capital to fund operations for at least twelve months after the date the proposed separation is completed. While the proposed separation is anticipated to be a taxable event, we are focused on minimizing overall corporate and shareholder-level taxes across the entire transaction. Completion of the proposed separation is subject to final approval by our Board of Directors and other customary conditions, including the effectiveness of a registration statement with the Securities and Exchange Commission (the “SEC”).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Wholly Owned Clinical-Stage Pipeline</w:t>
      </w:r>
    </w:p>
    <w:p>
      <w:pPr>
        <w:spacing w:after="0" w:line="162" w:lineRule="exact"/>
        <w:rPr>
          <w:sz w:val="20"/>
          <w:szCs w:val="20"/>
          <w:color w:val="auto"/>
        </w:rPr>
      </w:pPr>
    </w:p>
    <w:p>
      <w:pPr>
        <w:ind w:right="60" w:firstLine="659"/>
        <w:spacing w:after="0" w:line="313" w:lineRule="auto"/>
        <w:rPr>
          <w:sz w:val="20"/>
          <w:szCs w:val="20"/>
          <w:color w:val="auto"/>
        </w:rPr>
      </w:pPr>
      <w:r>
        <w:rPr>
          <w:rFonts w:ascii="Times New Roman" w:cs="Times New Roman" w:eastAsia="Times New Roman" w:hAnsi="Times New Roman"/>
          <w:sz w:val="18"/>
          <w:szCs w:val="18"/>
          <w:color w:val="auto"/>
        </w:rPr>
        <w:t>Our antibodies are in development to treat inflammatory diseases. We believe these molecules have potential applicability across a broad range of autoimmune and inflammatory diseases, including in gastroenterology, rheumatology, dermatology, respiratory, and other therapeutic areas.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Rosnilimab</w:t>
      </w:r>
    </w:p>
    <w:p>
      <w:pPr>
        <w:spacing w:after="0" w:line="162" w:lineRule="exact"/>
        <w:rPr>
          <w:sz w:val="20"/>
          <w:szCs w:val="20"/>
          <w:color w:val="auto"/>
        </w:rPr>
      </w:pPr>
    </w:p>
    <w:p>
      <w:pPr>
        <w:ind w:right="180" w:firstLine="659"/>
        <w:spacing w:after="0" w:line="291" w:lineRule="auto"/>
        <w:rPr>
          <w:sz w:val="20"/>
          <w:szCs w:val="20"/>
          <w:color w:val="auto"/>
        </w:rPr>
      </w:pPr>
      <w:r>
        <w:rPr>
          <w:rFonts w:ascii="Times New Roman" w:cs="Times New Roman" w:eastAsia="Times New Roman" w:hAnsi="Times New Roman"/>
          <w:sz w:val="18"/>
          <w:szCs w:val="18"/>
          <w:color w:val="auto"/>
        </w:rPr>
        <w:t>Rosnilimab is an IgG1 antibody that directly targets pathogenic T cells, such as activated Tph/Tfh and T effector cells, in the periphery or inflamed tissue. These T cells, when activated, proliferate and migrate, and secrete the inflammatory cytokines that are the drivers of autoimmune and inflammatory diseases. Rosnilimab is designed to selectively deplete pathogenic T cells in both inflamed tissue and the periphery while sparing non-pathogenic T cells, including naïve T cells, to preserve overall immune function and restore immune homeostasis. This drives specific immunological outcomes, such as a reduction in T cell proliferation, migration and cytokine secretion, and a reduction of plasma cell generation and autoantibody levels. We announced top-line data from a healthy volunteer Phase 1 trial of rosnilimab in November 2021 that supported advancement of rosnilimab into subsequent patient trials. A total of 144 subjects were enrolled in the randomized, double-blind, placebo-controlled healthy volunteer Phase 1 trial, where single ascending dose (“SAD”) cohorts received subcutaneous (“SC”) or intravenous (“IV”) single doses of rosnilimab up to 600mg or placebo, while multiple ascending dose (“MAD”) cohorts received four weekly subcutaneous doses of rosnilimab ranging up to 400mg or placebo. Rosnilimab was generally well-tolerated and no dose-limiting toxicities were observed. Rosnilimab demonstrated a sustained systemic exposure and dose-proportionality with an estimated two-week half-life for subcutaneous and IV routes of administration.</w:t>
      </w:r>
    </w:p>
    <w:p>
      <w:pPr>
        <w:spacing w:after="0" w:line="74" w:lineRule="exact"/>
        <w:rPr>
          <w:sz w:val="20"/>
          <w:szCs w:val="20"/>
          <w:color w:val="auto"/>
        </w:rPr>
      </w:pPr>
    </w:p>
    <w:p>
      <w:pPr>
        <w:jc w:val="both"/>
        <w:ind w:right="200" w:firstLine="659"/>
        <w:spacing w:after="0" w:line="305" w:lineRule="auto"/>
        <w:rPr>
          <w:sz w:val="20"/>
          <w:szCs w:val="20"/>
          <w:color w:val="auto"/>
        </w:rPr>
      </w:pPr>
      <w:r>
        <w:rPr>
          <w:rFonts w:ascii="Times New Roman" w:cs="Times New Roman" w:eastAsia="Times New Roman" w:hAnsi="Times New Roman"/>
          <w:sz w:val="18"/>
          <w:szCs w:val="18"/>
          <w:color w:val="auto"/>
        </w:rPr>
        <w:t>In February 2025, we announced initial data, which was subsequently updated in June 2025, from rosnilimab’s randomized, placebo-controlled, global 424-patient, Phase 2b clinical trial for moderate-to-severe rheumatoid arthritis. Patients were randomized to receive either 100mg of subcutaneous rosnilimab every four weeks (Q4W), 400mg Q4W, 600mg every two weeks, or placebo.</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 w:name="page6"/>
    <w:bookmarkEnd w:id="5"/>
    <w:p>
      <w:pPr>
        <w:ind w:right="100" w:firstLine="659"/>
        <w:spacing w:after="0" w:line="292" w:lineRule="auto"/>
        <w:rPr>
          <w:sz w:val="20"/>
          <w:szCs w:val="20"/>
          <w:color w:val="auto"/>
        </w:rPr>
      </w:pPr>
      <w:r>
        <w:rPr>
          <w:rFonts w:ascii="Times New Roman" w:cs="Times New Roman" w:eastAsia="Times New Roman" w:hAnsi="Times New Roman"/>
          <w:sz w:val="18"/>
          <w:szCs w:val="18"/>
          <w:color w:val="auto"/>
        </w:rPr>
        <w:t>During the three-month placebo-controlled period, the trial achieved its primary endpoint by observing the reduction of disease activity using the disease activity score, 28 joints (DAS-28) C-Reactive Protein (“CRP”) score, as well as ACR20 response (an accepted Phase 3 registrational endpoint), at Week 12 in all three doses of rosnilimab compared to placebo. Rosnilimab achieved its secondary endpoint by demonstrating statistical significance in at least one dose and numerical superiority at all doses, including once monthly administration, on ACR20, ACR50 and with respect to the clinical disease activity index (“CDAI”) low disease activity (“LDA”) score at Week 12. Specifically, at Week 12, ACR20 achieved statistical significance at 100 mg (p &lt; 0.05), 400 mg (p &lt; 0.01), and 600 mg (p &lt; 0.001); ACR50 achieved statistical significance at 600 mg (p &lt; 0.05); and CDAI LDA achieved statistical significance at 100 mg (p &lt; 0.05) and 400 mg (p &lt; 0.01).</w:t>
      </w:r>
    </w:p>
    <w:p>
      <w:pPr>
        <w:spacing w:after="0" w:line="87" w:lineRule="exact"/>
        <w:rPr>
          <w:sz w:val="20"/>
          <w:szCs w:val="20"/>
          <w:color w:val="auto"/>
        </w:rPr>
      </w:pPr>
    </w:p>
    <w:p>
      <w:pPr>
        <w:ind w:right="40" w:firstLine="659"/>
        <w:spacing w:after="0" w:line="290" w:lineRule="auto"/>
        <w:rPr>
          <w:sz w:val="20"/>
          <w:szCs w:val="20"/>
          <w:color w:val="auto"/>
        </w:rPr>
      </w:pPr>
      <w:r>
        <w:rPr>
          <w:rFonts w:ascii="Times New Roman" w:cs="Times New Roman" w:eastAsia="Times New Roman" w:hAnsi="Times New Roman"/>
          <w:sz w:val="18"/>
          <w:szCs w:val="18"/>
          <w:color w:val="auto"/>
        </w:rPr>
        <w:t>Following completion of the Week 14 visit, 69% (or 220 of the 318) rosnilimab-treated patients who achieved CDAI LDA at this timepoint continued their assigned treatment through six months in a blinded, all-active treatment period. At six months, rosnilimab results demonstrated deepening of responses through six months on CDAI LDA, CDAI remission and ACR70 and independent of prior treatments, including anti-TNFα, anti-IL6R or JAK inhibitors. Importantly, this was particularly observed in b/tsDMARD-experienced patients for the 400mg Q4W and 600mg Q2W doses, showing a dose response relative to the 100mg Q4W dose. Furthermore, Week 28 clinical responses across multiple measures, including CDAI LDA, mean CDAI, mean DAS28-CRP and ACR50/70, were durable off-drug through at least three months after the last rosnilimab dose, results which we believe suggest the potential for extended dosing (e.g., Q8W/Q12W) after initial monthly dosing. Due to the trial design, max response rates for rosnilimab have not yet been observed as strict criteria at Week 14, which prevented additional patients with meaningful improvement from continuing treatment in the trial.</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table summarizing the results for primary and secondary endpoints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Efficacy Measure</w:t>
            </w: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120" w:type="dxa"/>
            <w:vAlign w:val="bottom"/>
          </w:tcPr>
          <w:p>
            <w:pPr>
              <w:spacing w:after="0"/>
              <w:rPr>
                <w:sz w:val="13"/>
                <w:szCs w:val="13"/>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Rosnilimab</w:t>
            </w: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Rosnilimab</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Rosnilimab</w:t>
            </w:r>
          </w:p>
        </w:tc>
        <w:tc>
          <w:tcPr>
            <w:tcW w:w="0" w:type="dxa"/>
            <w:vAlign w:val="bottom"/>
          </w:tcPr>
          <w:p>
            <w:pPr>
              <w:spacing w:after="0"/>
              <w:rPr>
                <w:sz w:val="1"/>
                <w:szCs w:val="1"/>
                <w:color w:val="auto"/>
              </w:rPr>
            </w:pPr>
          </w:p>
        </w:tc>
      </w:tr>
      <w:tr>
        <w:trPr>
          <w:trHeight w:val="173"/>
        </w:trPr>
        <w:tc>
          <w:tcPr>
            <w:tcW w:w="2800" w:type="dxa"/>
            <w:vAlign w:val="bottom"/>
            <w:tcBorders>
              <w:bottom w:val="single" w:sz="8" w:color="auto"/>
            </w:tcBorders>
            <w:vMerge w:val="continue"/>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100mg Q4W</w:t>
            </w:r>
          </w:p>
        </w:tc>
        <w:tc>
          <w:tcPr>
            <w:tcW w:w="460" w:type="dxa"/>
            <w:vAlign w:val="bottom"/>
          </w:tcPr>
          <w:p>
            <w:pPr>
              <w:spacing w:after="0"/>
              <w:rPr>
                <w:sz w:val="15"/>
                <w:szCs w:val="15"/>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400mg Q4W</w:t>
            </w:r>
          </w:p>
        </w:tc>
        <w:tc>
          <w:tcPr>
            <w:tcW w:w="460" w:type="dxa"/>
            <w:vAlign w:val="bottom"/>
          </w:tcPr>
          <w:p>
            <w:pPr>
              <w:spacing w:after="0"/>
              <w:rPr>
                <w:sz w:val="15"/>
                <w:szCs w:val="15"/>
                <w:color w:val="auto"/>
              </w:rPr>
            </w:pP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600mg Q2W</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(N=106)</w:t>
            </w:r>
          </w:p>
        </w:tc>
        <w:tc>
          <w:tcPr>
            <w:tcW w:w="1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480"/>
              <w:spacing w:after="0" w:line="182" w:lineRule="exact"/>
              <w:rPr>
                <w:sz w:val="20"/>
                <w:szCs w:val="20"/>
                <w:color w:val="auto"/>
              </w:rPr>
            </w:pPr>
            <w:r>
              <w:rPr>
                <w:rFonts w:ascii="Times New Roman" w:cs="Times New Roman" w:eastAsia="Times New Roman" w:hAnsi="Times New Roman"/>
                <w:sz w:val="18"/>
                <w:szCs w:val="18"/>
                <w:color w:val="auto"/>
              </w:rPr>
              <w:t>(N=106)</w:t>
            </w:r>
          </w:p>
        </w:tc>
        <w:tc>
          <w:tcPr>
            <w:tcW w:w="1600" w:type="dxa"/>
            <w:vAlign w:val="bottom"/>
            <w:gridSpan w:val="2"/>
            <w:shd w:val="clear" w:color="auto" w:fill="CFF0FC"/>
          </w:tcPr>
          <w:p>
            <w:pPr>
              <w:jc w:val="right"/>
              <w:ind w:right="480"/>
              <w:spacing w:after="0" w:line="182" w:lineRule="exact"/>
              <w:rPr>
                <w:sz w:val="20"/>
                <w:szCs w:val="20"/>
                <w:color w:val="auto"/>
              </w:rPr>
            </w:pPr>
            <w:r>
              <w:rPr>
                <w:rFonts w:ascii="Times New Roman" w:cs="Times New Roman" w:eastAsia="Times New Roman" w:hAnsi="Times New Roman"/>
                <w:sz w:val="18"/>
                <w:szCs w:val="18"/>
                <w:color w:val="auto"/>
              </w:rPr>
              <w:t>(N=107)</w:t>
            </w:r>
          </w:p>
        </w:tc>
        <w:tc>
          <w:tcPr>
            <w:tcW w:w="1500" w:type="dxa"/>
            <w:vAlign w:val="bottom"/>
            <w:gridSpan w:val="2"/>
            <w:shd w:val="clear" w:color="auto" w:fill="CFF0FC"/>
          </w:tcPr>
          <w:p>
            <w:pPr>
              <w:jc w:val="right"/>
              <w:ind w:right="360"/>
              <w:spacing w:after="0" w:line="182" w:lineRule="exact"/>
              <w:rPr>
                <w:sz w:val="20"/>
                <w:szCs w:val="20"/>
                <w:color w:val="auto"/>
              </w:rPr>
            </w:pPr>
            <w:r>
              <w:rPr>
                <w:rFonts w:ascii="Times New Roman" w:cs="Times New Roman" w:eastAsia="Times New Roman" w:hAnsi="Times New Roman"/>
                <w:sz w:val="18"/>
                <w:szCs w:val="18"/>
                <w:color w:val="auto"/>
              </w:rPr>
              <w:t>(N=105)</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rPr>
                <w:sz w:val="16"/>
                <w:szCs w:val="16"/>
                <w:color w:val="auto"/>
              </w:rPr>
            </w:pPr>
          </w:p>
        </w:tc>
        <w:tc>
          <w:tcPr>
            <w:tcW w:w="3620" w:type="dxa"/>
            <w:vAlign w:val="bottom"/>
            <w:gridSpan w:val="3"/>
            <w:shd w:val="clear" w:color="auto" w:fill="CFF0FC"/>
          </w:tcPr>
          <w:p>
            <w:pPr>
              <w:jc w:val="center"/>
              <w:ind w:left="19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Primary Endpoint</w:t>
            </w: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DAS28-CRP at Week 12</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(mean change from baseline)</w:t>
            </w:r>
          </w:p>
        </w:tc>
        <w:tc>
          <w:tcPr>
            <w:tcW w:w="362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-1.69</w:t>
            </w:r>
          </w:p>
        </w:tc>
        <w:tc>
          <w:tcPr>
            <w:tcW w:w="1720" w:type="dxa"/>
            <w:vAlign w:val="bottom"/>
            <w:gridSpan w:val="3"/>
            <w:shd w:val="clear" w:color="auto" w:fill="CFF0FC"/>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-2.06**</w:t>
            </w:r>
          </w:p>
        </w:tc>
        <w:tc>
          <w:tcPr>
            <w:tcW w:w="1600" w:type="dxa"/>
            <w:vAlign w:val="bottom"/>
            <w:gridSpan w:val="2"/>
            <w:shd w:val="clear" w:color="auto" w:fill="CFF0FC"/>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-2.12**</w:t>
            </w:r>
          </w:p>
        </w:tc>
        <w:tc>
          <w:tcPr>
            <w:tcW w:w="150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rPr>
                <w:sz w:val="16"/>
                <w:szCs w:val="16"/>
                <w:color w:val="auto"/>
              </w:rPr>
            </w:pPr>
          </w:p>
        </w:tc>
        <w:tc>
          <w:tcPr>
            <w:tcW w:w="5340" w:type="dxa"/>
            <w:vAlign w:val="bottom"/>
            <w:gridSpan w:val="6"/>
            <w:shd w:val="clear" w:color="auto" w:fill="CFF0FC"/>
          </w:tcPr>
          <w:p>
            <w:pPr>
              <w:jc w:val="center"/>
              <w:ind w:left="2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Select Secondary Endpoint^ (% of participants)</w:t>
            </w: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ACR20 </w:t>
            </w:r>
            <w:r>
              <w:rPr>
                <w:rFonts w:ascii="Times New Roman" w:cs="Times New Roman" w:eastAsia="Times New Roman" w:hAnsi="Times New Roman"/>
                <w:sz w:val="18"/>
                <w:szCs w:val="18"/>
                <w:color w:val="auto"/>
              </w:rPr>
              <w:t>at Week 12^</w:t>
            </w:r>
          </w:p>
        </w:tc>
        <w:tc>
          <w:tcPr>
            <w:tcW w:w="36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52.8</w:t>
            </w:r>
          </w:p>
        </w:tc>
        <w:tc>
          <w:tcPr>
            <w:tcW w:w="1720" w:type="dxa"/>
            <w:vAlign w:val="bottom"/>
            <w:gridSpan w:val="3"/>
          </w:tcPr>
          <w:p>
            <w:pPr>
              <w:jc w:val="right"/>
              <w:ind w:right="380"/>
              <w:spacing w:after="0" w:line="189" w:lineRule="exact"/>
              <w:rPr>
                <w:sz w:val="20"/>
                <w:szCs w:val="20"/>
                <w:color w:val="auto"/>
              </w:rPr>
            </w:pPr>
            <w:r>
              <w:rPr>
                <w:rFonts w:ascii="Times New Roman" w:cs="Times New Roman" w:eastAsia="Times New Roman" w:hAnsi="Times New Roman"/>
                <w:sz w:val="18"/>
                <w:szCs w:val="18"/>
                <w:color w:val="auto"/>
              </w:rPr>
              <w:t>68.9*</w:t>
            </w:r>
          </w:p>
        </w:tc>
        <w:tc>
          <w:tcPr>
            <w:tcW w:w="1600" w:type="dxa"/>
            <w:vAlign w:val="bottom"/>
            <w:gridSpan w:val="2"/>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70.1**</w:t>
            </w:r>
          </w:p>
        </w:tc>
        <w:tc>
          <w:tcPr>
            <w:tcW w:w="15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ACR50 </w:t>
            </w:r>
            <w:r>
              <w:rPr>
                <w:rFonts w:ascii="Times New Roman" w:cs="Times New Roman" w:eastAsia="Times New Roman" w:hAnsi="Times New Roman"/>
                <w:sz w:val="18"/>
                <w:szCs w:val="18"/>
                <w:color w:val="auto"/>
              </w:rPr>
              <w:t>at Week 12^</w:t>
            </w:r>
          </w:p>
        </w:tc>
        <w:tc>
          <w:tcPr>
            <w:tcW w:w="362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33.0</w:t>
            </w:r>
          </w:p>
        </w:tc>
        <w:tc>
          <w:tcPr>
            <w:tcW w:w="12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44.3</w:t>
            </w: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36.4</w:t>
            </w:r>
          </w:p>
        </w:tc>
        <w:tc>
          <w:tcPr>
            <w:tcW w:w="46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189"/>
        </w:trPr>
        <w:tc>
          <w:tcPr>
            <w:tcW w:w="28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28</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45.3</w:t>
            </w:r>
          </w:p>
        </w:tc>
        <w:tc>
          <w:tcPr>
            <w:tcW w:w="4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48.6</w:t>
            </w:r>
          </w:p>
        </w:tc>
        <w:tc>
          <w:tcPr>
            <w:tcW w:w="4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ACR70 at Week 12^</w:t>
            </w:r>
          </w:p>
        </w:tc>
        <w:tc>
          <w:tcPr>
            <w:tcW w:w="362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17.9</w:t>
            </w:r>
          </w:p>
        </w:tc>
        <w:tc>
          <w:tcPr>
            <w:tcW w:w="12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21.7</w:t>
            </w: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21.5</w:t>
            </w: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21.9</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28</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40.6</w:t>
            </w:r>
          </w:p>
        </w:tc>
        <w:tc>
          <w:tcPr>
            <w:tcW w:w="4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36.4</w:t>
            </w:r>
          </w:p>
        </w:tc>
        <w:tc>
          <w:tcPr>
            <w:tcW w:w="4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44.8</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CDAI ≤10 (LDA) </w:t>
            </w:r>
            <w:r>
              <w:rPr>
                <w:rFonts w:ascii="Times New Roman" w:cs="Times New Roman" w:eastAsia="Times New Roman" w:hAnsi="Times New Roman"/>
                <w:sz w:val="18"/>
                <w:szCs w:val="18"/>
                <w:color w:val="auto"/>
              </w:rPr>
              <w:t>at Week 12^</w:t>
            </w:r>
          </w:p>
        </w:tc>
        <w:tc>
          <w:tcPr>
            <w:tcW w:w="362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720" w:type="dxa"/>
            <w:vAlign w:val="bottom"/>
            <w:gridSpan w:val="3"/>
            <w:shd w:val="clear" w:color="auto" w:fill="CFF0FC"/>
          </w:tcPr>
          <w:p>
            <w:pPr>
              <w:jc w:val="right"/>
              <w:ind w:right="380"/>
              <w:spacing w:after="0" w:line="189" w:lineRule="exact"/>
              <w:rPr>
                <w:sz w:val="20"/>
                <w:szCs w:val="20"/>
                <w:color w:val="auto"/>
              </w:rPr>
            </w:pPr>
            <w:r>
              <w:rPr>
                <w:rFonts w:ascii="Times New Roman" w:cs="Times New Roman" w:eastAsia="Times New Roman" w:hAnsi="Times New Roman"/>
                <w:sz w:val="18"/>
                <w:szCs w:val="18"/>
                <w:color w:val="auto"/>
              </w:rPr>
              <w:t>46.2*</w:t>
            </w:r>
          </w:p>
        </w:tc>
        <w:tc>
          <w:tcPr>
            <w:tcW w:w="1600" w:type="dxa"/>
            <w:vAlign w:val="bottom"/>
            <w:gridSpan w:val="2"/>
            <w:shd w:val="clear" w:color="auto" w:fill="CFF0FC"/>
          </w:tcPr>
          <w:p>
            <w:pPr>
              <w:jc w:val="right"/>
              <w:ind w:right="280"/>
              <w:spacing w:after="0" w:line="189" w:lineRule="exact"/>
              <w:rPr>
                <w:sz w:val="20"/>
                <w:szCs w:val="20"/>
                <w:color w:val="auto"/>
              </w:rPr>
            </w:pPr>
            <w:r>
              <w:rPr>
                <w:rFonts w:ascii="Times New Roman" w:cs="Times New Roman" w:eastAsia="Times New Roman" w:hAnsi="Times New Roman"/>
                <w:sz w:val="18"/>
                <w:szCs w:val="18"/>
                <w:color w:val="auto"/>
              </w:rPr>
              <w:t>49.5**</w:t>
            </w: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38.1</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28</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52.8</w:t>
            </w:r>
          </w:p>
        </w:tc>
        <w:tc>
          <w:tcPr>
            <w:tcW w:w="4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54.2</w:t>
            </w:r>
          </w:p>
        </w:tc>
        <w:tc>
          <w:tcPr>
            <w:tcW w:w="4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62.9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rPr>
                <w:sz w:val="16"/>
                <w:szCs w:val="16"/>
                <w:color w:val="auto"/>
              </w:rPr>
            </w:pPr>
          </w:p>
        </w:tc>
        <w:tc>
          <w:tcPr>
            <w:tcW w:w="2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rPr>
                <w:sz w:val="16"/>
                <w:szCs w:val="16"/>
                <w:color w:val="auto"/>
              </w:rPr>
            </w:pPr>
          </w:p>
        </w:tc>
        <w:tc>
          <w:tcPr>
            <w:tcW w:w="5340" w:type="dxa"/>
            <w:vAlign w:val="bottom"/>
            <w:gridSpan w:val="6"/>
          </w:tcPr>
          <w:p>
            <w:pPr>
              <w:jc w:val="center"/>
              <w:ind w:left="1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Select Exploratory Endpoints (Mean Change from Baseline)</w:t>
            </w: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DAS28-CRP</w:t>
            </w:r>
          </w:p>
        </w:tc>
        <w:tc>
          <w:tcPr>
            <w:tcW w:w="2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28</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-2.51</w:t>
            </w:r>
          </w:p>
        </w:tc>
        <w:tc>
          <w:tcPr>
            <w:tcW w:w="4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-2.51</w:t>
            </w:r>
          </w:p>
        </w:tc>
        <w:tc>
          <w:tcPr>
            <w:tcW w:w="4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-2.57</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hs-CRP</w:t>
            </w:r>
          </w:p>
        </w:tc>
        <w:tc>
          <w:tcPr>
            <w:tcW w:w="2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12</w:t>
            </w:r>
          </w:p>
        </w:tc>
        <w:tc>
          <w:tcPr>
            <w:tcW w:w="36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-0.73</w:t>
            </w:r>
          </w:p>
        </w:tc>
        <w:tc>
          <w:tcPr>
            <w:tcW w:w="1720" w:type="dxa"/>
            <w:vAlign w:val="bottom"/>
            <w:gridSpan w:val="3"/>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-9.67***</w:t>
            </w:r>
          </w:p>
        </w:tc>
        <w:tc>
          <w:tcPr>
            <w:tcW w:w="16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5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28</w:t>
            </w:r>
          </w:p>
        </w:tc>
        <w:tc>
          <w:tcPr>
            <w:tcW w:w="2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-7.23</w:t>
            </w: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-10.55</w:t>
            </w: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-5.98</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Patient Global Assessment</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12</w:t>
            </w:r>
          </w:p>
        </w:tc>
        <w:tc>
          <w:tcPr>
            <w:tcW w:w="362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-25.4</w:t>
            </w:r>
          </w:p>
        </w:tc>
        <w:tc>
          <w:tcPr>
            <w:tcW w:w="12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-30.1</w:t>
            </w: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-30.5</w:t>
            </w:r>
          </w:p>
        </w:tc>
        <w:tc>
          <w:tcPr>
            <w:tcW w:w="46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189"/>
        </w:trPr>
        <w:tc>
          <w:tcPr>
            <w:tcW w:w="28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28</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-35.9</w:t>
            </w:r>
          </w:p>
        </w:tc>
        <w:tc>
          <w:tcPr>
            <w:tcW w:w="4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-38.4</w:t>
            </w:r>
          </w:p>
        </w:tc>
        <w:tc>
          <w:tcPr>
            <w:tcW w:w="4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-40.7</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HAQ-DI (range 0-3)</w:t>
            </w:r>
          </w:p>
        </w:tc>
        <w:tc>
          <w:tcPr>
            <w:tcW w:w="2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12</w:t>
            </w:r>
          </w:p>
        </w:tc>
        <w:tc>
          <w:tcPr>
            <w:tcW w:w="36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-0.56</w:t>
            </w:r>
          </w:p>
        </w:tc>
        <w:tc>
          <w:tcPr>
            <w:tcW w:w="1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-0.61</w:t>
            </w:r>
          </w:p>
        </w:tc>
        <w:tc>
          <w:tcPr>
            <w:tcW w:w="4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-0.59</w:t>
            </w:r>
          </w:p>
        </w:tc>
        <w:tc>
          <w:tcPr>
            <w:tcW w:w="4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-0.60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28</w:t>
            </w:r>
          </w:p>
        </w:tc>
        <w:tc>
          <w:tcPr>
            <w:tcW w:w="2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-0.74</w:t>
            </w: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-0.75</w:t>
            </w: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-0.78</w:t>
            </w:r>
          </w:p>
        </w:tc>
        <w:tc>
          <w:tcPr>
            <w:tcW w:w="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Pain VAS</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12</w:t>
            </w:r>
          </w:p>
        </w:tc>
        <w:tc>
          <w:tcPr>
            <w:tcW w:w="362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126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-32.6</w:t>
            </w:r>
          </w:p>
        </w:tc>
        <w:tc>
          <w:tcPr>
            <w:tcW w:w="4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-35.3</w:t>
            </w:r>
          </w:p>
        </w:tc>
        <w:tc>
          <w:tcPr>
            <w:tcW w:w="46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34"/>
        </w:trPr>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Week 28</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*p&lt;0.05</w:t>
            </w: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**p&lt;0.01</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***p&lt;0.001</w:t>
            </w:r>
          </w:p>
        </w:tc>
        <w:tc>
          <w:tcPr>
            <w:tcW w:w="2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2800" w:type="dxa"/>
            <w:vAlign w:val="bottom"/>
          </w:tcPr>
          <w:p>
            <w:pPr>
              <w:spacing w:after="0"/>
              <w:rPr>
                <w:sz w:val="24"/>
                <w:szCs w:val="24"/>
                <w:color w:val="auto"/>
              </w:rPr>
            </w:pPr>
          </w:p>
        </w:tc>
        <w:tc>
          <w:tcPr>
            <w:tcW w:w="3620" w:type="dxa"/>
            <w:vAlign w:val="bottom"/>
            <w:gridSpan w:val="3"/>
          </w:tcPr>
          <w:p>
            <w:pPr>
              <w:jc w:val="center"/>
              <w:ind w:left="19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8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ind w:right="100" w:firstLine="659"/>
        <w:spacing w:after="0" w:line="292" w:lineRule="auto"/>
        <w:rPr>
          <w:sz w:val="20"/>
          <w:szCs w:val="20"/>
          <w:color w:val="auto"/>
        </w:rPr>
      </w:pPr>
      <w:r>
        <w:rPr>
          <w:rFonts w:ascii="Times New Roman" w:cs="Times New Roman" w:eastAsia="Times New Roman" w:hAnsi="Times New Roman"/>
          <w:sz w:val="18"/>
          <w:szCs w:val="18"/>
          <w:color w:val="auto"/>
        </w:rPr>
        <w:t>Clinical outcomes were further substantiated by objective translational data. An approximately 50% reduction in the mean CRP from baseline, an objective measure of inflammation, was observed through Week 28 in rosnilimab patients who entered the all-active period. Additionally, translational blood and synovial biopsy biomarker data showed differentiated and consistent immunological impact with on-target pharmacological activity in rosnilimab patients that was not observed on placebo. In blood, rosnilimab demonstrated rapid, deep and sustained reductions of approximately 90% in pathogenic T cells (largely Tph, Tph and Teff cells), and an increase in total Tregs. Additionally, synovial biopsies of the most impacted joint taken at baseline and after six weeks showed a deep reduction of approximately 90% in pathogenic T cells (largely Tph cells) at the 400mg Q4W and 600mg Q2W doses, showing a dose response relative to the 100mg Q4W dose.</w:t>
      </w:r>
    </w:p>
    <w:p>
      <w:pPr>
        <w:spacing w:after="0" w:line="87"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Consistent with prior rosnilimab studies, all rosnilimab doses through end-of-trial follow up at week 38 demonstrated no treatment-related serious adverse events (“SAEs”), malignancies, anaphylaxis or systemic hypersensitivity, and a low incidence of injection site reactions. Most adverse events (“AEs”) were mild to moderate in severity. Less than 2% of patients in the trial discontinued rosnilimab due to an AE, including only one patient after three months for a moderate headache treated with over-the-counter pain medication. Non-treatment related SAEs observed were consistent with known RA patient history and comorbidities.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ANB033</w:t>
      </w:r>
    </w:p>
    <w:p>
      <w:pPr>
        <w:spacing w:after="0" w:line="148" w:lineRule="exact"/>
        <w:rPr>
          <w:sz w:val="20"/>
          <w:szCs w:val="20"/>
          <w:color w:val="auto"/>
        </w:rPr>
      </w:pPr>
    </w:p>
    <w:p>
      <w:pPr>
        <w:ind w:right="40" w:firstLine="659"/>
        <w:spacing w:after="0" w:line="292" w:lineRule="auto"/>
        <w:rPr>
          <w:sz w:val="20"/>
          <w:szCs w:val="20"/>
          <w:color w:val="auto"/>
        </w:rPr>
      </w:pPr>
      <w:r>
        <w:rPr>
          <w:rFonts w:ascii="Times New Roman" w:cs="Times New Roman" w:eastAsia="Times New Roman" w:hAnsi="Times New Roman"/>
          <w:sz w:val="18"/>
          <w:szCs w:val="18"/>
          <w:color w:val="auto"/>
        </w:rPr>
        <w:t>ANB033 is an antagonist of CD122, the common beta subunit shared by the IL-15 and IL-2 receptors. IL-15 and IL-2 signaling mediate the proliferation and survival of subsets of CD8+ and CD4 T+ cells, NK cells, as well as ILC2s. ANB033 is an antibody designed with an optimal epitope and affinity to CD122 that inhibits IL-15 and IL-2 signaling through both the intermediate affinity IL-2 receptor (comprised of CD122 and the common gamma subunit, CD132) and the high affinity IL-2 receptor (comprised of CD122, CD132 and the alpha receptor subunit for IL-2, CD25) expressed by activated CD4 Th1 and Th2 T cells as well as ILC2. Antagonizing CD122 has the potential to achieve and maintain remission of inflammation through the reduction of disease-causing cytolytic CD8 T cell subsets, including intraepithelial lymphocytes, NK cells and reducing inflammatory cytokine secretion by activated CD4+ Th1 and Th2 cells, as well as ILC2 cells.</w:t>
      </w:r>
    </w:p>
    <w:p>
      <w:pPr>
        <w:spacing w:after="0" w:line="87" w:lineRule="exact"/>
        <w:rPr>
          <w:sz w:val="20"/>
          <w:szCs w:val="20"/>
          <w:color w:val="auto"/>
        </w:rPr>
      </w:pPr>
    </w:p>
    <w:p>
      <w:pPr>
        <w:ind w:right="40" w:firstLine="659"/>
        <w:spacing w:after="0" w:line="291" w:lineRule="auto"/>
        <w:rPr>
          <w:sz w:val="20"/>
          <w:szCs w:val="20"/>
          <w:color w:val="auto"/>
        </w:rPr>
      </w:pPr>
      <w:r>
        <w:rPr>
          <w:rFonts w:ascii="Times New Roman" w:cs="Times New Roman" w:eastAsia="Times New Roman" w:hAnsi="Times New Roman"/>
          <w:sz w:val="18"/>
          <w:szCs w:val="18"/>
          <w:color w:val="auto"/>
        </w:rPr>
        <w:t>We announced top-line data from a healthy volunteer Phase 1a trial of ANB033 in October 2025 that demonstrated no safety concerns at any dose and a rapid and sustained pharmacokinetic (“PK”) profile. A total of 80 subjects were enrolled in the randomized, double-blind, placebo-controlled healthy volunteer Phase 1 trial, where SAD cohorts received SC or IV single doses of ANB033 or placebo, while MAD cohorts received four weekly SC doses of ANB033. ANB033 was generally well-tolerated and no SAE discontinuations or dose-limiting toxicities were observed in the study. ANB033 demonstrated an estimated two-to-three week half-life and full receptor occupancy for SC and IV routes of administration. A dose response was observed on relevant PD biomarkers. We observed responsive effects with both IV and SC modes of administration, with a 70-75% reduction in CD122-expressing CD8 T cells, which did not result in a meaningful reduction in overall CD8 T cells. Additionally, treatment with ANB033 effectively eliminated all CD122-expressing NK cells, but the overall NK cell count remained above the levels needed to maintain immune competency as not all NK cells in humans express CD122. No overall reductions were observed on regulatory T cell counts in the peripheral blood.</w:t>
      </w:r>
    </w:p>
    <w:p>
      <w:pPr>
        <w:spacing w:after="0" w:line="77" w:lineRule="exact"/>
        <w:rPr>
          <w:sz w:val="20"/>
          <w:szCs w:val="20"/>
          <w:color w:val="auto"/>
        </w:rPr>
      </w:pPr>
    </w:p>
    <w:p>
      <w:pPr>
        <w:ind w:right="220" w:firstLine="659"/>
        <w:spacing w:after="0" w:line="294" w:lineRule="auto"/>
        <w:rPr>
          <w:sz w:val="20"/>
          <w:szCs w:val="20"/>
          <w:color w:val="auto"/>
        </w:rPr>
      </w:pPr>
      <w:r>
        <w:rPr>
          <w:rFonts w:ascii="Times New Roman" w:cs="Times New Roman" w:eastAsia="Times New Roman" w:hAnsi="Times New Roman"/>
          <w:sz w:val="18"/>
          <w:szCs w:val="18"/>
          <w:color w:val="auto"/>
        </w:rPr>
        <w:t>We are conducting a randomized placebo-controlled 60-patient, global Phase 1b trial cohort of ANB033 in CeD. This trial will assess both a cohort of patients with baseline villus height to crypt depth (“Vh:Cd”) ratio greater than 2.0 in a gluten-challenge to assess prevention of further mucosal damage, as well as a cohort of patients with a Vh:Cd ratio less than 2.0, who will not be subjected to a gluten-challenge, to assess the ability to heal mucosal damage in symptom-controlled patients. The two distinct cohorts will enroll 30 patients each, randomized 1:1 between one dose level of subcutaneously administered ANB033 dose and placebo. Key assessments include safety and tolerability, efficacy assessments including the change in Vh:Cd ratio, IEL counts, and PROs, such as the Celiac Disease Symptom Diary (“CDSD”), as well as PK and immunogenicity.</w:t>
      </w:r>
    </w:p>
    <w:p>
      <w:pPr>
        <w:spacing w:after="0" w:line="85" w:lineRule="exact"/>
        <w:rPr>
          <w:sz w:val="20"/>
          <w:szCs w:val="20"/>
          <w:color w:val="auto"/>
        </w:rPr>
      </w:pPr>
    </w:p>
    <w:p>
      <w:pPr>
        <w:ind w:right="180" w:firstLine="659"/>
        <w:spacing w:after="0" w:line="297" w:lineRule="auto"/>
        <w:rPr>
          <w:sz w:val="20"/>
          <w:szCs w:val="20"/>
          <w:color w:val="auto"/>
        </w:rPr>
      </w:pPr>
      <w:r>
        <w:rPr>
          <w:rFonts w:ascii="Times New Roman" w:cs="Times New Roman" w:eastAsia="Times New Roman" w:hAnsi="Times New Roman"/>
          <w:sz w:val="18"/>
          <w:szCs w:val="18"/>
          <w:color w:val="auto"/>
        </w:rPr>
        <w:t>We are also conducting a randomized placebo-controlled 50-patient, global Phase 1b trial cohort of ANB033 in EoE. This trial will enroll adults who have histologic evidence of EoE with peak eosinophil count ≥15/hpf at the screening endoscopy and with symptomatic dysphagia. Key assessments include safety and tolerability, efficacy assessments including the Dysphagia Symptom Questionnaire (“DSQ”) and peak esophageal intraepithelial eosinophilic count (“eos/hpf”), as well as PK and immunogenicity.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ANB101</w:t>
      </w:r>
    </w:p>
    <w:p>
      <w:pPr>
        <w:spacing w:after="0" w:line="162" w:lineRule="exact"/>
        <w:rPr>
          <w:sz w:val="20"/>
          <w:szCs w:val="20"/>
          <w:color w:val="auto"/>
        </w:rPr>
      </w:pPr>
    </w:p>
    <w:p>
      <w:pPr>
        <w:ind w:right="580" w:firstLine="659"/>
        <w:spacing w:after="0" w:line="313" w:lineRule="auto"/>
        <w:rPr>
          <w:sz w:val="20"/>
          <w:szCs w:val="20"/>
          <w:color w:val="auto"/>
        </w:rPr>
      </w:pPr>
      <w:r>
        <w:rPr>
          <w:rFonts w:ascii="Times New Roman" w:cs="Times New Roman" w:eastAsia="Times New Roman" w:hAnsi="Times New Roman"/>
          <w:sz w:val="18"/>
          <w:szCs w:val="18"/>
          <w:color w:val="auto"/>
        </w:rPr>
        <w:t>ANB101 is a blood dendritic cell antigen 2 (“BDCA2”) modulator antibody that targets plasmacytoid dendritic cells (“pDCs”) and inhibits interferon secretion and modulates antigen presentation for the treatment of autoimmune and inflammatory diseases.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ind w:right="100"/>
        <w:spacing w:after="0" w:line="292" w:lineRule="auto"/>
        <w:rPr>
          <w:sz w:val="20"/>
          <w:szCs w:val="20"/>
          <w:color w:val="auto"/>
        </w:rPr>
      </w:pPr>
      <w:r>
        <w:rPr>
          <w:rFonts w:ascii="Times New Roman" w:cs="Times New Roman" w:eastAsia="Times New Roman" w:hAnsi="Times New Roman"/>
          <w:sz w:val="18"/>
          <w:szCs w:val="18"/>
          <w:color w:val="auto"/>
        </w:rPr>
        <w:t>BDCA2 is a molecule specifically expressed on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w:t>
      </w:r>
    </w:p>
    <w:p>
      <w:pPr>
        <w:spacing w:after="0" w:line="87" w:lineRule="exact"/>
        <w:rPr>
          <w:sz w:val="20"/>
          <w:szCs w:val="20"/>
          <w:color w:val="auto"/>
        </w:rPr>
      </w:pPr>
    </w:p>
    <w:p>
      <w:pPr>
        <w:ind w:right="80" w:firstLine="659"/>
        <w:spacing w:after="0" w:line="313" w:lineRule="auto"/>
        <w:rPr>
          <w:sz w:val="20"/>
          <w:szCs w:val="20"/>
          <w:color w:val="auto"/>
        </w:rPr>
      </w:pPr>
      <w:r>
        <w:rPr>
          <w:rFonts w:ascii="Times New Roman" w:cs="Times New Roman" w:eastAsia="Times New Roman" w:hAnsi="Times New Roman"/>
          <w:sz w:val="18"/>
          <w:szCs w:val="18"/>
          <w:color w:val="auto"/>
        </w:rPr>
        <w:t>We initiated a Phase 1 clinical trial of ANB101 in healthy volunteers in March 2025 and the trial is ongoing. ANB101 preclinical data suggests it is a more potent antibody compared to litifilimab with a longer half-life that results in a deeper and more durable PD effect on pDC depletion.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Programs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GSK Collaboration</w:t>
      </w:r>
    </w:p>
    <w:p>
      <w:pPr>
        <w:spacing w:after="0" w:line="148" w:lineRule="exact"/>
        <w:rPr>
          <w:sz w:val="20"/>
          <w:szCs w:val="20"/>
          <w:color w:val="auto"/>
        </w:rPr>
      </w:pPr>
    </w:p>
    <w:p>
      <w:pPr>
        <w:ind w:right="620" w:firstLine="659"/>
        <w:spacing w:after="0" w:line="329" w:lineRule="auto"/>
        <w:rPr>
          <w:sz w:val="20"/>
          <w:szCs w:val="20"/>
          <w:color w:val="auto"/>
        </w:rPr>
      </w:pPr>
      <w:r>
        <w:rPr>
          <w:rFonts w:ascii="Times New Roman" w:cs="Times New Roman" w:eastAsia="Times New Roman" w:hAnsi="Times New Roman"/>
          <w:sz w:val="18"/>
          <w:szCs w:val="18"/>
          <w:color w:val="auto"/>
        </w:rPr>
        <w:t>Multiple company-discovered antibody programs have been advanced to preclinical and clinical milestones under our collaborations. Our collaborations include an immuno-oncology-focused collaboration with GSK.</w:t>
      </w:r>
    </w:p>
    <w:p>
      <w:pPr>
        <w:spacing w:after="0" w:line="40" w:lineRule="exact"/>
        <w:rPr>
          <w:sz w:val="20"/>
          <w:szCs w:val="20"/>
          <w:color w:val="auto"/>
        </w:rPr>
      </w:pPr>
    </w:p>
    <w:p>
      <w:pPr>
        <w:ind w:firstLine="659"/>
        <w:spacing w:after="0" w:line="290" w:lineRule="auto"/>
        <w:rPr>
          <w:sz w:val="20"/>
          <w:szCs w:val="20"/>
          <w:color w:val="auto"/>
        </w:rPr>
      </w:pPr>
      <w:r>
        <w:rPr>
          <w:rFonts w:ascii="Times New Roman" w:cs="Times New Roman" w:eastAsia="Times New Roman" w:hAnsi="Times New Roman"/>
          <w:sz w:val="18"/>
          <w:szCs w:val="18"/>
          <w:color w:val="auto"/>
        </w:rPr>
        <w:t>Under the GSK Agreement, a Biologics License Application (“BLA”) for our most advanced partnered program, which is a PD-1 antagonist antibody called Jemperli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A second FDA approval was received in August 2021 for Jemperli in pan-deficient mismatch repair tumors (PdMMRT). In July 2023, the FDA approved Jemperli in combination with chemotherapy for the treatment of adult patients with dMMR MSI-H primary advanced or recurrent endometrial cancer. In December 2023, the EMA approved Jemperli plus chemotherapy for dMMR/MSI-H primary advanced or recurrent endometrial cancer. In August 2024, the FDA approved Jemperli plus chemotherapy for all adult patients with primary advanced or recurrent endometrial cancer. In January 2025, the EMA approved Jemperli plus chemotherapy for this same indication. In October 2025, GSK terminated the TIM-3 antagonist antibody development program under our existing collaboration, and all rights to the TIM-3 antagonist antibody will be reverted to us in the near future.</w:t>
      </w:r>
    </w:p>
    <w:p>
      <w:pPr>
        <w:spacing w:after="0" w:line="90" w:lineRule="exact"/>
        <w:rPr>
          <w:sz w:val="20"/>
          <w:szCs w:val="20"/>
          <w:color w:val="auto"/>
        </w:rPr>
      </w:pPr>
    </w:p>
    <w:p>
      <w:pPr>
        <w:ind w:right="500" w:firstLine="659"/>
        <w:spacing w:after="0" w:line="313" w:lineRule="auto"/>
        <w:rPr>
          <w:sz w:val="20"/>
          <w:szCs w:val="20"/>
          <w:color w:val="auto"/>
        </w:rPr>
      </w:pPr>
      <w:r>
        <w:rPr>
          <w:rFonts w:ascii="Times New Roman" w:cs="Times New Roman" w:eastAsia="Times New Roman" w:hAnsi="Times New Roman"/>
          <w:sz w:val="18"/>
          <w:szCs w:val="18"/>
          <w:color w:val="auto"/>
        </w:rPr>
        <w:t>For the year ended December 31, 2025, GSK reported $1.1 billion in sales for Jemperli, a greater than 80% sales growth when compared to $598.0 million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Vanda Collaboration</w:t>
      </w:r>
    </w:p>
    <w:p>
      <w:pPr>
        <w:spacing w:after="0" w:line="148" w:lineRule="exact"/>
        <w:rPr>
          <w:sz w:val="20"/>
          <w:szCs w:val="20"/>
          <w:color w:val="auto"/>
        </w:rPr>
      </w:pPr>
    </w:p>
    <w:p>
      <w:pPr>
        <w:ind w:right="120" w:firstLine="659"/>
        <w:spacing w:after="0" w:line="297" w:lineRule="auto"/>
        <w:rPr>
          <w:sz w:val="20"/>
          <w:szCs w:val="20"/>
          <w:color w:val="auto"/>
        </w:rPr>
      </w:pPr>
      <w:r>
        <w:rPr>
          <w:rFonts w:ascii="Times New Roman" w:cs="Times New Roman" w:eastAsia="Times New Roman" w:hAnsi="Times New Roman"/>
          <w:sz w:val="18"/>
          <w:szCs w:val="18"/>
          <w:color w:val="auto"/>
        </w:rPr>
        <w:t>On January 31, 2025, we entered into an Exclusive License Agreement (the “Vanda License Agreement”) with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spacing w:after="0" w:line="82" w:lineRule="exact"/>
        <w:rPr>
          <w:sz w:val="20"/>
          <w:szCs w:val="20"/>
          <w:color w:val="auto"/>
        </w:rPr>
      </w:pPr>
    </w:p>
    <w:p>
      <w:pPr>
        <w:ind w:right="180" w:firstLine="659"/>
        <w:spacing w:after="0" w:line="313" w:lineRule="auto"/>
        <w:rPr>
          <w:sz w:val="20"/>
          <w:szCs w:val="20"/>
          <w:color w:val="auto"/>
        </w:rPr>
      </w:pPr>
      <w:r>
        <w:rPr>
          <w:rFonts w:ascii="Times New Roman" w:cs="Times New Roman" w:eastAsia="Times New Roman" w:hAnsi="Times New Roman"/>
          <w:sz w:val="18"/>
          <w:szCs w:val="18"/>
          <w:color w:val="auto"/>
        </w:rPr>
        <w:t>In December 2025, Vanda announced the submission of a BLA to the U.S. FDA for imsidolimab in GPP. The FDA accepted the BLA filing for imsidolimab in GPP in February 2026 with a target action date of December 12, 2026.</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8" w:name="page9"/>
    <w:bookmarkEnd w:id="8"/>
    <w:p>
      <w:pPr>
        <w:ind w:right="120" w:firstLine="659"/>
        <w:spacing w:after="0" w:line="313" w:lineRule="auto"/>
        <w:rPr>
          <w:sz w:val="20"/>
          <w:szCs w:val="20"/>
          <w:color w:val="auto"/>
        </w:rPr>
      </w:pPr>
      <w:r>
        <w:rPr>
          <w:rFonts w:ascii="Times New Roman" w:cs="Times New Roman" w:eastAsia="Times New Roman" w:hAnsi="Times New Roman"/>
          <w:sz w:val="18"/>
          <w:szCs w:val="18"/>
          <w:color w:val="auto"/>
        </w:rPr>
        <w:t>Pursuant to the terms of the Vanda License Agreement, we received an upfront payment of $10.0 million and a $5.0 million payment for existing drug supply. We are also eligible to receive a 10% royalty on net sales, as well as the following milestones under the Vanda License Agreement: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140" w:type="dxa"/>
            <w:vAlign w:val="bottom"/>
          </w:tcPr>
          <w:p>
            <w:pPr>
              <w:spacing w:after="0"/>
              <w:rPr>
                <w:sz w:val="14"/>
                <w:szCs w:val="14"/>
                <w:color w:val="auto"/>
              </w:rPr>
            </w:pPr>
          </w:p>
        </w:tc>
        <w:tc>
          <w:tcPr>
            <w:tcW w:w="172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17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0" w:type="dxa"/>
            <w:vAlign w:val="bottom"/>
          </w:tcPr>
          <w:p>
            <w:pPr>
              <w:spacing w:after="0"/>
              <w:rPr>
                <w:sz w:val="1"/>
                <w:szCs w:val="1"/>
                <w:color w:val="auto"/>
              </w:rPr>
            </w:pPr>
          </w:p>
        </w:tc>
      </w:tr>
      <w:tr>
        <w:trPr>
          <w:trHeight w:val="160"/>
        </w:trPr>
        <w:tc>
          <w:tcPr>
            <w:tcW w:w="75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Borders>
              <w:bottom w:val="single" w:sz="8" w:color="auto"/>
            </w:tcBorders>
          </w:tcPr>
          <w:p>
            <w:pPr>
              <w:ind w:left="460"/>
              <w:spacing w:after="0" w:line="160"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151"/>
        </w:trPr>
        <w:tc>
          <w:tcPr>
            <w:tcW w:w="7540" w:type="dxa"/>
            <w:vAlign w:val="bottom"/>
            <w:shd w:val="clear" w:color="auto" w:fill="CFF0FC"/>
          </w:tcPr>
          <w:p>
            <w:pPr>
              <w:spacing w:after="0" w:line="150" w:lineRule="exact"/>
              <w:rPr>
                <w:sz w:val="20"/>
                <w:szCs w:val="20"/>
                <w:color w:val="auto"/>
              </w:rPr>
            </w:pPr>
            <w:r>
              <w:rPr>
                <w:rFonts w:ascii="Times New Roman" w:cs="Times New Roman" w:eastAsia="Times New Roman" w:hAnsi="Times New Roman"/>
                <w:sz w:val="17"/>
                <w:szCs w:val="17"/>
                <w:color w:val="auto"/>
              </w:rPr>
              <w:t>FDA regulatory approval for marketing of first licensed product in the USA for the treatment of active</w:t>
            </w:r>
          </w:p>
        </w:tc>
        <w:tc>
          <w:tcPr>
            <w:tcW w:w="14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flares in GPP</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$5.0M</w:t>
            </w: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Regulatory approval for marketing of the first licensed product in the EU</w:t>
            </w:r>
          </w:p>
        </w:tc>
        <w:tc>
          <w:tcPr>
            <w:tcW w:w="140" w:type="dxa"/>
            <w:vAlign w:val="bottom"/>
          </w:tcPr>
          <w:p>
            <w:pPr>
              <w:spacing w:after="0"/>
              <w:rPr>
                <w:sz w:val="16"/>
                <w:szCs w:val="16"/>
                <w:color w:val="auto"/>
              </w:rPr>
            </w:pPr>
          </w:p>
        </w:tc>
        <w:tc>
          <w:tcPr>
            <w:tcW w:w="17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$5.0M</w:t>
            </w:r>
          </w:p>
        </w:tc>
        <w:tc>
          <w:tcPr>
            <w:tcW w:w="120" w:type="dxa"/>
            <w:vAlign w:val="bottom"/>
          </w:tcPr>
          <w:p>
            <w:pPr>
              <w:spacing w:after="0"/>
              <w:rPr>
                <w:sz w:val="16"/>
                <w:szCs w:val="16"/>
                <w:color w:val="auto"/>
              </w:rPr>
            </w:pPr>
          </w:p>
        </w:tc>
        <w:tc>
          <w:tcPr>
            <w:tcW w:w="1720" w:type="dxa"/>
            <w:vAlign w:val="bottom"/>
          </w:tcPr>
          <w:p>
            <w:pPr>
              <w:ind w:left="14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5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Commercial sales first exceed $100.0 million</w:t>
            </w:r>
          </w:p>
        </w:tc>
        <w:tc>
          <w:tcPr>
            <w:tcW w:w="140" w:type="dxa"/>
            <w:vAlign w:val="bottom"/>
            <w:shd w:val="clear" w:color="auto" w:fill="CFF0FC"/>
          </w:tcPr>
          <w:p>
            <w:pPr>
              <w:spacing w:after="0"/>
              <w:rPr>
                <w:sz w:val="16"/>
                <w:szCs w:val="16"/>
                <w:color w:val="auto"/>
              </w:rPr>
            </w:pPr>
          </w:p>
        </w:tc>
        <w:tc>
          <w:tcPr>
            <w:tcW w:w="17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$25.0M</w:t>
            </w:r>
          </w:p>
        </w:tc>
        <w:tc>
          <w:tcPr>
            <w:tcW w:w="120" w:type="dxa"/>
            <w:vAlign w:val="bottom"/>
            <w:shd w:val="clear" w:color="auto" w:fill="CFF0FC"/>
          </w:tcPr>
          <w:p>
            <w:pPr>
              <w:spacing w:after="0"/>
              <w:rPr>
                <w:sz w:val="16"/>
                <w:szCs w:val="16"/>
                <w:color w:val="auto"/>
              </w:rPr>
            </w:pPr>
          </w:p>
        </w:tc>
        <w:tc>
          <w:tcPr>
            <w:tcW w:w="1720" w:type="dxa"/>
            <w:vAlign w:val="bottom"/>
            <w:shd w:val="clear" w:color="auto" w:fill="CFF0FC"/>
          </w:tcPr>
          <w:p>
            <w:pPr>
              <w:ind w:left="14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Milestones recognized through December 31, 2025</w:t>
            </w:r>
          </w:p>
        </w:tc>
        <w:tc>
          <w:tcPr>
            <w:tcW w:w="140" w:type="dxa"/>
            <w:vAlign w:val="bottom"/>
            <w:shd w:val="clear" w:color="auto" w:fill="CFF0FC"/>
          </w:tcPr>
          <w:p>
            <w:pPr>
              <w:spacing w:after="0"/>
              <w:rPr>
                <w:sz w:val="16"/>
                <w:szCs w:val="16"/>
                <w:color w:val="auto"/>
              </w:rPr>
            </w:pPr>
          </w:p>
        </w:tc>
        <w:tc>
          <w:tcPr>
            <w:tcW w:w="17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720" w:type="dxa"/>
            <w:vAlign w:val="bottom"/>
            <w:shd w:val="clear" w:color="auto" w:fill="CFF0FC"/>
          </w:tcPr>
          <w:p>
            <w:pPr>
              <w:ind w:left="14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Milestones that may be recognized in the future</w:t>
            </w:r>
          </w:p>
        </w:tc>
        <w:tc>
          <w:tcPr>
            <w:tcW w:w="140" w:type="dxa"/>
            <w:vAlign w:val="bottom"/>
          </w:tcPr>
          <w:p>
            <w:pPr>
              <w:spacing w:after="0"/>
              <w:rPr>
                <w:sz w:val="20"/>
                <w:szCs w:val="20"/>
                <w:color w:val="auto"/>
              </w:rPr>
            </w:pPr>
          </w:p>
        </w:tc>
        <w:tc>
          <w:tcPr>
            <w:tcW w:w="1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$35.0M</w:t>
            </w:r>
          </w:p>
        </w:tc>
        <w:tc>
          <w:tcPr>
            <w:tcW w:w="120" w:type="dxa"/>
            <w:vAlign w:val="bottom"/>
          </w:tcPr>
          <w:p>
            <w:pPr>
              <w:spacing w:after="0"/>
              <w:rPr>
                <w:sz w:val="20"/>
                <w:szCs w:val="20"/>
                <w:color w:val="auto"/>
              </w:rPr>
            </w:pPr>
          </w:p>
        </w:tc>
        <w:tc>
          <w:tcPr>
            <w:tcW w:w="17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80" w:firstLine="659"/>
        <w:spacing w:after="0" w:line="313" w:lineRule="auto"/>
        <w:rPr>
          <w:sz w:val="20"/>
          <w:szCs w:val="20"/>
          <w:color w:val="auto"/>
        </w:rPr>
      </w:pPr>
      <w:r>
        <w:rPr>
          <w:rFonts w:ascii="Times New Roman" w:cs="Times New Roman" w:eastAsia="Times New Roman" w:hAnsi="Times New Roman"/>
          <w:sz w:val="18"/>
          <w:szCs w:val="18"/>
          <w:color w:val="auto"/>
        </w:rPr>
        <w:t>For more information about these collaborations, see Note 4 — Collaborative Research and Development Agreements in the accompanying notes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certain key information about our wholly owned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94615</wp:posOffset>
            </wp:positionV>
            <wp:extent cx="5314950" cy="3154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495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We expect to provide an update on Phase 3 advancement in the first half of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48" w:lineRule="exact"/>
        <w:rPr>
          <w:sz w:val="20"/>
          <w:szCs w:val="20"/>
          <w:color w:val="auto"/>
        </w:rPr>
      </w:pPr>
    </w:p>
    <w:p>
      <w:pPr>
        <w:ind w:right="220" w:firstLine="659"/>
        <w:spacing w:after="0" w:line="297"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innovative immunology therapeutics. Our antibodies modulate key nodes governing the body’s regulation of autoimmunity and inflammation. Dysregulated immune responses may result in abnormal and pathological inflammation in diseases with large and substantially underserved patient populations in therapeutic areas including but not limited to gastroenterology, rheumatology, dermatology, and respiratory. The key elements of our strategy include:</w:t>
      </w:r>
    </w:p>
    <w:p>
      <w:pPr>
        <w:spacing w:after="0" w:line="69" w:lineRule="exact"/>
        <w:rPr>
          <w:sz w:val="20"/>
          <w:szCs w:val="20"/>
          <w:color w:val="auto"/>
        </w:rPr>
      </w:pPr>
    </w:p>
    <w:p>
      <w:pPr>
        <w:ind w:left="5580" w:right="4220" w:hanging="5198"/>
        <w:spacing w:after="0" w:line="532" w:lineRule="auto"/>
        <w:tabs>
          <w:tab w:leader="none" w:pos="7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broad development of our autoimmunity and inflammation-focused portfolio.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ind w:left="760" w:right="300" w:hanging="378"/>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translational and clinical data to characterize the mechanism and differentiation of our molecules from in-class competitors, other modalities in clinical development, and, relative to standard of care, to optimize development of our molecules to address diseases and treat patient subsets with unmet medical need.</w:t>
      </w:r>
    </w:p>
    <w:p>
      <w:pPr>
        <w:spacing w:after="0" w:line="61"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Innovating in clinical development and execution to efficiently and optimally achieve proof-of-concept and execute registrational studies in key global markets.</w:t>
      </w:r>
    </w:p>
    <w:p>
      <w:pPr>
        <w:spacing w:after="0" w:line="67"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global commercialization of our product candidates while retaining rights in key commercial markets to enable us to become a fully integrated development and commercial organization.</w:t>
      </w:r>
    </w:p>
    <w:p>
      <w:pPr>
        <w:spacing w:after="0" w:line="54"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leverage our research expertise to identify, license and/or innovate on potentially best-in-class antibodies against high-value immunological targets.</w:t>
      </w:r>
    </w:p>
    <w:p>
      <w:pPr>
        <w:spacing w:after="0" w:line="40" w:lineRule="exact"/>
        <w:rPr>
          <w:rFonts w:ascii="Times New Roman" w:cs="Times New Roman" w:eastAsia="Times New Roman" w:hAnsi="Times New Roman"/>
          <w:sz w:val="18"/>
          <w:szCs w:val="18"/>
          <w:color w:val="auto"/>
        </w:rPr>
      </w:pPr>
    </w:p>
    <w:p>
      <w:pPr>
        <w:ind w:left="760" w:right="38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Maximizing return on equity through execution against a multi-year capital and operating plan, including to manage and return the potential value from our future royalty revenues from our GSK financial collaboration to shareholders.</w:t>
      </w:r>
    </w:p>
    <w:p>
      <w:pPr>
        <w:spacing w:after="0" w:line="68" w:lineRule="exact"/>
        <w:rPr>
          <w:sz w:val="20"/>
          <w:szCs w:val="20"/>
          <w:color w:val="auto"/>
        </w:rPr>
      </w:pPr>
    </w:p>
    <w:p>
      <w:pPr>
        <w:ind w:right="420" w:firstLine="659"/>
        <w:spacing w:after="0" w:line="329" w:lineRule="auto"/>
        <w:rPr>
          <w:sz w:val="20"/>
          <w:szCs w:val="20"/>
          <w:color w:val="auto"/>
        </w:rPr>
      </w:pPr>
      <w:r>
        <w:rPr>
          <w:rFonts w:ascii="Times New Roman" w:cs="Times New Roman" w:eastAsia="Times New Roman" w:hAnsi="Times New Roman"/>
          <w:sz w:val="18"/>
          <w:szCs w:val="18"/>
          <w:color w:val="auto"/>
        </w:rPr>
        <w:t>As described in the section titled “Risk Factors” and elsewhere in this Annual Report, the clinical development of drug product candidates is subject to a wide range of risks and uncertainties, any of which could cause our actual development strategy or timeframes to vary.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Antibody Overview</w:t>
      </w:r>
    </w:p>
    <w:p>
      <w:pPr>
        <w:spacing w:after="0" w:line="162" w:lineRule="exact"/>
        <w:rPr>
          <w:sz w:val="20"/>
          <w:szCs w:val="20"/>
          <w:color w:val="auto"/>
        </w:rPr>
      </w:pPr>
    </w:p>
    <w:p>
      <w:pPr>
        <w:ind w:firstLine="659"/>
        <w:spacing w:after="0" w:line="292" w:lineRule="auto"/>
        <w:rPr>
          <w:sz w:val="20"/>
          <w:szCs w:val="20"/>
          <w:color w:val="auto"/>
        </w:rPr>
      </w:pPr>
      <w:r>
        <w:rPr>
          <w:rFonts w:ascii="Times New Roman" w:cs="Times New Roman" w:eastAsia="Times New Roman" w:hAnsi="Times New Roman"/>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w:t>
      </w:r>
    </w:p>
    <w:p>
      <w:pPr>
        <w:spacing w:after="0" w:line="73" w:lineRule="exact"/>
        <w:rPr>
          <w:sz w:val="20"/>
          <w:szCs w:val="20"/>
          <w:color w:val="auto"/>
        </w:rPr>
      </w:pPr>
    </w:p>
    <w:p>
      <w:pPr>
        <w:ind w:right="20" w:firstLine="659"/>
        <w:spacing w:after="0" w:line="302" w:lineRule="auto"/>
        <w:rPr>
          <w:sz w:val="20"/>
          <w:szCs w:val="20"/>
          <w:color w:val="auto"/>
        </w:rPr>
      </w:pPr>
      <w:r>
        <w:rPr>
          <w:rFonts w:ascii="Times New Roman" w:cs="Times New Roman" w:eastAsia="Times New Roman" w:hAnsi="Times New Roman"/>
          <w:sz w:val="18"/>
          <w:szCs w:val="18"/>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61" w:lineRule="exact"/>
        <w:rPr>
          <w:sz w:val="20"/>
          <w:szCs w:val="20"/>
          <w:color w:val="auto"/>
        </w:rPr>
      </w:pPr>
    </w:p>
    <w:p>
      <w:pPr>
        <w:jc w:val="both"/>
        <w:ind w:left="760" w:right="60" w:hanging="378"/>
        <w:spacing w:after="0" w:line="309" w:lineRule="auto"/>
        <w:tabs>
          <w:tab w:leader="none" w:pos="7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Fab Domain. </w:t>
      </w:r>
      <w:r>
        <w:rPr>
          <w:rFonts w:ascii="Times New Roman" w:cs="Times New Roman" w:eastAsia="Times New Roman" w:hAnsi="Times New Roman"/>
          <w:sz w:val="17"/>
          <w:szCs w:val="17"/>
          <w:color w:val="auto"/>
        </w:rPr>
        <w:t>Due to the relatively large size and complex nature of the antibody Fab domain, antibodies generally bind with high specificity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desired therapeutic target and tend to exhibit less off-target binding to unrelated proteins, which lowers the risk of unintended biological side</w:t>
      </w:r>
    </w:p>
    <w:p>
      <w:pPr>
        <w:ind w:left="760" w:right="140"/>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effects such as toxicity. Because target proteins are typically larger than antibody Fab domains, antibodies can be generated against a variety of specific binding epitopes on a given single protein, which can alter the functional activity of the protein. For example, antibodies binding to unique epitopes on a single target protein can act as antagonists or agonists of the natural target protein function.</w:t>
      </w:r>
    </w:p>
    <w:p>
      <w:pPr>
        <w:spacing w:after="0" w:line="78" w:lineRule="exact"/>
        <w:rPr>
          <w:rFonts w:ascii="Times New Roman" w:cs="Times New Roman" w:eastAsia="Times New Roman" w:hAnsi="Times New Roman"/>
          <w:sz w:val="17"/>
          <w:szCs w:val="17"/>
          <w:color w:val="auto"/>
        </w:rPr>
      </w:pPr>
    </w:p>
    <w:p>
      <w:pPr>
        <w:ind w:left="760" w:right="20" w:hanging="378"/>
        <w:spacing w:after="0" w:line="29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Fc Domain. </w:t>
      </w:r>
      <w:r>
        <w:rPr>
          <w:rFonts w:ascii="Times New Roman" w:cs="Times New Roman" w:eastAsia="Times New Roman" w:hAnsi="Times New Roman"/>
          <w:sz w:val="18"/>
          <w:szCs w:val="18"/>
          <w:color w:val="auto"/>
        </w:rPr>
        <w:t>The Fc domain of an antibody is the tail region that interacts with cell surface receptors called Fc receptors and some proteins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complement system. In humans, there are five Fc domains referred to as isotypes (IgA, IgD, IgM, IgG, IgE) and numerous Fc receptors</w:t>
      </w:r>
    </w:p>
    <w:p>
      <w:pPr>
        <w:spacing w:after="0" w:line="1" w:lineRule="exact"/>
        <w:rPr>
          <w:rFonts w:ascii="Times New Roman" w:cs="Times New Roman" w:eastAsia="Times New Roman" w:hAnsi="Times New Roman"/>
          <w:sz w:val="18"/>
          <w:szCs w:val="18"/>
          <w:color w:val="auto"/>
        </w:rPr>
      </w:pPr>
    </w:p>
    <w:p>
      <w:pPr>
        <w:ind w:left="760" w:right="220"/>
        <w:spacing w:after="0" w:line="3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expressed on specialized immune cells. Many therapeutic antibodies are subtypes of the IgG isotype and are chosen specifically to limit or induce immune system activity for therapeutic purposes. Engagement of Fc domains by specific Fc receptors can modulate biological activity, for example, by clustering the target protein on the cell surface in an immune synapse, leading to modulation of the target protein activity and</w:t>
      </w:r>
    </w:p>
    <w:p>
      <w:pPr>
        <w:spacing w:after="0" w:line="2" w:lineRule="exact"/>
        <w:rPr>
          <w:rFonts w:ascii="Times New Roman" w:cs="Times New Roman" w:eastAsia="Times New Roman" w:hAnsi="Times New Roman"/>
          <w:sz w:val="18"/>
          <w:szCs w:val="18"/>
          <w:color w:val="auto"/>
        </w:rPr>
      </w:pPr>
    </w:p>
    <w:p>
      <w:pPr>
        <w:ind w:left="760" w:right="1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hence altering the function of the cell expressing the target protein. Specific Fc domain and Fc receptor interactions may also trigger killing of a cell, often referred to as “effector function” of the antibody, via cytotoxic mechanisms depending on the cell type bearing the Fc receptor. In</w:t>
      </w:r>
    </w:p>
    <w:p>
      <w:pPr>
        <w:spacing w:after="0" w:line="1" w:lineRule="exact"/>
        <w:rPr>
          <w:rFonts w:ascii="Times New Roman" w:cs="Times New Roman" w:eastAsia="Times New Roman" w:hAnsi="Times New Roman"/>
          <w:sz w:val="18"/>
          <w:szCs w:val="18"/>
          <w:color w:val="auto"/>
        </w:rPr>
      </w:pPr>
    </w:p>
    <w:p>
      <w:pPr>
        <w:ind w:left="760" w:right="14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therapeutic settings, mutations can be made to the Fc domain to weaken or entirely abrogate Fc receptor interactions. In creating the most efficacious therapeutic antibody, an appropriate Fc domain is often utilized to avoid or induce immune system activity that contributes to its broader mechanism of action. We believe that therapeutic antibodies can be significantly de-risked preclinically for specificity, toxicology, pharmacokinetics, and modulation of immune system activity, which is not generally true for small molecule drugs.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0" w:name="page11"/>
    <w:bookmarkEnd w:id="10"/>
    <w:p>
      <w:pPr>
        <w:ind w:left="760" w:right="100" w:hanging="378"/>
        <w:spacing w:after="0" w:line="307"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Pharmacokinetics and Dosing Frequency</w:t>
      </w:r>
      <w:r>
        <w:rPr>
          <w:rFonts w:ascii="Times New Roman" w:cs="Times New Roman" w:eastAsia="Times New Roman" w:hAnsi="Times New Roman"/>
          <w:sz w:val="18"/>
          <w:szCs w:val="18"/>
          <w:color w:val="auto"/>
        </w:rPr>
        <w:t>. As complex proteins, antibodies are metabolized and distributed differently than small molecules.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length antibodies tend to exhibit serum half-lives of seven to 24 days in humans, leading to bi-weekly or monthly dosing as typical practice for therapeutic antibodies.</w:t>
      </w:r>
    </w:p>
    <w:p>
      <w:pPr>
        <w:spacing w:after="0" w:line="5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Potency and Dose Quantities. </w:t>
      </w:r>
      <w:r>
        <w:rPr>
          <w:rFonts w:ascii="Times New Roman" w:cs="Times New Roman" w:eastAsia="Times New Roman" w:hAnsi="Times New Roman"/>
          <w:sz w:val="18"/>
          <w:szCs w:val="18"/>
          <w:color w:val="auto"/>
        </w:rPr>
        <w:t>Antibodies are typically highly potent in binding affinity to their desired target, with binding dissociation</w:t>
      </w:r>
    </w:p>
    <w:p>
      <w:pPr>
        <w:spacing w:after="0" w:line="53" w:lineRule="exact"/>
        <w:rPr>
          <w:rFonts w:ascii="Times New Roman" w:cs="Times New Roman" w:eastAsia="Times New Roman" w:hAnsi="Times New Roman"/>
          <w:sz w:val="18"/>
          <w:szCs w:val="18"/>
          <w:color w:val="auto"/>
        </w:rPr>
      </w:pPr>
    </w:p>
    <w:p>
      <w:pPr>
        <w:ind w:left="760"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constants in the low nanomolar to picomolar range. Hence, antibodies tend to be dosed at low amounts (less than one gram quantities per course of therapy).</w:t>
      </w:r>
    </w:p>
    <w:p>
      <w:pPr>
        <w:spacing w:after="0" w:line="162" w:lineRule="exact"/>
        <w:rPr>
          <w:sz w:val="20"/>
          <w:szCs w:val="20"/>
          <w:color w:val="auto"/>
        </w:rPr>
      </w:pPr>
    </w:p>
    <w:p>
      <w:pPr>
        <w:ind w:right="100" w:firstLine="659"/>
        <w:spacing w:after="0" w:line="305" w:lineRule="auto"/>
        <w:rPr>
          <w:sz w:val="20"/>
          <w:szCs w:val="20"/>
          <w:color w:val="auto"/>
        </w:rPr>
      </w:pPr>
      <w:r>
        <w:rPr>
          <w:rFonts w:ascii="Times New Roman" w:cs="Times New Roman" w:eastAsia="Times New Roman" w:hAnsi="Times New Roman"/>
          <w:sz w:val="18"/>
          <w:szCs w:val="18"/>
          <w:color w:val="auto"/>
        </w:rPr>
        <w:t>Our approach to antibody design focuses on discovering and optimizing therapeutic antibodies tailored to modulate immune function. We use a variety of technologies to optimize the Fab domain of an antibody in ways that we believe both create a therapeutic antibody with highly potent functional activity and mitigate potential manufacturing liabilities.</w:t>
      </w:r>
    </w:p>
    <w:p>
      <w:pPr>
        <w:spacing w:after="0" w:line="183" w:lineRule="exact"/>
        <w:rPr>
          <w:sz w:val="20"/>
          <w:szCs w:val="20"/>
          <w:color w:val="auto"/>
        </w:rPr>
      </w:pPr>
    </w:p>
    <w:p>
      <w:pPr>
        <w:ind w:right="240" w:firstLine="659"/>
        <w:spacing w:after="0" w:line="293" w:lineRule="auto"/>
        <w:rPr>
          <w:sz w:val="20"/>
          <w:szCs w:val="20"/>
          <w:color w:val="auto"/>
        </w:rPr>
      </w:pPr>
      <w:r>
        <w:rPr>
          <w:rFonts w:ascii="Times New Roman" w:cs="Times New Roman" w:eastAsia="Times New Roman" w:hAnsi="Times New Roman"/>
          <w:sz w:val="18"/>
          <w:szCs w:val="18"/>
          <w:color w:val="auto"/>
        </w:rPr>
        <w:t>We also optimize the Fc domain of the antibody, when needed, to tailor it for specific activity such as reducing Fc receptor interactions or optimizing Fc receptor interactions, in combination with the Fab domain of the antibody, to specifically modulate immune cell function, engage effector function that kills specific targeted immune cells, or leverage a combination of both activities. We further optimize the overall antibody through humanization and removal of liabilities that could potentially affect the structure, stability, pharmacology, manufacturability or immunogenicity of the antibody.</w:t>
      </w:r>
    </w:p>
    <w:p>
      <w:pPr>
        <w:spacing w:after="0" w:line="181" w:lineRule="exact"/>
        <w:rPr>
          <w:sz w:val="20"/>
          <w:szCs w:val="20"/>
          <w:color w:val="auto"/>
        </w:rPr>
      </w:pPr>
    </w:p>
    <w:p>
      <w:pPr>
        <w:jc w:val="both"/>
        <w:ind w:right="320" w:firstLine="659"/>
        <w:spacing w:after="0" w:line="305" w:lineRule="auto"/>
        <w:rPr>
          <w:sz w:val="20"/>
          <w:szCs w:val="20"/>
          <w:color w:val="auto"/>
        </w:rPr>
      </w:pPr>
      <w:r>
        <w:rPr>
          <w:rFonts w:ascii="Times New Roman" w:cs="Times New Roman" w:eastAsia="Times New Roman" w:hAnsi="Times New Roman"/>
          <w:sz w:val="18"/>
          <w:szCs w:val="18"/>
          <w:color w:val="auto"/>
        </w:rPr>
        <w:t>Optimized antibodies are tested in an extensive suite of immune cell assays, using engineered cell lines, and more relevantly, primary human immune cells from healthy and diseased individuals that we believe most accurately recapitulate the conditions in which the antibody will need to have optimal activity in patients.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our approach to antibody design allows us to effectively tailor antibodies to achieve a unique therapeutic benefit.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GSK Collaboration</w:t>
      </w:r>
    </w:p>
    <w:p>
      <w:pPr>
        <w:spacing w:after="0" w:line="162" w:lineRule="exact"/>
        <w:rPr>
          <w:sz w:val="20"/>
          <w:szCs w:val="20"/>
          <w:color w:val="auto"/>
        </w:rPr>
      </w:pPr>
    </w:p>
    <w:p>
      <w:pPr>
        <w:ind w:right="180" w:firstLine="659"/>
        <w:spacing w:after="0" w:line="297" w:lineRule="auto"/>
        <w:rPr>
          <w:sz w:val="20"/>
          <w:szCs w:val="20"/>
          <w:color w:val="auto"/>
        </w:rPr>
      </w:pPr>
      <w:r>
        <w:rPr>
          <w:rFonts w:ascii="Times New Roman" w:cs="Times New Roman" w:eastAsia="Times New Roman" w:hAnsi="Times New Roman"/>
          <w:sz w:val="18"/>
          <w:szCs w:val="18"/>
          <w:color w:val="auto"/>
        </w:rPr>
        <w:t>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Jemperli (dostarlimab) as a monotherapy and in combination with additional therapies, for various solid tumor indications.</w:t>
      </w:r>
    </w:p>
    <w:p>
      <w:pPr>
        <w:spacing w:after="0" w:line="177" w:lineRule="exact"/>
        <w:rPr>
          <w:sz w:val="20"/>
          <w:szCs w:val="20"/>
          <w:color w:val="auto"/>
        </w:rPr>
      </w:pPr>
    </w:p>
    <w:p>
      <w:pPr>
        <w:ind w:firstLine="659"/>
        <w:spacing w:after="0" w:line="292" w:lineRule="auto"/>
        <w:rPr>
          <w:sz w:val="20"/>
          <w:szCs w:val="20"/>
          <w:color w:val="auto"/>
        </w:rPr>
      </w:pPr>
      <w:r>
        <w:rPr>
          <w:rFonts w:ascii="Times New Roman" w:cs="Times New Roman" w:eastAsia="Times New Roman" w:hAnsi="Times New Roman"/>
          <w:sz w:val="18"/>
          <w:szCs w:val="18"/>
          <w:color w:val="auto"/>
        </w:rPr>
        <w:t>For each remaining development program under the GSK Agreement, we are eligible to receive milestone payments if certain preclinical and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No.3, we were granted increased royalties upon sales of Jemperli, equal to 8% of Net Sales (as defined in the GSK Agreement) below $1.0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spacing w:after="0" w:line="182" w:lineRule="exact"/>
        <w:rPr>
          <w:sz w:val="20"/>
          <w:szCs w:val="20"/>
          <w:color w:val="auto"/>
        </w:rPr>
      </w:pPr>
    </w:p>
    <w:p>
      <w:pPr>
        <w:ind w:right="340" w:firstLine="659"/>
        <w:spacing w:after="0" w:line="305" w:lineRule="auto"/>
        <w:rPr>
          <w:sz w:val="20"/>
          <w:szCs w:val="20"/>
          <w:color w:val="auto"/>
        </w:rPr>
      </w:pPr>
      <w:r>
        <w:rPr>
          <w:rFonts w:ascii="Times New Roman" w:cs="Times New Roman" w:eastAsia="Times New Roman" w:hAnsi="Times New Roman"/>
          <w:sz w:val="18"/>
          <w:szCs w:val="18"/>
          <w:color w:val="auto"/>
        </w:rPr>
        <w:t>In October 2021, we signed a royalty monetization agreement (“Jemperli Royalty Monetization Agreement”) with Sagard Healthcare Royalty Partners, LP (“Sagard”). Under the terms of the Jemperli Royalty Monetization Agreement, we received $250.0 million in exchange for royalties and milestones payable to us under our GSK collaboration on annual global net sales of Jemperli.</w:t>
      </w:r>
    </w:p>
    <w:p>
      <w:pPr>
        <w:spacing w:after="0" w:line="169" w:lineRule="exact"/>
        <w:rPr>
          <w:sz w:val="20"/>
          <w:szCs w:val="20"/>
          <w:color w:val="auto"/>
        </w:rPr>
      </w:pPr>
    </w:p>
    <w:p>
      <w:pPr>
        <w:ind w:right="40" w:firstLine="659"/>
        <w:spacing w:after="0" w:line="302" w:lineRule="auto"/>
        <w:rPr>
          <w:sz w:val="20"/>
          <w:szCs w:val="20"/>
          <w:color w:val="auto"/>
        </w:rPr>
      </w:pPr>
      <w:r>
        <w:rPr>
          <w:rFonts w:ascii="Times New Roman" w:cs="Times New Roman" w:eastAsia="Times New Roman" w:hAnsi="Times New Roman"/>
          <w:sz w:val="18"/>
          <w:szCs w:val="18"/>
          <w:color w:val="auto"/>
        </w:rPr>
        <w:t>In May 2024, we entered into an amendment to the Jemperli Royalty Monetization Agreement, Amendment No. 1 (the “Jemperli Amendment”) under which we sold additional receivables to Sagard in exchange for $50.0 million. The Jemperli Amendment includes all Jemperli sales, including any product containing Jemperli, whether or not such product constitutes a combination product, and the threshold amounts of aggregate Jemperli royalties and milestones to be received by Sagard under the</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1" w:name="page12"/>
    <w:bookmarkEnd w:id="11"/>
    <w:p>
      <w:pPr>
        <w:jc w:val="both"/>
        <w:ind w:right="440"/>
        <w:spacing w:after="0" w:line="297" w:lineRule="auto"/>
        <w:rPr>
          <w:sz w:val="20"/>
          <w:szCs w:val="20"/>
          <w:color w:val="auto"/>
        </w:rPr>
      </w:pPr>
      <w:r>
        <w:rPr>
          <w:rFonts w:ascii="Times New Roman" w:cs="Times New Roman" w:eastAsia="Times New Roman" w:hAnsi="Times New Roman"/>
          <w:sz w:val="18"/>
          <w:szCs w:val="18"/>
          <w:color w:val="auto"/>
        </w:rPr>
        <w:t>Jemperli Amendment is either $600.0 million if received by the end of March 31, 2031, or $675.0 million if received thereafter. Once either of these thresholds are met, the Jemperli Royalty Monetization Agreement and the Jemperli Amendment will expire, resulting in us regaining all subsequent Jemperli royalties and milestones. As of December 31, 2025, Sagard has accrued approximately $250.0 million in royalties and milestones. For more information, see Note 5 — Sale of Future Royalties in the accompanying notes to the consolidated financial statements.</w:t>
      </w:r>
    </w:p>
    <w:p>
      <w:pPr>
        <w:spacing w:after="0" w:line="190" w:lineRule="exact"/>
        <w:rPr>
          <w:sz w:val="20"/>
          <w:szCs w:val="20"/>
          <w:color w:val="auto"/>
        </w:rPr>
      </w:pPr>
    </w:p>
    <w:p>
      <w:pPr>
        <w:ind w:firstLine="659"/>
        <w:spacing w:after="0" w:line="297" w:lineRule="auto"/>
        <w:rPr>
          <w:sz w:val="20"/>
          <w:szCs w:val="20"/>
          <w:color w:val="auto"/>
        </w:rPr>
      </w:pPr>
      <w:r>
        <w:rPr>
          <w:rFonts w:ascii="Times New Roman" w:cs="Times New Roman" w:eastAsia="Times New Roman" w:hAnsi="Times New Roman"/>
          <w:sz w:val="18"/>
          <w:szCs w:val="18"/>
          <w:color w:val="auto"/>
        </w:rPr>
        <w:t>The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ind w:right="100" w:firstLine="659"/>
        <w:spacing w:after="0" w:line="288" w:lineRule="auto"/>
        <w:rPr>
          <w:sz w:val="20"/>
          <w:szCs w:val="20"/>
          <w:color w:val="auto"/>
        </w:rPr>
      </w:pPr>
      <w:r>
        <w:rPr>
          <w:rFonts w:ascii="Times New Roman" w:cs="Times New Roman" w:eastAsia="Times New Roman" w:hAnsi="Times New Roman"/>
          <w:sz w:val="18"/>
          <w:szCs w:val="18"/>
          <w:color w:val="auto"/>
        </w:rPr>
        <w:t>Our intellectual property is critical to our business and we strive to protect it, including by obtaining and maintaining patent protection in the United States and internationally for product candidates, novel biological discoveries, epitopes, new therapeutic approaches and potential indications, and other inventions that are important to our business. In total, our patent portfolio, including patents co-owned with GSK, patents licensed from Centessa Pharmaceuticals (UK) Ltd. (“Centessa”), and patents to certain antibody discovery technology consisted of approximately 96 issued patents and 120 pending patent applications as of December 31, 2025. The foregoing does not include certain patents and patent applications that are not material to our business and which we intend to let lapse.</w:t>
      </w:r>
    </w:p>
    <w:p>
      <w:pPr>
        <w:spacing w:after="0" w:line="184" w:lineRule="exact"/>
        <w:rPr>
          <w:sz w:val="20"/>
          <w:szCs w:val="20"/>
          <w:color w:val="auto"/>
        </w:rPr>
      </w:pPr>
    </w:p>
    <w:p>
      <w:pPr>
        <w:ind w:right="360" w:firstLine="659"/>
        <w:spacing w:after="0" w:line="297" w:lineRule="auto"/>
        <w:rPr>
          <w:sz w:val="20"/>
          <w:szCs w:val="20"/>
          <w:color w:val="auto"/>
        </w:rPr>
      </w:pPr>
      <w:r>
        <w:rPr>
          <w:rFonts w:ascii="Times New Roman" w:cs="Times New Roman" w:eastAsia="Times New Roman" w:hAnsi="Times New Roman"/>
          <w:sz w:val="18"/>
          <w:szCs w:val="18"/>
          <w:color w:val="auto"/>
        </w:rPr>
        <w:t>For our product candidates, generally we initially pursue patent protection covering compositions of matter including antibody sequences, methods of use, and methods of production. Throughout the development of our product candidates, we seek to identify additional means of obtaining patent protection that would potentially enhance commercial success.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patent portfolios for our internal programs are outlined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Rosnilimab</w:t>
      </w:r>
    </w:p>
    <w:p>
      <w:pPr>
        <w:spacing w:after="0" w:line="162" w:lineRule="exact"/>
        <w:rPr>
          <w:sz w:val="20"/>
          <w:szCs w:val="20"/>
          <w:color w:val="auto"/>
        </w:rPr>
      </w:pPr>
    </w:p>
    <w:p>
      <w:pPr>
        <w:ind w:right="60" w:firstLine="659"/>
        <w:spacing w:after="0" w:line="292" w:lineRule="auto"/>
        <w:rPr>
          <w:sz w:val="20"/>
          <w:szCs w:val="20"/>
          <w:color w:val="auto"/>
        </w:rPr>
      </w:pPr>
      <w:r>
        <w:rPr>
          <w:rFonts w:ascii="Times New Roman" w:cs="Times New Roman" w:eastAsia="Times New Roman" w:hAnsi="Times New Roman"/>
          <w:sz w:val="18"/>
          <w:szCs w:val="18"/>
          <w:color w:val="auto"/>
        </w:rPr>
        <w:t>As of December 31, 2025, we owned 33 patents and pending patent applications in various countries directed to the antibody sequence of rosnilimab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June 2040.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ANB033</w:t>
      </w:r>
    </w:p>
    <w:p>
      <w:pPr>
        <w:spacing w:after="0" w:line="148" w:lineRule="exact"/>
        <w:rPr>
          <w:sz w:val="20"/>
          <w:szCs w:val="20"/>
          <w:color w:val="auto"/>
        </w:rPr>
      </w:pPr>
    </w:p>
    <w:p>
      <w:pPr>
        <w:ind w:right="20" w:firstLine="659"/>
        <w:spacing w:after="0" w:line="289" w:lineRule="auto"/>
        <w:rPr>
          <w:sz w:val="20"/>
          <w:szCs w:val="20"/>
          <w:color w:val="auto"/>
        </w:rPr>
      </w:pPr>
      <w:r>
        <w:rPr>
          <w:rFonts w:ascii="Times New Roman" w:cs="Times New Roman" w:eastAsia="Times New Roman" w:hAnsi="Times New Roman"/>
          <w:sz w:val="18"/>
          <w:szCs w:val="18"/>
          <w:color w:val="auto"/>
        </w:rPr>
        <w:t>As of December 31, 2025, we owned 16 pending U.S. provisional patent application and one pending international (PCT) patent application directed to the antibody sequence of ANB033 and its variants, methods of use and related matters. We intend to prosecute these patent applications, file additional patent applications claiming priority to these patent applications, and pursue patent issuance, in key commercial markets where significant product sales may occur. Patents that may issue claiming priority to these patent applications could provide protection for aspects of this product candidate until September 2045.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ANB101</w:t>
      </w:r>
    </w:p>
    <w:p>
      <w:pPr>
        <w:spacing w:after="0" w:line="148" w:lineRule="exact"/>
        <w:rPr>
          <w:sz w:val="20"/>
          <w:szCs w:val="20"/>
          <w:color w:val="auto"/>
        </w:rPr>
      </w:pPr>
    </w:p>
    <w:p>
      <w:pPr>
        <w:ind w:right="140" w:firstLine="659"/>
        <w:spacing w:after="0" w:line="292" w:lineRule="auto"/>
        <w:rPr>
          <w:sz w:val="20"/>
          <w:szCs w:val="20"/>
          <w:color w:val="auto"/>
        </w:rPr>
      </w:pPr>
      <w:r>
        <w:rPr>
          <w:rFonts w:ascii="Times New Roman" w:cs="Times New Roman" w:eastAsia="Times New Roman" w:hAnsi="Times New Roman"/>
          <w:sz w:val="18"/>
          <w:szCs w:val="18"/>
          <w:color w:val="auto"/>
        </w:rPr>
        <w:t>As of December 31, 2025, we owned rights to 17 pending patent applications in various countries directed to the antibody sequence of ANB101 and its variants, methods of use and related matters. We intend to prosecute the pending applications, and/or other patent applications claiming priority thereto, and pursue patent issuance and protection in key commercial markets where significant product sales may occur. Patents that may issue from or claim priority to the pending applications could provide protection for aspects of these product candidates until August 2040.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Dostarlimab (GSK4057190)</w:t>
      </w:r>
    </w:p>
    <w:p>
      <w:pPr>
        <w:spacing w:after="0" w:line="162" w:lineRule="exact"/>
        <w:rPr>
          <w:sz w:val="20"/>
          <w:szCs w:val="20"/>
          <w:color w:val="auto"/>
        </w:rPr>
      </w:pPr>
    </w:p>
    <w:p>
      <w:pPr>
        <w:ind w:right="280" w:firstLine="659"/>
        <w:spacing w:after="0" w:line="297" w:lineRule="auto"/>
        <w:rPr>
          <w:sz w:val="20"/>
          <w:szCs w:val="20"/>
          <w:color w:val="auto"/>
        </w:rPr>
      </w:pPr>
      <w:r>
        <w:rPr>
          <w:rFonts w:ascii="Times New Roman" w:cs="Times New Roman" w:eastAsia="Times New Roman" w:hAnsi="Times New Roman"/>
          <w:sz w:val="18"/>
          <w:szCs w:val="18"/>
          <w:color w:val="auto"/>
        </w:rPr>
        <w:t>As of December 31, 2025, we owned or co-owned 26 patents and patent applications in various countries directed to the antibody sequence of GSK4057190 (dostarlimab), a PD-1 antagonist, and its variants, methods of use and related matters. We intend to prosecute our pending applications, and/or other patent applications claiming priority thereto, and pursue patent issuance and</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12" w:name="page13"/>
    <w:bookmarkEnd w:id="12"/>
    <w:p>
      <w:pPr>
        <w:ind w:right="180"/>
        <w:spacing w:after="0" w:line="313" w:lineRule="auto"/>
        <w:rPr>
          <w:sz w:val="20"/>
          <w:szCs w:val="20"/>
          <w:color w:val="auto"/>
        </w:rPr>
      </w:pPr>
      <w:r>
        <w:rPr>
          <w:rFonts w:ascii="Times New Roman" w:cs="Times New Roman" w:eastAsia="Times New Roman" w:hAnsi="Times New Roman"/>
          <w:sz w:val="18"/>
          <w:szCs w:val="18"/>
          <w:color w:val="auto"/>
        </w:rPr>
        <w:t>protection in key commercial markets where significant product sales may occur. Patents that have issued, or that may issue from or claim priority to our pending applications, could provide protection for aspects of this product until June 2038.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Imsidolimab</w:t>
      </w:r>
    </w:p>
    <w:p>
      <w:pPr>
        <w:spacing w:after="0" w:line="162" w:lineRule="exact"/>
        <w:rPr>
          <w:sz w:val="20"/>
          <w:szCs w:val="20"/>
          <w:color w:val="auto"/>
        </w:rPr>
      </w:pPr>
    </w:p>
    <w:p>
      <w:pPr>
        <w:jc w:val="both"/>
        <w:ind w:firstLine="659"/>
        <w:spacing w:after="0" w:line="297" w:lineRule="auto"/>
        <w:rPr>
          <w:sz w:val="20"/>
          <w:szCs w:val="20"/>
          <w:color w:val="auto"/>
        </w:rPr>
      </w:pPr>
      <w:r>
        <w:rPr>
          <w:rFonts w:ascii="Times New Roman" w:cs="Times New Roman" w:eastAsia="Times New Roman" w:hAnsi="Times New Roman"/>
          <w:sz w:val="18"/>
          <w:szCs w:val="18"/>
          <w:color w:val="auto"/>
        </w:rPr>
        <w:t>As of December 31, 2025, we owned 45 patents and patent applications in various countries directed to the antibody sequence of imsidolimab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May 2042.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with Centessa</w:t>
      </w:r>
    </w:p>
    <w:p>
      <w:pPr>
        <w:spacing w:after="0" w:line="148" w:lineRule="exact"/>
        <w:rPr>
          <w:sz w:val="20"/>
          <w:szCs w:val="20"/>
          <w:color w:val="auto"/>
        </w:rPr>
      </w:pPr>
    </w:p>
    <w:p>
      <w:pPr>
        <w:ind w:right="400" w:firstLine="659"/>
        <w:spacing w:after="0" w:line="302" w:lineRule="auto"/>
        <w:rPr>
          <w:sz w:val="20"/>
          <w:szCs w:val="20"/>
          <w:color w:val="auto"/>
        </w:rPr>
      </w:pPr>
      <w:r>
        <w:rPr>
          <w:rFonts w:ascii="Times New Roman" w:cs="Times New Roman" w:eastAsia="Times New Roman" w:hAnsi="Times New Roman"/>
          <w:sz w:val="18"/>
          <w:szCs w:val="18"/>
          <w:color w:val="auto"/>
        </w:rPr>
        <w:t>On November 24, 2023, we entered into an exclusive license agreement (as amended, the “Centessa Agreement”) with Centessa, pursuant to which we acquired the exclusive global development and commercialization rights to a blood dendritic cell antigen 2 (BDCA2) modulator antibody portfolio, including lead asset CBS004 (renamed ANB101) and the related family of antibodies, for the treatment of autoimmune and inflammatory diseases.</w:t>
      </w:r>
    </w:p>
    <w:p>
      <w:pPr>
        <w:spacing w:after="0" w:line="65" w:lineRule="exact"/>
        <w:rPr>
          <w:sz w:val="20"/>
          <w:szCs w:val="20"/>
          <w:color w:val="auto"/>
        </w:rPr>
      </w:pPr>
    </w:p>
    <w:p>
      <w:pPr>
        <w:ind w:right="40" w:firstLine="659"/>
        <w:spacing w:after="0" w:line="297" w:lineRule="auto"/>
        <w:rPr>
          <w:sz w:val="20"/>
          <w:szCs w:val="20"/>
          <w:color w:val="auto"/>
        </w:rPr>
      </w:pPr>
      <w:r>
        <w:rPr>
          <w:rFonts w:ascii="Times New Roman" w:cs="Times New Roman" w:eastAsia="Times New Roman" w:hAnsi="Times New Roman"/>
          <w:sz w:val="18"/>
          <w:szCs w:val="18"/>
          <w:color w:val="auto"/>
        </w:rPr>
        <w:t>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spacing w:after="0" w:line="82" w:lineRule="exact"/>
        <w:rPr>
          <w:sz w:val="20"/>
          <w:szCs w:val="20"/>
          <w:color w:val="auto"/>
        </w:rPr>
      </w:pPr>
    </w:p>
    <w:p>
      <w:pPr>
        <w:ind w:right="60" w:firstLine="659"/>
        <w:spacing w:after="0" w:line="294" w:lineRule="auto"/>
        <w:rPr>
          <w:sz w:val="20"/>
          <w:szCs w:val="20"/>
          <w:color w:val="auto"/>
        </w:rPr>
      </w:pPr>
      <w:r>
        <w:rPr>
          <w:rFonts w:ascii="Times New Roman" w:cs="Times New Roman" w:eastAsia="Times New Roman" w:hAnsi="Times New Roman"/>
          <w:sz w:val="18"/>
          <w:szCs w:val="18"/>
          <w:color w:val="auto"/>
        </w:rPr>
        <w:t>Under the terms of the Centessa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until, on a product-by-product and country-by-country basis, the latest of: (a) expiration of the last-to-expire licensed patent covering such product in such country, (b) expiration of regulatory exclusivity for such product in such country and (c) ten years after the first commercial sale of such product in such country. We have not recognized a liability for the associated $10.0 million contingent consideration because, as of December 31, 2025, achievement of the milestone is not probable in the near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Intellectual Property Matters</w:t>
      </w:r>
    </w:p>
    <w:p>
      <w:pPr>
        <w:spacing w:after="0" w:line="148" w:lineRule="exact"/>
        <w:rPr>
          <w:sz w:val="20"/>
          <w:szCs w:val="20"/>
          <w:color w:val="auto"/>
        </w:rPr>
      </w:pPr>
    </w:p>
    <w:p>
      <w:pPr>
        <w:ind w:right="40" w:firstLine="659"/>
        <w:spacing w:after="0" w:line="294" w:lineRule="auto"/>
        <w:rPr>
          <w:sz w:val="20"/>
          <w:szCs w:val="20"/>
          <w:color w:val="auto"/>
        </w:rPr>
      </w:pPr>
      <w:r>
        <w:rPr>
          <w:rFonts w:ascii="Times New Roman" w:cs="Times New Roman" w:eastAsia="Times New Roman" w:hAnsi="Times New Roman"/>
          <w:sz w:val="18"/>
          <w:szCs w:val="18"/>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 Risks Related to Our Intellectual Property.”</w:t>
      </w:r>
    </w:p>
    <w:p>
      <w:pPr>
        <w:spacing w:after="0" w:line="85" w:lineRule="exact"/>
        <w:rPr>
          <w:sz w:val="20"/>
          <w:szCs w:val="20"/>
          <w:color w:val="auto"/>
        </w:rPr>
      </w:pPr>
    </w:p>
    <w:p>
      <w:pPr>
        <w:ind w:right="60" w:firstLine="659"/>
        <w:spacing w:after="0" w:line="290"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(“PTA”) under certain circumstances to compensate for delays in obtaining the patent from the U.S. Patent and Trademark Office (“USPTO”). In some instances, such a PTA may result in a U.S. patent term extending beyond 20 years from the earliest date of filing a non-provisional patent application related to the U.S. patent. In addition,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3" w:name="page14"/>
    <w:bookmarkEnd w:id="13"/>
    <w:p>
      <w:pPr>
        <w:ind w:right="380"/>
        <w:spacing w:after="0" w:line="313" w:lineRule="auto"/>
        <w:rPr>
          <w:sz w:val="20"/>
          <w:szCs w:val="20"/>
          <w:color w:val="auto"/>
        </w:rPr>
      </w:pPr>
      <w:r>
        <w:rPr>
          <w:rFonts w:ascii="Times New Roman" w:cs="Times New Roman" w:eastAsia="Times New Roman" w:hAnsi="Times New Roman"/>
          <w:sz w:val="18"/>
          <w:szCs w:val="18"/>
          <w:color w:val="auto"/>
        </w:rPr>
        <w:t>there is no guarantee that the applicable authorities, including the FDA in the United States, will agree with our assessment of whether such extensions should be granted, and if granted, the length of such extensions.</w:t>
      </w:r>
    </w:p>
    <w:p>
      <w:pPr>
        <w:spacing w:after="0" w:line="68" w:lineRule="exact"/>
        <w:rPr>
          <w:sz w:val="20"/>
          <w:szCs w:val="20"/>
          <w:color w:val="auto"/>
        </w:rPr>
      </w:pPr>
    </w:p>
    <w:p>
      <w:pPr>
        <w:ind w:right="80" w:firstLine="659"/>
        <w:spacing w:after="0" w:line="293" w:lineRule="auto"/>
        <w:rPr>
          <w:sz w:val="20"/>
          <w:szCs w:val="20"/>
          <w:color w:val="auto"/>
        </w:rPr>
      </w:pPr>
      <w:r>
        <w:rPr>
          <w:rFonts w:ascii="Times New Roman" w:cs="Times New Roman" w:eastAsia="Times New Roman" w:hAnsi="Times New Roman"/>
          <w:sz w:val="18"/>
          <w:szCs w:val="18"/>
          <w:color w:val="auto"/>
        </w:rPr>
        <w:t>We also rely on trade secrets relating to our research and development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w:t>
      </w:r>
    </w:p>
    <w:p>
      <w:pPr>
        <w:spacing w:after="0" w:line="87" w:lineRule="exact"/>
        <w:rPr>
          <w:sz w:val="20"/>
          <w:szCs w:val="20"/>
          <w:color w:val="auto"/>
        </w:rPr>
      </w:pPr>
    </w:p>
    <w:p>
      <w:pPr>
        <w:ind w:right="140" w:firstLine="659"/>
        <w:spacing w:after="0" w:line="294" w:lineRule="auto"/>
        <w:rPr>
          <w:sz w:val="20"/>
          <w:szCs w:val="20"/>
          <w:color w:val="auto"/>
        </w:rPr>
      </w:pPr>
      <w:r>
        <w:rPr>
          <w:rFonts w:ascii="Times New Roman" w:cs="Times New Roman" w:eastAsia="Times New Roman" w:hAnsi="Times New Roman"/>
          <w:sz w:val="18"/>
          <w:szCs w:val="18"/>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48"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We must manufacture our product candidates for clinical trial use in compliance with current good manufacturing practices (“cGMP”) regulations. The cGMP regulations include requirements relating to organization of personnel, buildings and facilities, equipment, control of materials,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global regulatory requirements before any product is approved and we can manufacture commercial products. Our third party manufacturers will be subject to periodic regulatory inspections of facilities by the FDA and other authorities, including procedures and operations used in the testing and manufacture of our products to assess compliance with applicable regulations.</w:t>
      </w:r>
    </w:p>
    <w:p>
      <w:pPr>
        <w:spacing w:after="0" w:line="75" w:lineRule="exact"/>
        <w:rPr>
          <w:sz w:val="20"/>
          <w:szCs w:val="20"/>
          <w:color w:val="auto"/>
        </w:rPr>
      </w:pPr>
    </w:p>
    <w:p>
      <w:pPr>
        <w:ind w:right="180" w:firstLine="659"/>
        <w:spacing w:after="0" w:line="305" w:lineRule="auto"/>
        <w:rPr>
          <w:sz w:val="20"/>
          <w:szCs w:val="20"/>
          <w:color w:val="auto"/>
        </w:rPr>
      </w:pPr>
      <w:r>
        <w:rPr>
          <w:rFonts w:ascii="Times New Roman" w:cs="Times New Roman" w:eastAsia="Times New Roman" w:hAnsi="Times New Roman"/>
          <w:sz w:val="18"/>
          <w:szCs w:val="18"/>
          <w:color w:val="auto"/>
        </w:rPr>
        <w:t xml:space="preserve">Our internal manufacturing capabilities include non-cGMP antibody and reagent production using small scale quantities for characterization and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preclinical assessment of product candidates. We do not have and we do not currently plan to acquire or develop the facilities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capabilities to manufacture our product candidates for use in human clinical trials.</w:t>
      </w:r>
    </w:p>
    <w:p>
      <w:pPr>
        <w:spacing w:after="0" w:line="61" w:lineRule="exact"/>
        <w:rPr>
          <w:sz w:val="20"/>
          <w:szCs w:val="20"/>
          <w:color w:val="auto"/>
        </w:rPr>
      </w:pPr>
    </w:p>
    <w:p>
      <w:pPr>
        <w:ind w:right="60" w:firstLine="659"/>
        <w:spacing w:after="0" w:line="294" w:lineRule="auto"/>
        <w:rPr>
          <w:sz w:val="20"/>
          <w:szCs w:val="20"/>
          <w:color w:val="auto"/>
        </w:rPr>
      </w:pPr>
      <w:r>
        <w:rPr>
          <w:rFonts w:ascii="Times New Roman" w:cs="Times New Roman" w:eastAsia="Times New Roman" w:hAnsi="Times New Roman"/>
          <w:sz w:val="18"/>
          <w:szCs w:val="18"/>
          <w:color w:val="auto"/>
        </w:rPr>
        <w:t>We rely on third party manufacturers to generate cGMP compliant cell lines and will rely on them to produce cGMP drug substance and drug product required for our clinical trials, and we expect to continue to rely on third parties to manufacture clinical trial drug supplies for the foreseeable future. We also contract with additional third parties for the testing, labeling, packaging, storage and distribution of investigational drug products. We have personnel with significant technical, manufacturing, analytical, quality, including cGMP regulations, and project management experience to oversee our third party manufacturers and to manage manufacturing and quality data and information for regulatory compliance purposes. While our contract manufacturers have not yet produced commercially-approved cGMP batches of our product candidates, they have previously manufactured products for other companies in compliance with cGMP regulations and have been previously inspected by regulatory authorities for compliance with cGMP standards.</w:t>
      </w:r>
    </w:p>
    <w:p>
      <w:pPr>
        <w:spacing w:after="0" w:line="75" w:lineRule="exact"/>
        <w:rPr>
          <w:sz w:val="20"/>
          <w:szCs w:val="20"/>
          <w:color w:val="auto"/>
        </w:rPr>
      </w:pPr>
    </w:p>
    <w:p>
      <w:pPr>
        <w:ind w:right="260" w:firstLine="659"/>
        <w:spacing w:after="0" w:line="297" w:lineRule="auto"/>
        <w:rPr>
          <w:sz w:val="20"/>
          <w:szCs w:val="20"/>
          <w:color w:val="auto"/>
        </w:rPr>
      </w:pPr>
      <w:r>
        <w:rPr>
          <w:rFonts w:ascii="Times New Roman" w:cs="Times New Roman" w:eastAsia="Times New Roman" w:hAnsi="Times New Roman"/>
          <w:sz w:val="18"/>
          <w:szCs w:val="18"/>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Third party manufacturers often encounter difficulties involving production yields, quality control and quality assurance, as well as shortages of qualified personnel.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ind w:right="40" w:firstLine="659"/>
        <w:spacing w:after="0" w:line="29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 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75"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87" w:lineRule="exact"/>
        <w:rPr>
          <w:sz w:val="20"/>
          <w:szCs w:val="20"/>
          <w:color w:val="auto"/>
        </w:rPr>
      </w:pPr>
    </w:p>
    <w:p>
      <w:pPr>
        <w:ind w:right="20" w:firstLine="659"/>
        <w:spacing w:after="0" w:line="313" w:lineRule="auto"/>
        <w:rPr>
          <w:sz w:val="20"/>
          <w:szCs w:val="20"/>
          <w:color w:val="auto"/>
        </w:rPr>
      </w:pPr>
      <w:r>
        <w:rPr>
          <w:rFonts w:ascii="Times New Roman" w:cs="Times New Roman" w:eastAsia="Times New Roman" w:hAnsi="Times New Roman"/>
          <w:sz w:val="18"/>
          <w:szCs w:val="18"/>
          <w:color w:val="auto"/>
        </w:rPr>
        <w:t>Specifically, there are several companies developing or marketing treatments that may be approved for the same indications and/or diseases as our product candidates, including major pharmaceutical companies.</w:t>
      </w:r>
    </w:p>
    <w:p>
      <w:pPr>
        <w:spacing w:after="0" w:line="68"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For rosnilimab, our competitors include non-depleting PD-1 agonist antibodies GS-0151, (Gilead) in Phase 1b development for the treatment of rheumatoid arthritis, and S-4321 (Seismic Therapeutics)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w:t>
      </w:r>
    </w:p>
    <w:p>
      <w:pPr>
        <w:spacing w:after="0" w:line="69" w:lineRule="exact"/>
        <w:rPr>
          <w:sz w:val="20"/>
          <w:szCs w:val="20"/>
          <w:color w:val="auto"/>
        </w:rPr>
      </w:pPr>
    </w:p>
    <w:p>
      <w:pPr>
        <w:ind w:firstLine="659"/>
        <w:spacing w:after="0" w:line="297" w:lineRule="auto"/>
        <w:rPr>
          <w:sz w:val="20"/>
          <w:szCs w:val="20"/>
          <w:color w:val="auto"/>
        </w:rPr>
      </w:pPr>
      <w:r>
        <w:rPr>
          <w:rFonts w:ascii="Times New Roman" w:cs="Times New Roman" w:eastAsia="Times New Roman" w:hAnsi="Times New Roman"/>
          <w:sz w:val="18"/>
          <w:szCs w:val="18"/>
          <w:color w:val="auto"/>
        </w:rPr>
        <w:t>For our anti-CD122 antagonist antibody program, our clinical competitors include an anti-CD122 antagonist antibody, FB-102 (Forte Bioscience) in Phase 2a development for the treatment of CeD, Phase 1b development for the treatment of vitiligo, and Phase 1b development for the treatment of alopecia areata, and two anti-IL-15 monoclonal antibodies, GIA632 (Novartis) in Phase 2a development for atopic dermatitis and with proof-of-concept, Phase 1b data for the treatment of CeD and EoE, and TEV-53408 (Teva), in Phase 2 development for the treatment of CeD and vitiligo. To date, there are no FDA-approved therapies for the treatment of celiac disease and only one FDA-approved biologic, Dupixent, for the treatment of EoE.</w:t>
      </w:r>
    </w:p>
    <w:p>
      <w:pPr>
        <w:spacing w:after="0" w:line="69" w:lineRule="exact"/>
        <w:rPr>
          <w:sz w:val="20"/>
          <w:szCs w:val="20"/>
          <w:color w:val="auto"/>
        </w:rPr>
      </w:pPr>
    </w:p>
    <w:p>
      <w:pPr>
        <w:jc w:val="both"/>
        <w:ind w:right="200" w:firstLine="659"/>
        <w:spacing w:after="0" w:line="305" w:lineRule="auto"/>
        <w:rPr>
          <w:sz w:val="20"/>
          <w:szCs w:val="20"/>
          <w:color w:val="auto"/>
        </w:rPr>
      </w:pPr>
      <w:r>
        <w:rPr>
          <w:rFonts w:ascii="Times New Roman" w:cs="Times New Roman" w:eastAsia="Times New Roman" w:hAnsi="Times New Roman"/>
          <w:sz w:val="18"/>
          <w:szCs w:val="18"/>
          <w:color w:val="auto"/>
        </w:rPr>
        <w:t>For our anti-BDCA2 program, our competitors include another anti-BDCA2 antibody, litifilimab (Biogen) in Phase 3 development for SLE and CLE, and a bispecific fusion protein targeting BDCA2 and BAFF/APRIL, DNTH212 (Dianthus Therapeutics) in Phase 1 development, and an anti-ILT7 antibody, daxdilimab (Amgen) in Phase 2 development.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62" w:lineRule="exact"/>
        <w:rPr>
          <w:sz w:val="20"/>
          <w:szCs w:val="20"/>
          <w:color w:val="auto"/>
        </w:rPr>
      </w:pPr>
    </w:p>
    <w:p>
      <w:pPr>
        <w:ind w:right="180" w:firstLine="659"/>
        <w:spacing w:after="0" w:line="293"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FDA approval process</w:t>
      </w:r>
    </w:p>
    <w:p>
      <w:pPr>
        <w:spacing w:after="0" w:line="148" w:lineRule="exact"/>
        <w:rPr>
          <w:sz w:val="20"/>
          <w:szCs w:val="20"/>
          <w:color w:val="auto"/>
        </w:rPr>
      </w:pPr>
    </w:p>
    <w:p>
      <w:pPr>
        <w:ind w:firstLine="659"/>
        <w:spacing w:after="0" w:line="287"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The Federal Food, Drug, and Cosmetic Act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(“NDAs”). Biological products are approved for marketing under provisions of the Public Health Service Act (“PHSA”), via a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76" w:lineRule="exact"/>
        <w:rPr>
          <w:sz w:val="20"/>
          <w:szCs w:val="20"/>
          <w:color w:val="auto"/>
        </w:rPr>
      </w:pPr>
    </w:p>
    <w:p>
      <w:pPr>
        <w:ind w:firstLine="659"/>
        <w:spacing w:after="0" w:line="289" w:lineRule="auto"/>
        <w:rPr>
          <w:sz w:val="20"/>
          <w:szCs w:val="20"/>
          <w:color w:val="auto"/>
        </w:rPr>
      </w:pPr>
      <w:r>
        <w:rPr>
          <w:rFonts w:ascii="Times New Roman" w:cs="Times New Roman" w:eastAsia="Times New Roman" w:hAnsi="Times New Roman"/>
          <w:sz w:val="18"/>
          <w:szCs w:val="18"/>
          <w:color w:val="auto"/>
        </w:rPr>
        <w:t>Biological product development for a new product or certain changes to an approved product in the United States typically involves preclinical laboratory and animal tests, the submission to the FDA of an investigational new drug application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77" w:lineRule="exact"/>
        <w:rPr>
          <w:sz w:val="20"/>
          <w:szCs w:val="20"/>
          <w:color w:val="auto"/>
        </w:rPr>
      </w:pPr>
    </w:p>
    <w:p>
      <w:pPr>
        <w:ind w:firstLine="659"/>
        <w:spacing w:after="0" w:line="286"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 (ii) in compliance with good clinical practices (“GCPs”),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78" w:lineRule="exact"/>
        <w:rPr>
          <w:sz w:val="20"/>
          <w:szCs w:val="20"/>
          <w:color w:val="auto"/>
        </w:rPr>
      </w:pPr>
    </w:p>
    <w:p>
      <w:pPr>
        <w:ind w:right="80" w:firstLine="659"/>
        <w:spacing w:after="0" w:line="289"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(“IRB”) for approval. An IRB may also require the clinical trial at the site to be halted, either temporarily or permanently, for failure to comply with the IRB’s requirements, or may impose other conditions.</w:t>
      </w:r>
    </w:p>
    <w:p>
      <w:pPr>
        <w:spacing w:after="0" w:line="77" w:lineRule="exact"/>
        <w:rPr>
          <w:sz w:val="20"/>
          <w:szCs w:val="20"/>
          <w:color w:val="auto"/>
        </w:rPr>
      </w:pPr>
    </w:p>
    <w:p>
      <w:pPr>
        <w:ind w:right="60" w:firstLine="659"/>
        <w:spacing w:after="0" w:line="286" w:lineRule="auto"/>
        <w:rPr>
          <w:sz w:val="20"/>
          <w:szCs w:val="20"/>
          <w:color w:val="auto"/>
        </w:rPr>
      </w:pPr>
      <w:r>
        <w:rPr>
          <w:rFonts w:ascii="Times New Roman" w:cs="Times New Roman" w:eastAsia="Times New Roman" w:hAnsi="Times New Roman"/>
          <w:sz w:val="18"/>
          <w:szCs w:val="18"/>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clinical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clinical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clinical trial may be sufficient in rare instances, including (i) where the clinical trial is a large multicenter clinical trial demonstrating internal consistency and a statistically persuasive finding of a clinically meaningful effect on mortality, irreversible morbidity or prevention of a disease with a potentially serious outcome and confirmation of the result in a second clinical trial would be practically or ethically impossible or (ii) when in conjunction with other confirmatory evidence.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16" w:name="page17"/>
    <w:bookmarkEnd w:id="16"/>
    <w:p>
      <w:pPr>
        <w:ind w:firstLine="659"/>
        <w:spacing w:after="0" w:line="290" w:lineRule="auto"/>
        <w:rPr>
          <w:sz w:val="20"/>
          <w:szCs w:val="20"/>
          <w:color w:val="auto"/>
        </w:rPr>
      </w:pPr>
      <w:r>
        <w:rPr>
          <w:rFonts w:ascii="Times New Roman" w:cs="Times New Roman" w:eastAsia="Times New Roman" w:hAnsi="Times New Roman"/>
          <w:sz w:val="18"/>
          <w:szCs w:val="18"/>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filed, the FDA begins an in-depth review. The FDA has agreed to certain performance goals in the review of BLAs. Most such applications for standard review biologic products are reviewed within 10 months of the date the BLA is filed with the FDA; most applications for priority review biologics are reviewed within six months of the date the BLA is filed with the FDA.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90" w:lineRule="exact"/>
        <w:rPr>
          <w:sz w:val="20"/>
          <w:szCs w:val="20"/>
          <w:color w:val="auto"/>
        </w:rPr>
      </w:pPr>
    </w:p>
    <w:p>
      <w:pPr>
        <w:ind w:right="120" w:firstLine="659"/>
        <w:spacing w:after="0" w:line="294" w:lineRule="auto"/>
        <w:rPr>
          <w:sz w:val="20"/>
          <w:szCs w:val="20"/>
          <w:color w:val="auto"/>
        </w:rPr>
      </w:pPr>
      <w:r>
        <w:rPr>
          <w:rFonts w:ascii="Times New Roman" w:cs="Times New Roman" w:eastAsia="Times New Roman" w:hAnsi="Times New Roman"/>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cGMP regulations is satisfactory and the BLA contains data that provide substantial evidence that the biologic is safe, pure, potent and effective in the indication studied.</w:t>
      </w:r>
    </w:p>
    <w:p>
      <w:pPr>
        <w:spacing w:after="0" w:line="72" w:lineRule="exact"/>
        <w:rPr>
          <w:sz w:val="20"/>
          <w:szCs w:val="20"/>
          <w:color w:val="auto"/>
        </w:rPr>
      </w:pPr>
    </w:p>
    <w:p>
      <w:pPr>
        <w:ind w:right="120" w:firstLine="659"/>
        <w:spacing w:after="0" w:line="292" w:lineRule="auto"/>
        <w:rPr>
          <w:sz w:val="20"/>
          <w:szCs w:val="20"/>
          <w:color w:val="auto"/>
        </w:rPr>
      </w:pPr>
      <w:r>
        <w:rPr>
          <w:rFonts w:ascii="Times New Roman" w:cs="Times New Roman" w:eastAsia="Times New Roman" w:hAnsi="Times New Roman"/>
          <w:sz w:val="18"/>
          <w:szCs w:val="18"/>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risk evaluation and mitigation strategy (“REMS”) to help ensure that the benefits of the biologic outweigh the potential risks. REMS can include medication guides, communication plans for health 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74" w:lineRule="exact"/>
        <w:rPr>
          <w:sz w:val="20"/>
          <w:szCs w:val="20"/>
          <w:color w:val="auto"/>
        </w:rPr>
      </w:pPr>
    </w:p>
    <w:p>
      <w:pPr>
        <w:ind w:firstLine="659"/>
        <w:spacing w:after="0" w:line="297" w:lineRule="auto"/>
        <w:rPr>
          <w:sz w:val="20"/>
          <w:szCs w:val="20"/>
          <w:color w:val="auto"/>
        </w:rPr>
      </w:pPr>
      <w:r>
        <w:rPr>
          <w:rFonts w:ascii="Times New Roman" w:cs="Times New Roman" w:eastAsia="Times New Roman" w:hAnsi="Times New Roman"/>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clinical studies to support an IND</w:t>
      </w:r>
    </w:p>
    <w:p>
      <w:pPr>
        <w:spacing w:after="0" w:line="148"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69"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investigator’s qualifications;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research facilities;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detailed summary of the protocol and study results and, if requested, case records or additional background data;</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ind w:left="760" w:right="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drug substance and drug product, including the components, formulation, specifications, and, if available, the bioavailability of the drug product;</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showing that the study is adequate and well controlled;</w:t>
      </w:r>
    </w:p>
    <w:p>
      <w:pPr>
        <w:spacing w:after="0" w:line="103"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independent ethics committee that reviewed the study and a statement that the independent ethics committee meets the required definition;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independent ethics committee’s decision to approve or modify and approve the study, or to provide a favorable opinion;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how informed consent was obtained;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what incentives, if any, were provided to subjects to participate;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how the sponsors monitored the study and ensured that the study was consistent with the protocol;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how investigators were trained to comply with GCP and to conduct the study in accordance with the study protocol;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on whether written commitments by investigators to comply with GCP and the protocol were obtained.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clinical trial information</w:t>
      </w:r>
    </w:p>
    <w:p>
      <w:pPr>
        <w:spacing w:after="0" w:line="162" w:lineRule="exact"/>
        <w:rPr>
          <w:sz w:val="20"/>
          <w:szCs w:val="20"/>
          <w:color w:val="auto"/>
        </w:rPr>
      </w:pPr>
    </w:p>
    <w:p>
      <w:pPr>
        <w:ind w:right="40" w:firstLine="659"/>
        <w:spacing w:after="0" w:line="293" w:lineRule="auto"/>
        <w:rPr>
          <w:sz w:val="20"/>
          <w:szCs w:val="20"/>
          <w:color w:val="auto"/>
        </w:rPr>
      </w:pPr>
      <w:r>
        <w:rPr>
          <w:rFonts w:ascii="Times New Roman" w:cs="Times New Roman" w:eastAsia="Times New Roman" w:hAnsi="Times New Roman"/>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clinical trials can be delayed in certain circumstances for up to two years after the date of completion of the clinical trial. Competitors may use this publicly available information to gain knowledge regarding the progress of development programs.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Pediatric information</w:t>
      </w:r>
    </w:p>
    <w:p>
      <w:pPr>
        <w:spacing w:after="0" w:line="148" w:lineRule="exact"/>
        <w:rPr>
          <w:sz w:val="20"/>
          <w:szCs w:val="20"/>
          <w:color w:val="auto"/>
        </w:rPr>
      </w:pPr>
    </w:p>
    <w:p>
      <w:pPr>
        <w:ind w:firstLine="659"/>
        <w:spacing w:after="0" w:line="297" w:lineRule="auto"/>
        <w:rPr>
          <w:sz w:val="20"/>
          <w:szCs w:val="20"/>
          <w:color w:val="auto"/>
        </w:rPr>
      </w:pPr>
      <w:r>
        <w:rPr>
          <w:rFonts w:ascii="Times New Roman" w:cs="Times New Roman" w:eastAsia="Times New Roman" w:hAnsi="Times New Roman"/>
          <w:sz w:val="18"/>
          <w:szCs w:val="18"/>
          <w:color w:val="auto"/>
        </w:rPr>
        <w:t>Under the Pediatric Research Equity Act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the PREA does not apply to any biological product for an indication for which Orphan Drug Designation has been granted.</w:t>
      </w:r>
    </w:p>
    <w:p>
      <w:pPr>
        <w:spacing w:after="0" w:line="69" w:lineRule="exact"/>
        <w:rPr>
          <w:sz w:val="20"/>
          <w:szCs w:val="20"/>
          <w:color w:val="auto"/>
        </w:rPr>
      </w:pPr>
    </w:p>
    <w:p>
      <w:pPr>
        <w:ind w:right="120" w:firstLine="659"/>
        <w:spacing w:after="0" w:line="297" w:lineRule="auto"/>
        <w:rPr>
          <w:sz w:val="20"/>
          <w:szCs w:val="20"/>
          <w:color w:val="auto"/>
        </w:rPr>
      </w:pPr>
      <w:r>
        <w:rPr>
          <w:rFonts w:ascii="Times New Roman" w:cs="Times New Roman" w:eastAsia="Times New Roman" w:hAnsi="Times New Roman"/>
          <w:sz w:val="18"/>
          <w:szCs w:val="18"/>
          <w:color w:val="auto"/>
        </w:rPr>
        <w:t>The Best Pharmaceuticals for Children Act (“BPCA”) provides sponsors of NDAs with an additional six-month period of market exclusivity for all unexpired patent or non-patent exclusivity on all forms of the drug containing the active moiety if the sponsor submits results of pediatric studies specifically requested by the FDA under BPCA within required timeframes. The BPCA provides sponsors of BLAs an additional six-month extension for all unexpired non-patent market exclusivity on all forms of the biological containing the active moiety pursuant to the BPCA if the conditions under the BPCA are met.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controls for biologics</w:t>
      </w:r>
    </w:p>
    <w:p>
      <w:pPr>
        <w:spacing w:after="0" w:line="148" w:lineRule="exact"/>
        <w:rPr>
          <w:sz w:val="20"/>
          <w:szCs w:val="20"/>
          <w:color w:val="auto"/>
        </w:rPr>
      </w:pPr>
    </w:p>
    <w:p>
      <w:pPr>
        <w:jc w:val="both"/>
        <w:ind w:right="60" w:firstLine="659"/>
        <w:spacing w:after="0" w:line="302"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65" w:lineRule="exact"/>
        <w:rPr>
          <w:sz w:val="20"/>
          <w:szCs w:val="20"/>
          <w:color w:val="auto"/>
        </w:rPr>
      </w:pPr>
    </w:p>
    <w:p>
      <w:pPr>
        <w:ind w:firstLine="659"/>
        <w:spacing w:after="0" w:line="297" w:lineRule="auto"/>
        <w:rPr>
          <w:sz w:val="20"/>
          <w:szCs w:val="20"/>
          <w:color w:val="auto"/>
        </w:rPr>
      </w:pPr>
      <w:r>
        <w:rPr>
          <w:rFonts w:ascii="Times New Roman" w:cs="Times New Roman" w:eastAsia="Times New Roman" w:hAnsi="Times New Roman"/>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8" w:name="page19"/>
    <w:bookmarkEnd w:id="18"/>
    <w:p>
      <w:pPr>
        <w:ind w:right="40" w:firstLine="659"/>
        <w:spacing w:after="0" w:line="305" w:lineRule="auto"/>
        <w:rPr>
          <w:sz w:val="20"/>
          <w:szCs w:val="20"/>
          <w:color w:val="auto"/>
        </w:rPr>
      </w:pPr>
      <w:r>
        <w:rPr>
          <w:rFonts w:ascii="Times New Roman" w:cs="Times New Roman" w:eastAsia="Times New Roman" w:hAnsi="Times New Roman"/>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term restoration</w:t>
      </w:r>
    </w:p>
    <w:p>
      <w:pPr>
        <w:spacing w:after="0" w:line="162" w:lineRule="exact"/>
        <w:rPr>
          <w:sz w:val="20"/>
          <w:szCs w:val="20"/>
          <w:color w:val="auto"/>
        </w:rPr>
      </w:pPr>
    </w:p>
    <w:p>
      <w:pPr>
        <w:ind w:right="140" w:firstLine="659"/>
        <w:spacing w:after="0" w:line="319" w:lineRule="auto"/>
        <w:rPr>
          <w:sz w:val="20"/>
          <w:szCs w:val="20"/>
          <w:color w:val="auto"/>
        </w:rPr>
      </w:pPr>
      <w:r>
        <w:rPr>
          <w:rFonts w:ascii="Times New Roman" w:cs="Times New Roman" w:eastAsia="Times New Roman" w:hAnsi="Times New Roman"/>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 from the date of marketing approval.</w:t>
      </w:r>
    </w:p>
    <w:p>
      <w:pPr>
        <w:spacing w:after="0" w:line="54" w:lineRule="exact"/>
        <w:rPr>
          <w:sz w:val="20"/>
          <w:szCs w:val="20"/>
          <w:color w:val="auto"/>
        </w:rPr>
      </w:pPr>
    </w:p>
    <w:p>
      <w:pPr>
        <w:jc w:val="both"/>
        <w:ind w:firstLine="659"/>
        <w:spacing w:after="0" w:line="297" w:lineRule="auto"/>
        <w:rPr>
          <w:sz w:val="20"/>
          <w:szCs w:val="20"/>
          <w:color w:val="auto"/>
        </w:rPr>
      </w:pPr>
      <w:r>
        <w:rPr>
          <w:rFonts w:ascii="Times New Roman" w:cs="Times New Roman" w:eastAsia="Times New Roman" w:hAnsi="Times New Roman"/>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the drug covered by the patent for which a patent extension is being sought is likely to be approved. Interim patent extensions are not available for a drug or biologic for which an NDA or BLA has not been submitted.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Biosimilars</w:t>
      </w:r>
    </w:p>
    <w:p>
      <w:pPr>
        <w:spacing w:after="0" w:line="148" w:lineRule="exact"/>
        <w:rPr>
          <w:sz w:val="20"/>
          <w:szCs w:val="20"/>
          <w:color w:val="auto"/>
        </w:rPr>
      </w:pPr>
    </w:p>
    <w:p>
      <w:pPr>
        <w:ind w:firstLine="659"/>
        <w:spacing w:after="0" w:line="291"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created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the U.S. Department of Health and Human Services (“HHS”)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The first biosimilar was approved by the FDA in 2015, and the first interchangeable product was approved in 2021.</w:t>
      </w:r>
    </w:p>
    <w:p>
      <w:pPr>
        <w:spacing w:after="0" w:line="90" w:lineRule="exact"/>
        <w:rPr>
          <w:sz w:val="20"/>
          <w:szCs w:val="20"/>
          <w:color w:val="auto"/>
        </w:rPr>
      </w:pPr>
    </w:p>
    <w:p>
      <w:pPr>
        <w:ind w:right="80" w:firstLine="659"/>
        <w:spacing w:after="0" w:line="292" w:lineRule="auto"/>
        <w:rPr>
          <w:sz w:val="20"/>
          <w:szCs w:val="20"/>
          <w:color w:val="auto"/>
        </w:rPr>
      </w:pPr>
      <w:r>
        <w:rPr>
          <w:rFonts w:ascii="Times New Roman" w:cs="Times New Roman" w:eastAsia="Times New Roman" w:hAnsi="Times New Roman"/>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Post-approval requirements</w:t>
      </w:r>
    </w:p>
    <w:p>
      <w:pPr>
        <w:spacing w:after="0" w:line="162" w:lineRule="exact"/>
        <w:rPr>
          <w:sz w:val="20"/>
          <w:szCs w:val="20"/>
          <w:color w:val="auto"/>
        </w:rPr>
      </w:pPr>
    </w:p>
    <w:p>
      <w:pPr>
        <w:ind w:right="420" w:firstLine="659"/>
        <w:spacing w:after="0" w:line="305" w:lineRule="auto"/>
        <w:rPr>
          <w:sz w:val="20"/>
          <w:szCs w:val="20"/>
          <w:color w:val="auto"/>
        </w:rPr>
      </w:pPr>
      <w:r>
        <w:rPr>
          <w:rFonts w:ascii="Times New Roman" w:cs="Times New Roman" w:eastAsia="Times New Roman" w:hAnsi="Times New Roman"/>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w:t>
      </w:r>
    </w:p>
    <w:p>
      <w:pPr>
        <w:spacing w:after="0" w:line="61" w:lineRule="exact"/>
        <w:rPr>
          <w:sz w:val="20"/>
          <w:szCs w:val="20"/>
          <w:color w:val="auto"/>
        </w:rPr>
      </w:pPr>
    </w:p>
    <w:p>
      <w:pPr>
        <w:ind w:right="80" w:firstLine="659"/>
        <w:spacing w:after="0" w:line="297" w:lineRule="auto"/>
        <w:rPr>
          <w:sz w:val="20"/>
          <w:szCs w:val="20"/>
          <w:color w:val="auto"/>
        </w:rPr>
      </w:pPr>
      <w:r>
        <w:rPr>
          <w:rFonts w:ascii="Times New Roman" w:cs="Times New Roman" w:eastAsia="Times New Roman" w:hAnsi="Times New Roman"/>
          <w:sz w:val="18"/>
          <w:szCs w:val="18"/>
          <w:color w:val="auto"/>
        </w:rPr>
        <w:t>Biologics may be marketed only for the approved indications and in accordance with the provisions of the approved labeling. Changes to some of the conditions established in an approved application, including changes in indications, labeling, or manufacturing processes or facilities, may require a submission to and approval by the FDA before the change can be implemented. A BLA supplement for a new indication typically requires clinical data similar to that in the original application and similar procedures and actions in reviewing BLA or supplements as in reviewing BLAs.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firstLine="659"/>
        <w:spacing w:after="0" w:line="290"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are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 regulations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regulations. Accordingly, manufacturers must continue to expend time, money, and effort in the areas of production and quality-control to maintain compliance with cGMP regulations. Regulatory authorities may withdraw product approvals or request product recalls if a company fails to comply with regulatory standards, if it encounters problems following initial marketing, or if previously unrecognized problems are subsequently discovered. In addition, biological product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U.S. health care laws and compliance requirements</w:t>
      </w:r>
    </w:p>
    <w:p>
      <w:pPr>
        <w:spacing w:after="0" w:line="148" w:lineRule="exact"/>
        <w:rPr>
          <w:sz w:val="20"/>
          <w:szCs w:val="20"/>
          <w:color w:val="auto"/>
        </w:rPr>
      </w:pPr>
    </w:p>
    <w:p>
      <w:pPr>
        <w:ind w:right="100" w:firstLine="659"/>
        <w:spacing w:after="0" w:line="297"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but not limited to, the CMS, other divisions of the HHS (such as the Office of Inspector General), the U.S. Department of Justice (“DOJ”), and individual U.S. Attorney offices within the DOJ, and state and local governments. For example, sales, marketing and scientific/educational grant programs may have to comply with the anti-fraud and abuse provisions of the Social Security Act, anti-kickback statutes, false claims laws, the privacy and security provisions of the Health Insurance Portability and Accountability Act (“HIPAA”), and similar state laws, each as amended, as applicable.</w:t>
      </w:r>
    </w:p>
    <w:p>
      <w:pPr>
        <w:spacing w:after="0" w:line="69" w:lineRule="exact"/>
        <w:rPr>
          <w:sz w:val="20"/>
          <w:szCs w:val="20"/>
          <w:color w:val="auto"/>
        </w:rPr>
      </w:pPr>
    </w:p>
    <w:p>
      <w:pPr>
        <w:ind w:right="20" w:firstLine="659"/>
        <w:spacing w:after="0" w:line="291"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 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74" w:lineRule="exact"/>
        <w:rPr>
          <w:sz w:val="20"/>
          <w:szCs w:val="20"/>
          <w:color w:val="auto"/>
        </w:rPr>
      </w:pPr>
    </w:p>
    <w:p>
      <w:pPr>
        <w:jc w:val="both"/>
        <w:ind w:right="200" w:firstLine="659"/>
        <w:spacing w:after="0" w:line="302"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65" w:lineRule="exact"/>
        <w:rPr>
          <w:sz w:val="20"/>
          <w:szCs w:val="20"/>
          <w:color w:val="auto"/>
        </w:rPr>
      </w:pPr>
    </w:p>
    <w:p>
      <w:pPr>
        <w:ind w:right="100" w:firstLine="659"/>
        <w:spacing w:after="0" w:line="305"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61" w:lineRule="exact"/>
        <w:rPr>
          <w:sz w:val="20"/>
          <w:szCs w:val="20"/>
          <w:color w:val="auto"/>
        </w:rPr>
      </w:pPr>
    </w:p>
    <w:p>
      <w:pPr>
        <w:ind w:right="20" w:firstLine="659"/>
        <w:spacing w:after="0" w:line="293" w:lineRule="auto"/>
        <w:rPr>
          <w:sz w:val="20"/>
          <w:szCs w:val="20"/>
          <w:color w:val="auto"/>
        </w:rPr>
      </w:pPr>
      <w:r>
        <w:rPr>
          <w:rFonts w:ascii="Times New Roman" w:cs="Times New Roman" w:eastAsia="Times New Roman" w:hAnsi="Times New Roman"/>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 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 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ind w:right="40" w:firstLine="659"/>
        <w:spacing w:after="0" w:line="292"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 care benefit program, including private third party payors, willfully obstructing a criminal investigation of a health care offense, and knowingly and willfully falsifying, concealing or covering up by trick, scheme or device, a material fact or making any materially false, fictitious or fraudulent statement in connection with the delivery of or payment for health care benefits, items or services. Like the Anti-Kickback Statute, the ACA amended the intent standard for certain health care fraud statutes under HIPAA such that a person or entity no longer needs to have actual knowledge of the statute or specific intent to violate it in order to have committed a violation.</w:t>
      </w:r>
    </w:p>
    <w:p>
      <w:pPr>
        <w:spacing w:after="0" w:line="87" w:lineRule="exact"/>
        <w:rPr>
          <w:sz w:val="20"/>
          <w:szCs w:val="20"/>
          <w:color w:val="auto"/>
        </w:rPr>
      </w:pPr>
    </w:p>
    <w:p>
      <w:pPr>
        <w:jc w:val="both"/>
        <w:ind w:right="100" w:firstLine="659"/>
        <w:spacing w:after="0" w:line="305" w:lineRule="auto"/>
        <w:rPr>
          <w:sz w:val="20"/>
          <w:szCs w:val="20"/>
          <w:color w:val="auto"/>
        </w:rPr>
      </w:pPr>
      <w:r>
        <w:rPr>
          <w:rFonts w:ascii="Times New Roman" w:cs="Times New Roman" w:eastAsia="Times New Roman" w:hAnsi="Times New Roman"/>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61" w:lineRule="exact"/>
        <w:rPr>
          <w:sz w:val="20"/>
          <w:szCs w:val="20"/>
          <w:color w:val="auto"/>
        </w:rPr>
      </w:pPr>
    </w:p>
    <w:p>
      <w:pPr>
        <w:ind w:firstLine="659"/>
        <w:spacing w:after="0" w:line="291" w:lineRule="auto"/>
        <w:rPr>
          <w:sz w:val="20"/>
          <w:szCs w:val="20"/>
          <w:color w:val="auto"/>
        </w:rPr>
      </w:pPr>
      <w:r>
        <w:rPr>
          <w:rFonts w:ascii="Times New Roman" w:cs="Times New Roman" w:eastAsia="Times New Roman" w:hAnsi="Times New Roman"/>
          <w:sz w:val="18"/>
          <w:szCs w:val="18"/>
          <w:color w:val="auto"/>
        </w:rPr>
        <w:t>We may be subject to data privacy and security regulations by both the federal government and the states in which we conduct our business. HIPAA, as amended by the Health Information Technology for Economic and Clinical Health Act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77" w:lineRule="exact"/>
        <w:rPr>
          <w:sz w:val="20"/>
          <w:szCs w:val="20"/>
          <w:color w:val="auto"/>
        </w:rPr>
      </w:pPr>
    </w:p>
    <w:p>
      <w:pPr>
        <w:ind w:right="120" w:firstLine="659"/>
        <w:spacing w:after="0" w:line="294"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75" w:lineRule="exact"/>
        <w:rPr>
          <w:sz w:val="20"/>
          <w:szCs w:val="20"/>
          <w:color w:val="auto"/>
        </w:rPr>
      </w:pPr>
    </w:p>
    <w:p>
      <w:pPr>
        <w:ind w:firstLine="659"/>
        <w:spacing w:after="0" w:line="310" w:lineRule="auto"/>
        <w:rPr>
          <w:sz w:val="20"/>
          <w:szCs w:val="20"/>
          <w:color w:val="auto"/>
        </w:rPr>
      </w:pPr>
      <w:r>
        <w:rPr>
          <w:rFonts w:ascii="Times New Roman" w:cs="Times New Roman" w:eastAsia="Times New Roman" w:hAnsi="Times New Roman"/>
          <w:sz w:val="17"/>
          <w:szCs w:val="17"/>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 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77"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 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Coverage, pricing and reimbursement</w:t>
      </w:r>
    </w:p>
    <w:p>
      <w:pPr>
        <w:spacing w:after="0" w:line="148" w:lineRule="exact"/>
        <w:rPr>
          <w:sz w:val="20"/>
          <w:szCs w:val="20"/>
          <w:color w:val="auto"/>
        </w:rPr>
      </w:pPr>
    </w:p>
    <w:p>
      <w:pPr>
        <w:ind w:firstLine="659"/>
        <w:spacing w:after="0" w:line="290"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 party payors provide coverage, and establish adequate reimbursement levels for such products. In the United States, third party payors include federal and state health care programs, private managed care providers, health insurers and other organizations. The process for determining whether a third party payor will provide coverage for a product may be separate from the process for setting the price of a product or for establishing the reimbursement rate that such a payor will pay for the product. Third party payors may limit coverage to specific products on an approved list, also known as a formulary, which might not include all of the FDA-approved products for a particular indication. Third party payors are increasingly challenging the price, examining the medical necessity and reviewing the cost-effectiveness of medical products, therapies and services, in addition to questioning their safety and efficacy. Further, reductions in health insurance and other healthcare funding as a result of the OBBBA may exacerbate the cost-consciousness of third-party payors and their willingness to provide coverage for newly developed products such as ours. As a result,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 party reimbursement may not be available to enable us to maintain price levels sufficient to realize an appropriate return on our investment in product development.</w:t>
      </w:r>
    </w:p>
    <w:p>
      <w:pPr>
        <w:spacing w:after="0" w:line="82" w:lineRule="exact"/>
        <w:rPr>
          <w:sz w:val="20"/>
          <w:szCs w:val="20"/>
          <w:color w:val="auto"/>
        </w:rPr>
      </w:pPr>
    </w:p>
    <w:p>
      <w:pPr>
        <w:ind w:right="80" w:firstLine="659"/>
        <w:spacing w:after="0" w:line="293"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71"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the government and third party payors fail to provide adequate coverage and reimbursement. In addition, emphasis on managed care in the United States has increased and we expect will continue to increase the pressure on health care pricing. Coverage policies and third 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62" w:lineRule="exact"/>
        <w:rPr>
          <w:sz w:val="20"/>
          <w:szCs w:val="20"/>
          <w:color w:val="auto"/>
        </w:rPr>
      </w:pPr>
    </w:p>
    <w:p>
      <w:pPr>
        <w:ind w:firstLine="659"/>
        <w:spacing w:after="0" w:line="289" w:lineRule="auto"/>
        <w:rPr>
          <w:sz w:val="20"/>
          <w:szCs w:val="20"/>
          <w:color w:val="auto"/>
        </w:rPr>
      </w:pPr>
      <w:r>
        <w:rPr>
          <w:rFonts w:ascii="Times New Roman" w:cs="Times New Roman" w:eastAsia="Times New Roman" w:hAnsi="Times New Roman"/>
          <w:sz w:val="18"/>
          <w:szCs w:val="18"/>
          <w:color w:val="auto"/>
        </w:rPr>
        <w:t>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Healthcare reform initiatives include the enactment of the Inflation Reduction Act (“IRA”), which, among other things, allows the HHS to negotiate the selling price of certain drugs and biologics that CMS reimburses under Medicare Part B and Part D, although only high-expenditure single-source drugs that have been approved for at least seven years (11 years for biologics) can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Negotiations for Medicare Part D products begin in 2024 with the negotiated price taking effect in 2026, and negotiations for Medicare Part B products begin in 2026 with the negotiated price taking effect in 2028. In August 2023, HHS announced the 10 Medicare Part D drugs and biologics that it selected for</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2" w:name="page23"/>
    <w:bookmarkEnd w:id="22"/>
    <w:p>
      <w:pPr>
        <w:spacing w:after="0" w:line="289" w:lineRule="auto"/>
        <w:rPr>
          <w:sz w:val="20"/>
          <w:szCs w:val="20"/>
          <w:color w:val="auto"/>
        </w:rPr>
      </w:pPr>
      <w:r>
        <w:rPr>
          <w:rFonts w:ascii="Times New Roman" w:cs="Times New Roman" w:eastAsia="Times New Roman" w:hAnsi="Times New Roman"/>
          <w:sz w:val="18"/>
          <w:szCs w:val="18"/>
          <w:color w:val="auto"/>
        </w:rPr>
        <w:t>negotiations, and by October 1, 2023, each manufacturer of the selected drugs signed a manufacturer agreement to participate in the negotiations. HHS announced the negotiated maximum fair prices on August 15, 2024, and this price cap, which cannot exceed a statutory ceiling price, came into effect on January 1, 2026. Beginning in January 2023 for Medicare Part B and October 2022 for Medicare Part D, the IRA will also penalize drug manufacturers that increase prices of Medicare Part B and Part D drugs at a rate greater than the rate of inflation and in November 2024, CMS finalized regulations pertaining to these inflation rebates. The IRA permits the Secretary of HHS to implement many of these provisions through guidance, as opposed to regulation, for the initial years. Manufacturers that fail to comply with the IRA may be subject to various penalties, including civil monetary penalties. Further, in July 2025, the OBBBA was signed into law, and restored immediate deductibility of domestic research and development expenditures, while foreign expenditures will continue to be capitalized and amortized over fifteen years. The OBBBA is expected to reduce Medicaid spending and enrollment by implementing work requirements for some beneficiaries, capping state-directed payments, reducing federal funding, and limiting provider taxes used to fund the program. The OBBBA also narrows access to ACA marketplace exchange enrollment and declined to extend the enhanced subsidies for individuals purchasing health insurance coverage in ACA marketplaces, which expired in 2025. Additionally, in June 2024, the U.S. Supreme Court overturned the longstanding Chevron doctrine, under which courts were required to give deference to regulatory agencies’ reasonable interpretations of ambiguous federal statutes. This decision could result in additional legal challenges to current regulations and guidance issued by federal agencies applicable to our operations, including those issued by the FDA. It is unclear to what extent other statutory, regulatory, and administrative initiatives will be enacted and implemented in the future.</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Foreign Corrupt Practices Act</w:t>
      </w:r>
    </w:p>
    <w:p>
      <w:pPr>
        <w:spacing w:after="0" w:line="162" w:lineRule="exact"/>
        <w:rPr>
          <w:sz w:val="20"/>
          <w:szCs w:val="20"/>
          <w:color w:val="auto"/>
        </w:rPr>
      </w:pPr>
    </w:p>
    <w:p>
      <w:pPr>
        <w:ind w:right="40" w:firstLine="659"/>
        <w:spacing w:after="0" w:line="294"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regulation</w:t>
      </w:r>
    </w:p>
    <w:p>
      <w:pPr>
        <w:spacing w:after="0" w:line="148" w:lineRule="exact"/>
        <w:rPr>
          <w:sz w:val="20"/>
          <w:szCs w:val="20"/>
          <w:color w:val="auto"/>
        </w:rPr>
      </w:pPr>
    </w:p>
    <w:p>
      <w:pPr>
        <w:ind w:right="40" w:firstLine="659"/>
        <w:spacing w:after="0" w:line="294" w:lineRule="auto"/>
        <w:rPr>
          <w:sz w:val="20"/>
          <w:szCs w:val="20"/>
          <w:color w:val="auto"/>
        </w:rPr>
      </w:pPr>
      <w:r>
        <w:rPr>
          <w:rFonts w:ascii="Times New Roman" w:cs="Times New Roman" w:eastAsia="Times New Roman" w:hAnsi="Times New Roman"/>
          <w:sz w:val="18"/>
          <w:szCs w:val="18"/>
          <w:color w:val="auto"/>
        </w:rPr>
        <w:t>In addition to the foregoing, we are also subject to numerous federal, state and local laws relating to such matters as safe working conditions, manufacturing practices, environmental protection, fire hazard control, and disposal of hazardous or potentially hazardous substances, including the Occupational Safety and Health Act, the Resource Conservancy and Recovery Act and the Toxic Substances Control Act.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 / rest of world government regulation</w:t>
      </w:r>
    </w:p>
    <w:p>
      <w:pPr>
        <w:spacing w:after="0" w:line="162" w:lineRule="exact"/>
        <w:rPr>
          <w:sz w:val="20"/>
          <w:szCs w:val="20"/>
          <w:color w:val="auto"/>
        </w:rPr>
      </w:pPr>
    </w:p>
    <w:p>
      <w:pPr>
        <w:ind w:right="20" w:firstLine="659"/>
        <w:spacing w:after="0" w:line="290"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United Kingdom (“UK”) and countries in the EU, for example, a Clinical Trial Authorisation (“CTA”) must be submitted to each country’s national health authority and an independent ethics committee, much like the FDA and IRB, respectively. Once the CTA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3" w:name="page24"/>
    <w:bookmarkEnd w:id="23"/>
    <w:p>
      <w:pPr>
        <w:ind w:firstLine="659"/>
        <w:spacing w:after="0" w:line="294" w:lineRule="auto"/>
        <w:rPr>
          <w:sz w:val="20"/>
          <w:szCs w:val="20"/>
          <w:color w:val="auto"/>
        </w:rPr>
      </w:pPr>
      <w:r>
        <w:rPr>
          <w:rFonts w:ascii="Times New Roman" w:cs="Times New Roman" w:eastAsia="Times New Roman" w:hAnsi="Times New Roman"/>
          <w:sz w:val="18"/>
          <w:szCs w:val="18"/>
          <w:color w:val="auto"/>
        </w:rPr>
        <w:t>To obtain regulatory approval of an investigational drug or biological product under EU and UK regulatory systems, we must submit a marketing authorization application. The application used to file the BLA in the United States is similar to that required in the EU and the UK, with the exception of, among other things, country-specific document requirements. For other countries outside of the EU and the UK, such as countries in Eastern Europe, Latin America or Asia, the requirements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72" w:lineRule="exact"/>
        <w:rPr>
          <w:sz w:val="20"/>
          <w:szCs w:val="20"/>
          <w:color w:val="auto"/>
        </w:rPr>
      </w:pPr>
    </w:p>
    <w:p>
      <w:pPr>
        <w:ind w:right="300" w:firstLine="659"/>
        <w:spacing w:after="0" w:line="329" w:lineRule="auto"/>
        <w:rPr>
          <w:sz w:val="20"/>
          <w:szCs w:val="20"/>
          <w:color w:val="auto"/>
        </w:rPr>
      </w:pPr>
      <w:r>
        <w:rPr>
          <w:rFonts w:ascii="Times New Roman" w:cs="Times New Roman" w:eastAsia="Times New Roman" w:hAnsi="Times New Roman"/>
          <w:sz w:val="18"/>
          <w:szCs w:val="18"/>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62" w:lineRule="exact"/>
        <w:rPr>
          <w:sz w:val="20"/>
          <w:szCs w:val="20"/>
          <w:color w:val="auto"/>
        </w:rPr>
      </w:pPr>
    </w:p>
    <w:p>
      <w:pPr>
        <w:jc w:val="both"/>
        <w:ind w:right="160" w:firstLine="659"/>
        <w:spacing w:after="0" w:line="297" w:lineRule="auto"/>
        <w:rPr>
          <w:sz w:val="20"/>
          <w:szCs w:val="20"/>
          <w:color w:val="auto"/>
        </w:rPr>
      </w:pPr>
      <w:r>
        <w:rPr>
          <w:rFonts w:ascii="Times New Roman" w:cs="Times New Roman" w:eastAsia="Times New Roman" w:hAnsi="Times New Roman"/>
          <w:sz w:val="18"/>
          <w:szCs w:val="18"/>
          <w:color w:val="auto"/>
        </w:rPr>
        <w:t>As of January 31, 2026, we had 104 employees. Of these employees, 72 were primarily engaged in research and development activities and 33 held a doctorate degree such as an M.D., Ph.D., or PharmD. None of our employees are represented by a labor union or covered by collective bargaining agreements. We have never experienced a work stoppage and believe that we have good employee relations.</w:t>
      </w:r>
    </w:p>
    <w:p>
      <w:pPr>
        <w:spacing w:after="0" w:line="82" w:lineRule="exact"/>
        <w:rPr>
          <w:sz w:val="20"/>
          <w:szCs w:val="20"/>
          <w:color w:val="auto"/>
        </w:rPr>
      </w:pPr>
    </w:p>
    <w:p>
      <w:pPr>
        <w:ind w:right="20" w:firstLine="659"/>
        <w:spacing w:after="0" w:line="293" w:lineRule="auto"/>
        <w:rPr>
          <w:sz w:val="20"/>
          <w:szCs w:val="20"/>
          <w:color w:val="auto"/>
        </w:rPr>
      </w:pPr>
      <w:r>
        <w:rPr>
          <w:rFonts w:ascii="Times New Roman" w:cs="Times New Roman" w:eastAsia="Times New Roman" w:hAnsi="Times New Roman"/>
          <w:sz w:val="18"/>
          <w:szCs w:val="18"/>
          <w:color w:val="auto"/>
        </w:rPr>
        <w:t>We view our diverse employee population and our culture as key to our success. Our company culture prioritizes learning, supports growth and empowers us to reach new heights. We recruit employees with the skills and training relevant to succeed and thrive in their functional responsibilities. We assess the likelihood that a particular candidate will contribute to the Company’s overall goals, and beyond their specifically assigned tasks. Depending on the position, our recruitment reach can be local as well as national. We provide competitive compensation and benefits that are tailored specifically to the needs and requests of our employees.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ind w:firstLine="659"/>
        <w:spacing w:after="0" w:line="305"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jc w:val="both"/>
        <w:ind w:right="20" w:firstLine="659"/>
        <w:spacing w:after="0" w:line="297" w:lineRule="auto"/>
        <w:rPr>
          <w:sz w:val="20"/>
          <w:szCs w:val="20"/>
          <w:color w:val="auto"/>
        </w:rPr>
      </w:pPr>
      <w:r>
        <w:rPr>
          <w:rFonts w:ascii="Times New Roman" w:cs="Times New Roman" w:eastAsia="Times New Roman" w:hAnsi="Times New Roman"/>
          <w:sz w:val="18"/>
          <w:szCs w:val="18"/>
          <w:color w:val="auto"/>
        </w:rPr>
        <w:t xml:space="preserve">We file Annual Reports on Form 10-K, Quarterly Reports on Form 10-Q, Current Reports on Form 8-K and other information with the SEC. Our filings with the SEC are available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and on our website under the “Investors” tab as soon as reasonably practicable after we electronically file such material with, or furnish it to, the SEC.</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6" w:lineRule="exact"/>
        <w:rPr>
          <w:sz w:val="20"/>
          <w:szCs w:val="20"/>
          <w:color w:val="auto"/>
        </w:rPr>
      </w:pPr>
    </w:p>
    <w:p>
      <w:pPr>
        <w:ind w:right="60" w:firstLine="656"/>
        <w:spacing w:after="0" w:line="29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62" w:lineRule="exact"/>
        <w:rPr>
          <w:sz w:val="20"/>
          <w:szCs w:val="20"/>
          <w:color w:val="auto"/>
        </w:rPr>
      </w:pPr>
    </w:p>
    <w:p>
      <w:pPr>
        <w:ind w:right="160" w:firstLine="656"/>
        <w:spacing w:after="0" w:line="313"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68" w:lineRule="exact"/>
        <w:rPr>
          <w:sz w:val="20"/>
          <w:szCs w:val="20"/>
          <w:color w:val="auto"/>
        </w:rPr>
      </w:pPr>
    </w:p>
    <w:p>
      <w:pPr>
        <w:ind w:left="1040" w:right="380" w:hanging="373"/>
        <w:spacing w:after="0" w:line="297"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in development may fail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68" w:lineRule="exact"/>
        <w:rPr>
          <w:rFonts w:ascii="Times New Roman" w:cs="Times New Roman" w:eastAsia="Times New Roman" w:hAnsi="Times New Roman"/>
          <w:sz w:val="18"/>
          <w:szCs w:val="18"/>
          <w:color w:val="auto"/>
        </w:rPr>
      </w:pPr>
    </w:p>
    <w:p>
      <w:pPr>
        <w:ind w:left="1040" w:right="40" w:hanging="373"/>
        <w:spacing w:after="0" w:line="313"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67" w:lineRule="exact"/>
        <w:rPr>
          <w:rFonts w:ascii="Times New Roman" w:cs="Times New Roman" w:eastAsia="Times New Roman" w:hAnsi="Times New Roman"/>
          <w:sz w:val="18"/>
          <w:szCs w:val="18"/>
          <w:color w:val="auto"/>
        </w:rPr>
      </w:pPr>
    </w:p>
    <w:p>
      <w:pPr>
        <w:ind w:left="1040" w:right="20" w:hanging="373"/>
        <w:spacing w:after="0" w:line="313"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6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 candidates receive regulatory approval, they will be subject to significant post-marketing regulatory requirements.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product candidates and develop marketable products.</w:t>
      </w:r>
    </w:p>
    <w:p>
      <w:pPr>
        <w:spacing w:after="0" w:line="144" w:lineRule="exact"/>
        <w:rPr>
          <w:rFonts w:ascii="Times New Roman" w:cs="Times New Roman" w:eastAsia="Times New Roman" w:hAnsi="Times New Roman"/>
          <w:sz w:val="18"/>
          <w:szCs w:val="18"/>
          <w:color w:val="auto"/>
        </w:rPr>
      </w:pPr>
    </w:p>
    <w:p>
      <w:pPr>
        <w:ind w:left="1040" w:right="940" w:hanging="373"/>
        <w:spacing w:after="0" w:line="329"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assessing advancement to Phase 3 of clinical development of rosnilimab for RA, and have no history of commercializing biotechnology products, which may make it difficult to evaluate the prospects for our future viability.</w:t>
      </w:r>
    </w:p>
    <w:p>
      <w:pPr>
        <w:spacing w:after="0" w:line="40" w:lineRule="exact"/>
        <w:rPr>
          <w:rFonts w:ascii="Times New Roman" w:cs="Times New Roman" w:eastAsia="Times New Roman" w:hAnsi="Times New Roman"/>
          <w:sz w:val="18"/>
          <w:szCs w:val="18"/>
          <w:color w:val="auto"/>
        </w:rPr>
      </w:pPr>
    </w:p>
    <w:p>
      <w:pPr>
        <w:ind w:left="1040" w:right="60" w:hanging="373"/>
        <w:spacing w:after="0" w:line="329"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40" w:lineRule="exact"/>
        <w:rPr>
          <w:rFonts w:ascii="Times New Roman" w:cs="Times New Roman" w:eastAsia="Times New Roman" w:hAnsi="Times New Roman"/>
          <w:sz w:val="18"/>
          <w:szCs w:val="18"/>
          <w:color w:val="auto"/>
        </w:rPr>
      </w:pPr>
    </w:p>
    <w:p>
      <w:pPr>
        <w:ind w:left="1040" w:right="600" w:hanging="373"/>
        <w:spacing w:after="0" w:line="313"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achieve adequate market acceptance among physicians, patients, health care payors and others in the medical community necessary for commercial success.</w:t>
      </w:r>
    </w:p>
    <w:p>
      <w:pPr>
        <w:spacing w:after="0" w:line="67" w:lineRule="exact"/>
        <w:rPr>
          <w:rFonts w:ascii="Times New Roman" w:cs="Times New Roman" w:eastAsia="Times New Roman" w:hAnsi="Times New Roman"/>
          <w:sz w:val="18"/>
          <w:szCs w:val="18"/>
          <w:color w:val="auto"/>
        </w:rPr>
      </w:pPr>
    </w:p>
    <w:p>
      <w:pPr>
        <w:jc w:val="both"/>
        <w:ind w:left="1040" w:right="800" w:hanging="373"/>
        <w:spacing w:after="0" w:line="305"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61" w:lineRule="exact"/>
        <w:rPr>
          <w:rFonts w:ascii="Times New Roman" w:cs="Times New Roman" w:eastAsia="Times New Roman" w:hAnsi="Times New Roman"/>
          <w:sz w:val="18"/>
          <w:szCs w:val="18"/>
          <w:color w:val="auto"/>
        </w:rPr>
      </w:pPr>
    </w:p>
    <w:p>
      <w:pPr>
        <w:ind w:left="1040" w:hanging="373"/>
        <w:spacing w:after="0" w:line="305"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biologics is complex, and our third party manufacturers may encounter difficulties in production. If any of our third 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61"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or public health events may have a material impact on the U.S. and global economies and could have a material adverse</w:t>
      </w:r>
    </w:p>
    <w:p>
      <w:pPr>
        <w:spacing w:after="0" w:line="49" w:lineRule="exact"/>
        <w:rPr>
          <w:rFonts w:ascii="Times New Roman" w:cs="Times New Roman" w:eastAsia="Times New Roman" w:hAnsi="Times New Roman"/>
          <w:sz w:val="18"/>
          <w:szCs w:val="18"/>
          <w:color w:val="auto"/>
        </w:rPr>
      </w:pPr>
    </w:p>
    <w:p>
      <w:pPr>
        <w:ind w:left="1040" w:right="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our employees, contractors and patients, which could adversely and materially impact our business, financial condition and results of operations.</w:t>
      </w:r>
    </w:p>
    <w:p>
      <w:pPr>
        <w:spacing w:after="0" w:line="5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revenue and a history of operational losses and may not achieve or sustain profitability.</w:t>
      </w:r>
    </w:p>
    <w:p>
      <w:pPr>
        <w:spacing w:after="0" w:line="157" w:lineRule="exact"/>
        <w:rPr>
          <w:rFonts w:ascii="Times New Roman" w:cs="Times New Roman" w:eastAsia="Times New Roman" w:hAnsi="Times New Roman"/>
          <w:sz w:val="18"/>
          <w:szCs w:val="18"/>
          <w:color w:val="auto"/>
        </w:rPr>
      </w:pPr>
    </w:p>
    <w:p>
      <w:pPr>
        <w:ind w:left="1040" w:right="520" w:hanging="373"/>
        <w:spacing w:after="0" w:line="313"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products approved for commercial sale, and to date we have not generated any revenue or profit from sales of our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5" w:name="page26"/>
    <w:bookmarkEnd w:id="25"/>
    <w:p>
      <w:pPr>
        <w:ind w:left="1040" w:right="200" w:hanging="373"/>
        <w:spacing w:after="0" w:line="313"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67" w:lineRule="exact"/>
        <w:rPr>
          <w:rFonts w:ascii="Times New Roman" w:cs="Times New Roman" w:eastAsia="Times New Roman" w:hAnsi="Times New Roman"/>
          <w:sz w:val="18"/>
          <w:szCs w:val="18"/>
          <w:color w:val="auto"/>
        </w:rPr>
      </w:pPr>
    </w:p>
    <w:p>
      <w:pPr>
        <w:ind w:left="1040" w:right="280" w:hanging="373"/>
        <w:spacing w:after="0" w:line="313"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separation of our business into two independent, publicly traded companies is subject to various risks and uncertainties and may not be completed on the terms or timeline currently contemplated, if at all.</w:t>
      </w:r>
    </w:p>
    <w:p>
      <w:pPr>
        <w:spacing w:after="0" w:line="67" w:lineRule="exact"/>
        <w:rPr>
          <w:rFonts w:ascii="Times New Roman" w:cs="Times New Roman" w:eastAsia="Times New Roman" w:hAnsi="Times New Roman"/>
          <w:sz w:val="18"/>
          <w:szCs w:val="18"/>
          <w:color w:val="auto"/>
        </w:rPr>
      </w:pPr>
    </w:p>
    <w:p>
      <w:pPr>
        <w:ind w:left="1040" w:right="20" w:hanging="373"/>
        <w:spacing w:after="0" w:line="297"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collaboration with GSK and other collaborations are important to our business, and other future collaborations may also be important to us. If we are unable to maintain the GSK collaboration, or if this collaboration is not successful, our business could be adversely affected.</w:t>
      </w:r>
    </w:p>
    <w:p>
      <w:pPr>
        <w:spacing w:after="0" w:line="82" w:lineRule="exact"/>
        <w:rPr>
          <w:rFonts w:ascii="Times New Roman" w:cs="Times New Roman" w:eastAsia="Times New Roman" w:hAnsi="Times New Roman"/>
          <w:sz w:val="18"/>
          <w:szCs w:val="18"/>
          <w:color w:val="auto"/>
        </w:rPr>
      </w:pPr>
    </w:p>
    <w:p>
      <w:pPr>
        <w:ind w:left="1040" w:right="180" w:hanging="373"/>
        <w:spacing w:after="0" w:line="313"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establishing and maintaining additional development and commercialization collaborations, which could adversely affect our ability to develop and commercialize product candidates.</w:t>
      </w:r>
    </w:p>
    <w:p>
      <w:pPr>
        <w:spacing w:after="0" w:line="67" w:lineRule="exact"/>
        <w:rPr>
          <w:rFonts w:ascii="Times New Roman" w:cs="Times New Roman" w:eastAsia="Times New Roman" w:hAnsi="Times New Roman"/>
          <w:sz w:val="18"/>
          <w:szCs w:val="18"/>
          <w:color w:val="auto"/>
        </w:rPr>
      </w:pPr>
    </w:p>
    <w:p>
      <w:pPr>
        <w:ind w:left="1040" w:right="620" w:hanging="373"/>
        <w:spacing w:after="0" w:line="313"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in the U.S. and throughout the world, we may not be able to compete effectively in our market.</w:t>
      </w:r>
    </w:p>
    <w:p>
      <w:pPr>
        <w:spacing w:after="0" w:line="5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attract and retain highly skilled employees in order to succeed.</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stock has been and may continue to be volatile, and you could lose all or part of your investment.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Discovery and Development of Our Product Candidates</w:t>
      </w:r>
    </w:p>
    <w:p>
      <w:pPr>
        <w:spacing w:after="0" w:line="144" w:lineRule="exact"/>
        <w:rPr>
          <w:sz w:val="20"/>
          <w:szCs w:val="20"/>
          <w:color w:val="auto"/>
        </w:rPr>
      </w:pPr>
    </w:p>
    <w:p>
      <w:pPr>
        <w:ind w:right="140"/>
        <w:spacing w:after="0" w:line="307" w:lineRule="auto"/>
        <w:rPr>
          <w:sz w:val="20"/>
          <w:szCs w:val="20"/>
          <w:color w:val="auto"/>
        </w:rPr>
      </w:pPr>
      <w:r>
        <w:rPr>
          <w:rFonts w:ascii="Times New Roman" w:cs="Times New Roman" w:eastAsia="Times New Roman" w:hAnsi="Times New Roman"/>
          <w:sz w:val="18"/>
          <w:szCs w:val="18"/>
          <w:b w:val="1"/>
          <w:bCs w:val="1"/>
          <w:color w:val="auto"/>
        </w:rPr>
        <w:t>Our product candidates in development may fail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4" w:lineRule="exact"/>
        <w:rPr>
          <w:sz w:val="20"/>
          <w:szCs w:val="20"/>
          <w:color w:val="auto"/>
        </w:rPr>
      </w:pPr>
    </w:p>
    <w:p>
      <w:pPr>
        <w:jc w:val="both"/>
        <w:ind w:firstLine="659"/>
        <w:spacing w:after="0" w:line="297" w:lineRule="auto"/>
        <w:rPr>
          <w:sz w:val="20"/>
          <w:szCs w:val="20"/>
          <w:color w:val="auto"/>
        </w:rPr>
      </w:pPr>
      <w:r>
        <w:rPr>
          <w:rFonts w:ascii="Times New Roman" w:cs="Times New Roman" w:eastAsia="Times New Roman" w:hAnsi="Times New Roman"/>
          <w:sz w:val="18"/>
          <w:szCs w:val="18"/>
          <w:color w:val="auto"/>
        </w:rPr>
        <w:t>We are developing therapeutic antibodies, including our wholly owned product candidates, as well as other programs that are being developed by our collaborators. However, all of our wholly owned and most of partnered product candidates are in various stages of development, and, for a wide variety of reasons discussed below, may fail in development or suffer delays that adversely affect their commercial viability.</w:t>
      </w:r>
    </w:p>
    <w:p>
      <w:pPr>
        <w:spacing w:after="0" w:line="82" w:lineRule="exact"/>
        <w:rPr>
          <w:sz w:val="20"/>
          <w:szCs w:val="20"/>
          <w:color w:val="auto"/>
        </w:rPr>
      </w:pPr>
    </w:p>
    <w:p>
      <w:pPr>
        <w:ind w:right="40" w:firstLine="659"/>
        <w:spacing w:after="0" w:line="305" w:lineRule="auto"/>
        <w:rPr>
          <w:sz w:val="20"/>
          <w:szCs w:val="20"/>
          <w:color w:val="auto"/>
        </w:rPr>
      </w:pPr>
      <w:r>
        <w:rPr>
          <w:rFonts w:ascii="Times New Roman" w:cs="Times New Roman" w:eastAsia="Times New Roman" w:hAnsi="Times New Roman"/>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61"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even though we showed positive data for rosnilimab in our Phase 2b clinical trial in rheumatoid arthritis, data from rosnilimab’s Phase 2 clinical trial in ulcerative colitis was not positive.</w:t>
      </w:r>
    </w:p>
    <w:p>
      <w:pPr>
        <w:spacing w:after="0" w:line="69" w:lineRule="exact"/>
        <w:rPr>
          <w:sz w:val="20"/>
          <w:szCs w:val="20"/>
          <w:color w:val="auto"/>
        </w:rPr>
      </w:pPr>
    </w:p>
    <w:p>
      <w:pPr>
        <w:ind w:right="140" w:firstLine="659"/>
        <w:spacing w:after="0" w:line="305" w:lineRule="auto"/>
        <w:rPr>
          <w:sz w:val="20"/>
          <w:szCs w:val="20"/>
          <w:color w:val="auto"/>
        </w:rPr>
      </w:pPr>
      <w:r>
        <w:rPr>
          <w:rFonts w:ascii="Times New Roman" w:cs="Times New Roman" w:eastAsia="Times New Roman" w:hAnsi="Times New Roman"/>
          <w:sz w:val="18"/>
          <w:szCs w:val="18"/>
          <w:color w:val="auto"/>
        </w:rPr>
        <w:t>If our other ongoing or future clinical trials of any of our product candidates, including rosnilimab, ANB033 or ANB101, are unsuccessful, whether for one of the reasons mentioned above or otherwise, our product candidates may be delayed in development or fail entirely, which would have a material adverse impact on our business.</w:t>
      </w:r>
    </w:p>
    <w:p>
      <w:pPr>
        <w:spacing w:after="0" w:line="61" w:lineRule="exact"/>
        <w:rPr>
          <w:sz w:val="20"/>
          <w:szCs w:val="20"/>
          <w:color w:val="auto"/>
        </w:rPr>
      </w:pPr>
    </w:p>
    <w:p>
      <w:pPr>
        <w:ind w:right="460" w:firstLine="659"/>
        <w:spacing w:after="0" w:line="329" w:lineRule="auto"/>
        <w:rPr>
          <w:sz w:val="20"/>
          <w:szCs w:val="20"/>
          <w:color w:val="auto"/>
        </w:rPr>
      </w:pPr>
      <w:r>
        <w:rPr>
          <w:rFonts w:ascii="Times New Roman" w:cs="Times New Roman" w:eastAsia="Times New Roman" w:hAnsi="Times New Roman"/>
          <w:sz w:val="18"/>
          <w:szCs w:val="18"/>
          <w:color w:val="auto"/>
        </w:rPr>
        <w:t>The success of our current product candidates, and any other product candidates we may develop in the future, will depend on many factors, including the following:</w:t>
      </w:r>
    </w:p>
    <w:p>
      <w:pPr>
        <w:spacing w:after="0" w:line="40" w:lineRule="exact"/>
        <w:rPr>
          <w:sz w:val="20"/>
          <w:szCs w:val="20"/>
          <w:color w:val="auto"/>
        </w:rPr>
      </w:pPr>
    </w:p>
    <w:p>
      <w:pPr>
        <w:ind w:left="1040" w:hanging="373"/>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our planned clinical trials;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marketing approvals from applicable regulatory authorities;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and/or making arrangements with third party manufacturers;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6" w:name="page27"/>
    <w:bookmarkEnd w:id="26"/>
    <w:p>
      <w:pPr>
        <w:ind w:left="1040" w:hanging="373"/>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 for our product candidates and their components;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product candidates’ intended indications;</w:t>
      </w:r>
    </w:p>
    <w:p>
      <w:pPr>
        <w:spacing w:after="0" w:line="130"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third parties;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 party payors;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 candidates through clinical trials and following regulatory approval.</w:t>
      </w:r>
    </w:p>
    <w:p>
      <w:pPr>
        <w:spacing w:after="0" w:line="131" w:lineRule="exact"/>
        <w:rPr>
          <w:sz w:val="20"/>
          <w:szCs w:val="20"/>
          <w:color w:val="auto"/>
        </w:rPr>
      </w:pPr>
    </w:p>
    <w:p>
      <w:pPr>
        <w:ind w:firstLine="656"/>
        <w:spacing w:after="0" w:line="313"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54" w:lineRule="exact"/>
        <w:rPr>
          <w:sz w:val="20"/>
          <w:szCs w:val="20"/>
          <w:color w:val="auto"/>
        </w:rPr>
      </w:pPr>
    </w:p>
    <w:p>
      <w:pPr>
        <w:ind w:right="40" w:firstLine="656"/>
        <w:spacing w:after="0" w:line="281" w:lineRule="auto"/>
        <w:rPr>
          <w:sz w:val="20"/>
          <w:szCs w:val="20"/>
          <w:color w:val="auto"/>
        </w:rPr>
      </w:pPr>
      <w:r>
        <w:rPr>
          <w:rFonts w:ascii="Times New Roman" w:cs="Times New Roman" w:eastAsia="Times New Roman" w:hAnsi="Times New Roman"/>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spacing w:after="0" w:line="190" w:lineRule="exact"/>
        <w:rPr>
          <w:sz w:val="20"/>
          <w:szCs w:val="20"/>
          <w:color w:val="auto"/>
        </w:rPr>
      </w:pPr>
    </w:p>
    <w:p>
      <w:pPr>
        <w:ind w:right="40"/>
        <w:spacing w:after="0" w:line="318" w:lineRule="auto"/>
        <w:rPr>
          <w:sz w:val="20"/>
          <w:szCs w:val="20"/>
          <w:color w:val="auto"/>
        </w:rPr>
      </w:pPr>
      <w:r>
        <w:rPr>
          <w:rFonts w:ascii="Times New Roman" w:cs="Times New Roman" w:eastAsia="Times New Roman" w:hAnsi="Times New Roman"/>
          <w:sz w:val="18"/>
          <w:szCs w:val="18"/>
          <w:b w:val="1"/>
          <w:bCs w:val="1"/>
          <w:color w:val="auto"/>
        </w:rPr>
        <w:t>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49" w:lineRule="exact"/>
        <w:rPr>
          <w:sz w:val="20"/>
          <w:szCs w:val="20"/>
          <w:color w:val="auto"/>
        </w:rPr>
      </w:pPr>
    </w:p>
    <w:p>
      <w:pPr>
        <w:ind w:right="80" w:firstLine="659"/>
        <w:spacing w:after="0" w:line="285" w:lineRule="auto"/>
        <w:rPr>
          <w:sz w:val="20"/>
          <w:szCs w:val="20"/>
          <w:color w:val="auto"/>
        </w:rPr>
      </w:pPr>
      <w:r>
        <w:rPr>
          <w:rFonts w:ascii="Times New Roman" w:cs="Times New Roman" w:eastAsia="Times New Roman" w:hAnsi="Times New Roman"/>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67" w:lineRule="exact"/>
        <w:rPr>
          <w:sz w:val="20"/>
          <w:szCs w:val="20"/>
          <w:color w:val="auto"/>
        </w:rPr>
      </w:pPr>
    </w:p>
    <w:p>
      <w:pPr>
        <w:ind w:firstLine="659"/>
        <w:spacing w:after="0" w:line="284" w:lineRule="auto"/>
        <w:rPr>
          <w:sz w:val="20"/>
          <w:szCs w:val="20"/>
          <w:color w:val="auto"/>
        </w:rPr>
      </w:pPr>
      <w:r>
        <w:rPr>
          <w:rFonts w:ascii="Times New Roman" w:cs="Times New Roman" w:eastAsia="Times New Roman" w:hAnsi="Times New Roman"/>
          <w:sz w:val="18"/>
          <w:szCs w:val="18"/>
          <w:color w:val="auto"/>
        </w:rPr>
        <w:t>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83" w:lineRule="exact"/>
        <w:rPr>
          <w:sz w:val="20"/>
          <w:szCs w:val="20"/>
          <w:color w:val="auto"/>
        </w:rPr>
      </w:pPr>
    </w:p>
    <w:p>
      <w:pPr>
        <w:ind w:firstLine="659"/>
        <w:spacing w:after="0" w:line="281" w:lineRule="auto"/>
        <w:rPr>
          <w:sz w:val="20"/>
          <w:szCs w:val="20"/>
          <w:color w:val="auto"/>
        </w:rPr>
      </w:pPr>
      <w:r>
        <w:rPr>
          <w:rFonts w:ascii="Times New Roman" w:cs="Times New Roman" w:eastAsia="Times New Roman" w:hAnsi="Times New Roman"/>
          <w:sz w:val="18"/>
          <w:szCs w:val="18"/>
          <w:color w:val="auto"/>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7" w:name="page28"/>
    <w:bookmarkEnd w:id="27"/>
    <w:p>
      <w:pPr>
        <w:ind w:right="60" w:firstLine="659"/>
        <w:spacing w:after="0" w:line="293"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71" w:lineRule="exact"/>
        <w:rPr>
          <w:sz w:val="20"/>
          <w:szCs w:val="20"/>
          <w:color w:val="auto"/>
        </w:rPr>
      </w:pPr>
    </w:p>
    <w:p>
      <w:pPr>
        <w:jc w:val="both"/>
        <w:ind w:right="20" w:firstLine="659"/>
        <w:spacing w:after="0" w:line="297" w:lineRule="auto"/>
        <w:rPr>
          <w:sz w:val="20"/>
          <w:szCs w:val="20"/>
          <w:color w:val="auto"/>
        </w:rPr>
      </w:pPr>
      <w:r>
        <w:rPr>
          <w:rFonts w:ascii="Times New Roman" w:cs="Times New Roman" w:eastAsia="Times New Roman" w:hAnsi="Times New Roman"/>
          <w:sz w:val="18"/>
          <w:szCs w:val="18"/>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spacing w:after="0" w:line="186" w:lineRule="exact"/>
        <w:rPr>
          <w:sz w:val="20"/>
          <w:szCs w:val="20"/>
          <w:color w:val="auto"/>
        </w:rPr>
      </w:pPr>
    </w:p>
    <w:p>
      <w:pPr>
        <w:ind w:right="300"/>
        <w:spacing w:after="0" w:line="318" w:lineRule="auto"/>
        <w:rPr>
          <w:sz w:val="20"/>
          <w:szCs w:val="20"/>
          <w:color w:val="auto"/>
        </w:rPr>
      </w:pPr>
      <w:r>
        <w:rPr>
          <w:rFonts w:ascii="Times New Roman" w:cs="Times New Roman" w:eastAsia="Times New Roman" w:hAnsi="Times New Roman"/>
          <w:sz w:val="18"/>
          <w:szCs w:val="18"/>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49" w:lineRule="exact"/>
        <w:rPr>
          <w:sz w:val="20"/>
          <w:szCs w:val="20"/>
          <w:color w:val="auto"/>
        </w:rPr>
      </w:pPr>
    </w:p>
    <w:p>
      <w:pPr>
        <w:ind w:firstLine="656"/>
        <w:spacing w:after="0" w:line="292" w:lineRule="auto"/>
        <w:rPr>
          <w:sz w:val="20"/>
          <w:szCs w:val="20"/>
          <w:color w:val="auto"/>
        </w:rPr>
      </w:pPr>
      <w:r>
        <w:rPr>
          <w:rFonts w:ascii="Times New Roman" w:cs="Times New Roman" w:eastAsia="Times New Roman" w:hAnsi="Times New Roman"/>
          <w:sz w:val="18"/>
          <w:szCs w:val="18"/>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74" w:lineRule="exact"/>
        <w:rPr>
          <w:sz w:val="20"/>
          <w:szCs w:val="20"/>
          <w:color w:val="auto"/>
        </w:rPr>
      </w:pPr>
    </w:p>
    <w:p>
      <w:pPr>
        <w:ind w:right="40" w:firstLine="656"/>
        <w:spacing w:after="0" w:line="293" w:lineRule="auto"/>
        <w:rPr>
          <w:sz w:val="20"/>
          <w:szCs w:val="20"/>
          <w:color w:val="auto"/>
        </w:rPr>
      </w:pPr>
      <w:r>
        <w:rPr>
          <w:rFonts w:ascii="Times New Roman" w:cs="Times New Roman" w:eastAsia="Times New Roman" w:hAnsi="Times New Roman"/>
          <w:sz w:val="18"/>
          <w:szCs w:val="18"/>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w:t>
      </w:r>
    </w:p>
    <w:p>
      <w:pPr>
        <w:spacing w:after="0" w:line="84" w:lineRule="exact"/>
        <w:rPr>
          <w:sz w:val="20"/>
          <w:szCs w:val="20"/>
          <w:color w:val="auto"/>
        </w:rPr>
      </w:pPr>
    </w:p>
    <w:p>
      <w:pPr>
        <w:ind w:right="40" w:firstLine="656"/>
        <w:spacing w:after="0" w:line="297" w:lineRule="auto"/>
        <w:rPr>
          <w:sz w:val="20"/>
          <w:szCs w:val="20"/>
          <w:color w:val="auto"/>
        </w:rPr>
      </w:pPr>
      <w:r>
        <w:rPr>
          <w:rFonts w:ascii="Times New Roman" w:cs="Times New Roman" w:eastAsia="Times New Roman" w:hAnsi="Times New Roman"/>
          <w:sz w:val="18"/>
          <w:szCs w:val="18"/>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82" w:lineRule="exact"/>
        <w:rPr>
          <w:sz w:val="20"/>
          <w:szCs w:val="20"/>
          <w:color w:val="auto"/>
        </w:rPr>
      </w:pPr>
    </w:p>
    <w:p>
      <w:pPr>
        <w:ind w:left="1040" w:right="240" w:hanging="373"/>
        <w:spacing w:after="0" w:line="313"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for safety reasons or following an inspection of clinical trial operations or site by the FDA or other regulatory authorities;</w:t>
      </w:r>
    </w:p>
    <w:p>
      <w:pPr>
        <w:spacing w:after="0" w:line="5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challenges;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quality of product candidates or other materials necessary to conduct clinical trials;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ind w:left="1040" w:right="60" w:hanging="373"/>
        <w:spacing w:after="0" w:line="313"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6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or clinical sites becoming unavailable due to political, economic, or public health events;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electing to terminate their participation in one of our clinical trials;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medical investigators to follow clinical trial protocols;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clinical trial administrative actions;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patient enrollment;</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standards of care;</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concerns;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or prevalence of use of a comparative drug or required prior therapy; or</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outcomes or financial constraints.</w:t>
      </w:r>
    </w:p>
    <w:p>
      <w:pPr>
        <w:spacing w:after="0" w:line="144"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or our collaborators experience any of the issues described above, or other similar or related issues, we or our collaborators may:</w:t>
      </w:r>
    </w:p>
    <w:p>
      <w:pPr>
        <w:spacing w:after="0" w:line="144" w:lineRule="exact"/>
        <w:rPr>
          <w:sz w:val="20"/>
          <w:szCs w:val="20"/>
          <w:color w:val="auto"/>
        </w:rPr>
      </w:pPr>
    </w:p>
    <w:p>
      <w:pPr>
        <w:ind w:left="1040" w:hanging="373"/>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44" w:lineRule="exact"/>
        <w:rPr>
          <w:sz w:val="20"/>
          <w:szCs w:val="20"/>
          <w:color w:val="auto"/>
        </w:rPr>
      </w:pPr>
    </w:p>
    <w:p>
      <w:pPr>
        <w:ind w:right="160" w:firstLine="659"/>
        <w:spacing w:after="0" w:line="294" w:lineRule="auto"/>
        <w:rPr>
          <w:sz w:val="20"/>
          <w:szCs w:val="20"/>
          <w:color w:val="auto"/>
        </w:rPr>
      </w:pPr>
      <w:r>
        <w:rPr>
          <w:rFonts w:ascii="Times New Roman" w:cs="Times New Roman" w:eastAsia="Times New Roman" w:hAnsi="Times New Roman"/>
          <w:sz w:val="18"/>
          <w:szCs w:val="18"/>
          <w:color w:val="auto"/>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 if our product candidates receive regulatory approval, they will be subject to significant post-marketing regulatory requirements.</w:t>
      </w:r>
    </w:p>
    <w:p>
      <w:pPr>
        <w:spacing w:after="0" w:line="148" w:lineRule="exact"/>
        <w:rPr>
          <w:sz w:val="20"/>
          <w:szCs w:val="20"/>
          <w:color w:val="auto"/>
        </w:rPr>
      </w:pPr>
    </w:p>
    <w:p>
      <w:pPr>
        <w:ind w:right="180" w:firstLine="659"/>
        <w:spacing w:after="0" w:line="313" w:lineRule="auto"/>
        <w:rPr>
          <w:sz w:val="20"/>
          <w:szCs w:val="20"/>
          <w:color w:val="auto"/>
        </w:rPr>
      </w:pPr>
      <w:r>
        <w:rPr>
          <w:rFonts w:ascii="Times New Roman" w:cs="Times New Roman" w:eastAsia="Times New Roman" w:hAnsi="Times New Roman"/>
          <w:sz w:val="18"/>
          <w:szCs w:val="18"/>
          <w:color w:val="auto"/>
        </w:rPr>
        <w:t>Any regulatory approvals that we or our collaborators may receive for our product candidates will require surveillance to monitor the safety and efficacy of the product candidate, may contain significant limitations related to use restrictions for specified age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9" w:name="page30"/>
    <w:bookmarkEnd w:id="29"/>
    <w:p>
      <w:pPr>
        <w:ind w:right="20"/>
        <w:spacing w:after="0" w:line="290" w:lineRule="auto"/>
        <w:rPr>
          <w:sz w:val="20"/>
          <w:szCs w:val="20"/>
          <w:color w:val="auto"/>
        </w:rPr>
      </w:pPr>
      <w:r>
        <w:rPr>
          <w:rFonts w:ascii="Times New Roman" w:cs="Times New Roman" w:eastAsia="Times New Roman" w:hAnsi="Times New Roman"/>
          <w:sz w:val="18"/>
          <w:szCs w:val="18"/>
          <w:color w:val="auto"/>
        </w:rPr>
        <w:t>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regulations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spacing w:after="0" w:line="83" w:lineRule="exact"/>
        <w:rPr>
          <w:sz w:val="20"/>
          <w:szCs w:val="20"/>
          <w:color w:val="auto"/>
        </w:rPr>
      </w:pPr>
    </w:p>
    <w:p>
      <w:pPr>
        <w:ind w:left="1040" w:hanging="373"/>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 and</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BLAs or supplements to approved BLAs.</w:t>
      </w:r>
    </w:p>
    <w:p>
      <w:pPr>
        <w:spacing w:after="0" w:line="144" w:lineRule="exact"/>
        <w:rPr>
          <w:sz w:val="20"/>
          <w:szCs w:val="20"/>
          <w:color w:val="auto"/>
        </w:rPr>
      </w:pPr>
    </w:p>
    <w:p>
      <w:pPr>
        <w:ind w:right="360" w:firstLine="659"/>
        <w:spacing w:after="0" w:line="329"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alone or with our collaborators, to commercialize our product candidates and generate revenue.</w:t>
      </w:r>
    </w:p>
    <w:p>
      <w:pPr>
        <w:spacing w:after="0" w:line="40" w:lineRule="exact"/>
        <w:rPr>
          <w:sz w:val="20"/>
          <w:szCs w:val="20"/>
          <w:color w:val="auto"/>
        </w:rPr>
      </w:pPr>
    </w:p>
    <w:p>
      <w:pPr>
        <w:ind w:right="200" w:firstLine="659"/>
        <w:spacing w:after="0" w:line="297"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69" w:lineRule="exact"/>
        <w:rPr>
          <w:sz w:val="20"/>
          <w:szCs w:val="20"/>
          <w:color w:val="auto"/>
        </w:rPr>
      </w:pPr>
    </w:p>
    <w:p>
      <w:pPr>
        <w:ind w:firstLine="659"/>
        <w:spacing w:after="0" w:line="291"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ind w:right="60"/>
        <w:spacing w:after="0" w:line="313" w:lineRule="auto"/>
        <w:rPr>
          <w:sz w:val="20"/>
          <w:szCs w:val="20"/>
          <w:color w:val="auto"/>
        </w:rPr>
      </w:pPr>
      <w:r>
        <w:rPr>
          <w:rFonts w:ascii="Times New Roman" w:cs="Times New Roman" w:eastAsia="Times New Roman" w:hAnsi="Times New Roman"/>
          <w:sz w:val="18"/>
          <w:szCs w:val="18"/>
          <w:color w:val="auto"/>
        </w:rPr>
        <w:t>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successful in our efforts to expand our pipeline of product candidates and develop marketable products.</w:t>
      </w:r>
    </w:p>
    <w:p>
      <w:pPr>
        <w:spacing w:after="0" w:line="148" w:lineRule="exact"/>
        <w:rPr>
          <w:sz w:val="20"/>
          <w:szCs w:val="20"/>
          <w:color w:val="auto"/>
        </w:rPr>
      </w:pPr>
    </w:p>
    <w:p>
      <w:pPr>
        <w:ind w:right="140" w:firstLine="659"/>
        <w:spacing w:after="0" w:line="291"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our business depends on our successful development and commercialization of the limited number of internal product candidates we have in preclinical and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spacing w:after="0" w:line="90" w:lineRule="exact"/>
        <w:rPr>
          <w:sz w:val="20"/>
          <w:szCs w:val="20"/>
          <w:color w:val="auto"/>
        </w:rPr>
      </w:pPr>
    </w:p>
    <w:p>
      <w:pPr>
        <w:ind w:firstLine="659"/>
        <w:spacing w:after="0" w:line="290" w:lineRule="auto"/>
        <w:rPr>
          <w:sz w:val="20"/>
          <w:szCs w:val="20"/>
          <w:color w:val="auto"/>
        </w:rPr>
      </w:pPr>
      <w:r>
        <w:rPr>
          <w:rFonts w:ascii="Times New Roman" w:cs="Times New Roman" w:eastAsia="Times New Roman" w:hAnsi="Times New Roman"/>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96" w:lineRule="exact"/>
        <w:rPr>
          <w:sz w:val="20"/>
          <w:szCs w:val="20"/>
          <w:color w:val="auto"/>
        </w:rPr>
      </w:pPr>
    </w:p>
    <w:p>
      <w:pPr>
        <w:ind w:right="420"/>
        <w:spacing w:after="0" w:line="318" w:lineRule="auto"/>
        <w:rPr>
          <w:sz w:val="20"/>
          <w:szCs w:val="20"/>
          <w:color w:val="auto"/>
        </w:rPr>
      </w:pPr>
      <w:r>
        <w:rPr>
          <w:rFonts w:ascii="Times New Roman" w:cs="Times New Roman" w:eastAsia="Times New Roman" w:hAnsi="Times New Roman"/>
          <w:sz w:val="18"/>
          <w:szCs w:val="18"/>
          <w:b w:val="1"/>
          <w:bCs w:val="1"/>
          <w:color w:val="auto"/>
        </w:rPr>
        <w:t>We are assessing advancement to Phase 3 of clinical development of rosnilimab in RA, and have no history of commercializing biotechnology products, which may make it difficult to evaluate the prospects for our future viability.</w:t>
      </w:r>
    </w:p>
    <w:p>
      <w:pPr>
        <w:spacing w:after="0" w:line="63" w:lineRule="exact"/>
        <w:rPr>
          <w:sz w:val="20"/>
          <w:szCs w:val="20"/>
          <w:color w:val="auto"/>
        </w:rPr>
      </w:pPr>
    </w:p>
    <w:p>
      <w:pPr>
        <w:ind w:right="40" w:firstLine="659"/>
        <w:spacing w:after="0" w:line="290" w:lineRule="auto"/>
        <w:rPr>
          <w:sz w:val="20"/>
          <w:szCs w:val="20"/>
          <w:color w:val="auto"/>
        </w:rPr>
      </w:pPr>
      <w:r>
        <w:rPr>
          <w:rFonts w:ascii="Times New Roman" w:cs="Times New Roman" w:eastAsia="Times New Roman" w:hAnsi="Times New Roman"/>
          <w:sz w:val="18"/>
          <w:szCs w:val="18"/>
          <w:color w:val="auto"/>
        </w:rPr>
        <w:t>Our operations to date have been largely limited to financing and staffing our company and developing our wholly 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 owned product candidates will require significant additional financial and management resources, and reliance on third party clinical investigators, CROs, consultants or collaborators. Relying on third party clinical investigators, third party manufacturing, CROs or collaborators may result in delays that are outside of our control.</w:t>
      </w:r>
    </w:p>
    <w:p>
      <w:pPr>
        <w:spacing w:after="0" w:line="92" w:lineRule="exact"/>
        <w:rPr>
          <w:sz w:val="20"/>
          <w:szCs w:val="20"/>
          <w:color w:val="auto"/>
        </w:rPr>
      </w:pPr>
    </w:p>
    <w:p>
      <w:pPr>
        <w:ind w:right="280" w:firstLine="659"/>
        <w:spacing w:after="0" w:line="305" w:lineRule="auto"/>
        <w:rPr>
          <w:sz w:val="20"/>
          <w:szCs w:val="20"/>
          <w:color w:val="auto"/>
        </w:rPr>
      </w:pPr>
      <w:r>
        <w:rPr>
          <w:rFonts w:ascii="Times New Roman" w:cs="Times New Roman" w:eastAsia="Times New Roman" w:hAnsi="Times New Roman"/>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61" w:lineRule="exact"/>
        <w:rPr>
          <w:sz w:val="20"/>
          <w:szCs w:val="20"/>
          <w:color w:val="auto"/>
        </w:rPr>
      </w:pPr>
    </w:p>
    <w:p>
      <w:pPr>
        <w:ind w:left="1040" w:right="460" w:hanging="373"/>
        <w:spacing w:after="0" w:line="313"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suspension or termination of a clinical trial once commenced;</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foreign regulatory authorities regarding the number, scope or design of our clinical trials;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clinical trial materials or other supplies necessary for the conduct of our clinical trials;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1" w:name="page32"/>
    <w:bookmarkEnd w:id="31"/>
    <w:p>
      <w:pPr>
        <w:ind w:left="1040" w:hanging="373"/>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during clinical trials;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57" w:lineRule="exact"/>
        <w:rPr>
          <w:rFonts w:ascii="Times New Roman" w:cs="Times New Roman" w:eastAsia="Times New Roman" w:hAnsi="Times New Roman"/>
          <w:sz w:val="18"/>
          <w:szCs w:val="18"/>
          <w:color w:val="auto"/>
        </w:rPr>
      </w:pPr>
    </w:p>
    <w:p>
      <w:pPr>
        <w:ind w:left="1040" w:right="120" w:hanging="373"/>
        <w:spacing w:after="0" w:line="313"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 party contractors or investigators to comply with regulatory requirements or otherwise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1040" w:right="200" w:hanging="373"/>
        <w:spacing w:after="0" w:line="313"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or otherwise unacceptable, drug-related side effects experienced by participants in our planned clinical trials or by individuals using drugs similar to our product candidates;</w:t>
      </w:r>
    </w:p>
    <w:p>
      <w:pPr>
        <w:spacing w:after="0" w:line="54" w:lineRule="exact"/>
        <w:rPr>
          <w:rFonts w:ascii="Times New Roman" w:cs="Times New Roman" w:eastAsia="Times New Roman" w:hAnsi="Times New Roman"/>
          <w:sz w:val="18"/>
          <w:szCs w:val="18"/>
          <w:color w:val="auto"/>
        </w:rPr>
      </w:pPr>
    </w:p>
    <w:p>
      <w:pPr>
        <w:ind w:left="1040" w:right="360" w:hanging="373"/>
        <w:spacing w:after="0" w:line="329"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40"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foreign regulatory authorities.</w:t>
      </w:r>
    </w:p>
    <w:p>
      <w:pPr>
        <w:spacing w:after="0" w:line="158" w:lineRule="exact"/>
        <w:rPr>
          <w:sz w:val="20"/>
          <w:szCs w:val="20"/>
          <w:color w:val="auto"/>
        </w:rPr>
      </w:pPr>
    </w:p>
    <w:p>
      <w:pPr>
        <w:ind w:right="80" w:firstLine="659"/>
        <w:spacing w:after="0" w:line="313" w:lineRule="auto"/>
        <w:rPr>
          <w:sz w:val="20"/>
          <w:szCs w:val="20"/>
          <w:color w:val="auto"/>
        </w:rPr>
      </w:pPr>
      <w:r>
        <w:rPr>
          <w:rFonts w:ascii="Times New Roman" w:cs="Times New Roman" w:eastAsia="Times New Roman" w:hAnsi="Times New Roman"/>
          <w:sz w:val="18"/>
          <w:szCs w:val="18"/>
          <w:color w:val="auto"/>
        </w:rPr>
        <w:t>Consequently, any predictions you make about our future success or viability based on our operating history may not be as accurate as they could be if we had an established track record in conducting clinical trials or commercializing products.</w:t>
      </w:r>
    </w:p>
    <w:p>
      <w:pPr>
        <w:spacing w:after="0" w:line="54" w:lineRule="exact"/>
        <w:rPr>
          <w:sz w:val="20"/>
          <w:szCs w:val="20"/>
          <w:color w:val="auto"/>
        </w:rPr>
      </w:pPr>
    </w:p>
    <w:p>
      <w:pPr>
        <w:jc w:val="both"/>
        <w:ind w:right="140" w:firstLine="659"/>
        <w:spacing w:after="0" w:line="305" w:lineRule="auto"/>
        <w:rPr>
          <w:sz w:val="20"/>
          <w:szCs w:val="20"/>
          <w:color w:val="auto"/>
        </w:rPr>
      </w:pPr>
      <w:r>
        <w:rPr>
          <w:rFonts w:ascii="Times New Roman" w:cs="Times New Roman" w:eastAsia="Times New Roman" w:hAnsi="Times New Roman"/>
          <w:sz w:val="18"/>
          <w:szCs w:val="18"/>
          <w:color w:val="auto"/>
        </w:rPr>
        <w:t>Further, as a clinical-stage business, we may encounter unforeseen expenses, difficulties, complications, delays, and other known and unknown factors. We will need to transition from a company with a research and development focus to a company capable of supporting commercial activities. We may not be successful in such a transition.</w:t>
      </w:r>
    </w:p>
    <w:p>
      <w:pPr>
        <w:spacing w:after="0" w:line="165" w:lineRule="exact"/>
        <w:rPr>
          <w:sz w:val="20"/>
          <w:szCs w:val="20"/>
          <w:color w:val="auto"/>
        </w:rPr>
      </w:pPr>
    </w:p>
    <w:p>
      <w:pPr>
        <w:ind w:right="420"/>
        <w:spacing w:after="0" w:line="333" w:lineRule="auto"/>
        <w:rPr>
          <w:sz w:val="20"/>
          <w:szCs w:val="20"/>
          <w:color w:val="auto"/>
        </w:rPr>
      </w:pPr>
      <w:r>
        <w:rPr>
          <w:rFonts w:ascii="Times New Roman" w:cs="Times New Roman" w:eastAsia="Times New Roman" w:hAnsi="Times New Roman"/>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37" w:lineRule="exact"/>
        <w:rPr>
          <w:sz w:val="20"/>
          <w:szCs w:val="20"/>
          <w:color w:val="auto"/>
        </w:rPr>
      </w:pPr>
    </w:p>
    <w:p>
      <w:pPr>
        <w:ind w:firstLine="659"/>
        <w:spacing w:after="0" w:line="291" w:lineRule="auto"/>
        <w:rPr>
          <w:sz w:val="20"/>
          <w:szCs w:val="20"/>
          <w:color w:val="auto"/>
        </w:rPr>
      </w:pPr>
      <w:r>
        <w:rPr>
          <w:rFonts w:ascii="Times New Roman" w:cs="Times New Roman" w:eastAsia="Times New Roman" w:hAnsi="Times New Roman"/>
          <w:sz w:val="18"/>
          <w:szCs w:val="18"/>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80"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For rosnilimab, our competitors include non-depleting PD-1 agonist antibodies GS-0151, (Gilead) in Phase 1b development for the treatment of rheumatoid arthritis, and S-4321 (Seismic Therapeutics)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w:t>
      </w:r>
    </w:p>
    <w:p>
      <w:pPr>
        <w:spacing w:after="0" w:line="82" w:lineRule="exact"/>
        <w:rPr>
          <w:sz w:val="20"/>
          <w:szCs w:val="20"/>
          <w:color w:val="auto"/>
        </w:rPr>
      </w:pPr>
    </w:p>
    <w:p>
      <w:pPr>
        <w:ind w:right="40" w:firstLine="659"/>
        <w:spacing w:after="0" w:line="293" w:lineRule="auto"/>
        <w:rPr>
          <w:sz w:val="20"/>
          <w:szCs w:val="20"/>
          <w:color w:val="auto"/>
        </w:rPr>
      </w:pPr>
      <w:r>
        <w:rPr>
          <w:rFonts w:ascii="Times New Roman" w:cs="Times New Roman" w:eastAsia="Times New Roman" w:hAnsi="Times New Roman"/>
          <w:sz w:val="18"/>
          <w:szCs w:val="18"/>
          <w:color w:val="auto"/>
        </w:rPr>
        <w:t>For our anti-CD122 antagonist antibody program, our clinical competitors include an anti-CD122 antagonist antibody, FB-102 (Forte Bioscience) in Phase 2a development for the treatment of CeD, Phase 1b development for the treatment of vitiligo, and Phase 1b development for the treatment of alopecia areata, and two anti-IL-15 monoclonal antibodies, GIA632 (Novartis) in Phase 2a development for atopic dermatitis and with proof-of-concept, Phase 1b data for the treatment of CeD and EoE, and TEV-53408 (Teva), in Phase 2 development for the treatment of CeD and vitiligo. To date, there are no FDA-approved therapies for the treatment of celiac disease and only one FDA-approved biologic, Dupixent, for the treatment of EoE.</w:t>
      </w:r>
    </w:p>
    <w:p>
      <w:pPr>
        <w:spacing w:after="0" w:line="73" w:lineRule="exact"/>
        <w:rPr>
          <w:sz w:val="20"/>
          <w:szCs w:val="20"/>
          <w:color w:val="auto"/>
        </w:rPr>
      </w:pPr>
    </w:p>
    <w:p>
      <w:pPr>
        <w:jc w:val="both"/>
        <w:ind w:right="200" w:firstLine="659"/>
        <w:spacing w:after="0" w:line="305" w:lineRule="auto"/>
        <w:rPr>
          <w:sz w:val="20"/>
          <w:szCs w:val="20"/>
          <w:color w:val="auto"/>
        </w:rPr>
      </w:pPr>
      <w:r>
        <w:rPr>
          <w:rFonts w:ascii="Times New Roman" w:cs="Times New Roman" w:eastAsia="Times New Roman" w:hAnsi="Times New Roman"/>
          <w:sz w:val="18"/>
          <w:szCs w:val="18"/>
          <w:color w:val="auto"/>
        </w:rPr>
        <w:t>For our anti-BDCA2 program, our competitors include another anti-BDCA2 antibody, litifilimab (Biogen) in Phase 3 development for SLE and CLE, and a bispecific fusion protein targeting BDCA2 and BAFF/APRIL, DNTH212 (Dianthus Therapeutics) in Phase 1 development, and an anti-ILT7 antibody, daxdilimab (Amgen) in Phase 2 development.</w:t>
      </w:r>
    </w:p>
    <w:p>
      <w:pPr>
        <w:spacing w:after="0" w:line="75" w:lineRule="exact"/>
        <w:rPr>
          <w:sz w:val="20"/>
          <w:szCs w:val="20"/>
          <w:color w:val="auto"/>
        </w:rPr>
      </w:pPr>
    </w:p>
    <w:p>
      <w:pPr>
        <w:ind w:right="40" w:firstLine="659"/>
        <w:spacing w:after="0" w:line="313"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are less expensive or capture significant market share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2" w:name="page33"/>
    <w:bookmarkEnd w:id="32"/>
    <w:p>
      <w:pPr>
        <w:spacing w:after="0" w:line="297" w:lineRule="auto"/>
        <w:rPr>
          <w:sz w:val="20"/>
          <w:szCs w:val="20"/>
          <w:color w:val="auto"/>
        </w:rPr>
      </w:pPr>
      <w:r>
        <w:rPr>
          <w:rFonts w:ascii="Times New Roman" w:cs="Times New Roman" w:eastAsia="Times New Roman" w:hAnsi="Times New Roman"/>
          <w:sz w:val="18"/>
          <w:szCs w:val="18"/>
          <w:color w:val="auto"/>
        </w:rPr>
        <w:t>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69" w:lineRule="exact"/>
        <w:rPr>
          <w:sz w:val="20"/>
          <w:szCs w:val="20"/>
          <w:color w:val="auto"/>
        </w:rPr>
      </w:pPr>
    </w:p>
    <w:p>
      <w:pPr>
        <w:ind w:right="80" w:firstLine="659"/>
        <w:spacing w:after="0" w:line="294"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76" w:lineRule="exact"/>
        <w:rPr>
          <w:sz w:val="20"/>
          <w:szCs w:val="20"/>
          <w:color w:val="auto"/>
        </w:rPr>
      </w:pPr>
    </w:p>
    <w:p>
      <w:pPr>
        <w:ind w:right="240"/>
        <w:spacing w:after="0" w:line="333" w:lineRule="auto"/>
        <w:rPr>
          <w:sz w:val="20"/>
          <w:szCs w:val="20"/>
          <w:color w:val="auto"/>
        </w:rPr>
      </w:pPr>
      <w:r>
        <w:rPr>
          <w:rFonts w:ascii="Times New Roman" w:cs="Times New Roman" w:eastAsia="Times New Roman" w:hAnsi="Times New Roman"/>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37" w:lineRule="exact"/>
        <w:rPr>
          <w:sz w:val="20"/>
          <w:szCs w:val="20"/>
          <w:color w:val="auto"/>
        </w:rPr>
      </w:pPr>
    </w:p>
    <w:p>
      <w:pPr>
        <w:ind w:firstLine="659"/>
        <w:spacing w:after="0" w:line="305"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61" w:lineRule="exact"/>
        <w:rPr>
          <w:sz w:val="20"/>
          <w:szCs w:val="20"/>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planned clinical trials;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44" w:lineRule="exact"/>
        <w:rPr>
          <w:rFonts w:ascii="Times New Roman" w:cs="Times New Roman" w:eastAsia="Times New Roman" w:hAnsi="Times New Roman"/>
          <w:sz w:val="18"/>
          <w:szCs w:val="18"/>
          <w:color w:val="auto"/>
        </w:rPr>
      </w:pPr>
    </w:p>
    <w:p>
      <w:pPr>
        <w:ind w:left="1040" w:right="40" w:hanging="373"/>
        <w:spacing w:after="0" w:line="329"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products, if approved, such as boxed warnings or contraindications in labeling or REMS, if any, which may not be required of alternative treatments and competitor products;</w:t>
      </w:r>
    </w:p>
    <w:p>
      <w:pPr>
        <w:spacing w:after="0" w:line="40"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 including any similar generic treatments;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 parties and government authorities;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w:t>
      </w:r>
    </w:p>
    <w:p>
      <w:pPr>
        <w:spacing w:after="0" w:line="144" w:lineRule="exact"/>
        <w:rPr>
          <w:sz w:val="20"/>
          <w:szCs w:val="20"/>
          <w:color w:val="auto"/>
        </w:rPr>
      </w:pPr>
    </w:p>
    <w:p>
      <w:pPr>
        <w:ind w:right="600" w:firstLine="659"/>
        <w:spacing w:after="0" w:line="329" w:lineRule="auto"/>
        <w:rPr>
          <w:sz w:val="20"/>
          <w:szCs w:val="20"/>
          <w:color w:val="auto"/>
        </w:rPr>
      </w:pPr>
      <w:r>
        <w:rPr>
          <w:rFonts w:ascii="Times New Roman" w:cs="Times New Roman" w:eastAsia="Times New Roman" w:hAnsi="Times New Roman"/>
          <w:sz w:val="18"/>
          <w:szCs w:val="18"/>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144" w:lineRule="exact"/>
        <w:rPr>
          <w:sz w:val="20"/>
          <w:szCs w:val="20"/>
          <w:color w:val="auto"/>
        </w:rPr>
      </w:pPr>
    </w:p>
    <w:p>
      <w:pPr>
        <w:ind w:right="160"/>
        <w:spacing w:after="0" w:line="307" w:lineRule="auto"/>
        <w:rPr>
          <w:sz w:val="20"/>
          <w:szCs w:val="20"/>
          <w:color w:val="auto"/>
        </w:rPr>
      </w:pPr>
      <w:r>
        <w:rPr>
          <w:rFonts w:ascii="Times New Roman" w:cs="Times New Roman" w:eastAsia="Times New Roman" w:hAnsi="Times New Roman"/>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60" w:lineRule="exact"/>
        <w:rPr>
          <w:sz w:val="20"/>
          <w:szCs w:val="20"/>
          <w:color w:val="auto"/>
        </w:rPr>
      </w:pPr>
    </w:p>
    <w:p>
      <w:pPr>
        <w:ind w:right="60" w:firstLine="659"/>
        <w:spacing w:after="0" w:line="294" w:lineRule="auto"/>
        <w:rPr>
          <w:sz w:val="20"/>
          <w:szCs w:val="20"/>
          <w:color w:val="auto"/>
        </w:rPr>
      </w:pPr>
      <w:r>
        <w:rPr>
          <w:rFonts w:ascii="Times New Roman" w:cs="Times New Roman" w:eastAsia="Times New Roman" w:hAnsi="Times New Roman"/>
          <w:sz w:val="18"/>
          <w:szCs w:val="18"/>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3" w:name="page34"/>
    <w:bookmarkEnd w:id="33"/>
    <w:p>
      <w:pPr>
        <w:spacing w:after="0" w:line="293" w:lineRule="auto"/>
        <w:rPr>
          <w:sz w:val="20"/>
          <w:szCs w:val="20"/>
          <w:color w:val="auto"/>
        </w:rPr>
      </w:pPr>
      <w:r>
        <w:rPr>
          <w:rFonts w:ascii="Times New Roman" w:cs="Times New Roman" w:eastAsia="Times New Roman" w:hAnsi="Times New Roman"/>
          <w:sz w:val="18"/>
          <w:szCs w:val="18"/>
          <w:color w:val="auto"/>
        </w:rPr>
        <w:t>management team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175" w:lineRule="exact"/>
        <w:rPr>
          <w:sz w:val="20"/>
          <w:szCs w:val="20"/>
          <w:color w:val="auto"/>
        </w:rPr>
      </w:pPr>
    </w:p>
    <w:p>
      <w:pPr>
        <w:ind w:right="280"/>
        <w:spacing w:after="0" w:line="307" w:lineRule="auto"/>
        <w:rPr>
          <w:sz w:val="20"/>
          <w:szCs w:val="20"/>
          <w:color w:val="auto"/>
        </w:rPr>
      </w:pPr>
      <w:r>
        <w:rPr>
          <w:rFonts w:ascii="Times New Roman" w:cs="Times New Roman" w:eastAsia="Times New Roman" w:hAnsi="Times New Roman"/>
          <w:sz w:val="18"/>
          <w:szCs w:val="18"/>
          <w:b w:val="1"/>
          <w:bCs w:val="1"/>
          <w:color w:val="auto"/>
        </w:rPr>
        <w:t>The manufacture of biologics is complex, and our third party manufacturers may encounter difficulties in production. If any of our third 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60" w:lineRule="exact"/>
        <w:rPr>
          <w:sz w:val="20"/>
          <w:szCs w:val="20"/>
          <w:color w:val="auto"/>
        </w:rPr>
      </w:pPr>
    </w:p>
    <w:p>
      <w:pPr>
        <w:ind w:right="80" w:firstLine="659"/>
        <w:spacing w:after="0" w:line="291" w:lineRule="auto"/>
        <w:rPr>
          <w:sz w:val="20"/>
          <w:szCs w:val="20"/>
          <w:color w:val="auto"/>
        </w:rPr>
      </w:pPr>
      <w:r>
        <w:rPr>
          <w:rFonts w:ascii="Times New Roman" w:cs="Times New Roman" w:eastAsia="Times New Roman" w:hAnsi="Times New Roman"/>
          <w:sz w:val="18"/>
          <w:szCs w:val="18"/>
          <w:color w:val="auto"/>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rely, and expect to continue to rely, on third parties, including manufacturers based in China, for the manufacture of our product candidates and future product candidates. We and our contract manufacturers must comply with cGMP regulations for the manufacturing of biologics used in clinical trials and, if approved, marketed products. Moreover, if the FDA determines that our manufacturer is not in compliance with FDA laws and regulations, including cGMP regulations, the FDA may deny BLA approval until the deficiencies are corrected or we replace the manufacturer in our BLA with a manufacturer that is in compliance.</w:t>
      </w:r>
    </w:p>
    <w:p>
      <w:pPr>
        <w:spacing w:after="0" w:line="88" w:lineRule="exact"/>
        <w:rPr>
          <w:sz w:val="20"/>
          <w:szCs w:val="20"/>
          <w:color w:val="auto"/>
        </w:rPr>
      </w:pPr>
    </w:p>
    <w:p>
      <w:pPr>
        <w:ind w:right="40" w:firstLine="659"/>
        <w:spacing w:after="0" w:line="297" w:lineRule="auto"/>
        <w:rPr>
          <w:sz w:val="20"/>
          <w:szCs w:val="20"/>
          <w:color w:val="auto"/>
        </w:rPr>
      </w:pPr>
      <w:r>
        <w:rPr>
          <w:rFonts w:ascii="Times New Roman" w:cs="Times New Roman" w:eastAsia="Times New Roman" w:hAnsi="Times New Roman"/>
          <w:sz w:val="18"/>
          <w:szCs w:val="18"/>
          <w:color w:val="auto"/>
        </w:rPr>
        <w:t>Furthermore, all of our therapeutic antibodies are manufactured by starting with cells which are stored in a cell bank. We have one master cell bank for each antibody manufactured in accordance with cGMP regulations and create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spacing w:after="0" w:line="69" w:lineRule="exact"/>
        <w:rPr>
          <w:sz w:val="20"/>
          <w:szCs w:val="20"/>
          <w:color w:val="auto"/>
        </w:rPr>
      </w:pPr>
    </w:p>
    <w:p>
      <w:pPr>
        <w:ind w:right="140" w:firstLine="659"/>
        <w:spacing w:after="0" w:line="293" w:lineRule="auto"/>
        <w:rPr>
          <w:sz w:val="20"/>
          <w:szCs w:val="20"/>
          <w:color w:val="auto"/>
        </w:rPr>
      </w:pPr>
      <w:r>
        <w:rPr>
          <w:rFonts w:ascii="Times New Roman" w:cs="Times New Roman" w:eastAsia="Times New Roman" w:hAnsi="Times New Roman"/>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spacing w:after="0" w:line="71" w:lineRule="exact"/>
        <w:rPr>
          <w:sz w:val="20"/>
          <w:szCs w:val="20"/>
          <w:color w:val="auto"/>
        </w:rPr>
      </w:pPr>
    </w:p>
    <w:p>
      <w:pPr>
        <w:ind w:right="20" w:firstLine="659"/>
        <w:spacing w:after="0" w:line="291"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United States. Although we have not experienced any material supply interruptions to date, it is possible that political, economic or public health events could cause such interruptions in the future. Further, legislation has been introduced in Congress to limit certain U.S. biotechnology companies from using equipment or services produced or provided by select Chinese biotechnology companies, although such legislation has not yet advanced. We cannot predict what actions may</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ind w:right="20"/>
        <w:spacing w:after="0" w:line="291" w:lineRule="auto"/>
        <w:rPr>
          <w:sz w:val="20"/>
          <w:szCs w:val="20"/>
          <w:color w:val="auto"/>
        </w:rPr>
      </w:pPr>
      <w:r>
        <w:rPr>
          <w:rFonts w:ascii="Times New Roman" w:cs="Times New Roman" w:eastAsia="Times New Roman" w:hAnsi="Times New Roman"/>
          <w:sz w:val="18"/>
          <w:szCs w:val="18"/>
          <w:color w:val="auto"/>
        </w:rPr>
        <w:t>ultimately be taken with respect to trade relations between the United States and China or other countries, what products and services may be subject to such actions or what actions may be taken by the other countries in retaliation.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of drug, packaging and other services being interrupted or limited, which could harm our business.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spacing w:after="0" w:line="178" w:lineRule="exact"/>
        <w:rPr>
          <w:sz w:val="20"/>
          <w:szCs w:val="20"/>
          <w:color w:val="auto"/>
        </w:rPr>
      </w:pPr>
    </w:p>
    <w:p>
      <w:pPr>
        <w:ind w:right="400"/>
        <w:spacing w:after="0" w:line="333" w:lineRule="auto"/>
        <w:rPr>
          <w:sz w:val="20"/>
          <w:szCs w:val="20"/>
          <w:color w:val="auto"/>
        </w:rPr>
      </w:pPr>
      <w:r>
        <w:rPr>
          <w:rFonts w:ascii="Times New Roman" w:cs="Times New Roman" w:eastAsia="Times New Roman" w:hAnsi="Times New Roman"/>
          <w:sz w:val="18"/>
          <w:szCs w:val="18"/>
          <w:b w:val="1"/>
          <w:bCs w:val="1"/>
          <w:color w:val="auto"/>
        </w:rPr>
        <w:t>Some of our suppliers may experience disruption to their respective supply chain due to the effects of macroeconomic conditions, which could delay, prevent or impair our development or commercialization efforts.</w:t>
      </w:r>
    </w:p>
    <w:p>
      <w:pPr>
        <w:spacing w:after="0" w:line="37"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We obtain certain drug intermediates of our drug candidate supply from countries affected by macroeconomic events and conditions, including inflation, interest rate fluctuations, uncertainty with respect to the federal budget and debt ceiling and existing or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production processes, and ability to conduct clinical trials. If we are unable to obtain certain drug intermediates of our drug candidate supply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175" w:lineRule="exact"/>
        <w:rPr>
          <w:sz w:val="20"/>
          <w:szCs w:val="20"/>
          <w:color w:val="auto"/>
        </w:rPr>
      </w:pPr>
    </w:p>
    <w:p>
      <w:pPr>
        <w:ind w:right="120"/>
        <w:spacing w:after="0" w:line="333" w:lineRule="auto"/>
        <w:rPr>
          <w:sz w:val="20"/>
          <w:szCs w:val="20"/>
          <w:color w:val="auto"/>
        </w:rPr>
      </w:pPr>
      <w:r>
        <w:rPr>
          <w:rFonts w:ascii="Times New Roman" w:cs="Times New Roman" w:eastAsia="Times New Roman" w:hAnsi="Times New Roman"/>
          <w:sz w:val="18"/>
          <w:szCs w:val="18"/>
          <w:b w:val="1"/>
          <w:bCs w:val="1"/>
          <w:color w:val="auto"/>
        </w:rPr>
        <w:t>The macroeconomic and geopolitical environment may have a material impact on the U.S. and global economies and could materially impact our business, financial condition and results of operations.</w:t>
      </w:r>
    </w:p>
    <w:p>
      <w:pPr>
        <w:spacing w:after="0" w:line="37" w:lineRule="exact"/>
        <w:rPr>
          <w:sz w:val="20"/>
          <w:szCs w:val="20"/>
          <w:color w:val="auto"/>
        </w:rPr>
      </w:pPr>
    </w:p>
    <w:p>
      <w:pPr>
        <w:ind w:right="20" w:firstLine="659"/>
        <w:spacing w:after="0" w:line="294" w:lineRule="auto"/>
        <w:rPr>
          <w:sz w:val="20"/>
          <w:szCs w:val="20"/>
          <w:color w:val="auto"/>
        </w:rPr>
      </w:pPr>
      <w:r>
        <w:rPr>
          <w:rFonts w:ascii="Times New Roman" w:cs="Times New Roman" w:eastAsia="Times New Roman" w:hAnsi="Times New Roman"/>
          <w:sz w:val="18"/>
          <w:szCs w:val="18"/>
          <w:color w:val="auto"/>
        </w:rPr>
        <w:t>The macroeconomic and geopolitical environment, including inflation, increased volatility in interest rates, tariffs and the debt and equity markets, instability in the global banking system, global health crises and pandemics and geopolitical conflict have had, and may continue to have, an adverse impact on global economic conditions, which could have an adverse effect on our business and financial condition, including impairing our ability to raise additional capital on favorable terms.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spacing w:after="0" w:line="72" w:lineRule="exact"/>
        <w:rPr>
          <w:sz w:val="20"/>
          <w:szCs w:val="20"/>
          <w:color w:val="auto"/>
        </w:rPr>
      </w:pPr>
    </w:p>
    <w:p>
      <w:pPr>
        <w:ind w:right="20" w:firstLine="659"/>
        <w:spacing w:after="0" w:line="292" w:lineRule="auto"/>
        <w:rPr>
          <w:sz w:val="20"/>
          <w:szCs w:val="20"/>
          <w:color w:val="auto"/>
        </w:rPr>
      </w:pPr>
      <w:r>
        <w:rPr>
          <w:rFonts w:ascii="Times New Roman" w:cs="Times New Roman" w:eastAsia="Times New Roman" w:hAnsi="Times New Roman"/>
          <w:sz w:val="18"/>
          <w:szCs w:val="18"/>
          <w:color w:val="auto"/>
        </w:rPr>
        <w:t>We are subject to risks associated with foreign trade policy, including recent tariffs imposed or proposed by the United States on its trading partners, as well as retaliatory actions that have or may be imposed by other countries in response. The recent U.S. tariffs and other trade restrictions against trading partners and specific sectors of the global economy may have an adverse effect on our business and financial condition. The United States has imposed many country-specific tariffs at a rate higher than the 10% global baseline on all foreign countries and continues to impose increased tariffs on China in particular. At this time, the impact of the recently imposed and proposed tariff actions with respect to our operations remains uncertain given ongoing bilateral negotiations between the United States and trading partners, changes in U.S. policy, and an ongoing Section 232 investigation by the U.S. Department of Commerce, which may result in the imposition of an additional tariff rate on U.S. imports of pharmaceuticals and pharmaceutical ingredients. Our products involve pharmaceutical ingredients that are partially sourced from outside of the United States, including China, the cost of which may increase due to additional tariff rates. Higher material costs may negatively impact our gross margins and operating results and our ability to be competitive in the global market.</w:t>
      </w:r>
    </w:p>
    <w:p>
      <w:pPr>
        <w:spacing w:after="0" w:line="74" w:lineRule="exact"/>
        <w:rPr>
          <w:sz w:val="20"/>
          <w:szCs w:val="20"/>
          <w:color w:val="auto"/>
        </w:rPr>
      </w:pPr>
    </w:p>
    <w:p>
      <w:pPr>
        <w:ind w:right="460" w:firstLine="659"/>
        <w:spacing w:after="0" w:line="329" w:lineRule="auto"/>
        <w:rPr>
          <w:sz w:val="20"/>
          <w:szCs w:val="20"/>
          <w:color w:val="auto"/>
        </w:rPr>
      </w:pPr>
      <w:r>
        <w:rPr>
          <w:rFonts w:ascii="Times New Roman" w:cs="Times New Roman" w:eastAsia="Times New Roman" w:hAnsi="Times New Roman"/>
          <w:sz w:val="18"/>
          <w:szCs w:val="18"/>
          <w:color w:val="auto"/>
        </w:rPr>
        <w:t>Changes in government trade policies, including changes to tariffs and other non-tariff barriers, may have a material impact on our results of operations.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44" w:lineRule="exact"/>
        <w:rPr>
          <w:sz w:val="20"/>
          <w:szCs w:val="20"/>
          <w:color w:val="auto"/>
        </w:rPr>
      </w:pPr>
    </w:p>
    <w:p>
      <w:pPr>
        <w:spacing w:after="0" w:line="333" w:lineRule="auto"/>
        <w:rPr>
          <w:sz w:val="20"/>
          <w:szCs w:val="20"/>
          <w:color w:val="auto"/>
        </w:rPr>
      </w:pPr>
      <w:r>
        <w:rPr>
          <w:rFonts w:ascii="Times New Roman" w:cs="Times New Roman" w:eastAsia="Times New Roman" w:hAnsi="Times New Roman"/>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37" w:lineRule="exact"/>
        <w:rPr>
          <w:sz w:val="20"/>
          <w:szCs w:val="20"/>
          <w:color w:val="auto"/>
        </w:rPr>
      </w:pPr>
    </w:p>
    <w:p>
      <w:pPr>
        <w:ind w:right="160" w:firstLine="659"/>
        <w:spacing w:after="0" w:line="297"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69" w:lineRule="exact"/>
        <w:rPr>
          <w:sz w:val="20"/>
          <w:szCs w:val="20"/>
          <w:color w:val="auto"/>
        </w:rPr>
      </w:pPr>
    </w:p>
    <w:p>
      <w:pPr>
        <w:ind w:right="200" w:firstLine="659"/>
        <w:spacing w:after="0" w:line="305"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in every year except fiscal year 2014. For the year ended December 31, 2025, our collaboration revenue was $234.6 million and our net loss was $13.2 million. As of December 31, 2025, we had an accumulated deficit of $772.6 million.</w:t>
      </w:r>
    </w:p>
    <w:p>
      <w:pPr>
        <w:spacing w:after="0" w:line="61" w:lineRule="exact"/>
        <w:rPr>
          <w:sz w:val="20"/>
          <w:szCs w:val="20"/>
          <w:color w:val="auto"/>
        </w:rPr>
      </w:pPr>
    </w:p>
    <w:p>
      <w:pPr>
        <w:ind w:right="20" w:firstLine="659"/>
        <w:spacing w:after="0" w:line="293" w:lineRule="auto"/>
        <w:rPr>
          <w:sz w:val="20"/>
          <w:szCs w:val="20"/>
          <w:color w:val="auto"/>
        </w:rPr>
      </w:pPr>
      <w:r>
        <w:rPr>
          <w:rFonts w:ascii="Times New Roman" w:cs="Times New Roman" w:eastAsia="Times New Roman" w:hAnsi="Times New Roman"/>
          <w:sz w:val="18"/>
          <w:szCs w:val="18"/>
          <w:color w:val="auto"/>
        </w:rPr>
        <w:t>We have financed our operations primarily through our initial public offering of common stock in January 2017, our follow-on public offerings of common stock in October 2017, September 2018, and August 2024, and royalty monetization transactions such as the Royalty Monetization Agreements. We have devoted substantially all of our efforts to research and development. Rosnilimab has completed a Phase 2b clinical trial, and we expect that it will be several years, if ever, before any of our active product candidates are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71" w:lineRule="exact"/>
        <w:rPr>
          <w:sz w:val="20"/>
          <w:szCs w:val="20"/>
          <w:color w:val="auto"/>
        </w:rPr>
      </w:pPr>
    </w:p>
    <w:p>
      <w:pPr>
        <w:ind w:left="1040" w:hanging="373"/>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of our product candidates;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existing and enter into new collaboration agreements;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preclinical studies and initiate clinical trials for our product candidates;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approvals for the product candidates that we develop or are developed under our collaboration arrangements;</w:t>
      </w:r>
    </w:p>
    <w:p>
      <w:pPr>
        <w:spacing w:after="0" w:line="144" w:lineRule="exact"/>
        <w:rPr>
          <w:rFonts w:ascii="Times New Roman" w:cs="Times New Roman" w:eastAsia="Times New Roman" w:hAnsi="Times New Roman"/>
          <w:sz w:val="18"/>
          <w:szCs w:val="18"/>
          <w:color w:val="auto"/>
        </w:rPr>
      </w:pPr>
    </w:p>
    <w:p>
      <w:pPr>
        <w:ind w:left="1040" w:right="400" w:hanging="373"/>
        <w:spacing w:after="0" w:line="329"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40"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executive, clinical, quality control and scientific personnel;</w:t>
      </w:r>
    </w:p>
    <w:p>
      <w:pPr>
        <w:spacing w:after="0" w:line="144" w:lineRule="exact"/>
        <w:rPr>
          <w:rFonts w:ascii="Times New Roman" w:cs="Times New Roman" w:eastAsia="Times New Roman" w:hAnsi="Times New Roman"/>
          <w:sz w:val="18"/>
          <w:szCs w:val="18"/>
          <w:color w:val="auto"/>
        </w:rPr>
      </w:pPr>
    </w:p>
    <w:p>
      <w:pPr>
        <w:ind w:left="1040" w:right="80" w:hanging="373"/>
        <w:spacing w:after="0" w:line="313"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w:t>
      </w:r>
    </w:p>
    <w:p>
      <w:pPr>
        <w:spacing w:after="0" w:line="67" w:lineRule="exact"/>
        <w:rPr>
          <w:rFonts w:ascii="Times New Roman" w:cs="Times New Roman" w:eastAsia="Times New Roman" w:hAnsi="Times New Roman"/>
          <w:sz w:val="18"/>
          <w:szCs w:val="18"/>
          <w:color w:val="auto"/>
        </w:rPr>
      </w:pPr>
    </w:p>
    <w:p>
      <w:pPr>
        <w:ind w:left="1040" w:right="20" w:hanging="373"/>
        <w:spacing w:after="0" w:line="313"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our product candidates;</w:t>
      </w:r>
    </w:p>
    <w:p>
      <w:pPr>
        <w:spacing w:after="0" w:line="6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 party payors, including government payors;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and</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our or our collaborators’ products, if any.</w:t>
      </w:r>
    </w:p>
    <w:p>
      <w:pPr>
        <w:spacing w:after="0" w:line="158"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36" w:name="page37"/>
    <w:bookmarkEnd w:id="36"/>
    <w:p>
      <w:pPr>
        <w:ind w:firstLine="659"/>
        <w:spacing w:after="0" w:line="291" w:lineRule="auto"/>
        <w:rPr>
          <w:sz w:val="20"/>
          <w:szCs w:val="20"/>
          <w:color w:val="auto"/>
        </w:rPr>
      </w:pPr>
      <w:r>
        <w:rPr>
          <w:rFonts w:ascii="Times New Roman" w:cs="Times New Roman" w:eastAsia="Times New Roman" w:hAnsi="Times New Roman"/>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194" w:lineRule="exact"/>
        <w:rPr>
          <w:sz w:val="20"/>
          <w:szCs w:val="20"/>
          <w:color w:val="auto"/>
        </w:rPr>
      </w:pPr>
    </w:p>
    <w:p>
      <w:pPr>
        <w:ind w:right="220"/>
        <w:spacing w:after="0" w:line="318" w:lineRule="auto"/>
        <w:rPr>
          <w:sz w:val="20"/>
          <w:szCs w:val="20"/>
          <w:color w:val="auto"/>
        </w:rPr>
      </w:pPr>
      <w:r>
        <w:rPr>
          <w:rFonts w:ascii="Times New Roman" w:cs="Times New Roman" w:eastAsia="Times New Roman" w:hAnsi="Times New Roman"/>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49" w:lineRule="exact"/>
        <w:rPr>
          <w:sz w:val="20"/>
          <w:szCs w:val="20"/>
          <w:color w:val="auto"/>
        </w:rPr>
      </w:pPr>
    </w:p>
    <w:p>
      <w:pPr>
        <w:ind w:right="20" w:firstLine="659"/>
        <w:spacing w:after="0" w:line="291" w:lineRule="auto"/>
        <w:rPr>
          <w:sz w:val="20"/>
          <w:szCs w:val="20"/>
          <w:color w:val="auto"/>
        </w:rPr>
      </w:pPr>
      <w:r>
        <w:rPr>
          <w:rFonts w:ascii="Times New Roman" w:cs="Times New Roman" w:eastAsia="Times New Roman" w:hAnsi="Times New Roman"/>
          <w:sz w:val="18"/>
          <w:szCs w:val="18"/>
          <w:color w:val="auto"/>
        </w:rPr>
        <w:t>As a research and development company, our operations have consumed substantial amounts of cash since our inception.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 If we need to secure additional financing, such additional fundraising efforts may divert our management from our day-to-day activities, which may adversely affect our ability to develop and commercialize our product candidates.</w:t>
      </w:r>
    </w:p>
    <w:p>
      <w:pPr>
        <w:spacing w:after="0" w:line="88" w:lineRule="exact"/>
        <w:rPr>
          <w:sz w:val="20"/>
          <w:szCs w:val="20"/>
          <w:color w:val="auto"/>
        </w:rPr>
      </w:pPr>
    </w:p>
    <w:p>
      <w:pPr>
        <w:ind w:right="260" w:firstLine="659"/>
        <w:spacing w:after="0" w:line="313" w:lineRule="auto"/>
        <w:rPr>
          <w:sz w:val="20"/>
          <w:szCs w:val="20"/>
          <w:color w:val="auto"/>
        </w:rPr>
      </w:pPr>
      <w:r>
        <w:rPr>
          <w:rFonts w:ascii="Times New Roman" w:cs="Times New Roman" w:eastAsia="Times New Roman" w:hAnsi="Times New Roman"/>
          <w:sz w:val="18"/>
          <w:szCs w:val="18"/>
          <w:color w:val="auto"/>
        </w:rPr>
        <w:t>In addition, we cannot guarantee that future financing will be available in sufficient amounts or on terms acceptable to us, if at all. If we do not raise additional capital when required or on acceptable terms, we may need to:</w:t>
      </w:r>
    </w:p>
    <w:p>
      <w:pPr>
        <w:spacing w:after="0" w:line="54" w:lineRule="exact"/>
        <w:rPr>
          <w:sz w:val="20"/>
          <w:szCs w:val="20"/>
          <w:color w:val="auto"/>
        </w:rPr>
      </w:pPr>
    </w:p>
    <w:p>
      <w:pPr>
        <w:ind w:left="1040" w:hanging="373"/>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our product candidates or cease operations altogether;</w:t>
      </w:r>
    </w:p>
    <w:p>
      <w:pPr>
        <w:spacing w:after="0" w:line="157" w:lineRule="exact"/>
        <w:rPr>
          <w:rFonts w:ascii="Times New Roman" w:cs="Times New Roman" w:eastAsia="Times New Roman" w:hAnsi="Times New Roman"/>
          <w:sz w:val="18"/>
          <w:szCs w:val="18"/>
          <w:color w:val="auto"/>
        </w:rPr>
      </w:pPr>
    </w:p>
    <w:p>
      <w:pPr>
        <w:ind w:left="1040" w:right="100" w:hanging="373"/>
        <w:spacing w:after="0" w:line="313"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research and development programs at an earlier stage than we would otherwise desire or on terms less favorable than might otherwise be available;</w:t>
      </w:r>
    </w:p>
    <w:p>
      <w:pPr>
        <w:spacing w:after="0" w:line="67" w:lineRule="exact"/>
        <w:rPr>
          <w:rFonts w:ascii="Times New Roman" w:cs="Times New Roman" w:eastAsia="Times New Roman" w:hAnsi="Times New Roman"/>
          <w:sz w:val="18"/>
          <w:szCs w:val="18"/>
          <w:color w:val="auto"/>
        </w:rPr>
      </w:pPr>
    </w:p>
    <w:p>
      <w:pPr>
        <w:ind w:left="1040" w:right="140" w:hanging="373"/>
        <w:spacing w:after="0" w:line="313"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future product candidates that we otherwise would seek to develop or commercialize ourselves; or</w:t>
      </w:r>
    </w:p>
    <w:p>
      <w:pPr>
        <w:spacing w:after="0" w:line="5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staff to conserve resources.</w:t>
      </w:r>
    </w:p>
    <w:p>
      <w:pPr>
        <w:spacing w:after="0" w:line="158" w:lineRule="exact"/>
        <w:rPr>
          <w:sz w:val="20"/>
          <w:szCs w:val="20"/>
          <w:color w:val="auto"/>
        </w:rPr>
      </w:pPr>
    </w:p>
    <w:p>
      <w:pPr>
        <w:ind w:firstLine="659"/>
        <w:spacing w:after="0" w:line="291" w:lineRule="auto"/>
        <w:rPr>
          <w:sz w:val="20"/>
          <w:szCs w:val="20"/>
          <w:color w:val="auto"/>
        </w:rPr>
      </w:pPr>
      <w:r>
        <w:rPr>
          <w:rFonts w:ascii="Times New Roman" w:cs="Times New Roman" w:eastAsia="Times New Roman" w:hAnsi="Times New Roman"/>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fluctuating interest rates, tariffs, actual or perceived instability in the U.S. and global banking systems,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77" w:lineRule="exact"/>
        <w:rPr>
          <w:sz w:val="20"/>
          <w:szCs w:val="20"/>
          <w:color w:val="auto"/>
        </w:rPr>
      </w:pPr>
    </w:p>
    <w:p>
      <w:pPr>
        <w:ind w:left="1040" w:right="600" w:hanging="373"/>
        <w:spacing w:after="0" w:line="329"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7" w:name="page38"/>
    <w:bookmarkEnd w:id="37"/>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size of clinical trials needed to show safety, efficacy and an acceptable risk/benefit profile for any of our product candidates;</w:t>
      </w:r>
    </w:p>
    <w:p>
      <w:pPr>
        <w:spacing w:after="0" w:line="144" w:lineRule="exact"/>
        <w:rPr>
          <w:rFonts w:ascii="Times New Roman" w:cs="Times New Roman" w:eastAsia="Times New Roman" w:hAnsi="Times New Roman"/>
          <w:sz w:val="18"/>
          <w:szCs w:val="18"/>
          <w:color w:val="auto"/>
        </w:rPr>
      </w:pPr>
    </w:p>
    <w:p>
      <w:pPr>
        <w:ind w:left="1040" w:right="180" w:hanging="373"/>
        <w:spacing w:after="0" w:line="329"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40"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or failure of products sold by our collaborators, such as Jemperli by GSK, and the timing thereof;</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enter into new collaboration agreements;</w:t>
      </w:r>
    </w:p>
    <w:p>
      <w:pPr>
        <w:spacing w:after="0" w:line="144" w:lineRule="exact"/>
        <w:rPr>
          <w:rFonts w:ascii="Times New Roman" w:cs="Times New Roman" w:eastAsia="Times New Roman" w:hAnsi="Times New Roman"/>
          <w:sz w:val="18"/>
          <w:szCs w:val="18"/>
          <w:color w:val="auto"/>
        </w:rPr>
      </w:pPr>
    </w:p>
    <w:p>
      <w:pPr>
        <w:jc w:val="both"/>
        <w:ind w:left="1040" w:right="240" w:hanging="373"/>
        <w:spacing w:after="0" w:line="305"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61"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recruiting and retaining key employees;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any delays or cancellations of forecasted manufacturing batches;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manufacturing sites for commercial-scale manufacturing; and</w:t>
      </w:r>
    </w:p>
    <w:p>
      <w:pPr>
        <w:spacing w:after="0" w:line="144" w:lineRule="exact"/>
        <w:rPr>
          <w:rFonts w:ascii="Times New Roman" w:cs="Times New Roman" w:eastAsia="Times New Roman" w:hAnsi="Times New Roman"/>
          <w:sz w:val="18"/>
          <w:szCs w:val="18"/>
          <w:color w:val="auto"/>
        </w:rPr>
      </w:pPr>
    </w:p>
    <w:p>
      <w:pPr>
        <w:ind w:left="1040" w:right="640" w:hanging="373"/>
        <w:spacing w:after="0" w:line="329"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40" w:lineRule="exact"/>
        <w:rPr>
          <w:sz w:val="20"/>
          <w:szCs w:val="20"/>
          <w:color w:val="auto"/>
        </w:rPr>
      </w:pPr>
    </w:p>
    <w:p>
      <w:pPr>
        <w:ind w:right="60" w:firstLine="659"/>
        <w:spacing w:after="0" w:line="329"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144" w:lineRule="exact"/>
        <w:rPr>
          <w:sz w:val="20"/>
          <w:szCs w:val="20"/>
          <w:color w:val="auto"/>
        </w:rPr>
      </w:pPr>
    </w:p>
    <w:p>
      <w:pPr>
        <w:ind w:right="60"/>
        <w:spacing w:after="0" w:line="318" w:lineRule="auto"/>
        <w:rPr>
          <w:sz w:val="20"/>
          <w:szCs w:val="20"/>
          <w:color w:val="auto"/>
        </w:rPr>
      </w:pPr>
      <w:r>
        <w:rPr>
          <w:rFonts w:ascii="Times New Roman" w:cs="Times New Roman" w:eastAsia="Times New Roman" w:hAnsi="Times New Roman"/>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63"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Proposed Separation</w:t>
      </w:r>
    </w:p>
    <w:p>
      <w:pPr>
        <w:spacing w:after="0" w:line="144" w:lineRule="exact"/>
        <w:rPr>
          <w:sz w:val="20"/>
          <w:szCs w:val="20"/>
          <w:color w:val="auto"/>
        </w:rPr>
      </w:pPr>
    </w:p>
    <w:p>
      <w:pPr>
        <w:ind w:right="40"/>
        <w:spacing w:after="0" w:line="307" w:lineRule="auto"/>
        <w:rPr>
          <w:sz w:val="20"/>
          <w:szCs w:val="20"/>
          <w:color w:val="auto"/>
        </w:rPr>
      </w:pPr>
      <w:r>
        <w:rPr>
          <w:rFonts w:ascii="Times New Roman" w:cs="Times New Roman" w:eastAsia="Times New Roman" w:hAnsi="Times New Roman"/>
          <w:sz w:val="18"/>
          <w:szCs w:val="18"/>
          <w:b w:val="1"/>
          <w:bCs w:val="1"/>
          <w:color w:val="auto"/>
        </w:rPr>
        <w:t>The proposed separation of our business into two independent, publicly traded companies is subject to various risks and uncertainties and may not be completed on the terms or timeline currently contemplated, if at all, and will involve significant time, effort and expense, which could harm our business, results of operations and financial condition.</w:t>
      </w:r>
    </w:p>
    <w:p>
      <w:pPr>
        <w:spacing w:after="0" w:line="74" w:lineRule="exact"/>
        <w:rPr>
          <w:sz w:val="20"/>
          <w:szCs w:val="20"/>
          <w:color w:val="auto"/>
        </w:rPr>
      </w:pPr>
    </w:p>
    <w:p>
      <w:pPr>
        <w:ind w:right="280" w:firstLine="659"/>
        <w:spacing w:after="0" w:line="293" w:lineRule="auto"/>
        <w:rPr>
          <w:sz w:val="20"/>
          <w:szCs w:val="20"/>
          <w:color w:val="auto"/>
        </w:rPr>
      </w:pPr>
      <w:r>
        <w:rPr>
          <w:rFonts w:ascii="Times New Roman" w:cs="Times New Roman" w:eastAsia="Times New Roman" w:hAnsi="Times New Roman"/>
          <w:sz w:val="18"/>
          <w:szCs w:val="18"/>
          <w:color w:val="auto"/>
        </w:rPr>
        <w:t>On September 29, 2025, we announced the intent to separate our business into two independent, publicly traded companies, referred to as “Royalty Management Co” and as “Biopharma Co.” Following the separation, Royalty Management Co is expected to hold and continue to manage the rights to our Jemperli royalties from GSK and imsidolimab milestones and royalties from Vanda, with a focus on protecting and returning value of the royalties to its shareholders. Biopharma Co is expected to be a clinical-stage biotechnology company focused on the development and potential commercialization of innovative therapeutics for autoimmune and inflammatory diseases, including rosnilimab, ANB033 and ANB101.</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8" w:name="page39"/>
    <w:bookmarkEnd w:id="38"/>
    <w:p>
      <w:pPr>
        <w:ind w:right="120" w:firstLine="659"/>
        <w:spacing w:after="0" w:line="292" w:lineRule="auto"/>
        <w:rPr>
          <w:sz w:val="20"/>
          <w:szCs w:val="20"/>
          <w:color w:val="auto"/>
        </w:rPr>
      </w:pPr>
      <w:r>
        <w:rPr>
          <w:rFonts w:ascii="Times New Roman" w:cs="Times New Roman" w:eastAsia="Times New Roman" w:hAnsi="Times New Roman"/>
          <w:sz w:val="18"/>
          <w:szCs w:val="18"/>
          <w:color w:val="auto"/>
        </w:rPr>
        <w:t>We expect the proposed separation to be completed in the second quarter of 2026, subject to the satisfaction of certain conditions. Unexpected developments, including adverse market conditions or delays or difficulties effecting the proposed separation, could delay, prevent or otherwise adversely impact the anticipated benefits from the proposed separation. Consummation of the proposed separation also will require final approval from our Board of Directors. We may not complete the proposed separation on the terms or on the timeline that we announced, or may, for any or no reason and at any time until the proposed separation is complete, abandon the separation or modify or change its terms. Any of the foregoing may result in not achieving the operational, financial, strategic and other benefits we anticipate, and in each case, our business, results of operations and financial condition could be adversely affected.</w:t>
      </w:r>
    </w:p>
    <w:p>
      <w:pPr>
        <w:spacing w:after="0" w:line="73" w:lineRule="exact"/>
        <w:rPr>
          <w:sz w:val="20"/>
          <w:szCs w:val="20"/>
          <w:color w:val="auto"/>
        </w:rPr>
      </w:pPr>
    </w:p>
    <w:p>
      <w:pPr>
        <w:ind w:right="60" w:firstLine="659"/>
        <w:spacing w:after="0" w:line="291" w:lineRule="auto"/>
        <w:rPr>
          <w:sz w:val="20"/>
          <w:szCs w:val="20"/>
          <w:color w:val="auto"/>
        </w:rPr>
      </w:pPr>
      <w:r>
        <w:rPr>
          <w:rFonts w:ascii="Times New Roman" w:cs="Times New Roman" w:eastAsia="Times New Roman" w:hAnsi="Times New Roman"/>
          <w:sz w:val="18"/>
          <w:szCs w:val="18"/>
          <w:color w:val="auto"/>
        </w:rPr>
        <w:t>We will incur significant expenses in connection with the proposed separation, and such costs and expenses may be greater than we anticipate. In addition, completion of the proposed separation will require a significant amount of management time and effort, which may disrupt our business or otherwise divert management’s attention from other aspects of our business, including strategic initiatives, discovery, development and commercialization efforts and relationships with our partners and other third parties. If the proposed separation is completed, we anticipate management’s time and attention will be allocated between the two public-traded companies, which may result in operational disruptions and harm to either or both businesses. Any of the foregoing could adversely affect our business, results of operations and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proposed separation may not achieve some or all of the anticipated benefits.</w:t>
      </w:r>
    </w:p>
    <w:p>
      <w:pPr>
        <w:spacing w:after="0" w:line="162" w:lineRule="exact"/>
        <w:rPr>
          <w:sz w:val="20"/>
          <w:szCs w:val="20"/>
          <w:color w:val="auto"/>
        </w:rPr>
      </w:pPr>
    </w:p>
    <w:p>
      <w:pPr>
        <w:ind w:right="80" w:firstLine="659"/>
        <w:spacing w:after="0" w:line="289" w:lineRule="auto"/>
        <w:rPr>
          <w:sz w:val="20"/>
          <w:szCs w:val="20"/>
          <w:color w:val="auto"/>
        </w:rPr>
      </w:pPr>
      <w:r>
        <w:rPr>
          <w:rFonts w:ascii="Times New Roman" w:cs="Times New Roman" w:eastAsia="Times New Roman" w:hAnsi="Times New Roman"/>
          <w:sz w:val="18"/>
          <w:szCs w:val="18"/>
          <w:color w:val="auto"/>
        </w:rPr>
        <w:t>Even if the proposed separation is completed, the anticipated operational, financial, strategic and other benefits of the separation may not be achieved. The combined value of the common stock of the two publicly-traded companies may not be equal to or greater than what the value of our common stock would have been had the proposed separation not occurred. The combined value of the common stock of the two companies could be lower than anticipated for a variety of reasons, including the failure of either company to operate and compete effectively as an independent, publicly-traded company. The common stock price of each company may experience periods of extreme volatility. In addition, the two independent companies will be smaller and less diversified, with a narrower business focus, and may be more vulnerable to changing market conditions. The completion of the proposed separation may also present a number of significant risks to our operations and internal processes, including the allocation of management’s time and attention between the two companies and the failure to maintain an adequate control environment due to changes to our infrastructure technology systems and financial reporting processes.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44" w:lineRule="exact"/>
        <w:rPr>
          <w:sz w:val="20"/>
          <w:szCs w:val="20"/>
          <w:color w:val="auto"/>
        </w:rPr>
      </w:pPr>
    </w:p>
    <w:p>
      <w:pPr>
        <w:ind w:right="420"/>
        <w:spacing w:after="0" w:line="307" w:lineRule="auto"/>
        <w:rPr>
          <w:sz w:val="20"/>
          <w:szCs w:val="20"/>
          <w:color w:val="auto"/>
        </w:rPr>
      </w:pPr>
      <w:r>
        <w:rPr>
          <w:rFonts w:ascii="Times New Roman" w:cs="Times New Roman" w:eastAsia="Times New Roman" w:hAnsi="Times New Roman"/>
          <w:sz w:val="18"/>
          <w:szCs w:val="18"/>
          <w:b w:val="1"/>
          <w:bCs w:val="1"/>
          <w:color w:val="auto"/>
        </w:rPr>
        <w:t>Our existing collaboration with GSK and other collaborations are important to our business, and other future collaborations may also be important to us. If we are unable to maintain the GSK collaboration, or if this collaboration is not successful, our business could be adversely affected.</w:t>
      </w:r>
    </w:p>
    <w:p>
      <w:pPr>
        <w:spacing w:after="0" w:line="60" w:lineRule="exact"/>
        <w:rPr>
          <w:sz w:val="20"/>
          <w:szCs w:val="20"/>
          <w:color w:val="auto"/>
        </w:rPr>
      </w:pPr>
    </w:p>
    <w:p>
      <w:pPr>
        <w:ind w:right="120" w:firstLine="659"/>
        <w:spacing w:after="0" w:line="293" w:lineRule="auto"/>
        <w:rPr>
          <w:sz w:val="20"/>
          <w:szCs w:val="20"/>
          <w:color w:val="auto"/>
        </w:rPr>
      </w:pPr>
      <w:r>
        <w:rPr>
          <w:rFonts w:ascii="Times New Roman" w:cs="Times New Roman" w:eastAsia="Times New Roman" w:hAnsi="Times New Roman"/>
          <w:sz w:val="18"/>
          <w:szCs w:val="18"/>
          <w:color w:val="auto"/>
        </w:rPr>
        <w:t>We have entered into a collaboration with GSK to develop certain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For example, in October 2023, GSK terminated the LAG-3 antagonist antibody development program, and in October 2025, GSK also terminated the TIM-3 antagonist antibody development program under our existing collaboration. As a result, we will not receive any additional milestones or any royalties from GSK for those development programs.</w:t>
      </w:r>
    </w:p>
    <w:p>
      <w:pPr>
        <w:spacing w:after="0" w:line="73" w:lineRule="exact"/>
        <w:rPr>
          <w:sz w:val="20"/>
          <w:szCs w:val="20"/>
          <w:color w:val="auto"/>
        </w:rPr>
      </w:pPr>
    </w:p>
    <w:p>
      <w:pPr>
        <w:ind w:firstLine="659"/>
        <w:spacing w:after="0" w:line="292" w:lineRule="auto"/>
        <w:rPr>
          <w:sz w:val="20"/>
          <w:szCs w:val="20"/>
          <w:color w:val="auto"/>
        </w:rPr>
      </w:pPr>
      <w:r>
        <w:rPr>
          <w:rFonts w:ascii="Times New Roman" w:cs="Times New Roman" w:eastAsia="Times New Roman" w:hAnsi="Times New Roman"/>
          <w:sz w:val="18"/>
          <w:szCs w:val="18"/>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w:t>
      </w:r>
    </w:p>
    <w:p>
      <w:pPr>
        <w:spacing w:after="0" w:line="73" w:lineRule="exact"/>
        <w:rPr>
          <w:sz w:val="20"/>
          <w:szCs w:val="20"/>
          <w:color w:val="auto"/>
        </w:rPr>
      </w:pPr>
    </w:p>
    <w:p>
      <w:pPr>
        <w:ind w:right="120" w:firstLine="659"/>
        <w:spacing w:after="0" w:line="297" w:lineRule="auto"/>
        <w:rPr>
          <w:sz w:val="20"/>
          <w:szCs w:val="20"/>
          <w:color w:val="auto"/>
        </w:rPr>
      </w:pPr>
      <w:r>
        <w:rPr>
          <w:rFonts w:ascii="Times New Roman" w:cs="Times New Roman" w:eastAsia="Times New Roman" w:hAnsi="Times New Roman"/>
          <w:sz w:val="18"/>
          <w:szCs w:val="18"/>
          <w:color w:val="auto"/>
        </w:rPr>
        <w:t>In addition, any dispute or litigation proceedings with our collaborators could delay development programs, create uncertainty as to ownership of intellectual property rights, distract management from other business activities and generate substantial expense. For example, we are currently party to litigation regarding our collaboration agreement with GSK and Tesaro. On November 20, 2025, we filed a Verified Complaint in Delaware Chancery Court, requesting a court declaration that Tesaro has materially breached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line="291" w:lineRule="auto"/>
        <w:rPr>
          <w:sz w:val="20"/>
          <w:szCs w:val="20"/>
          <w:color w:val="auto"/>
        </w:rPr>
      </w:pPr>
      <w:r>
        <w:rPr>
          <w:rFonts w:ascii="Times New Roman" w:cs="Times New Roman" w:eastAsia="Times New Roman" w:hAnsi="Times New Roman"/>
          <w:sz w:val="18"/>
          <w:szCs w:val="18"/>
          <w:color w:val="auto"/>
        </w:rPr>
        <w:t>Collaboration Agreement and that GSK, Tesaro’s corporate parent, has tortiously interfered with the Collaboration Agreement. We have requested that the court declare that we are entitled to all rights and remedies under the Collaboration Agreement. See Item 3. Legal Proceedings for additional information. While this litigation is pending, the ownership of related intellectual property rights may be uncertain, and management is spending significant time and resources. Tesaro and its affiliate Tesaro Development, Ltd. separately filed suit against AnaptysBio the same day, requesting a declaration that they have not materially breached and that AnaptysBio has materially breached its duties. If the litigations were to result in a negative outcome for us, it may have a materially negative impact on our rights under the Collaboration Agreement and our financial position going forward.</w:t>
      </w:r>
    </w:p>
    <w:p>
      <w:pPr>
        <w:spacing w:after="0" w:line="87" w:lineRule="exact"/>
        <w:rPr>
          <w:sz w:val="20"/>
          <w:szCs w:val="20"/>
          <w:color w:val="auto"/>
        </w:rPr>
      </w:pPr>
    </w:p>
    <w:p>
      <w:pPr>
        <w:ind w:right="100" w:firstLine="659"/>
        <w:spacing w:after="0" w:line="289" w:lineRule="auto"/>
        <w:rPr>
          <w:sz w:val="20"/>
          <w:szCs w:val="20"/>
          <w:color w:val="auto"/>
        </w:rPr>
      </w:pPr>
      <w:r>
        <w:rPr>
          <w:rFonts w:ascii="Times New Roman" w:cs="Times New Roman" w:eastAsia="Times New Roman" w:hAnsi="Times New Roman"/>
          <w:sz w:val="18"/>
          <w:szCs w:val="18"/>
          <w:color w:val="auto"/>
        </w:rPr>
        <w:t>Previously, in October 2020, we settled a matter with Tesaro and GSK related to an alleged breach of our collaboration agreement in connection with GSK’s development of a drug not covered by the agreement. There can be no assurance that we will not encounter such issues under our collaborations with GSK or other parties in the future.</w:t>
      </w:r>
    </w:p>
    <w:p>
      <w:pPr>
        <w:spacing w:after="0" w:line="180" w:lineRule="exact"/>
        <w:rPr>
          <w:sz w:val="20"/>
          <w:szCs w:val="20"/>
          <w:color w:val="auto"/>
        </w:rPr>
      </w:pPr>
    </w:p>
    <w:p>
      <w:pPr>
        <w:ind w:right="80"/>
        <w:spacing w:after="0" w:line="318" w:lineRule="auto"/>
        <w:rPr>
          <w:sz w:val="20"/>
          <w:szCs w:val="20"/>
          <w:color w:val="auto"/>
        </w:rPr>
      </w:pPr>
      <w:r>
        <w:rPr>
          <w:rFonts w:ascii="Times New Roman" w:cs="Times New Roman" w:eastAsia="Times New Roman" w:hAnsi="Times New Roman"/>
          <w:sz w:val="18"/>
          <w:szCs w:val="18"/>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36" w:lineRule="exact"/>
        <w:rPr>
          <w:sz w:val="20"/>
          <w:szCs w:val="20"/>
          <w:color w:val="auto"/>
        </w:rPr>
      </w:pPr>
    </w:p>
    <w:p>
      <w:pPr>
        <w:ind w:firstLine="659"/>
        <w:spacing w:after="0" w:line="281" w:lineRule="auto"/>
        <w:rPr>
          <w:sz w:val="20"/>
          <w:szCs w:val="20"/>
          <w:color w:val="auto"/>
        </w:rPr>
      </w:pPr>
      <w:r>
        <w:rPr>
          <w:rFonts w:ascii="Times New Roman" w:cs="Times New Roman" w:eastAsia="Times New Roman" w:hAnsi="Times New Roman"/>
          <w:sz w:val="18"/>
          <w:szCs w:val="18"/>
          <w:color w:val="auto"/>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Moreover, if we fail to establish and maintain additional collaborations related to our product candidates:</w:t>
      </w:r>
    </w:p>
    <w:p>
      <w:pPr>
        <w:spacing w:after="0" w:line="131" w:lineRule="exact"/>
        <w:rPr>
          <w:sz w:val="20"/>
          <w:szCs w:val="20"/>
          <w:color w:val="auto"/>
        </w:rPr>
      </w:pPr>
    </w:p>
    <w:p>
      <w:pPr>
        <w:ind w:left="1040" w:hanging="373"/>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current or future product candidates may be terminated or delayed;</w:t>
      </w:r>
    </w:p>
    <w:p>
      <w:pPr>
        <w:spacing w:after="0" w:line="144" w:lineRule="exact"/>
        <w:rPr>
          <w:rFonts w:ascii="Times New Roman" w:cs="Times New Roman" w:eastAsia="Times New Roman" w:hAnsi="Times New Roman"/>
          <w:sz w:val="18"/>
          <w:szCs w:val="18"/>
          <w:color w:val="auto"/>
        </w:rPr>
      </w:pPr>
    </w:p>
    <w:p>
      <w:pPr>
        <w:ind w:left="1040" w:right="40" w:hanging="373"/>
        <w:spacing w:after="0" w:line="313"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certain of our current or future product candidates would increase significantly and we may need to seek additional financing;</w:t>
      </w:r>
    </w:p>
    <w:p>
      <w:pPr>
        <w:spacing w:after="0" w:line="54" w:lineRule="exact"/>
        <w:rPr>
          <w:rFonts w:ascii="Times New Roman" w:cs="Times New Roman" w:eastAsia="Times New Roman" w:hAnsi="Times New Roman"/>
          <w:sz w:val="18"/>
          <w:szCs w:val="18"/>
          <w:color w:val="auto"/>
        </w:rPr>
      </w:pPr>
    </w:p>
    <w:p>
      <w:pPr>
        <w:ind w:left="1040" w:right="160" w:hanging="373"/>
        <w:spacing w:after="0" w:line="297"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sales and marketing expertise, for which we have not budgeted; and</w:t>
      </w:r>
    </w:p>
    <w:p>
      <w:pPr>
        <w:spacing w:after="0" w:line="68"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and commercialization of any such product candidates.</w:t>
      </w:r>
    </w:p>
    <w:p>
      <w:pPr>
        <w:spacing w:after="0" w:line="248"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programs could be delayed with adverse effects on our business, financial condition, results of operations and prospects.</w:t>
      </w:r>
    </w:p>
    <w:p>
      <w:pPr>
        <w:spacing w:after="0" w:line="72" w:lineRule="exact"/>
        <w:rPr>
          <w:sz w:val="20"/>
          <w:szCs w:val="20"/>
          <w:color w:val="auto"/>
        </w:rPr>
      </w:pPr>
    </w:p>
    <w:p>
      <w:pPr>
        <w:ind w:right="20" w:firstLine="659"/>
        <w:spacing w:after="0" w:line="281" w:lineRule="auto"/>
        <w:rPr>
          <w:sz w:val="20"/>
          <w:szCs w:val="20"/>
          <w:color w:val="auto"/>
        </w:rPr>
      </w:pPr>
      <w:r>
        <w:rPr>
          <w:rFonts w:ascii="Times New Roman" w:cs="Times New Roman" w:eastAsia="Times New Roman" w:hAnsi="Times New Roman"/>
          <w:sz w:val="18"/>
          <w:szCs w:val="18"/>
          <w:color w:val="auto"/>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87" w:lineRule="exact"/>
        <w:rPr>
          <w:sz w:val="20"/>
          <w:szCs w:val="20"/>
          <w:color w:val="auto"/>
        </w:rPr>
      </w:pPr>
    </w:p>
    <w:p>
      <w:pPr>
        <w:ind w:right="100" w:firstLine="659"/>
        <w:spacing w:after="0" w:line="289"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40" w:name="page41"/>
    <w:bookmarkEnd w:id="40"/>
    <w:p>
      <w:pPr>
        <w:jc w:val="both"/>
        <w:spacing w:after="0" w:line="297" w:lineRule="auto"/>
        <w:rPr>
          <w:sz w:val="20"/>
          <w:szCs w:val="20"/>
          <w:color w:val="auto"/>
        </w:rPr>
      </w:pPr>
      <w:r>
        <w:rPr>
          <w:rFonts w:ascii="Times New Roman" w:cs="Times New Roman" w:eastAsia="Times New Roman" w:hAnsi="Times New Roman"/>
          <w:sz w:val="18"/>
          <w:szCs w:val="18"/>
          <w:color w:val="auto"/>
        </w:rPr>
        <w:t>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completely on third parties to manufacture our nonclinical, clinical and future commercial drug supplies of any approved products.</w:t>
      </w:r>
    </w:p>
    <w:p>
      <w:pPr>
        <w:spacing w:after="0" w:line="162" w:lineRule="exact"/>
        <w:rPr>
          <w:sz w:val="20"/>
          <w:szCs w:val="20"/>
          <w:color w:val="auto"/>
        </w:rPr>
      </w:pPr>
    </w:p>
    <w:p>
      <w:pPr>
        <w:ind w:right="40" w:firstLine="659"/>
        <w:spacing w:after="0" w:line="290" w:lineRule="auto"/>
        <w:rPr>
          <w:sz w:val="20"/>
          <w:szCs w:val="20"/>
          <w:color w:val="auto"/>
        </w:rPr>
      </w:pPr>
      <w:r>
        <w:rPr>
          <w:rFonts w:ascii="Times New Roman" w:cs="Times New Roman" w:eastAsia="Times New Roman" w:hAnsi="Times New Roman"/>
          <w:sz w:val="18"/>
          <w:szCs w:val="18"/>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 party manufacturer or otherwise, could considerably harm our business and ability to generate revenue and delay completion of our clinical trials, product testing and potential regulatory approval of our product candidates.</w:t>
      </w:r>
    </w:p>
    <w:p>
      <w:pPr>
        <w:spacing w:after="0" w:line="91" w:lineRule="exact"/>
        <w:rPr>
          <w:sz w:val="20"/>
          <w:szCs w:val="20"/>
          <w:color w:val="auto"/>
        </w:rPr>
      </w:pPr>
    </w:p>
    <w:p>
      <w:pPr>
        <w:ind w:right="200" w:firstLine="659"/>
        <w:spacing w:after="0" w:line="297" w:lineRule="auto"/>
        <w:rPr>
          <w:sz w:val="20"/>
          <w:szCs w:val="20"/>
          <w:color w:val="auto"/>
        </w:rPr>
      </w:pPr>
      <w:r>
        <w:rPr>
          <w:rFonts w:ascii="Times New Roman" w:cs="Times New Roman" w:eastAsia="Times New Roman" w:hAnsi="Times New Roman"/>
          <w:sz w:val="18"/>
          <w:szCs w:val="18"/>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82" w:lineRule="exact"/>
        <w:rPr>
          <w:sz w:val="20"/>
          <w:szCs w:val="20"/>
          <w:color w:val="auto"/>
        </w:rPr>
      </w:pPr>
    </w:p>
    <w:p>
      <w:pPr>
        <w:ind w:right="140" w:firstLine="659"/>
        <w:spacing w:after="0" w:line="294" w:lineRule="auto"/>
        <w:rPr>
          <w:sz w:val="20"/>
          <w:szCs w:val="20"/>
          <w:color w:val="auto"/>
        </w:rPr>
      </w:pPr>
      <w:r>
        <w:rPr>
          <w:rFonts w:ascii="Times New Roman" w:cs="Times New Roman" w:eastAsia="Times New Roman" w:hAnsi="Times New Roman"/>
          <w:sz w:val="18"/>
          <w:szCs w:val="18"/>
          <w:color w:val="auto"/>
        </w:rPr>
        <w:t>Reliance on third party manufacturers entails additional risks, including the possible breach of the manufacturing agreement by the manufacturer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76" w:lineRule="exact"/>
        <w:rPr>
          <w:sz w:val="20"/>
          <w:szCs w:val="20"/>
          <w:color w:val="auto"/>
        </w:rPr>
      </w:pPr>
    </w:p>
    <w:p>
      <w:pPr>
        <w:ind w:right="20"/>
        <w:spacing w:after="0" w:line="318" w:lineRule="auto"/>
        <w:rPr>
          <w:sz w:val="20"/>
          <w:szCs w:val="20"/>
          <w:color w:val="auto"/>
        </w:rPr>
      </w:pPr>
      <w:r>
        <w:rPr>
          <w:rFonts w:ascii="Times New Roman" w:cs="Times New Roman" w:eastAsia="Times New Roman" w:hAnsi="Times New Roman"/>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63"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We depend on the availability of key raw materials for our product candidates from a small number of third 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 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44" w:lineRule="exact"/>
        <w:rPr>
          <w:sz w:val="20"/>
          <w:szCs w:val="20"/>
          <w:color w:val="auto"/>
        </w:rPr>
      </w:pPr>
    </w:p>
    <w:p>
      <w:pPr>
        <w:ind w:right="620"/>
        <w:spacing w:after="0" w:line="333" w:lineRule="auto"/>
        <w:rPr>
          <w:sz w:val="20"/>
          <w:szCs w:val="20"/>
          <w:color w:val="auto"/>
        </w:rPr>
      </w:pPr>
      <w:r>
        <w:rPr>
          <w:rFonts w:ascii="Times New Roman" w:cs="Times New Roman" w:eastAsia="Times New Roman" w:hAnsi="Times New Roman"/>
          <w:sz w:val="18"/>
          <w:szCs w:val="18"/>
          <w:b w:val="1"/>
          <w:bCs w:val="1"/>
          <w:color w:val="auto"/>
        </w:rPr>
        <w:t>The failure to obtain regulatory approval in international jurisdictions would prevent us or our collaborators from marketing our product candidates outside the United States.</w:t>
      </w:r>
    </w:p>
    <w:p>
      <w:pPr>
        <w:spacing w:after="0" w:line="37" w:lineRule="exact"/>
        <w:rPr>
          <w:sz w:val="20"/>
          <w:szCs w:val="20"/>
          <w:color w:val="auto"/>
        </w:rPr>
      </w:pPr>
    </w:p>
    <w:p>
      <w:pPr>
        <w:ind w:right="120" w:firstLine="659"/>
        <w:spacing w:after="0" w:line="297" w:lineRule="auto"/>
        <w:rPr>
          <w:sz w:val="20"/>
          <w:szCs w:val="20"/>
          <w:color w:val="auto"/>
        </w:rPr>
      </w:pPr>
      <w:r>
        <w:rPr>
          <w:rFonts w:ascii="Times New Roman" w:cs="Times New Roman" w:eastAsia="Times New Roman" w:hAnsi="Times New Roman"/>
          <w:sz w:val="18"/>
          <w:szCs w:val="18"/>
          <w:color w:val="auto"/>
        </w:rPr>
        <w:t>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line="305" w:lineRule="auto"/>
        <w:rPr>
          <w:sz w:val="20"/>
          <w:szCs w:val="20"/>
          <w:color w:val="auto"/>
        </w:rPr>
      </w:pPr>
      <w:r>
        <w:rPr>
          <w:rFonts w:ascii="Times New Roman" w:cs="Times New Roman" w:eastAsia="Times New Roman" w:hAnsi="Times New Roman"/>
          <w:sz w:val="18"/>
          <w:szCs w:val="18"/>
          <w:color w:val="auto"/>
        </w:rPr>
        <w:t>In addition, in many countries outside the United States, we or our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61"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drugs we develop may become subject to unfavorable third party reimbursement practices and pricing regulations.</w:t>
      </w:r>
    </w:p>
    <w:p>
      <w:pPr>
        <w:spacing w:after="0" w:line="162" w:lineRule="exact"/>
        <w:rPr>
          <w:sz w:val="20"/>
          <w:szCs w:val="20"/>
          <w:color w:val="auto"/>
        </w:rPr>
      </w:pPr>
    </w:p>
    <w:p>
      <w:pPr>
        <w:ind w:firstLine="659"/>
        <w:spacing w:after="0" w:line="291"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 party payors. If reimbursement is not available, or is available only to limited levels, we or our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our collaborators may not successfully commercialize any product candidate for which marketing approval is obtained.</w:t>
      </w:r>
    </w:p>
    <w:p>
      <w:pPr>
        <w:spacing w:after="0" w:line="77"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spacing w:after="0" w:line="71" w:lineRule="exact"/>
        <w:rPr>
          <w:sz w:val="20"/>
          <w:szCs w:val="20"/>
          <w:color w:val="auto"/>
        </w:rPr>
      </w:pPr>
    </w:p>
    <w:p>
      <w:pPr>
        <w:ind w:right="40" w:firstLine="659"/>
        <w:spacing w:after="0" w:line="293" w:lineRule="auto"/>
        <w:rPr>
          <w:sz w:val="20"/>
          <w:szCs w:val="20"/>
          <w:color w:val="auto"/>
        </w:rPr>
      </w:pPr>
      <w:r>
        <w:rPr>
          <w:rFonts w:ascii="Times New Roman" w:cs="Times New Roman" w:eastAsia="Times New Roman" w:hAnsi="Times New Roman"/>
          <w:sz w:val="18"/>
          <w:szCs w:val="18"/>
          <w:color w:val="auto"/>
        </w:rPr>
        <w:t>Increasingly, third 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 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spacing w:after="0" w:line="71" w:lineRule="exact"/>
        <w:rPr>
          <w:sz w:val="20"/>
          <w:szCs w:val="20"/>
          <w:color w:val="auto"/>
        </w:rPr>
      </w:pPr>
    </w:p>
    <w:p>
      <w:pPr>
        <w:ind w:right="20" w:firstLine="659"/>
        <w:spacing w:after="0" w:line="291"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ind w:right="720"/>
        <w:spacing w:after="0" w:line="313" w:lineRule="auto"/>
        <w:rPr>
          <w:sz w:val="20"/>
          <w:szCs w:val="20"/>
          <w:color w:val="auto"/>
        </w:rPr>
      </w:pPr>
      <w:r>
        <w:rPr>
          <w:rFonts w:ascii="Times New Roman" w:cs="Times New Roman" w:eastAsia="Times New Roman" w:hAnsi="Times New Roman"/>
          <w:sz w:val="18"/>
          <w:szCs w:val="18"/>
          <w:color w:val="auto"/>
        </w:rPr>
        <w:t>United States, the reimbursement for our product candidates may be reduced compared with the United States and may be insufficient to generate commercially reasonable revenue and profits.</w:t>
      </w:r>
    </w:p>
    <w:p>
      <w:pPr>
        <w:spacing w:after="0" w:line="68"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Moreover, increasing efforts by governmental and third 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72" w:lineRule="exact"/>
        <w:rPr>
          <w:sz w:val="20"/>
          <w:szCs w:val="20"/>
          <w:color w:val="auto"/>
        </w:rPr>
      </w:pPr>
    </w:p>
    <w:p>
      <w:pPr>
        <w:ind w:right="160" w:firstLine="659"/>
        <w:spacing w:after="0" w:line="297" w:lineRule="auto"/>
        <w:rPr>
          <w:sz w:val="20"/>
          <w:szCs w:val="20"/>
          <w:color w:val="auto"/>
        </w:rPr>
      </w:pPr>
      <w:r>
        <w:rPr>
          <w:rFonts w:ascii="Times New Roman" w:cs="Times New Roman" w:eastAsia="Times New Roman" w:hAnsi="Times New Roman"/>
          <w:sz w:val="18"/>
          <w:szCs w:val="18"/>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82" w:lineRule="exact"/>
        <w:rPr>
          <w:sz w:val="20"/>
          <w:szCs w:val="20"/>
          <w:color w:val="auto"/>
        </w:rPr>
      </w:pPr>
    </w:p>
    <w:p>
      <w:pPr>
        <w:ind w:right="300" w:firstLine="659"/>
        <w:spacing w:after="0" w:line="293" w:lineRule="auto"/>
        <w:rPr>
          <w:sz w:val="20"/>
          <w:szCs w:val="20"/>
          <w:color w:val="auto"/>
        </w:rPr>
      </w:pPr>
      <w:r>
        <w:rPr>
          <w:rFonts w:ascii="Times New Roman" w:cs="Times New Roman" w:eastAsia="Times New Roman" w:hAnsi="Times New Roman"/>
          <w:sz w:val="18"/>
          <w:szCs w:val="18"/>
          <w:color w:val="auto"/>
        </w:rPr>
        <w:t>If we or our collaborators are unable to establish or sustain coverage and adequate reimbursement for any future product candidates from third party payors, the adoption of those product candidates and sales revenue will be adversely affected, which, in turn, could adversely affect the ability to market or sell those product candidates, if approved. Coverage policies and third 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91" w:lineRule="exact"/>
        <w:rPr>
          <w:sz w:val="20"/>
          <w:szCs w:val="20"/>
          <w:color w:val="auto"/>
        </w:rPr>
      </w:pPr>
    </w:p>
    <w:p>
      <w:pPr>
        <w:ind w:right="520"/>
        <w:spacing w:after="0" w:line="318" w:lineRule="auto"/>
        <w:rPr>
          <w:sz w:val="20"/>
          <w:szCs w:val="20"/>
          <w:color w:val="auto"/>
        </w:rPr>
      </w:pPr>
      <w:r>
        <w:rPr>
          <w:rFonts w:ascii="Times New Roman" w:cs="Times New Roman" w:eastAsia="Times New Roman" w:hAnsi="Times New Roman"/>
          <w:sz w:val="18"/>
          <w:szCs w:val="18"/>
          <w:b w:val="1"/>
          <w:bCs w:val="1"/>
          <w:color w:val="auto"/>
        </w:rPr>
        <w:t>Healthcare legislative reform measures may increase the difficulty and cost for us or our collaborators to obtain marketing approval of and commercialize our product candidates and affect the pricing of our product candidates.</w:t>
      </w:r>
    </w:p>
    <w:p>
      <w:pPr>
        <w:spacing w:after="0" w:line="49" w:lineRule="exact"/>
        <w:rPr>
          <w:sz w:val="20"/>
          <w:szCs w:val="20"/>
          <w:color w:val="auto"/>
        </w:rPr>
      </w:pPr>
    </w:p>
    <w:p>
      <w:pPr>
        <w:ind w:right="60" w:firstLine="659"/>
        <w:spacing w:after="0" w:line="294"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spacing w:after="0" w:line="75" w:lineRule="exact"/>
        <w:rPr>
          <w:sz w:val="20"/>
          <w:szCs w:val="20"/>
          <w:color w:val="auto"/>
        </w:rPr>
      </w:pPr>
    </w:p>
    <w:p>
      <w:pPr>
        <w:ind w:right="220" w:firstLine="659"/>
        <w:spacing w:after="0" w:line="297" w:lineRule="auto"/>
        <w:rPr>
          <w:sz w:val="20"/>
          <w:szCs w:val="20"/>
          <w:color w:val="auto"/>
        </w:rPr>
      </w:pPr>
      <w:r>
        <w:rPr>
          <w:rFonts w:ascii="Times New Roman" w:cs="Times New Roman" w:eastAsia="Times New Roman" w:hAnsi="Times New Roman"/>
          <w:sz w:val="18"/>
          <w:szCs w:val="18"/>
          <w:color w:val="auto"/>
        </w:rPr>
        <w:t>For example,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spacing w:after="0" w:line="82" w:lineRule="exact"/>
        <w:rPr>
          <w:sz w:val="20"/>
          <w:szCs w:val="20"/>
          <w:color w:val="auto"/>
        </w:rPr>
      </w:pPr>
    </w:p>
    <w:p>
      <w:pPr>
        <w:ind w:firstLine="659"/>
        <w:spacing w:after="0" w:line="289"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federal and state levels to reduce healthcare expenditures. For example, several healthcare reform initiatives culminated in the enactment of the IRA, in August 2022, which allows, among other things, the HHS to negotiate the selling price of certain drugs and biologics that CMS reimburses under Medicare Part B and Part D, although this only applies to high-expenditure single-source drugs that have been approved for at least 7 years (11 years for biologics).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The negotiated prices have represented, and will continue to represent, a significant discount from average prices to wholesalers and direct purchasers. The IRA also imposes rebates on Medicare Part B and Part D drugs whose prices have increased at a rate greater than the rate of inflation. In addition, the law eliminated the “donut hole” under Medicare Part D beginning in 2025 by significantly lowering the beneficiary maximum out-of-pocket cost and requiring manufacturers to subsidize, through a newly established manufacturer discount program, 10% of Part D</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3" w:name="page44"/>
    <w:bookmarkEnd w:id="43"/>
    <w:p>
      <w:pPr>
        <w:spacing w:after="0" w:line="293" w:lineRule="auto"/>
        <w:rPr>
          <w:sz w:val="20"/>
          <w:szCs w:val="20"/>
          <w:color w:val="auto"/>
        </w:rPr>
      </w:pPr>
      <w:r>
        <w:rPr>
          <w:rFonts w:ascii="Times New Roman" w:cs="Times New Roman" w:eastAsia="Times New Roman" w:hAnsi="Times New Roman"/>
          <w:sz w:val="18"/>
          <w:szCs w:val="18"/>
          <w:color w:val="auto"/>
        </w:rPr>
        <w:t>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Further, in July 2025, the One Big Beautiful Bill Act (“OBBBA”) was signed into law, and restored immediate deductibility of domestic research and development expenditures, while foreign expenditures will continue to be capitalized and amortized over fifteen years. Further, the OBBBA is expected to reduce Medicaid spending and enrollment by implementing work requirements for some beneficiaries, capping state-directed payments, reducing federal funding, and limiting provider taxes used to fund the program. The OBBBA also narrows access to ACA marketplace exchange enrollment and declined to extend the enhanced subsidies for individuals purchasing health insurance coverage in ACA marketplaces which expired in 2025.</w:t>
      </w:r>
    </w:p>
    <w:p>
      <w:pPr>
        <w:spacing w:after="0" w:line="71" w:lineRule="exact"/>
        <w:rPr>
          <w:sz w:val="20"/>
          <w:szCs w:val="20"/>
          <w:color w:val="auto"/>
        </w:rPr>
      </w:pPr>
    </w:p>
    <w:p>
      <w:pPr>
        <w:ind w:right="280" w:firstLine="659"/>
        <w:spacing w:after="0" w:line="305"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United States and foreign governments will continue to consider changes to existing healthcare legislation. These laws may result in additional reductions in Medicare and other healthcare funding. We cannot predict the reform initiatives that may be adopted in the future or whether initiatives that have been adopted will be repealed or modified.</w:t>
      </w:r>
    </w:p>
    <w:p>
      <w:pPr>
        <w:spacing w:after="0" w:line="61" w:lineRule="exact"/>
        <w:rPr>
          <w:sz w:val="20"/>
          <w:szCs w:val="20"/>
          <w:color w:val="auto"/>
        </w:rPr>
      </w:pPr>
    </w:p>
    <w:p>
      <w:pPr>
        <w:jc w:val="both"/>
        <w:ind w:right="40" w:firstLine="659"/>
        <w:spacing w:after="0" w:line="330" w:lineRule="auto"/>
        <w:rPr>
          <w:sz w:val="20"/>
          <w:szCs w:val="20"/>
          <w:color w:val="auto"/>
        </w:rPr>
      </w:pPr>
      <w:r>
        <w:rPr>
          <w:rFonts w:ascii="Times New Roman" w:cs="Times New Roman" w:eastAsia="Times New Roman" w:hAnsi="Times New Roman"/>
          <w:sz w:val="17"/>
          <w:szCs w:val="17"/>
          <w:color w:val="auto"/>
        </w:rPr>
        <w:t>We expect that the ACA, the IRA, the OBBBA and other state or federal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48" w:lineRule="exact"/>
        <w:rPr>
          <w:sz w:val="20"/>
          <w:szCs w:val="20"/>
          <w:color w:val="auto"/>
        </w:rPr>
      </w:pPr>
    </w:p>
    <w:p>
      <w:pPr>
        <w:ind w:right="200"/>
        <w:spacing w:after="0" w:line="333" w:lineRule="auto"/>
        <w:rPr>
          <w:sz w:val="20"/>
          <w:szCs w:val="20"/>
          <w:color w:val="auto"/>
        </w:rPr>
      </w:pPr>
      <w:r>
        <w:rPr>
          <w:rFonts w:ascii="Times New Roman" w:cs="Times New Roman" w:eastAsia="Times New Roman" w:hAnsi="Times New Roman"/>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37" w:lineRule="exact"/>
        <w:rPr>
          <w:sz w:val="20"/>
          <w:szCs w:val="20"/>
          <w:color w:val="auto"/>
        </w:rPr>
      </w:pPr>
    </w:p>
    <w:p>
      <w:pPr>
        <w:ind w:right="20" w:firstLine="659"/>
        <w:spacing w:after="0" w:line="291"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192" w:lineRule="exact"/>
        <w:rPr>
          <w:sz w:val="20"/>
          <w:szCs w:val="20"/>
          <w:color w:val="auto"/>
        </w:rPr>
      </w:pPr>
    </w:p>
    <w:p>
      <w:pPr>
        <w:ind w:right="360"/>
        <w:spacing w:after="0" w:line="299" w:lineRule="auto"/>
        <w:rPr>
          <w:sz w:val="20"/>
          <w:szCs w:val="20"/>
          <w:color w:val="auto"/>
        </w:rPr>
      </w:pPr>
      <w:r>
        <w:rPr>
          <w:rFonts w:ascii="Times New Roman" w:cs="Times New Roman" w:eastAsia="Times New Roman" w:hAnsi="Times New Roman"/>
          <w:sz w:val="18"/>
          <w:szCs w:val="18"/>
          <w:b w:val="1"/>
          <w:bCs w:val="1"/>
          <w:color w:val="auto"/>
        </w:rPr>
        <w:t>Our relationships with customers and third 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81" w:lineRule="exact"/>
        <w:rPr>
          <w:sz w:val="20"/>
          <w:szCs w:val="20"/>
          <w:color w:val="auto"/>
        </w:rPr>
      </w:pPr>
    </w:p>
    <w:p>
      <w:pPr>
        <w:ind w:right="140" w:firstLine="659"/>
        <w:spacing w:after="0" w:line="293" w:lineRule="auto"/>
        <w:rPr>
          <w:sz w:val="20"/>
          <w:szCs w:val="20"/>
          <w:color w:val="auto"/>
        </w:rPr>
      </w:pPr>
      <w:r>
        <w:rPr>
          <w:rFonts w:ascii="Times New Roman" w:cs="Times New Roman" w:eastAsia="Times New Roman" w:hAnsi="Times New Roman"/>
          <w:sz w:val="18"/>
          <w:szCs w:val="18"/>
          <w:color w:val="auto"/>
        </w:rPr>
        <w:t>Health care providers and third party payors play a primary role in the recommendation and prescription of any product candidates for which we or our collaborators obtain marketing approval. Our future arrangements with third 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spacing w:after="0" w:line="87" w:lineRule="exact"/>
        <w:rPr>
          <w:sz w:val="20"/>
          <w:szCs w:val="20"/>
          <w:color w:val="auto"/>
        </w:rPr>
      </w:pPr>
    </w:p>
    <w:p>
      <w:pPr>
        <w:ind w:left="1040" w:hanging="373"/>
        <w:spacing w:after="0" w:line="297"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68" w:lineRule="exact"/>
        <w:rPr>
          <w:rFonts w:ascii="Times New Roman" w:cs="Times New Roman" w:eastAsia="Times New Roman" w:hAnsi="Times New Roman"/>
          <w:sz w:val="18"/>
          <w:szCs w:val="18"/>
          <w:color w:val="auto"/>
        </w:rPr>
      </w:pPr>
    </w:p>
    <w:p>
      <w:pPr>
        <w:ind w:left="1040" w:right="20" w:hanging="373"/>
        <w:spacing w:after="0" w:line="329"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ind w:left="1040"/>
        <w:spacing w:after="0" w:line="313" w:lineRule="auto"/>
        <w:rPr>
          <w:sz w:val="20"/>
          <w:szCs w:val="20"/>
          <w:color w:val="auto"/>
        </w:rPr>
      </w:pPr>
      <w:r>
        <w:rPr>
          <w:rFonts w:ascii="Times New Roman" w:cs="Times New Roman" w:eastAsia="Times New Roman" w:hAnsi="Times New Roman"/>
          <w:sz w:val="18"/>
          <w:szCs w:val="18"/>
          <w:color w:val="auto"/>
        </w:rPr>
        <w:t>knowingly presenting, or causing to be presented, to the federal government, claims for payment that are false or fraudulent or making a false statement to avoid, decrease or conceal an obligation to pay money to the federal government;</w:t>
      </w:r>
    </w:p>
    <w:p>
      <w:pPr>
        <w:spacing w:after="0" w:line="68" w:lineRule="exact"/>
        <w:rPr>
          <w:sz w:val="20"/>
          <w:szCs w:val="20"/>
          <w:color w:val="auto"/>
        </w:rPr>
      </w:pPr>
    </w:p>
    <w:p>
      <w:pPr>
        <w:ind w:left="1040" w:right="140" w:hanging="373"/>
        <w:spacing w:after="0" w:line="313"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executing or attempting to execute a scheme to defraud any health care benefit program or making false statements relating to health care matters;</w:t>
      </w:r>
    </w:p>
    <w:p>
      <w:pPr>
        <w:spacing w:after="0" w:line="67" w:lineRule="exact"/>
        <w:rPr>
          <w:rFonts w:ascii="Times New Roman" w:cs="Times New Roman" w:eastAsia="Times New Roman" w:hAnsi="Times New Roman"/>
          <w:sz w:val="18"/>
          <w:szCs w:val="18"/>
          <w:color w:val="auto"/>
        </w:rPr>
      </w:pPr>
    </w:p>
    <w:p>
      <w:pPr>
        <w:ind w:left="1040" w:right="300" w:hanging="373"/>
        <w:spacing w:after="0" w:line="297"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2" w:lineRule="exact"/>
        <w:rPr>
          <w:rFonts w:ascii="Times New Roman" w:cs="Times New Roman" w:eastAsia="Times New Roman" w:hAnsi="Times New Roman"/>
          <w:sz w:val="18"/>
          <w:szCs w:val="18"/>
          <w:color w:val="auto"/>
        </w:rPr>
      </w:pPr>
    </w:p>
    <w:p>
      <w:pPr>
        <w:ind w:left="1040" w:right="60" w:hanging="373"/>
        <w:spacing w:after="0" w:line="306" w:lineRule="auto"/>
        <w:tabs>
          <w:tab w:leader="none" w:pos="10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w:t>
      </w:r>
    </w:p>
    <w:p>
      <w:pPr>
        <w:spacing w:after="0" w:line="1" w:lineRule="exact"/>
        <w:rPr>
          <w:rFonts w:ascii="Times New Roman" w:cs="Times New Roman" w:eastAsia="Times New Roman" w:hAnsi="Times New Roman"/>
          <w:sz w:val="17"/>
          <w:szCs w:val="17"/>
          <w:color w:val="auto"/>
        </w:rPr>
      </w:pPr>
    </w:p>
    <w:p>
      <w:pPr>
        <w:ind w:left="1040" w:right="200"/>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82" w:lineRule="exact"/>
        <w:rPr>
          <w:rFonts w:ascii="Times New Roman" w:cs="Times New Roman" w:eastAsia="Times New Roman" w:hAnsi="Times New Roman"/>
          <w:sz w:val="17"/>
          <w:szCs w:val="17"/>
          <w:color w:val="auto"/>
        </w:rPr>
      </w:pPr>
    </w:p>
    <w:p>
      <w:pPr>
        <w:ind w:left="1040" w:right="500" w:hanging="373"/>
        <w:spacing w:after="0" w:line="297"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 care items or services reimbursed by non-governmental third party payors, including private insurers.</w:t>
      </w:r>
    </w:p>
    <w:p>
      <w:pPr>
        <w:spacing w:after="0" w:line="82" w:lineRule="exact"/>
        <w:rPr>
          <w:sz w:val="20"/>
          <w:szCs w:val="20"/>
          <w:color w:val="auto"/>
        </w:rPr>
      </w:pPr>
    </w:p>
    <w:p>
      <w:pPr>
        <w:ind w:right="260" w:firstLine="659"/>
        <w:spacing w:after="0" w:line="297" w:lineRule="auto"/>
        <w:rPr>
          <w:sz w:val="20"/>
          <w:szCs w:val="20"/>
          <w:color w:val="auto"/>
        </w:rPr>
      </w:pPr>
      <w:r>
        <w:rPr>
          <w:rFonts w:ascii="Times New Roman" w:cs="Times New Roman" w:eastAsia="Times New Roman" w:hAnsi="Times New Roman"/>
          <w:sz w:val="18"/>
          <w:szCs w:val="18"/>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69" w:lineRule="exact"/>
        <w:rPr>
          <w:sz w:val="20"/>
          <w:szCs w:val="20"/>
          <w:color w:val="auto"/>
        </w:rPr>
      </w:pPr>
    </w:p>
    <w:p>
      <w:pPr>
        <w:ind w:right="120" w:firstLine="659"/>
        <w:spacing w:after="0" w:line="293" w:lineRule="auto"/>
        <w:rPr>
          <w:sz w:val="20"/>
          <w:szCs w:val="20"/>
          <w:color w:val="auto"/>
        </w:rPr>
      </w:pPr>
      <w:r>
        <w:rPr>
          <w:rFonts w:ascii="Times New Roman" w:cs="Times New Roman" w:eastAsia="Times New Roman" w:hAnsi="Times New Roman"/>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comply with privacy and data security laws, regulations and standards may cause our business to be materially adversely affected.</w:t>
      </w:r>
    </w:p>
    <w:p>
      <w:pPr>
        <w:spacing w:after="0" w:line="148" w:lineRule="exact"/>
        <w:rPr>
          <w:sz w:val="20"/>
          <w:szCs w:val="20"/>
          <w:color w:val="auto"/>
        </w:rPr>
      </w:pPr>
    </w:p>
    <w:p>
      <w:pPr>
        <w:ind w:right="20" w:firstLine="659"/>
        <w:spacing w:after="0" w:line="291" w:lineRule="auto"/>
        <w:rPr>
          <w:sz w:val="20"/>
          <w:szCs w:val="20"/>
          <w:color w:val="auto"/>
        </w:rPr>
      </w:pPr>
      <w:r>
        <w:rPr>
          <w:rFonts w:ascii="Times New Roman" w:cs="Times New Roman" w:eastAsia="Times New Roman" w:hAnsi="Times New Roman"/>
          <w:sz w:val="18"/>
          <w:szCs w:val="18"/>
          <w:color w:val="auto"/>
        </w:rPr>
        <w:t>We process a quantity of sensitive, confidential and/or regulated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processing and protection of personal information, including federal and state health information privacy laws, federal and state security breach notification laws, and federal and state consumer protection laws. In the EU and United Kingdom (“UK”), their respective General Data Protection Regulations (collectively, “GDPR”), which apply extraterritorially, impose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information from the European Economic Area/UK/Switzerland to countries not deemed to have adequate data protections laws (including the United States). Companies that must comply with the GDPR face increased compliance obligations and risk, including more robust regulatory enforcement of data protection requirements and potential fines for noncompliance of up to €20 million (approximately $22.6 million) or four percent of the annual global revenues of the noncompliant company, whichever is greater.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5" w:name="page46"/>
    <w:bookmarkEnd w:id="45"/>
    <w:p>
      <w:pPr>
        <w:ind w:right="60" w:firstLine="659"/>
        <w:spacing w:after="0" w:line="287" w:lineRule="auto"/>
        <w:rPr>
          <w:sz w:val="20"/>
          <w:szCs w:val="20"/>
          <w:color w:val="auto"/>
        </w:rPr>
      </w:pPr>
      <w:r>
        <w:rPr>
          <w:rFonts w:ascii="Times New Roman" w:cs="Times New Roman" w:eastAsia="Times New Roman" w:hAnsi="Times New Roman"/>
          <w:sz w:val="18"/>
          <w:szCs w:val="18"/>
          <w:color w:val="auto"/>
        </w:rPr>
        <w:t>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impact our compliance efforts. For example, California enacted the California Consumer Privacy Act (as amended, the “CCPA”). Failure to comply with the CCPA may result in significant civil penalties, injunctive relief, or statutory or actual damages as determined by the California Privacy Protection Agency or the California Attorney General. Following California’s lead, 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is focused on the collection of consumer health data, has a broader scope than HIPAA and includes a private right of action. In addition, various comprehensive federal privacy bills have been proposed in Congress.</w:t>
      </w:r>
    </w:p>
    <w:p>
      <w:pPr>
        <w:spacing w:after="0" w:line="76" w:lineRule="exact"/>
        <w:rPr>
          <w:sz w:val="20"/>
          <w:szCs w:val="20"/>
          <w:color w:val="auto"/>
        </w:rPr>
      </w:pPr>
    </w:p>
    <w:p>
      <w:pPr>
        <w:ind w:right="180" w:firstLine="659"/>
        <w:spacing w:after="0" w:line="292" w:lineRule="auto"/>
        <w:rPr>
          <w:sz w:val="20"/>
          <w:szCs w:val="20"/>
          <w:color w:val="auto"/>
        </w:rPr>
      </w:pPr>
      <w:r>
        <w:rPr>
          <w:rFonts w:ascii="Times New Roman" w:cs="Times New Roman" w:eastAsia="Times New Roman" w:hAnsi="Times New Roman"/>
          <w:sz w:val="18"/>
          <w:szCs w:val="18"/>
          <w:color w:val="auto"/>
        </w:rPr>
        <w:t>We cannot provide assurance that (i) current or future legislation will not prevent us from generating or maintaining personal information, or (ii) patients will consent to the use of their personal information (as necessary). Either of these circumstances may prevent us from undertaking or continuing essential research and development, manufacturing, and commercialization, which could have a material adverse effect on our business, results of operations, financial condition, and prospects.</w:t>
      </w:r>
    </w:p>
    <w:p>
      <w:pPr>
        <w:spacing w:after="0" w:line="73" w:lineRule="exact"/>
        <w:rPr>
          <w:sz w:val="20"/>
          <w:szCs w:val="20"/>
          <w:color w:val="auto"/>
        </w:rPr>
      </w:pPr>
    </w:p>
    <w:p>
      <w:pPr>
        <w:ind w:right="60" w:firstLine="659"/>
        <w:spacing w:after="0" w:line="287" w:lineRule="auto"/>
        <w:rPr>
          <w:sz w:val="20"/>
          <w:szCs w:val="20"/>
          <w:color w:val="auto"/>
        </w:rPr>
      </w:pPr>
      <w:r>
        <w:rPr>
          <w:rFonts w:ascii="Times New Roman" w:cs="Times New Roman" w:eastAsia="Times New Roman" w:hAnsi="Times New Roman"/>
          <w:sz w:val="18"/>
          <w:szCs w:val="18"/>
          <w:color w:val="auto"/>
        </w:rPr>
        <w:t>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 data or a third party’s personal information could subject us to individual or consumer class action litigation and governmental investigations and proceedings by federal, state, and local regulatory entities in the U.S. and by international regulatory entities. Compliance with these and any other applicable privacy and data security laws and regulations is a rigorous and time-intensive process, and we may be required to put in place additional mechanisms ensuring compliance with existing and new data protection rules and possible government oversight.</w:t>
      </w:r>
    </w:p>
    <w:p>
      <w:pPr>
        <w:spacing w:after="0" w:line="76" w:lineRule="exact"/>
        <w:rPr>
          <w:sz w:val="20"/>
          <w:szCs w:val="20"/>
          <w:color w:val="auto"/>
        </w:rPr>
      </w:pPr>
    </w:p>
    <w:p>
      <w:pPr>
        <w:ind w:firstLine="659"/>
        <w:spacing w:after="0" w:line="285"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spacing w:after="0" w:line="189" w:lineRule="exact"/>
        <w:rPr>
          <w:sz w:val="20"/>
          <w:szCs w:val="20"/>
          <w:color w:val="auto"/>
        </w:rPr>
      </w:pPr>
    </w:p>
    <w:p>
      <w:pPr>
        <w:ind w:right="40"/>
        <w:spacing w:after="0" w:line="318" w:lineRule="auto"/>
        <w:rPr>
          <w:sz w:val="20"/>
          <w:szCs w:val="20"/>
          <w:color w:val="auto"/>
        </w:rPr>
      </w:pPr>
      <w:r>
        <w:rPr>
          <w:rFonts w:ascii="Times New Roman" w:cs="Times New Roman" w:eastAsia="Times New Roman" w:hAnsi="Times New Roman"/>
          <w:sz w:val="18"/>
          <w:szCs w:val="18"/>
          <w:b w:val="1"/>
          <w:bCs w:val="1"/>
          <w:color w:val="auto"/>
        </w:rPr>
        <w:t>Our employees may engage in misconduct or other improper activities, including noncompliance with regulatory standards and requirements and insider trading.</w:t>
      </w:r>
    </w:p>
    <w:p>
      <w:pPr>
        <w:spacing w:after="0" w:line="49" w:lineRule="exact"/>
        <w:rPr>
          <w:sz w:val="20"/>
          <w:szCs w:val="20"/>
          <w:color w:val="auto"/>
        </w:rPr>
      </w:pPr>
    </w:p>
    <w:p>
      <w:pPr>
        <w:ind w:firstLine="659"/>
        <w:spacing w:after="0" w:line="288"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ind w:right="140"/>
        <w:spacing w:after="0" w:line="297" w:lineRule="auto"/>
        <w:rPr>
          <w:sz w:val="20"/>
          <w:szCs w:val="20"/>
          <w:color w:val="auto"/>
        </w:rPr>
      </w:pPr>
      <w:r>
        <w:rPr>
          <w:rFonts w:ascii="Times New Roman" w:cs="Times New Roman" w:eastAsia="Times New Roman" w:hAnsi="Times New Roman"/>
          <w:sz w:val="18"/>
          <w:szCs w:val="18"/>
          <w:color w:val="auto"/>
        </w:rPr>
        <w:t>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obtain or protect intellectual property rights, we may not be able to compete effectively in our market.</w:t>
      </w:r>
    </w:p>
    <w:p>
      <w:pPr>
        <w:spacing w:after="0" w:line="148" w:lineRule="exact"/>
        <w:rPr>
          <w:sz w:val="20"/>
          <w:szCs w:val="20"/>
          <w:color w:val="auto"/>
        </w:rPr>
      </w:pPr>
    </w:p>
    <w:p>
      <w:pPr>
        <w:ind w:right="20" w:firstLine="659"/>
        <w:spacing w:after="0" w:line="309" w:lineRule="auto"/>
        <w:rPr>
          <w:sz w:val="20"/>
          <w:szCs w:val="20"/>
          <w:color w:val="auto"/>
        </w:rPr>
      </w:pPr>
      <w:r>
        <w:rPr>
          <w:rFonts w:ascii="Times New Roman" w:cs="Times New Roman" w:eastAsia="Times New Roman" w:hAnsi="Times New Roman"/>
          <w:sz w:val="17"/>
          <w:szCs w:val="17"/>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63" w:lineRule="exact"/>
        <w:rPr>
          <w:sz w:val="20"/>
          <w:szCs w:val="20"/>
          <w:color w:val="auto"/>
        </w:rPr>
      </w:pPr>
    </w:p>
    <w:p>
      <w:pPr>
        <w:ind w:firstLine="659"/>
        <w:spacing w:after="0" w:line="290"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Recent case law has increased uncertainty regarding the validity and enforceability of patents that contain broad antibody claims, including claims drafted in functional or genus form, even where examples are provided. As a result, patent claims that we or our licensors, licensees or collaborators obtain now or in the future could be narrowed during prosecution, or later held invalid or unenforceable. The ability to obtain and maintain meaningful patent protection for our and our licensors’, licensees’ or collaborators’ antibodies may depend on accurate and complete disclosure of technical characterizations of such antibodies, including biological sequence information. Any errors, omissions, inconsistencies, or later-developed scientific understanding that affects how such antibodies are characterized (including sequence information, epitope mapping, competition data, binding assays, or structure-function relationships) could impair our or our licensors’, licensees’ or collaborators’ ability to obtain, maintain, or enforce patents, could provide a basis for third-party challenges, or could necessitate claim narrowing. In addition, some patent applications that we or our licensors, licensees or collaborators have filed have not resulted, or may file in the future, might not result in issued patents because we or our licensors have abandoned, or may choose to abandon, those patent applications as changes in business and/or legal strategies dictated or may dictate.</w:t>
      </w:r>
    </w:p>
    <w:p>
      <w:pPr>
        <w:spacing w:after="0" w:line="75" w:lineRule="exact"/>
        <w:rPr>
          <w:sz w:val="20"/>
          <w:szCs w:val="20"/>
          <w:color w:val="auto"/>
        </w:rPr>
      </w:pPr>
    </w:p>
    <w:p>
      <w:pPr>
        <w:ind w:right="60" w:firstLine="659"/>
        <w:spacing w:after="0" w:line="294" w:lineRule="auto"/>
        <w:rPr>
          <w:sz w:val="20"/>
          <w:szCs w:val="20"/>
          <w:color w:val="auto"/>
        </w:rPr>
      </w:pPr>
      <w:r>
        <w:rPr>
          <w:rFonts w:ascii="Times New Roman" w:cs="Times New Roman" w:eastAsia="Times New Roman" w:hAnsi="Times New Roman"/>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ind w:right="120"/>
        <w:spacing w:after="0" w:line="313" w:lineRule="auto"/>
        <w:rPr>
          <w:sz w:val="20"/>
          <w:szCs w:val="20"/>
          <w:color w:val="auto"/>
        </w:rPr>
      </w:pPr>
      <w:r>
        <w:rPr>
          <w:rFonts w:ascii="Times New Roman" w:cs="Times New Roman" w:eastAsia="Times New Roman" w:hAnsi="Times New Roman"/>
          <w:sz w:val="18"/>
          <w:szCs w:val="18"/>
          <w:color w:val="auto"/>
        </w:rPr>
        <w:t>the technology claimed in such applications unless and until a patent issues from such applications, and then only to the extent the issued claims cover the technology.</w:t>
      </w:r>
    </w:p>
    <w:p>
      <w:pPr>
        <w:spacing w:after="0" w:line="68" w:lineRule="exact"/>
        <w:rPr>
          <w:sz w:val="20"/>
          <w:szCs w:val="20"/>
          <w:color w:val="auto"/>
        </w:rPr>
      </w:pPr>
    </w:p>
    <w:p>
      <w:pPr>
        <w:ind w:right="20" w:firstLine="659"/>
        <w:spacing w:after="0" w:line="291" w:lineRule="auto"/>
        <w:rPr>
          <w:sz w:val="20"/>
          <w:szCs w:val="20"/>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74" w:lineRule="exact"/>
        <w:rPr>
          <w:sz w:val="20"/>
          <w:szCs w:val="20"/>
          <w:color w:val="auto"/>
        </w:rPr>
      </w:pPr>
    </w:p>
    <w:p>
      <w:pPr>
        <w:ind w:firstLine="659"/>
        <w:spacing w:after="0" w:line="291"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 rights throughout the world.</w:t>
      </w:r>
    </w:p>
    <w:p>
      <w:pPr>
        <w:spacing w:after="0" w:line="148" w:lineRule="exact"/>
        <w:rPr>
          <w:sz w:val="20"/>
          <w:szCs w:val="20"/>
          <w:color w:val="auto"/>
        </w:rPr>
      </w:pPr>
    </w:p>
    <w:p>
      <w:pPr>
        <w:ind w:firstLine="659"/>
        <w:spacing w:after="0" w:line="292"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74" w:lineRule="exact"/>
        <w:rPr>
          <w:sz w:val="20"/>
          <w:szCs w:val="20"/>
          <w:color w:val="auto"/>
        </w:rPr>
      </w:pPr>
    </w:p>
    <w:p>
      <w:pPr>
        <w:ind w:firstLine="659"/>
        <w:spacing w:after="0" w:line="290"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8" w:name="page49"/>
    <w:bookmarkEnd w:id="48"/>
    <w:p>
      <w:pPr>
        <w:ind w:right="120"/>
        <w:spacing w:after="0" w:line="297" w:lineRule="auto"/>
        <w:rPr>
          <w:sz w:val="20"/>
          <w:szCs w:val="20"/>
          <w:color w:val="auto"/>
        </w:rPr>
      </w:pPr>
      <w:r>
        <w:rPr>
          <w:rFonts w:ascii="Times New Roman" w:cs="Times New Roman" w:eastAsia="Times New Roman" w:hAnsi="Times New Roman"/>
          <w:sz w:val="18"/>
          <w:szCs w:val="18"/>
          <w:color w:val="auto"/>
        </w:rPr>
        <w:t>Furthermore, the European patent litigation landscape has changed with the advent of the Unified Patent Court (“UPC”), which may allow third parties to seek, or may allow us to obtain, certain forms of relief with pan-European effect. This could increase the risk that a single adverse decision could significantly narrow, invalidate, or render unenforceable one or more of our or our licensors’, licensees or collaborators’ European patents across multiple jurisdictions, or that we could be subject to injunctive relief affecting multiple markets, if subjected to the jurisdiction of the UPC.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patent law could diminish the value of patents in general, thereby impairing our ability to protect our product candidates.</w:t>
      </w:r>
    </w:p>
    <w:p>
      <w:pPr>
        <w:spacing w:after="0" w:line="148" w:lineRule="exact"/>
        <w:rPr>
          <w:sz w:val="20"/>
          <w:szCs w:val="20"/>
          <w:color w:val="auto"/>
        </w:rPr>
      </w:pPr>
    </w:p>
    <w:p>
      <w:pPr>
        <w:ind w:firstLine="659"/>
        <w:spacing w:after="0" w:line="30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61" w:lineRule="exact"/>
        <w:rPr>
          <w:sz w:val="20"/>
          <w:szCs w:val="20"/>
          <w:color w:val="auto"/>
        </w:rPr>
      </w:pPr>
    </w:p>
    <w:p>
      <w:pPr>
        <w:ind w:right="60" w:firstLine="659"/>
        <w:spacing w:after="0" w:line="297"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82" w:lineRule="exact"/>
        <w:rPr>
          <w:sz w:val="20"/>
          <w:szCs w:val="20"/>
          <w:color w:val="auto"/>
        </w:rPr>
      </w:pPr>
    </w:p>
    <w:p>
      <w:pPr>
        <w:ind w:right="60" w:firstLine="659"/>
        <w:spacing w:after="0" w:line="293"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87" w:lineRule="exact"/>
        <w:rPr>
          <w:sz w:val="20"/>
          <w:szCs w:val="20"/>
          <w:color w:val="auto"/>
        </w:rPr>
      </w:pPr>
    </w:p>
    <w:p>
      <w:pPr>
        <w:ind w:firstLine="659"/>
        <w:spacing w:after="0" w:line="281"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w:t>
      </w:r>
    </w:p>
    <w:p>
      <w:pPr>
        <w:spacing w:after="0" w:line="1"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auto"/>
        </w:rPr>
        <w:t>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spacing w:after="0" w:line="85" w:lineRule="exact"/>
        <w:rPr>
          <w:sz w:val="20"/>
          <w:szCs w:val="20"/>
          <w:color w:val="auto"/>
        </w:rPr>
      </w:pPr>
    </w:p>
    <w:p>
      <w:pPr>
        <w:ind w:right="40" w:firstLine="659"/>
        <w:spacing w:after="0" w:line="291" w:lineRule="auto"/>
        <w:rPr>
          <w:sz w:val="20"/>
          <w:szCs w:val="20"/>
          <w:color w:val="auto"/>
        </w:rPr>
      </w:pPr>
      <w:r>
        <w:rPr>
          <w:rFonts w:ascii="Times New Roman" w:cs="Times New Roman" w:eastAsia="Times New Roman" w:hAnsi="Times New Roman"/>
          <w:sz w:val="18"/>
          <w:szCs w:val="18"/>
          <w:color w:val="auto"/>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the U.S. Supreme Court and the U.S. Court of Appeals for the Federal Circuit rendered decisions in several patent cases such as </w:t>
      </w:r>
      <w:r>
        <w:rPr>
          <w:rFonts w:ascii="Times New Roman" w:cs="Times New Roman" w:eastAsia="Times New Roman" w:hAnsi="Times New Roman"/>
          <w:sz w:val="18"/>
          <w:szCs w:val="18"/>
          <w:i w:val="1"/>
          <w:iCs w:val="1"/>
          <w:color w:val="auto"/>
        </w:rPr>
        <w:t>Association for Molecular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Pathology v. Myriad Genetics,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BRCA1- &amp; BRCA2-Based Hereditary Cancer Test Patent Litig., Mayo Collaborative Services v. Prometheus Laboratories, Inc., Alice Corporation Pty. Ltd. v. CLS Bank International, and Amgen v. Sanofi </w:t>
      </w:r>
      <w:r>
        <w:rPr>
          <w:rFonts w:ascii="Times New Roman" w:cs="Times New Roman" w:eastAsia="Times New Roman" w:hAnsi="Times New Roman"/>
          <w:sz w:val="18"/>
          <w:szCs w:val="18"/>
          <w:color w:val="auto"/>
        </w:rPr>
        <w:t>either narrowing the scope of patent protection available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9" w:name="page50"/>
    <w:bookmarkEnd w:id="49"/>
    <w:p>
      <w:pPr>
        <w:jc w:val="both"/>
        <w:ind w:right="100"/>
        <w:spacing w:after="0" w:line="307" w:lineRule="auto"/>
        <w:rPr>
          <w:sz w:val="20"/>
          <w:szCs w:val="20"/>
          <w:color w:val="auto"/>
        </w:rPr>
      </w:pPr>
      <w:r>
        <w:rPr>
          <w:rFonts w:ascii="Times New Roman" w:cs="Times New Roman" w:eastAsia="Times New Roman" w:hAnsi="Times New Roman"/>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0"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175" w:lineRule="exact"/>
        <w:rPr>
          <w:sz w:val="20"/>
          <w:szCs w:val="20"/>
          <w:color w:val="auto"/>
        </w:rPr>
      </w:pPr>
    </w:p>
    <w:p>
      <w:pPr>
        <w:spacing w:after="0" w:line="333" w:lineRule="auto"/>
        <w:rPr>
          <w:sz w:val="20"/>
          <w:szCs w:val="20"/>
          <w:color w:val="auto"/>
        </w:rPr>
      </w:pPr>
      <w:r>
        <w:rPr>
          <w:rFonts w:ascii="Times New Roman" w:cs="Times New Roman" w:eastAsia="Times New Roman" w:hAnsi="Times New Roman"/>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37" w:lineRule="exact"/>
        <w:rPr>
          <w:sz w:val="20"/>
          <w:szCs w:val="20"/>
          <w:color w:val="auto"/>
        </w:rPr>
      </w:pPr>
    </w:p>
    <w:p>
      <w:pPr>
        <w:ind w:right="40" w:firstLine="659"/>
        <w:spacing w:after="0" w:line="291" w:lineRule="auto"/>
        <w:rPr>
          <w:sz w:val="20"/>
          <w:szCs w:val="20"/>
          <w:color w:val="auto"/>
        </w:rPr>
      </w:pPr>
      <w:r>
        <w:rPr>
          <w:rFonts w:ascii="Times New Roman" w:cs="Times New Roman" w:eastAsia="Times New Roman" w:hAnsi="Times New Roman"/>
          <w:sz w:val="18"/>
          <w:szCs w:val="18"/>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 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90" w:lineRule="exact"/>
        <w:rPr>
          <w:sz w:val="20"/>
          <w:szCs w:val="20"/>
          <w:color w:val="auto"/>
        </w:rPr>
      </w:pPr>
    </w:p>
    <w:p>
      <w:pPr>
        <w:ind w:right="20" w:firstLine="659"/>
        <w:spacing w:after="0" w:line="291"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third party collaborators. A competitor’s discovery of our trade secrets would impair our competitive position and have an adverse impact on our business.</w:t>
      </w:r>
    </w:p>
    <w:p>
      <w:pPr>
        <w:spacing w:after="0" w:line="181" w:lineRule="exact"/>
        <w:rPr>
          <w:sz w:val="20"/>
          <w:szCs w:val="20"/>
          <w:color w:val="auto"/>
        </w:rPr>
      </w:pPr>
    </w:p>
    <w:p>
      <w:pPr>
        <w:ind w:right="160"/>
        <w:spacing w:after="0" w:line="333" w:lineRule="auto"/>
        <w:rPr>
          <w:sz w:val="20"/>
          <w:szCs w:val="20"/>
          <w:color w:val="auto"/>
        </w:rPr>
      </w:pPr>
      <w:r>
        <w:rPr>
          <w:rFonts w:ascii="Times New Roman" w:cs="Times New Roman" w:eastAsia="Times New Roman" w:hAnsi="Times New Roman"/>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37" w:lineRule="exact"/>
        <w:rPr>
          <w:sz w:val="20"/>
          <w:szCs w:val="20"/>
          <w:color w:val="auto"/>
        </w:rPr>
      </w:pPr>
    </w:p>
    <w:p>
      <w:pPr>
        <w:ind w:firstLine="659"/>
        <w:spacing w:after="0" w:line="291" w:lineRule="auto"/>
        <w:rPr>
          <w:sz w:val="20"/>
          <w:szCs w:val="20"/>
          <w:color w:val="auto"/>
        </w:rPr>
      </w:pPr>
      <w:r>
        <w:rPr>
          <w:rFonts w:ascii="Times New Roman" w:cs="Times New Roman" w:eastAsia="Times New Roman" w:hAnsi="Times New Roman"/>
          <w:sz w:val="18"/>
          <w:szCs w:val="18"/>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50" w:name="page51"/>
    <w:bookmarkEnd w:id="50"/>
    <w:p>
      <w:pPr>
        <w:ind w:right="180"/>
        <w:spacing w:after="0" w:line="313" w:lineRule="auto"/>
        <w:rPr>
          <w:sz w:val="20"/>
          <w:szCs w:val="20"/>
          <w:color w:val="auto"/>
        </w:rPr>
      </w:pPr>
      <w:r>
        <w:rPr>
          <w:rFonts w:ascii="Times New Roman" w:cs="Times New Roman" w:eastAsia="Times New Roman" w:hAnsi="Times New Roman"/>
          <w:sz w:val="18"/>
          <w:szCs w:val="18"/>
          <w:color w:val="auto"/>
        </w:rPr>
        <w:t>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68" w:lineRule="exact"/>
        <w:rPr>
          <w:sz w:val="20"/>
          <w:szCs w:val="20"/>
          <w:color w:val="auto"/>
        </w:rPr>
      </w:pPr>
    </w:p>
    <w:p>
      <w:pPr>
        <w:ind w:right="40" w:firstLine="659"/>
        <w:spacing w:after="0" w:line="297" w:lineRule="auto"/>
        <w:rPr>
          <w:sz w:val="20"/>
          <w:szCs w:val="20"/>
          <w:color w:val="auto"/>
        </w:rPr>
      </w:pPr>
      <w:r>
        <w:rPr>
          <w:rFonts w:ascii="Times New Roman" w:cs="Times New Roman" w:eastAsia="Times New Roman" w:hAnsi="Times New Roman"/>
          <w:sz w:val="18"/>
          <w:szCs w:val="18"/>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69" w:lineRule="exact"/>
        <w:rPr>
          <w:sz w:val="20"/>
          <w:szCs w:val="20"/>
          <w:color w:val="auto"/>
        </w:rPr>
      </w:pPr>
    </w:p>
    <w:p>
      <w:pPr>
        <w:ind w:right="260" w:firstLine="659"/>
        <w:spacing w:after="0" w:line="292" w:lineRule="auto"/>
        <w:rPr>
          <w:sz w:val="20"/>
          <w:szCs w:val="20"/>
          <w:color w:val="auto"/>
        </w:rPr>
      </w:pPr>
      <w:r>
        <w:rPr>
          <w:rFonts w:ascii="Times New Roman" w:cs="Times New Roman" w:eastAsia="Times New Roman" w:hAnsi="Times New Roman"/>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 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74" w:lineRule="exact"/>
        <w:rPr>
          <w:sz w:val="20"/>
          <w:szCs w:val="20"/>
          <w:color w:val="auto"/>
        </w:rPr>
      </w:pPr>
    </w:p>
    <w:p>
      <w:pPr>
        <w:ind w:right="80" w:firstLine="659"/>
        <w:spacing w:after="0" w:line="297"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82" w:lineRule="exact"/>
        <w:rPr>
          <w:sz w:val="20"/>
          <w:szCs w:val="20"/>
          <w:color w:val="auto"/>
        </w:rPr>
      </w:pPr>
    </w:p>
    <w:p>
      <w:pPr>
        <w:ind w:firstLine="659"/>
        <w:spacing w:after="0" w:line="297"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73" w:lineRule="exact"/>
        <w:rPr>
          <w:sz w:val="20"/>
          <w:szCs w:val="20"/>
          <w:color w:val="auto"/>
        </w:rPr>
      </w:pPr>
    </w:p>
    <w:p>
      <w:pPr>
        <w:ind w:right="1440"/>
        <w:spacing w:after="0" w:line="333" w:lineRule="auto"/>
        <w:rPr>
          <w:sz w:val="20"/>
          <w:szCs w:val="20"/>
          <w:color w:val="auto"/>
        </w:rPr>
      </w:pPr>
      <w:r>
        <w:rPr>
          <w:rFonts w:ascii="Times New Roman" w:cs="Times New Roman" w:eastAsia="Times New Roman" w:hAnsi="Times New Roman"/>
          <w:sz w:val="18"/>
          <w:szCs w:val="18"/>
          <w:b w:val="1"/>
          <w:bCs w:val="1"/>
          <w:color w:val="auto"/>
        </w:rPr>
        <w:t>If we breach the license agreements related to our product candidates, we could lose the ability to continue the development and commercialization of our product candidates.</w:t>
      </w:r>
    </w:p>
    <w:p>
      <w:pPr>
        <w:spacing w:after="0" w:line="37" w:lineRule="exact"/>
        <w:rPr>
          <w:sz w:val="20"/>
          <w:szCs w:val="20"/>
          <w:color w:val="auto"/>
        </w:rPr>
      </w:pPr>
    </w:p>
    <w:p>
      <w:pPr>
        <w:ind w:right="20" w:firstLine="659"/>
        <w:spacing w:after="0" w:line="290"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licensors, licensees and collaborators, to develop, manufacture, market and sell our product candidates and use our and our licensors’, licensees’ or collaborators’ wholly owned technologies without infringing the proprietary rights of third parties. A third party may hold intellectual property, 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In addition, we entered into an exclusive license agreement with Centessa, which relates to our product candidate, ANB101, and is subject to certain obligations thereunder.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58" w:lineRule="exact"/>
        <w:rPr>
          <w:sz w:val="20"/>
          <w:szCs w:val="20"/>
          <w:color w:val="auto"/>
        </w:rPr>
      </w:pPr>
    </w:p>
    <w:p>
      <w:pPr>
        <w:ind w:left="5540" w:right="3420" w:hanging="4873"/>
        <w:spacing w:after="0" w:line="563" w:lineRule="auto"/>
        <w:tabs>
          <w:tab w:leader="none" w:pos="10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ind w:left="1040" w:right="740" w:hanging="373"/>
        <w:spacing w:after="0" w:line="313"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any collaboration relationships we might enter into in the future;</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57" w:lineRule="exact"/>
        <w:rPr>
          <w:rFonts w:ascii="Times New Roman" w:cs="Times New Roman" w:eastAsia="Times New Roman" w:hAnsi="Times New Roman"/>
          <w:sz w:val="18"/>
          <w:szCs w:val="18"/>
          <w:color w:val="auto"/>
        </w:rPr>
      </w:pPr>
    </w:p>
    <w:p>
      <w:pPr>
        <w:ind w:left="1040" w:right="80" w:hanging="373"/>
        <w:spacing w:after="0" w:line="313"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us and our licensors, licensees or collaborators; and</w:t>
      </w:r>
    </w:p>
    <w:p>
      <w:pPr>
        <w:spacing w:after="0" w:line="5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58" w:lineRule="exact"/>
        <w:rPr>
          <w:sz w:val="20"/>
          <w:szCs w:val="20"/>
          <w:color w:val="auto"/>
        </w:rPr>
      </w:pPr>
    </w:p>
    <w:p>
      <w:pPr>
        <w:ind w:right="660" w:firstLine="659"/>
        <w:spacing w:after="0" w:line="313"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any future licensing arrangements on acceptable terms, we may be unable to successfully develop and commercialize the affected product candidates.</w:t>
      </w:r>
    </w:p>
    <w:p>
      <w:pPr>
        <w:spacing w:after="0" w:line="172"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81" w:lineRule="exact"/>
        <w:rPr>
          <w:sz w:val="20"/>
          <w:szCs w:val="20"/>
          <w:color w:val="auto"/>
        </w:rPr>
      </w:pPr>
    </w:p>
    <w:p>
      <w:pPr>
        <w:ind w:right="100" w:firstLine="659"/>
        <w:spacing w:after="0" w:line="294" w:lineRule="auto"/>
        <w:rPr>
          <w:sz w:val="20"/>
          <w:szCs w:val="20"/>
          <w:color w:val="auto"/>
        </w:rPr>
      </w:pPr>
      <w:r>
        <w:rPr>
          <w:rFonts w:ascii="Times New Roman" w:cs="Times New Roman" w:eastAsia="Times New Roman" w:hAnsi="Times New Roman"/>
          <w:sz w:val="18"/>
          <w:szCs w:val="18"/>
          <w:color w:val="auto"/>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72" w:lineRule="exact"/>
        <w:rPr>
          <w:sz w:val="20"/>
          <w:szCs w:val="20"/>
          <w:color w:val="auto"/>
        </w:rPr>
      </w:pPr>
    </w:p>
    <w:p>
      <w:pPr>
        <w:ind w:right="20" w:firstLine="659"/>
        <w:spacing w:after="0" w:line="291"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194" w:lineRule="exact"/>
        <w:rPr>
          <w:sz w:val="20"/>
          <w:szCs w:val="20"/>
          <w:color w:val="auto"/>
        </w:rPr>
      </w:pPr>
    </w:p>
    <w:p>
      <w:pPr>
        <w:ind w:right="360"/>
        <w:spacing w:after="0" w:line="318" w:lineRule="auto"/>
        <w:rPr>
          <w:sz w:val="20"/>
          <w:szCs w:val="20"/>
          <w:color w:val="auto"/>
        </w:rPr>
      </w:pPr>
      <w:r>
        <w:rPr>
          <w:rFonts w:ascii="Times New Roman" w:cs="Times New Roman" w:eastAsia="Times New Roman" w:hAnsi="Times New Roman"/>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49"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85" w:lineRule="exact"/>
        <w:rPr>
          <w:sz w:val="20"/>
          <w:szCs w:val="20"/>
          <w:color w:val="auto"/>
        </w:rPr>
      </w:pPr>
    </w:p>
    <w:p>
      <w:pPr>
        <w:ind w:right="20" w:firstLine="659"/>
        <w:spacing w:after="0" w:line="293"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protect our confidential information and trade secrets would harm our business and competitive position.</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52" w:name="page53"/>
    <w:bookmarkEnd w:id="52"/>
    <w:p>
      <w:pPr>
        <w:ind w:right="20" w:firstLine="659"/>
        <w:spacing w:after="0" w:line="291"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78" w:lineRule="exact"/>
        <w:rPr>
          <w:sz w:val="20"/>
          <w:szCs w:val="20"/>
          <w:color w:val="auto"/>
        </w:rPr>
      </w:pPr>
    </w:p>
    <w:p>
      <w:pPr>
        <w:ind w:right="180"/>
        <w:spacing w:after="0" w:line="333" w:lineRule="auto"/>
        <w:rPr>
          <w:sz w:val="20"/>
          <w:szCs w:val="20"/>
          <w:color w:val="auto"/>
        </w:rPr>
      </w:pPr>
      <w:r>
        <w:rPr>
          <w:rFonts w:ascii="Times New Roman" w:cs="Times New Roman" w:eastAsia="Times New Roman" w:hAnsi="Times New Roman"/>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37" w:lineRule="exact"/>
        <w:rPr>
          <w:sz w:val="20"/>
          <w:szCs w:val="20"/>
          <w:color w:val="auto"/>
        </w:rPr>
      </w:pPr>
    </w:p>
    <w:p>
      <w:pPr>
        <w:ind w:right="80" w:firstLine="659"/>
        <w:spacing w:after="0" w:line="293"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the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75" w:lineRule="exact"/>
        <w:rPr>
          <w:sz w:val="20"/>
          <w:szCs w:val="20"/>
          <w:color w:val="auto"/>
        </w:rPr>
      </w:pPr>
    </w:p>
    <w:p>
      <w:pPr>
        <w:ind w:right="5040"/>
        <w:spacing w:after="0" w:line="417" w:lineRule="auto"/>
        <w:rPr>
          <w:sz w:val="20"/>
          <w:szCs w:val="20"/>
          <w:color w:val="auto"/>
        </w:rPr>
      </w:pPr>
      <w:r>
        <w:rPr>
          <w:rFonts w:ascii="Times New Roman" w:cs="Times New Roman" w:eastAsia="Times New Roman" w:hAnsi="Times New Roman"/>
          <w:sz w:val="18"/>
          <w:szCs w:val="18"/>
          <w:b w:val="1"/>
          <w:bCs w:val="1"/>
          <w:color w:val="auto"/>
        </w:rPr>
        <w:t>Risks Related to Managing Growth, Operations and Macroeconomic Conditions We must attract and retain highly skilled employees in order to succeed.</w:t>
      </w:r>
    </w:p>
    <w:p>
      <w:pPr>
        <w:ind w:firstLine="659"/>
        <w:spacing w:after="0" w:line="291"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Further, any additional obligations of our senior management team that result in connection with the proposed separation of our business into two independent, publicly traded companies, may result in operational disruptions, and our business may be harmed as a result.</w:t>
      </w:r>
    </w:p>
    <w:p>
      <w:pPr>
        <w:spacing w:after="0" w:line="90" w:lineRule="exact"/>
        <w:rPr>
          <w:sz w:val="20"/>
          <w:szCs w:val="20"/>
          <w:color w:val="auto"/>
        </w:rPr>
      </w:pPr>
    </w:p>
    <w:p>
      <w:pPr>
        <w:ind w:right="80" w:firstLine="659"/>
        <w:spacing w:after="0" w:line="297"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3" w:name="page54"/>
    <w:bookmarkEnd w:id="53"/>
    <w:p>
      <w:pPr>
        <w:ind w:right="100"/>
        <w:spacing w:after="0" w:line="318" w:lineRule="auto"/>
        <w:rPr>
          <w:sz w:val="20"/>
          <w:szCs w:val="20"/>
          <w:color w:val="auto"/>
        </w:rPr>
      </w:pPr>
      <w:r>
        <w:rPr>
          <w:rFonts w:ascii="Times New Roman" w:cs="Times New Roman" w:eastAsia="Times New Roman" w:hAnsi="Times New Roman"/>
          <w:sz w:val="18"/>
          <w:szCs w:val="18"/>
          <w:b w:val="1"/>
          <w:bCs w:val="1"/>
          <w:color w:val="auto"/>
        </w:rPr>
        <w:t>We expect to expand our development and regulatory capabilities, and as a result, we may encounter difficulties in managing our growth, which could disrupt our operations.</w:t>
      </w:r>
    </w:p>
    <w:p>
      <w:pPr>
        <w:spacing w:after="0" w:line="63" w:lineRule="exact"/>
        <w:rPr>
          <w:sz w:val="20"/>
          <w:szCs w:val="20"/>
          <w:color w:val="auto"/>
        </w:rPr>
      </w:pPr>
    </w:p>
    <w:p>
      <w:pPr>
        <w:ind w:right="60" w:firstLine="659"/>
        <w:spacing w:after="0" w:line="292" w:lineRule="auto"/>
        <w:rPr>
          <w:sz w:val="20"/>
          <w:szCs w:val="20"/>
          <w:color w:val="auto"/>
        </w:rPr>
      </w:pPr>
      <w:r>
        <w:rPr>
          <w:rFonts w:ascii="Times New Roman" w:cs="Times New Roman" w:eastAsia="Times New Roman" w:hAnsi="Times New Roman"/>
          <w:sz w:val="18"/>
          <w:szCs w:val="18"/>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91" w:lineRule="exact"/>
        <w:rPr>
          <w:sz w:val="20"/>
          <w:szCs w:val="20"/>
          <w:color w:val="auto"/>
        </w:rPr>
      </w:pPr>
    </w:p>
    <w:p>
      <w:pPr>
        <w:ind w:right="400"/>
        <w:spacing w:after="0" w:line="302" w:lineRule="auto"/>
        <w:rPr>
          <w:sz w:val="20"/>
          <w:szCs w:val="20"/>
          <w:color w:val="auto"/>
        </w:rPr>
      </w:pPr>
      <w:r>
        <w:rPr>
          <w:rFonts w:ascii="Times New Roman" w:cs="Times New Roman" w:eastAsia="Times New Roman" w:hAnsi="Times New Roman"/>
          <w:sz w:val="18"/>
          <w:szCs w:val="18"/>
          <w:b w:val="1"/>
          <w:bCs w:val="1"/>
          <w:color w:val="auto"/>
        </w:rPr>
        <w:t>Our internal computer systems, or those of our third-party collaborators or other service providers, may fail or suffer security breaches and cyber-attacks, which could result in a material disruption of our development programs.</w:t>
      </w:r>
    </w:p>
    <w:p>
      <w:pPr>
        <w:spacing w:after="0" w:line="64" w:lineRule="exact"/>
        <w:rPr>
          <w:sz w:val="20"/>
          <w:szCs w:val="20"/>
          <w:color w:val="auto"/>
        </w:rPr>
      </w:pPr>
    </w:p>
    <w:p>
      <w:pPr>
        <w:ind w:firstLine="659"/>
        <w:spacing w:after="0" w:line="282"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infrastructure and data to operate our business. In the ordinary course of our business, we collect, store, process and transmit large amounts of confidential and sensitive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 Despite the implementation of security measures, any of the internal technology systems belonging to us, our collaborators or our third party service providers are vulnerable to damage from computer viruses, bugs, worms, malware, hacking, supply chain attacks and vulnerabilities, distributed denial-of-service attacks, credential stuffing or harvesting, unauthorized access, natural disasters, terrorism, war and telecommunication and electrical failure. Any system failure, accident or security breach that causes interruptions in our own, in collaborators’ or in third party service providers’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sensitive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91" w:lineRule="exact"/>
        <w:rPr>
          <w:sz w:val="20"/>
          <w:szCs w:val="20"/>
          <w:color w:val="auto"/>
        </w:rPr>
      </w:pPr>
    </w:p>
    <w:p>
      <w:pPr>
        <w:ind w:right="40" w:firstLine="659"/>
        <w:spacing w:after="0" w:line="282" w:lineRule="auto"/>
        <w:rPr>
          <w:sz w:val="20"/>
          <w:szCs w:val="20"/>
          <w:color w:val="auto"/>
        </w:rPr>
      </w:pPr>
      <w:r>
        <w:rPr>
          <w:rFonts w:ascii="Times New Roman" w:cs="Times New Roman" w:eastAsia="Times New Roman" w:hAnsi="Times New Roman"/>
          <w:sz w:val="18"/>
          <w:szCs w:val="18"/>
          <w:color w:val="auto"/>
        </w:rPr>
        <w:t>Our system protections may be ineffective or inadequate, or we could be impacted by software bugs or other technical malfunctions, as well as employee error or malfeasance. Additionally, laws and regulations regarding privacy and data protection are evolving, and it is possible that they may be interpreted and applied in a manner that is inconsistent with our data handling safeguards and practices that could result in fines, lawsuits, and other penalties, and significant changes to our or our collaborators or third party service providers’ business practices and products and service offerings. To the extent that the measures we or our collaborators or third-party service providers have taken prove to be insufficient or inadequate, we may become subject to litigation, breach notification obligations, or regulatory or administrative sanctions, which could result in significant fines, penalties, damages, harm to our reputation, or loss of customers. While we have not experienced any material losses as a result of any system failure, accident or security breach to date, we have been the subject of certain phishing attempts in the past. If such an event were to occur and cause interruptions in our operations, it could result in a material disruption of our development programs and our business operations, whether due to a loss of our trade secrets or other proprietary information or other similar disruptions. Additionally, a party who circumvents our security measures could, among other effects, appropriate proprietary data, cause interruptions in our operations, or expose our collaborators to hacks, viruses, and other disruptions. For example, the loss of clinical trial data from completed or future clinical trials could result in delays in our regulatory approval efforts and significantly increase our costs to recover or reproduce the data. In addition, while we maintain cybersecurity insurance coverage, we cannot be sure that such coverage will be adequate or sufficient to compensate for any losses associated with such events, that such coverage will continue to be available on commercially reasonable terms or at all, or that such coverage will pay future claims. The development and maintenance of our information technology systems, controls and processes is costly and requires ongoing monitoring and updating as technologies change and efforts to overcome security measures become increasingly sophisticated.</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95" w:right="419" w:bottom="1440" w:gutter="0" w:footer="0" w:header="0"/>
        </w:sectPr>
      </w:pPr>
    </w:p>
    <w:bookmarkStart w:id="54" w:name="page55"/>
    <w:bookmarkEnd w:id="54"/>
    <w:p>
      <w:pPr>
        <w:ind w:right="180"/>
        <w:spacing w:after="0" w:line="318" w:lineRule="auto"/>
        <w:rPr>
          <w:sz w:val="20"/>
          <w:szCs w:val="20"/>
          <w:color w:val="auto"/>
        </w:rPr>
      </w:pPr>
      <w:r>
        <w:rPr>
          <w:rFonts w:ascii="Times New Roman" w:cs="Times New Roman" w:eastAsia="Times New Roman" w:hAnsi="Times New Roman"/>
          <w:sz w:val="18"/>
          <w:szCs w:val="18"/>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49" w:lineRule="exact"/>
        <w:rPr>
          <w:sz w:val="20"/>
          <w:szCs w:val="20"/>
          <w:color w:val="auto"/>
        </w:rPr>
      </w:pPr>
    </w:p>
    <w:p>
      <w:pPr>
        <w:ind w:firstLine="659"/>
        <w:spacing w:after="0" w:line="284" w:lineRule="auto"/>
        <w:rPr>
          <w:sz w:val="20"/>
          <w:szCs w:val="20"/>
          <w:color w:val="auto"/>
        </w:rPr>
      </w:pPr>
      <w:r>
        <w:rPr>
          <w:rFonts w:ascii="Times New Roman" w:cs="Times New Roman" w:eastAsia="Times New Roman" w:hAnsi="Times New Roman"/>
          <w:sz w:val="18"/>
          <w:szCs w:val="18"/>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facilities were impacted by a seismic or wildfire event, we could lose some, or all, of our antibody sequences, which would have an adverse effect on our ability to perform our obligations under our collaborations and discover new targets.</w:t>
      </w:r>
    </w:p>
    <w:p>
      <w:pPr>
        <w:spacing w:after="0" w:line="79" w:lineRule="exact"/>
        <w:rPr>
          <w:sz w:val="20"/>
          <w:szCs w:val="20"/>
          <w:color w:val="auto"/>
        </w:rPr>
      </w:pPr>
    </w:p>
    <w:p>
      <w:pPr>
        <w:jc w:val="both"/>
        <w:ind w:right="20" w:firstLine="659"/>
        <w:spacing w:after="0" w:line="305" w:lineRule="auto"/>
        <w:rPr>
          <w:sz w:val="20"/>
          <w:szCs w:val="20"/>
          <w:color w:val="auto"/>
        </w:rPr>
      </w:pPr>
      <w:r>
        <w:rPr>
          <w:rFonts w:ascii="Times New Roman" w:cs="Times New Roman" w:eastAsia="Times New Roman" w:hAnsi="Times New Roman"/>
          <w:sz w:val="18"/>
          <w:szCs w:val="18"/>
          <w:color w:val="auto"/>
        </w:rPr>
        <w:t>Furthermore, integral parties in our supply chain are geographically concentrated and operating from single sites, increasing their vulnerability to natural disasters or other sudden, unforeseen and severe and/or material disruptions. If such an event were to affect the parties integral to our supply chain, it could have a material adverse effect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stock has been and may continue to be volatile, and you could lose all or part of your investment.</w:t>
      </w:r>
    </w:p>
    <w:p>
      <w:pPr>
        <w:spacing w:after="0" w:line="148" w:lineRule="exact"/>
        <w:rPr>
          <w:sz w:val="20"/>
          <w:szCs w:val="20"/>
          <w:color w:val="auto"/>
        </w:rPr>
      </w:pPr>
    </w:p>
    <w:p>
      <w:pPr>
        <w:ind w:right="120" w:firstLine="659"/>
        <w:spacing w:after="0" w:line="329"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In addition to the factors discussed in this “Risk Factors” section and elsewhere in this Annual Report, these factors include:</w:t>
      </w:r>
    </w:p>
    <w:p>
      <w:pPr>
        <w:spacing w:after="0" w:line="40" w:lineRule="exact"/>
        <w:rPr>
          <w:sz w:val="20"/>
          <w:szCs w:val="20"/>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44" w:lineRule="exact"/>
        <w:rPr>
          <w:rFonts w:ascii="Times New Roman" w:cs="Times New Roman" w:eastAsia="Times New Roman" w:hAnsi="Times New Roman"/>
          <w:sz w:val="18"/>
          <w:szCs w:val="18"/>
          <w:color w:val="auto"/>
        </w:rPr>
      </w:pPr>
    </w:p>
    <w:p>
      <w:pPr>
        <w:ind w:left="1040" w:right="620" w:hanging="373"/>
        <w:spacing w:after="0" w:line="329"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40"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product candidates or those of our competitors;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our existing collaboration agreements and announcements of new collaboration agreements;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breaches and terminations of our manufacturing agreements, collaborations agreements or other important agreements;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95" w:right="419" w:bottom="1440" w:gutter="0" w:footer="0" w:header="0"/>
        </w:sectPr>
      </w:pPr>
    </w:p>
    <w:bookmarkStart w:id="55" w:name="page56"/>
    <w:bookmarkEnd w:id="55"/>
    <w:p>
      <w:pPr>
        <w:ind w:left="1040" w:hanging="373"/>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our common stock by us pursuant to a stock repurchase program;</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separation of our business into two independent, publicly traded companies;</w:t>
      </w:r>
    </w:p>
    <w:p>
      <w:pPr>
        <w:spacing w:after="0" w:line="15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biotechnology sector; and</w:t>
      </w:r>
    </w:p>
    <w:p>
      <w:pPr>
        <w:spacing w:after="0" w:line="157" w:lineRule="exact"/>
        <w:rPr>
          <w:rFonts w:ascii="Times New Roman" w:cs="Times New Roman" w:eastAsia="Times New Roman" w:hAnsi="Times New Roman"/>
          <w:sz w:val="18"/>
          <w:szCs w:val="18"/>
          <w:color w:val="auto"/>
        </w:rPr>
      </w:pPr>
    </w:p>
    <w:p>
      <w:pPr>
        <w:ind w:left="1040" w:right="220" w:hanging="373"/>
        <w:spacing w:after="0" w:line="297"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uncertainty and capital markets disruptions, which have been substantially impacted by geopolitical instability, actual or perceived instability in the U.S. and global banking systems, uncertainty with respect to the U.S. federal budget, and fluctuating interest rates, tariffs and inflation.</w:t>
      </w:r>
    </w:p>
    <w:p>
      <w:pPr>
        <w:spacing w:after="0" w:line="82" w:lineRule="exact"/>
        <w:rPr>
          <w:sz w:val="20"/>
          <w:szCs w:val="20"/>
          <w:color w:val="auto"/>
        </w:rPr>
      </w:pPr>
    </w:p>
    <w:p>
      <w:pPr>
        <w:ind w:firstLine="659"/>
        <w:spacing w:after="0" w:line="292"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broad discretion in the use of the net proceeds from our public offerings and may not use them effectively.</w:t>
      </w:r>
    </w:p>
    <w:p>
      <w:pPr>
        <w:spacing w:after="0" w:line="162" w:lineRule="exact"/>
        <w:rPr>
          <w:sz w:val="20"/>
          <w:szCs w:val="20"/>
          <w:color w:val="auto"/>
        </w:rPr>
      </w:pPr>
    </w:p>
    <w:p>
      <w:pPr>
        <w:jc w:val="both"/>
        <w:ind w:right="100" w:firstLine="659"/>
        <w:spacing w:after="0" w:line="297"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from our public offerings, and you will be relying on the judgment of our management regarding the application of these net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securities litigation, which is expensive and could divert management attention.</w:t>
      </w:r>
    </w:p>
    <w:p>
      <w:pPr>
        <w:spacing w:after="0" w:line="162" w:lineRule="exact"/>
        <w:rPr>
          <w:sz w:val="20"/>
          <w:szCs w:val="20"/>
          <w:color w:val="auto"/>
        </w:rPr>
      </w:pPr>
    </w:p>
    <w:p>
      <w:pPr>
        <w:ind w:right="320" w:firstLine="659"/>
        <w:spacing w:after="0" w:line="297" w:lineRule="auto"/>
        <w:rPr>
          <w:sz w:val="20"/>
          <w:szCs w:val="20"/>
          <w:color w:val="auto"/>
        </w:rPr>
      </w:pPr>
      <w:r>
        <w:rPr>
          <w:rFonts w:ascii="Times New Roman" w:cs="Times New Roman" w:eastAsia="Times New Roman" w:hAnsi="Times New Roman"/>
          <w:sz w:val="18"/>
          <w:szCs w:val="18"/>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spacing w:after="0" w:line="173" w:lineRule="exact"/>
        <w:rPr>
          <w:sz w:val="20"/>
          <w:szCs w:val="20"/>
          <w:color w:val="auto"/>
        </w:rPr>
      </w:pPr>
    </w:p>
    <w:p>
      <w:pPr>
        <w:ind w:right="80"/>
        <w:spacing w:after="0" w:line="333" w:lineRule="auto"/>
        <w:rPr>
          <w:sz w:val="20"/>
          <w:szCs w:val="20"/>
          <w:color w:val="auto"/>
        </w:rPr>
      </w:pPr>
      <w:r>
        <w:rPr>
          <w:rFonts w:ascii="Times New Roman" w:cs="Times New Roman" w:eastAsia="Times New Roman" w:hAnsi="Times New Roman"/>
          <w:sz w:val="18"/>
          <w:szCs w:val="18"/>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37" w:lineRule="exact"/>
        <w:rPr>
          <w:sz w:val="20"/>
          <w:szCs w:val="20"/>
          <w:color w:val="auto"/>
        </w:rPr>
      </w:pPr>
    </w:p>
    <w:p>
      <w:pPr>
        <w:ind w:right="20" w:firstLine="659"/>
        <w:spacing w:after="0" w:line="290"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90" w:lineRule="exact"/>
        <w:rPr>
          <w:sz w:val="20"/>
          <w:szCs w:val="20"/>
          <w:color w:val="auto"/>
        </w:rPr>
      </w:pPr>
    </w:p>
    <w:p>
      <w:pPr>
        <w:ind w:right="280" w:firstLine="659"/>
        <w:spacing w:after="0" w:line="305" w:lineRule="auto"/>
        <w:rPr>
          <w:sz w:val="20"/>
          <w:szCs w:val="20"/>
          <w:color w:val="auto"/>
        </w:rPr>
      </w:pPr>
      <w:r>
        <w:rPr>
          <w:rFonts w:ascii="Times New Roman" w:cs="Times New Roman" w:eastAsia="Times New Roman" w:hAnsi="Times New Roman"/>
          <w:sz w:val="18"/>
          <w:szCs w:val="18"/>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ind w:right="80"/>
        <w:spacing w:after="0" w:line="292" w:lineRule="auto"/>
        <w:rPr>
          <w:sz w:val="20"/>
          <w:szCs w:val="20"/>
          <w:color w:val="auto"/>
        </w:rPr>
      </w:pPr>
      <w:r>
        <w:rPr>
          <w:rFonts w:ascii="Times New Roman" w:cs="Times New Roman" w:eastAsia="Times New Roman" w:hAnsi="Times New Roman"/>
          <w:sz w:val="18"/>
          <w:szCs w:val="18"/>
          <w:color w:val="auto"/>
        </w:rPr>
        <w:t>weaknesses in our internal control over financial reporting, we may not detect errors on a timely basis and our financial statements may be materially misstated. While we have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91" w:lineRule="exact"/>
        <w:rPr>
          <w:sz w:val="20"/>
          <w:szCs w:val="20"/>
          <w:color w:val="auto"/>
        </w:rPr>
      </w:pPr>
    </w:p>
    <w:p>
      <w:pPr>
        <w:ind w:right="440"/>
        <w:spacing w:after="0" w:line="318" w:lineRule="auto"/>
        <w:rPr>
          <w:sz w:val="20"/>
          <w:szCs w:val="20"/>
          <w:color w:val="auto"/>
        </w:rPr>
      </w:pPr>
      <w:r>
        <w:rPr>
          <w:rFonts w:ascii="Times New Roman" w:cs="Times New Roman" w:eastAsia="Times New Roman" w:hAnsi="Times New Roman"/>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3" w:lineRule="exact"/>
        <w:rPr>
          <w:sz w:val="20"/>
          <w:szCs w:val="20"/>
          <w:color w:val="auto"/>
        </w:rPr>
      </w:pPr>
    </w:p>
    <w:p>
      <w:pPr>
        <w:ind w:right="20" w:firstLine="659"/>
        <w:spacing w:after="0" w:line="290" w:lineRule="auto"/>
        <w:rPr>
          <w:sz w:val="20"/>
          <w:szCs w:val="20"/>
          <w:color w:val="auto"/>
        </w:rPr>
      </w:pPr>
      <w:r>
        <w:rPr>
          <w:rFonts w:ascii="Times New Roman" w:cs="Times New Roman" w:eastAsia="Times New Roman" w:hAnsi="Times New Roman"/>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We also have registered all shares of common stock that we may issue under our equity incentive plans or that are issuable upon exercise of outstanding options, or upon vesting of outstanding awards.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In November 2024, we entered into an open market sales agreement with TD Securities (USA) LLC (“TD Cowen”), under which we may offer and sell shares of our common stock up to, an aggregate offering of $100.0 million through TD Cowen as our sales agent.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disclosure controls and procedures may not prevent or detect all errors or acts of fraud.</w:t>
      </w:r>
    </w:p>
    <w:p>
      <w:pPr>
        <w:spacing w:after="0" w:line="162" w:lineRule="exact"/>
        <w:rPr>
          <w:sz w:val="20"/>
          <w:szCs w:val="20"/>
          <w:color w:val="auto"/>
        </w:rPr>
      </w:pPr>
    </w:p>
    <w:p>
      <w:pPr>
        <w:ind w:right="80" w:firstLine="659"/>
        <w:spacing w:after="0" w:line="293"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7" w:lineRule="exact"/>
        <w:rPr>
          <w:sz w:val="20"/>
          <w:szCs w:val="20"/>
          <w:color w:val="auto"/>
        </w:rPr>
      </w:pPr>
    </w:p>
    <w:p>
      <w:pPr>
        <w:ind w:firstLine="659"/>
        <w:spacing w:after="0" w:line="297"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pay dividends on our common stock, so any returns will be limited to the value of our stock.</w:t>
      </w:r>
    </w:p>
    <w:p>
      <w:pPr>
        <w:spacing w:after="0" w:line="162" w:lineRule="exact"/>
        <w:rPr>
          <w:sz w:val="20"/>
          <w:szCs w:val="20"/>
          <w:color w:val="auto"/>
        </w:rPr>
      </w:pPr>
    </w:p>
    <w:p>
      <w:pPr>
        <w:ind w:right="160" w:firstLine="659"/>
        <w:spacing w:after="0" w:line="305"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cash and investments could be adversely affected if the financial institutions in which we hold our cash and investments fail.</w:t>
      </w:r>
    </w:p>
    <w:p>
      <w:pPr>
        <w:spacing w:after="0" w:line="148"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We regularly maintain cash balances at third 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7" w:name="page58"/>
    <w:bookmarkEnd w:id="57"/>
    <w:p>
      <w:pPr>
        <w:ind w:right="20"/>
        <w:spacing w:after="0" w:line="318" w:lineRule="auto"/>
        <w:rPr>
          <w:sz w:val="20"/>
          <w:szCs w:val="20"/>
          <w:color w:val="auto"/>
        </w:rPr>
      </w:pPr>
      <w:r>
        <w:rPr>
          <w:rFonts w:ascii="Times New Roman" w:cs="Times New Roman" w:eastAsia="Times New Roman" w:hAnsi="Times New Roman"/>
          <w:sz w:val="18"/>
          <w:szCs w:val="18"/>
          <w:b w:val="1"/>
          <w:bCs w:val="1"/>
          <w:color w:val="auto"/>
        </w:rPr>
        <w:t>Provisions in our restated certificate of incorporation, restated bylaws and Delaware law might discourage, delay or prevent a change in control of our company or changes in our management and, therefore, depress the market price of our common stock.</w:t>
      </w:r>
    </w:p>
    <w:p>
      <w:pPr>
        <w:spacing w:after="0" w:line="63" w:lineRule="exact"/>
        <w:rPr>
          <w:sz w:val="20"/>
          <w:szCs w:val="20"/>
          <w:color w:val="auto"/>
        </w:rPr>
      </w:pPr>
    </w:p>
    <w:p>
      <w:pPr>
        <w:ind w:right="180" w:firstLine="659"/>
        <w:spacing w:after="0" w:line="305" w:lineRule="auto"/>
        <w:rPr>
          <w:sz w:val="20"/>
          <w:szCs w:val="20"/>
          <w:color w:val="auto"/>
        </w:rPr>
      </w:pPr>
      <w:r>
        <w:rPr>
          <w:rFonts w:ascii="Times New Roman" w:cs="Times New Roman" w:eastAsia="Times New Roman" w:hAnsi="Times New Roman"/>
          <w:sz w:val="18"/>
          <w:szCs w:val="18"/>
          <w:color w:val="auto"/>
        </w:rPr>
        <w:t>Our amended and restated certificate of incorporation, (“Restated Certificate”) and second amended and restated bylaws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61" w:lineRule="exact"/>
        <w:rPr>
          <w:sz w:val="20"/>
          <w:szCs w:val="20"/>
          <w:color w:val="auto"/>
        </w:rPr>
      </w:pPr>
    </w:p>
    <w:p>
      <w:pPr>
        <w:ind w:left="1040" w:hanging="373"/>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of Directors are elected at one time;</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 of Directors;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and Restated Bylaws;</w:t>
      </w:r>
    </w:p>
    <w:p>
      <w:pPr>
        <w:spacing w:after="0" w:line="157" w:lineRule="exact"/>
        <w:rPr>
          <w:rFonts w:ascii="Times New Roman" w:cs="Times New Roman" w:eastAsia="Times New Roman" w:hAnsi="Times New Roman"/>
          <w:sz w:val="18"/>
          <w:szCs w:val="18"/>
          <w:color w:val="auto"/>
        </w:rPr>
      </w:pPr>
    </w:p>
    <w:p>
      <w:pPr>
        <w:ind w:left="1040" w:right="280" w:hanging="373"/>
        <w:spacing w:after="0" w:line="313"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 (also known as a “poison pill”);</w:t>
      </w:r>
    </w:p>
    <w:p>
      <w:pPr>
        <w:spacing w:after="0" w:line="5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44" w:lineRule="exact"/>
        <w:rPr>
          <w:rFonts w:ascii="Times New Roman" w:cs="Times New Roman" w:eastAsia="Times New Roman" w:hAnsi="Times New Roman"/>
          <w:sz w:val="18"/>
          <w:szCs w:val="18"/>
          <w:color w:val="auto"/>
        </w:rPr>
      </w:pPr>
    </w:p>
    <w:p>
      <w:pPr>
        <w:ind w:left="1040" w:right="100" w:hanging="373"/>
        <w:spacing w:after="0" w:line="313"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54" w:lineRule="exact"/>
        <w:rPr>
          <w:sz w:val="20"/>
          <w:szCs w:val="20"/>
          <w:color w:val="auto"/>
        </w:rPr>
      </w:pPr>
    </w:p>
    <w:p>
      <w:pPr>
        <w:ind w:right="140" w:firstLine="659"/>
        <w:spacing w:after="0" w:line="297"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173" w:lineRule="exact"/>
        <w:rPr>
          <w:sz w:val="20"/>
          <w:szCs w:val="20"/>
          <w:color w:val="auto"/>
        </w:rPr>
      </w:pPr>
    </w:p>
    <w:p>
      <w:pPr>
        <w:jc w:val="both"/>
        <w:ind w:right="100"/>
        <w:spacing w:after="0" w:line="299" w:lineRule="auto"/>
        <w:rPr>
          <w:sz w:val="20"/>
          <w:szCs w:val="20"/>
          <w:color w:val="auto"/>
        </w:rPr>
      </w:pPr>
      <w:r>
        <w:rPr>
          <w:rFonts w:ascii="Times New Roman" w:cs="Times New Roman" w:eastAsia="Times New Roman" w:hAnsi="Times New Roman"/>
          <w:sz w:val="18"/>
          <w:szCs w:val="18"/>
          <w:b w:val="1"/>
          <w:b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67"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Our Restated Certificate,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w:t>
      </w:r>
    </w:p>
    <w:p>
      <w:pPr>
        <w:spacing w:after="0" w:line="73" w:lineRule="exact"/>
        <w:rPr>
          <w:sz w:val="20"/>
          <w:szCs w:val="20"/>
          <w:color w:val="auto"/>
        </w:rPr>
      </w:pPr>
    </w:p>
    <w:p>
      <w:pPr>
        <w:ind w:right="140" w:firstLine="659"/>
        <w:spacing w:after="0" w:line="289"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to be inapplicable or unenforceable in an action, we may incur additional costs associated with resolving such action in other jurisdictions, which could harm our business, financial condition, results of operations and prospects.</w:t>
      </w:r>
    </w:p>
    <w:p>
      <w:pPr>
        <w:spacing w:after="0" w:line="77" w:lineRule="exact"/>
        <w:rPr>
          <w:sz w:val="20"/>
          <w:szCs w:val="20"/>
          <w:color w:val="auto"/>
        </w:rPr>
      </w:pPr>
    </w:p>
    <w:p>
      <w:pPr>
        <w:ind w:right="80" w:firstLine="659"/>
        <w:spacing w:after="0" w:line="28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8" w:name="page59"/>
    <w:bookmarkEnd w:id="58"/>
    <w:p>
      <w:pPr>
        <w:ind w:right="100"/>
        <w:spacing w:after="0" w:line="286" w:lineRule="auto"/>
        <w:rPr>
          <w:sz w:val="20"/>
          <w:szCs w:val="20"/>
          <w:color w:val="auto"/>
        </w:rPr>
      </w:pPr>
      <w:r>
        <w:rPr>
          <w:rFonts w:ascii="Times New Roman" w:cs="Times New Roman" w:eastAsia="Times New Roman" w:hAnsi="Times New Roman"/>
          <w:sz w:val="18"/>
          <w:szCs w:val="18"/>
          <w:color w:val="auto"/>
        </w:rPr>
        <w:t>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92" w:lineRule="exact"/>
        <w:rPr>
          <w:sz w:val="20"/>
          <w:szCs w:val="20"/>
          <w:color w:val="auto"/>
        </w:rPr>
      </w:pPr>
    </w:p>
    <w:p>
      <w:pPr>
        <w:ind w:right="40" w:firstLine="659"/>
        <w:spacing w:after="0" w:line="297"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73"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63"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91" w:lineRule="exact"/>
        <w:rPr>
          <w:sz w:val="20"/>
          <w:szCs w:val="20"/>
          <w:color w:val="auto"/>
        </w:rPr>
      </w:pPr>
    </w:p>
    <w:p>
      <w:pPr>
        <w:ind w:right="120"/>
        <w:spacing w:after="0" w:line="318" w:lineRule="auto"/>
        <w:rPr>
          <w:sz w:val="20"/>
          <w:szCs w:val="20"/>
          <w:color w:val="auto"/>
        </w:rPr>
      </w:pPr>
      <w:r>
        <w:rPr>
          <w:rFonts w:ascii="Times New Roman" w:cs="Times New Roman" w:eastAsia="Times New Roman" w:hAnsi="Times New Roman"/>
          <w:sz w:val="18"/>
          <w:szCs w:val="18"/>
          <w:b w:val="1"/>
          <w:bCs w:val="1"/>
          <w:color w:val="auto"/>
        </w:rPr>
        <w:t>We plan to use our federal and state net operating loss (“NOL”) carryforwards to offset taxable income from revenue generated from operations or corporate collaborations. However, our ability to use NOL carryforwards to offset taxable income in future years could be limited.</w:t>
      </w:r>
    </w:p>
    <w:p>
      <w:pPr>
        <w:spacing w:after="0" w:line="63" w:lineRule="exact"/>
        <w:rPr>
          <w:sz w:val="20"/>
          <w:szCs w:val="20"/>
          <w:color w:val="auto"/>
        </w:rPr>
      </w:pPr>
    </w:p>
    <w:p>
      <w:pPr>
        <w:ind w:right="40" w:firstLine="659"/>
        <w:spacing w:after="0" w:line="289" w:lineRule="auto"/>
        <w:rPr>
          <w:sz w:val="20"/>
          <w:szCs w:val="20"/>
          <w:color w:val="auto"/>
        </w:rPr>
      </w:pPr>
      <w:r>
        <w:rPr>
          <w:rFonts w:ascii="Times New Roman" w:cs="Times New Roman" w:eastAsia="Times New Roman" w:hAnsi="Times New Roman"/>
          <w:sz w:val="18"/>
          <w:szCs w:val="18"/>
          <w:color w:val="auto"/>
        </w:rPr>
        <w:t>We plan to use our current year operating losses to offset taxable income from any revenue generated from operations or corporate collaborations. To the extent we have taxable income in excess of current year operating losses, we plan to use our NOL carryforwards to offset income that would otherwise be taxable. As of December 31, 2025, we had federal NOLs of approximately $323.5 million. Of this, $38.6 million will expire beginning in 2031 through 2037, if not used to reduce income taxes payable in the future and $284.9 million carry forward indefinitely. We had state NOLs of approximately $69.8 million, which will expire beginning in 2028 through 2045. However, the benefits from the use of our NOL carryforwards may be limited under Section 382 of the Code, if we undergo an “ownership change,” which is generally defined as a greater than 50 percentage point change (by value) in our equity ownership by certain stockholders over a three-year period. We experienced ownership changes as defined by Section 382 of the Code during 2007, 2017 and 2021. As a result, as of December 31, 2025, there are $154.1 million of federal NOLs available to offset taxable income in future years without Section 382 limitation, while $169.4 million of federal NOLs are subject to annual limitations over future periods. State NOL and credit carryforwards may be similarly limited. Our use of federal and state NOLs could be further limited if we experience one or more ownership changes subsequent to December 31, 2025.</w:t>
      </w:r>
    </w:p>
    <w:p>
      <w:pPr>
        <w:spacing w:after="0" w:line="93" w:lineRule="exact"/>
        <w:rPr>
          <w:sz w:val="20"/>
          <w:szCs w:val="20"/>
          <w:color w:val="auto"/>
        </w:rPr>
      </w:pPr>
    </w:p>
    <w:p>
      <w:pPr>
        <w:ind w:right="40" w:firstLine="659"/>
        <w:spacing w:after="0" w:line="292" w:lineRule="auto"/>
        <w:rPr>
          <w:sz w:val="20"/>
          <w:szCs w:val="20"/>
          <w:color w:val="auto"/>
        </w:rPr>
      </w:pPr>
      <w:r>
        <w:rPr>
          <w:rFonts w:ascii="Times New Roman" w:cs="Times New Roman" w:eastAsia="Times New Roman" w:hAnsi="Times New Roman"/>
          <w:sz w:val="18"/>
          <w:szCs w:val="18"/>
          <w:color w:val="auto"/>
        </w:rPr>
        <w:t>Under legislative changes made by the Tax Cuts and Jobs Act, the U.S. federal NOLs incurred in 2018 and in future years may be carried forward indefinitely, but the ability to utilize such federal NOLs to offset taxable income is limited to 80% of our taxable income (without regard to certain deductions). Our significant state NOLs were generated in the state of California, which provides for a 20 year carry forward. State NOL carryforwards may be similarly limited by cumulative ownership changes. In addition, there may be periods during which the use of NOL carryforwards is suspended or otherwise limited at the state level, which could also impact our ability to utilize NOL carryforwards. Any such limitations on the use of our NOLs may result in greater tax liabilities than we would incur in the absence of such a limitation, and any increased liabilities could adversely affect our business, results of operations, financial condition and cash flow.</w:t>
      </w:r>
    </w:p>
    <w:p>
      <w:pPr>
        <w:spacing w:after="0" w:line="191" w:lineRule="exact"/>
        <w:rPr>
          <w:sz w:val="20"/>
          <w:szCs w:val="20"/>
          <w:color w:val="auto"/>
        </w:rPr>
      </w:pPr>
    </w:p>
    <w:p>
      <w:pPr>
        <w:ind w:right="680"/>
        <w:spacing w:after="0" w:line="318" w:lineRule="auto"/>
        <w:rPr>
          <w:sz w:val="20"/>
          <w:szCs w:val="20"/>
          <w:color w:val="auto"/>
        </w:rPr>
      </w:pPr>
      <w:r>
        <w:rPr>
          <w:rFonts w:ascii="Times New Roman" w:cs="Times New Roman" w:eastAsia="Times New Roman" w:hAnsi="Times New Roman"/>
          <w:sz w:val="18"/>
          <w:szCs w:val="18"/>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9" w:name="page60"/>
    <w:bookmarkEnd w:id="59"/>
    <w:p>
      <w:pPr>
        <w:ind w:right="160" w:firstLine="659"/>
        <w:spacing w:after="0" w:line="303" w:lineRule="auto"/>
        <w:rPr>
          <w:sz w:val="20"/>
          <w:szCs w:val="20"/>
          <w:color w:val="auto"/>
        </w:rPr>
      </w:pPr>
      <w:r>
        <w:rPr>
          <w:rFonts w:ascii="Times New Roman" w:cs="Times New Roman" w:eastAsia="Times New Roman" w:hAnsi="Times New Roman"/>
          <w:sz w:val="17"/>
          <w:szCs w:val="17"/>
          <w:color w:val="auto"/>
        </w:rPr>
        <w:t>We are a “smaller reporting company,” meaning that we are not an investment company, an asset-backed issuer, or a majority-owned subsidiary of a parent company that is not a “smaller reporting company,” and have either: (i) a public float of less than $250 million as of our most recently completed second fiscal quarter or (ii) annual revenues of less than $100 million during the most recently completed fiscal year and (A) no public float or</w:t>
      </w:r>
    </w:p>
    <w:p>
      <w:pPr>
        <w:spacing w:after="0" w:line="2" w:lineRule="exact"/>
        <w:rPr>
          <w:sz w:val="20"/>
          <w:szCs w:val="20"/>
          <w:color w:val="auto"/>
        </w:rPr>
      </w:pP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float of less than $700 million as of our most recently completed second fiscal quarter. As a “smaller reporting company,” we are subject to</w:t>
      </w:r>
    </w:p>
    <w:p>
      <w:pPr>
        <w:spacing w:after="0" w:line="49" w:lineRule="exact"/>
        <w:rPr>
          <w:rFonts w:ascii="Times New Roman" w:cs="Times New Roman" w:eastAsia="Times New Roman" w:hAnsi="Times New Roman"/>
          <w:sz w:val="18"/>
          <w:szCs w:val="18"/>
          <w:color w:val="auto"/>
        </w:rPr>
      </w:pPr>
    </w:p>
    <w:p>
      <w:pPr>
        <w:ind w:right="24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82" w:lineRule="exact"/>
        <w:rPr>
          <w:sz w:val="20"/>
          <w:szCs w:val="20"/>
          <w:color w:val="auto"/>
        </w:rPr>
      </w:pPr>
    </w:p>
    <w:p>
      <w:pPr>
        <w:ind w:right="260" w:firstLine="659"/>
        <w:spacing w:after="0" w:line="313"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62" w:lineRule="exact"/>
        <w:rPr>
          <w:sz w:val="20"/>
          <w:szCs w:val="20"/>
          <w:color w:val="auto"/>
        </w:rPr>
      </w:pPr>
    </w:p>
    <w:p>
      <w:pPr>
        <w:ind w:right="80" w:firstLine="659"/>
        <w:spacing w:after="0" w:line="313" w:lineRule="auto"/>
        <w:rPr>
          <w:sz w:val="20"/>
          <w:szCs w:val="20"/>
          <w:color w:val="auto"/>
        </w:rPr>
      </w:pPr>
      <w:r>
        <w:rPr>
          <w:rFonts w:ascii="Times New Roman" w:cs="Times New Roman" w:eastAsia="Times New Roman" w:hAnsi="Times New Roman"/>
          <w:sz w:val="18"/>
          <w:szCs w:val="18"/>
          <w:color w:val="auto"/>
        </w:rPr>
        <w:t xml:space="preserve">We recognize the critical </w:t>
      </w:r>
      <w:r>
        <w:rPr>
          <w:rFonts w:ascii="Times New Roman" w:cs="Times New Roman" w:eastAsia="Times New Roman" w:hAnsi="Times New Roman"/>
          <w:sz w:val="18"/>
          <w:szCs w:val="18"/>
          <w:color w:val="221E1F"/>
        </w:rPr>
        <w:t>importance of maintaining the trust and confidence of all of our stakeholders. Our business depends on the efficient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1E1F"/>
        </w:rPr>
        <w:t>uninterrupted operation of our information technology systems and those of our third party CROs, CMOs, or other vendors, contractors or consultants.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1E1F"/>
        </w:rPr>
        <w:t>Risk Management and Strategy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Company’s cybersecurity program is focused on the following key </w:t>
      </w:r>
      <w:r>
        <w:rPr>
          <w:rFonts w:ascii="Times New Roman" w:cs="Times New Roman" w:eastAsia="Times New Roman" w:hAnsi="Times New Roman"/>
          <w:sz w:val="18"/>
          <w:szCs w:val="18"/>
          <w:color w:val="221E1F"/>
        </w:rPr>
        <w:t>areas</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right="20" w:firstLine="659"/>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The Board of Directors’ oversight of cybersecurity risk management is supported by the Audit Committee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“Audit Committee”), which regularly interacts with our Head of IT and our executive management team.</w:t>
      </w:r>
    </w:p>
    <w:p>
      <w:pPr>
        <w:spacing w:after="0" w:line="33" w:lineRule="exact"/>
        <w:rPr>
          <w:sz w:val="20"/>
          <w:szCs w:val="20"/>
          <w:color w:val="auto"/>
        </w:rPr>
      </w:pPr>
    </w:p>
    <w:p>
      <w:pPr>
        <w:ind w:right="80" w:firstLine="659"/>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Collaborative Approach: </w:t>
      </w:r>
      <w:r>
        <w:rPr>
          <w:rFonts w:ascii="Times New Roman" w:cs="Times New Roman" w:eastAsia="Times New Roman" w:hAnsi="Times New Roman"/>
          <w:sz w:val="18"/>
          <w:szCs w:val="18"/>
          <w:color w:val="auto"/>
        </w:rPr>
        <w:t>We have implemented a cross-functional approach to identifying, preventing, and mitigating cybersecurity threats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56" w:lineRule="exact"/>
        <w:rPr>
          <w:sz w:val="20"/>
          <w:szCs w:val="20"/>
          <w:color w:val="auto"/>
        </w:rPr>
      </w:pPr>
    </w:p>
    <w:p>
      <w:pPr>
        <w:ind w:right="20" w:firstLine="659"/>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Technical Safeguards: </w:t>
      </w:r>
      <w:r>
        <w:rPr>
          <w:rFonts w:ascii="Times New Roman" w:cs="Times New Roman" w:eastAsia="Times New Roman" w:hAnsi="Times New Roman"/>
          <w:sz w:val="18"/>
          <w:szCs w:val="18"/>
          <w:color w:val="auto"/>
        </w:rPr>
        <w:t>We deploy technical safeguards that are designed to protect our information systems from cybersecurity threats,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firewalls, intrusion prevention and detection systems, anti-malware functionality and access controls, which are evaluated and improved through vulnerability assessments and cybersecurity threat intelligence.</w:t>
      </w:r>
    </w:p>
    <w:p>
      <w:pPr>
        <w:spacing w:after="0" w:line="56" w:lineRule="exact"/>
        <w:rPr>
          <w:sz w:val="20"/>
          <w:szCs w:val="20"/>
          <w:color w:val="auto"/>
        </w:rPr>
      </w:pPr>
    </w:p>
    <w:p>
      <w:pPr>
        <w:ind w:firstLine="659"/>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Incident Response and Recovery Planning: </w:t>
      </w:r>
      <w:r>
        <w:rPr>
          <w:rFonts w:ascii="Times New Roman" w:cs="Times New Roman" w:eastAsia="Times New Roman" w:hAnsi="Times New Roman"/>
          <w:sz w:val="18"/>
          <w:szCs w:val="18"/>
          <w:color w:val="auto"/>
        </w:rPr>
        <w:t>We have established and maintain incident response and recovery plans to address our response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incident. We use a manage, detection, and response (MDR) partner to provide threat detection and response capabilities. We also utilize security consultants including a vCISO to assess and continuously improve our cybersecurity program.</w:t>
      </w:r>
    </w:p>
    <w:p>
      <w:pPr>
        <w:spacing w:after="0" w:line="70" w:lineRule="exact"/>
        <w:rPr>
          <w:sz w:val="20"/>
          <w:szCs w:val="20"/>
          <w:color w:val="auto"/>
        </w:rPr>
      </w:pPr>
    </w:p>
    <w:p>
      <w:pPr>
        <w:ind w:firstLine="659"/>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Third Party Risk Management: </w:t>
      </w:r>
      <w:r>
        <w:rPr>
          <w:rFonts w:ascii="Times New Roman" w:cs="Times New Roman" w:eastAsia="Times New Roman" w:hAnsi="Times New Roman"/>
          <w:sz w:val="18"/>
          <w:szCs w:val="18"/>
          <w:color w:val="auto"/>
        </w:rPr>
        <w:t>We strive to proactively manage third party risks to minimize any adverse effects on our business that may arise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 cybersecurity incident affecting third party systems and vendors. Although we rely on third party vendors to manage and maintain their own cybersecurity defense programs, we continue to improve on our vendor risk management program to assess our exposure to these external cybersecurity risks, including the use of external security rating services and by evaluating vendor responses to our cybersecurity questionnaire.</w:t>
      </w:r>
    </w:p>
    <w:p>
      <w:pPr>
        <w:spacing w:after="0" w:line="62" w:lineRule="exact"/>
        <w:rPr>
          <w:sz w:val="20"/>
          <w:szCs w:val="20"/>
          <w:color w:val="auto"/>
        </w:rPr>
      </w:pPr>
    </w:p>
    <w:p>
      <w:pPr>
        <w:jc w:val="both"/>
        <w:ind w:right="140" w:firstLine="659"/>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Education and Awareness: </w:t>
      </w:r>
      <w:r>
        <w:rPr>
          <w:rFonts w:ascii="Times New Roman" w:cs="Times New Roman" w:eastAsia="Times New Roman" w:hAnsi="Times New Roman"/>
          <w:sz w:val="18"/>
          <w:szCs w:val="18"/>
          <w:color w:val="auto"/>
        </w:rPr>
        <w:t>We provide mandatory training and resources for personnel regarding cybersecurity threats as a means to equip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with effective tools to address cybersecurity threats, and to communicate our evolving information security policies, standards, processes and practices.</w:t>
      </w:r>
    </w:p>
    <w:p>
      <w:pPr>
        <w:spacing w:after="0" w:line="60" w:lineRule="exact"/>
        <w:rPr>
          <w:sz w:val="20"/>
          <w:szCs w:val="20"/>
          <w:color w:val="auto"/>
        </w:rPr>
      </w:pPr>
    </w:p>
    <w:p>
      <w:pPr>
        <w:jc w:val="both"/>
        <w:ind w:right="100" w:firstLine="659"/>
        <w:spacing w:after="0" w:line="305" w:lineRule="auto"/>
        <w:rPr>
          <w:sz w:val="20"/>
          <w:szCs w:val="20"/>
          <w:color w:val="auto"/>
        </w:rPr>
      </w:pPr>
      <w:r>
        <w:rPr>
          <w:rFonts w:ascii="Times New Roman" w:cs="Times New Roman" w:eastAsia="Times New Roman" w:hAnsi="Times New Roman"/>
          <w:sz w:val="18"/>
          <w:szCs w:val="18"/>
          <w:color w:val="auto"/>
        </w:rPr>
        <w:t xml:space="preserve">We engage in the </w:t>
      </w:r>
      <w:r>
        <w:rPr>
          <w:rFonts w:ascii="Times New Roman" w:cs="Times New Roman" w:eastAsia="Times New Roman" w:hAnsi="Times New Roman"/>
          <w:sz w:val="18"/>
          <w:szCs w:val="18"/>
          <w:color w:val="221E1F"/>
        </w:rPr>
        <w:t>periodic</w:t>
      </w:r>
      <w:r>
        <w:rPr>
          <w:rFonts w:ascii="Times New Roman" w:cs="Times New Roman" w:eastAsia="Times New Roman" w:hAnsi="Times New Roman"/>
          <w:sz w:val="18"/>
          <w:szCs w:val="18"/>
          <w:color w:val="auto"/>
        </w:rPr>
        <w:t xml:space="preserve"> assessment and testing of our </w:t>
      </w:r>
      <w:r>
        <w:rPr>
          <w:rFonts w:ascii="Times New Roman" w:cs="Times New Roman" w:eastAsia="Times New Roman" w:hAnsi="Times New Roman"/>
          <w:sz w:val="18"/>
          <w:szCs w:val="18"/>
          <w:color w:val="221E1F"/>
        </w:rPr>
        <w:t>cybersecurity program. These efforts include a wide range of activities, including audits,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1E1F"/>
        </w:rPr>
        <w:t>assessments, vulnerability testing and other exercises focused on evaluating the effectiveness of our cybersecurity measures and planning. These activities may be performed by external cybersecurity and application security professionals.</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221E1F"/>
        </w:rPr>
        <w:t>Governance</w:t>
      </w:r>
    </w:p>
    <w:p>
      <w:pPr>
        <w:spacing w:after="0" w:line="146" w:lineRule="exact"/>
        <w:rPr>
          <w:sz w:val="20"/>
          <w:szCs w:val="20"/>
          <w:color w:val="auto"/>
        </w:rPr>
      </w:pPr>
    </w:p>
    <w:p>
      <w:pPr>
        <w:ind w:right="40" w:firstLine="659"/>
        <w:spacing w:after="0" w:line="302" w:lineRule="auto"/>
        <w:rPr>
          <w:sz w:val="20"/>
          <w:szCs w:val="20"/>
          <w:color w:val="auto"/>
        </w:rPr>
      </w:pPr>
      <w:r>
        <w:rPr>
          <w:rFonts w:ascii="Times New Roman" w:cs="Times New Roman" w:eastAsia="Times New Roman" w:hAnsi="Times New Roman"/>
          <w:sz w:val="18"/>
          <w:szCs w:val="18"/>
          <w:color w:val="221E1F"/>
        </w:rPr>
        <w:t>The Board of Directors, in coordination with the Audit Committee, oversees our risk management process. The Board of Directors and the Audit Committee also receive prompt and timely information regarding any cybersecurity incident that meets established reporting thresholds, as well as ongoing updates regarding any such incident until it has been addressed. On a quarterly basis, the Audit Committee discuss our approach to cybersecurity risk management with the Head of IT.</w:t>
      </w:r>
    </w:p>
    <w:p>
      <w:pPr>
        <w:spacing w:after="0" w:line="65"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221E1F"/>
        </w:rPr>
        <w:t>Our Head of IT, in coordination with our executive management team, works collaboratively across the company to implement a program designed to protect our information systems from cybersecurity threats and to promptly respond to any cybersecurity incidents in accordance with our incident response and recovery plans. Through ongoing communications with our entire employee base and appropriate third-party contractors, the Head of IT and the executive management team monitor the prevention, detection, mitigation and remediation of cybersecurity threats and incidents in real time and report such threats and incidents to the Audit Committee when appropriate.</w:t>
      </w:r>
    </w:p>
    <w:p>
      <w:pPr>
        <w:spacing w:after="0" w:line="69" w:lineRule="exact"/>
        <w:rPr>
          <w:sz w:val="20"/>
          <w:szCs w:val="20"/>
          <w:color w:val="auto"/>
        </w:rPr>
      </w:pPr>
    </w:p>
    <w:p>
      <w:pPr>
        <w:jc w:val="both"/>
        <w:ind w:right="140" w:firstLine="659"/>
        <w:spacing w:after="0" w:line="305" w:lineRule="auto"/>
        <w:rPr>
          <w:sz w:val="20"/>
          <w:szCs w:val="20"/>
          <w:color w:val="auto"/>
        </w:rPr>
      </w:pPr>
      <w:r>
        <w:rPr>
          <w:rFonts w:ascii="Times New Roman" w:cs="Times New Roman" w:eastAsia="Times New Roman" w:hAnsi="Times New Roman"/>
          <w:sz w:val="18"/>
          <w:szCs w:val="18"/>
          <w:color w:val="221E1F"/>
        </w:rPr>
        <w:t>Our Head of IT has over 20 years of IT experience in the pharmaceutical industry and oversees the cybersecurity program at AnaptysBio. He has experience developing and leading cybersecurity programs for pharmaceutical companies, including experience in evaluating and implementing tools and technologies that enable defense and response capabilities and developing critical cybersecurity procedures and training and awareness programs.</w:t>
      </w:r>
    </w:p>
    <w:p>
      <w:pPr>
        <w:spacing w:after="0" w:line="61" w:lineRule="exact"/>
        <w:rPr>
          <w:sz w:val="20"/>
          <w:szCs w:val="20"/>
          <w:color w:val="auto"/>
        </w:rPr>
      </w:pPr>
    </w:p>
    <w:p>
      <w:pPr>
        <w:ind w:right="180" w:firstLine="659"/>
        <w:spacing w:after="0" w:line="305" w:lineRule="auto"/>
        <w:rPr>
          <w:sz w:val="20"/>
          <w:szCs w:val="20"/>
          <w:color w:val="auto"/>
        </w:rPr>
      </w:pPr>
      <w:r>
        <w:rPr>
          <w:rFonts w:ascii="Times New Roman" w:cs="Times New Roman" w:eastAsia="Times New Roman" w:hAnsi="Times New Roman"/>
          <w:sz w:val="18"/>
          <w:szCs w:val="18"/>
          <w:color w:val="221E1F"/>
        </w:rPr>
        <w:t>Although we are subject to ongoing and evolving cybersecurity threats, we are not aware of any material cybersecurity threats, that have materially affected or are reasonably likely to affect us, including our business strategy, results of operations or financial condition. For more information on our cybersecurity risks, see Item 1A “Risk Factors.”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2" w:lineRule="exact"/>
        <w:rPr>
          <w:sz w:val="20"/>
          <w:szCs w:val="20"/>
          <w:color w:val="auto"/>
        </w:rPr>
      </w:pPr>
    </w:p>
    <w:p>
      <w:pPr>
        <w:jc w:val="both"/>
        <w:ind w:right="120" w:firstLine="659"/>
        <w:spacing w:after="0" w:line="297" w:lineRule="auto"/>
        <w:rPr>
          <w:sz w:val="20"/>
          <w:szCs w:val="20"/>
          <w:color w:val="auto"/>
        </w:rPr>
      </w:pPr>
      <w:r>
        <w:rPr>
          <w:rFonts w:ascii="Times New Roman" w:cs="Times New Roman" w:eastAsia="Times New Roman" w:hAnsi="Times New Roman"/>
          <w:sz w:val="18"/>
          <w:szCs w:val="18"/>
          <w:color w:val="auto"/>
        </w:rPr>
        <w:t>Our principal executive office is located at 10770 Wateridge Circle in San Diego, California, and consists of approximately 45,000 square feet of leased office and laboratory space under a lease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We use these facilities for our administrative, research and development and other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35" w:lineRule="exact"/>
        <w:rPr>
          <w:sz w:val="20"/>
          <w:szCs w:val="20"/>
          <w:color w:val="auto"/>
        </w:rPr>
      </w:pPr>
    </w:p>
    <w:p>
      <w:pPr>
        <w:ind w:right="60" w:firstLine="659"/>
        <w:spacing w:after="0" w:line="281" w:lineRule="auto"/>
        <w:rPr>
          <w:sz w:val="20"/>
          <w:szCs w:val="20"/>
          <w:color w:val="auto"/>
        </w:rPr>
      </w:pPr>
      <w:r>
        <w:rPr>
          <w:rFonts w:ascii="Times New Roman" w:cs="Times New Roman" w:eastAsia="Times New Roman" w:hAnsi="Times New Roman"/>
          <w:sz w:val="18"/>
          <w:szCs w:val="18"/>
          <w:color w:val="auto"/>
        </w:rPr>
        <w:t>On November 20, 2025, we filed a Verified Complaint in Delaware Chancery Court, requesting a court declaration that TESARO, Inc. (“Tesaro”) has materially breached the parties’ Collaboration and Exclusive License Agreement (“Collaboration Agreement”) and that GSK, Tesaro’s corporate parent, has tortiously interfered with the Collaboration Agreement. We have requested that the court declare that we are entitled to all rights and remedies under the Collaboration Agreement.</w:t>
      </w:r>
    </w:p>
    <w:p>
      <w:pPr>
        <w:spacing w:after="0" w:line="70" w:lineRule="exact"/>
        <w:rPr>
          <w:sz w:val="20"/>
          <w:szCs w:val="20"/>
          <w:color w:val="auto"/>
        </w:rPr>
      </w:pPr>
    </w:p>
    <w:p>
      <w:pPr>
        <w:ind w:firstLine="659"/>
        <w:spacing w:after="0" w:line="272" w:lineRule="auto"/>
        <w:rPr>
          <w:sz w:val="20"/>
          <w:szCs w:val="20"/>
          <w:color w:val="auto"/>
        </w:rPr>
      </w:pPr>
      <w:r>
        <w:rPr>
          <w:rFonts w:ascii="Times New Roman" w:cs="Times New Roman" w:eastAsia="Times New Roman" w:hAnsi="Times New Roman"/>
          <w:sz w:val="18"/>
          <w:szCs w:val="18"/>
          <w:color w:val="auto"/>
        </w:rPr>
        <w:t>While we had approached Tesaro to engage in good faith discussions to potentially resolve these claims, on November 20, 2025, Tesaro, without notice, initiated a lawsuit against us. Tesaro’s complaint includes a request for a declaration that it has not breached the Collaboration Agreement and for an injunction prohibiting AnaptysBio from terminating the Collaboration Agreement. Tesaro also alleges that AnaptysBio has materially breached the agreement, entitling Tesaro to exercise certain rights and remedies under the agreement. Tesaro’s claim for breach is predicated on an allegation that AnaptysBio improperly alleged that Tesaro had breached the Collaboration Agreement, which allegedly caused an anticipatory breach of contract. Through that claim, we believe that Tesaro seeks to improperly punish us for and restrain us from exercising our legal rights under the Collaboration Agreement in violation of Delaware’s anti-SLAPP statute. We believe that Tesaro’s claims are entirely without merit and have moved to dismiss the anticipatory breach claim.</w:t>
      </w:r>
    </w:p>
    <w:p>
      <w:pPr>
        <w:spacing w:after="0" w:line="17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1960"/>
        <w:spacing w:after="0" w:line="41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Trading Symbol and Holders</w:t>
      </w:r>
    </w:p>
    <w:p>
      <w:pPr>
        <w:ind w:right="300" w:firstLine="659"/>
        <w:spacing w:after="0" w:line="305"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“ANAB” since January 26, 2017. As of February 27, 2026, we had approximately seven holders of record of our common stock. This number does not include beneficial owners whose shares were held in street name.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We have never declared or paid cash or stock dividends on our common stock. Following the proposed separation of our company into two separate, publicly traded companies, expected to occur in 2026 (and which would be completed through a stock dividend), our Board of Directors may make a determination to declare dividends on our common stock at some point in the future, depending on our financial condition, operating results, capital requirements, general business conditions and other factors that our Board of Directors may deem relevant.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62" w:lineRule="exact"/>
        <w:rPr>
          <w:sz w:val="20"/>
          <w:szCs w:val="20"/>
          <w:color w:val="auto"/>
        </w:rPr>
      </w:pPr>
    </w:p>
    <w:p>
      <w:pPr>
        <w:ind w:right="100" w:firstLine="659"/>
        <w:spacing w:after="0" w:line="297" w:lineRule="auto"/>
        <w:rPr>
          <w:sz w:val="20"/>
          <w:szCs w:val="20"/>
          <w:color w:val="auto"/>
        </w:rPr>
      </w:pPr>
      <w:r>
        <w:rPr>
          <w:rFonts w:ascii="Times New Roman" w:cs="Times New Roman" w:eastAsia="Times New Roman" w:hAnsi="Times New Roman"/>
          <w:sz w:val="18"/>
          <w:szCs w:val="18"/>
          <w:color w:val="auto"/>
        </w:rPr>
        <w:t>In November 2025, our Board of Directors approved a common stock repurchase program authorizing $100.0 million in repurchases, which supplemented the previous $75.0 million authorization approved in March 2025. During the year ended December 31, 2025, we purchased 3.4 million shares at a cost of $68.6 million under this program. At December 31, 2025, approximately $106.4 million remained available for future stock repurchases under the repurchase program. The stock repurchase program expires on March 31, 2026.</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contains information with respect to repurchases made by us during the three months ended December 31,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(d) Maximum</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ind w:right="44"/>
              <w:spacing w:after="0" w:line="160" w:lineRule="exact"/>
              <w:rPr>
                <w:sz w:val="20"/>
                <w:szCs w:val="20"/>
                <w:color w:val="auto"/>
              </w:rPr>
            </w:pPr>
            <w:r>
              <w:rPr>
                <w:rFonts w:ascii="Times New Roman" w:cs="Times New Roman" w:eastAsia="Times New Roman" w:hAnsi="Times New Roman"/>
                <w:sz w:val="14"/>
                <w:szCs w:val="14"/>
                <w:b w:val="1"/>
                <w:bCs w:val="1"/>
                <w:color w:val="auto"/>
              </w:rPr>
              <w:t>(c) Total number</w:t>
            </w:r>
          </w:p>
        </w:tc>
        <w:tc>
          <w:tcPr>
            <w:tcW w:w="100" w:type="dxa"/>
            <w:vAlign w:val="bottom"/>
          </w:tcPr>
          <w:p>
            <w:pPr>
              <w:spacing w:after="0"/>
              <w:rPr>
                <w:sz w:val="13"/>
                <w:szCs w:val="13"/>
                <w:color w:val="auto"/>
              </w:rPr>
            </w:pPr>
          </w:p>
        </w:tc>
        <w:tc>
          <w:tcPr>
            <w:tcW w:w="1460" w:type="dxa"/>
            <w:vAlign w:val="bottom"/>
          </w:tcPr>
          <w:p>
            <w:pPr>
              <w:jc w:val="center"/>
              <w:ind w:right="66"/>
              <w:spacing w:after="0" w:line="160"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51"/>
        </w:trPr>
        <w:tc>
          <w:tcPr>
            <w:tcW w:w="5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ind w:right="44"/>
              <w:spacing w:after="0" w:line="151"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3"/>
                <w:szCs w:val="13"/>
                <w:color w:val="auto"/>
              </w:rPr>
            </w:pPr>
          </w:p>
        </w:tc>
        <w:tc>
          <w:tcPr>
            <w:tcW w:w="1460" w:type="dxa"/>
            <w:vAlign w:val="bottom"/>
          </w:tcPr>
          <w:p>
            <w:pPr>
              <w:jc w:val="center"/>
              <w:ind w:right="46"/>
              <w:spacing w:after="0" w:line="151"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4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 Total number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00" w:type="dxa"/>
            <w:vAlign w:val="bottom"/>
          </w:tcPr>
          <w:p>
            <w:pPr>
              <w:spacing w:after="0"/>
              <w:rPr>
                <w:sz w:val="12"/>
                <w:szCs w:val="12"/>
                <w:color w:val="auto"/>
              </w:rPr>
            </w:pPr>
          </w:p>
        </w:tc>
        <w:tc>
          <w:tcPr>
            <w:tcW w:w="146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46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1420" w:type="dxa"/>
            <w:vAlign w:val="bottom"/>
          </w:tcPr>
          <w:p>
            <w:pPr>
              <w:jc w:val="center"/>
              <w:ind w:right="37"/>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ind w:right="137"/>
              <w:spacing w:after="0" w:line="160" w:lineRule="exact"/>
              <w:rPr>
                <w:sz w:val="20"/>
                <w:szCs w:val="20"/>
                <w:color w:val="auto"/>
              </w:rPr>
            </w:pPr>
            <w:r>
              <w:rPr>
                <w:rFonts w:ascii="Times New Roman" w:cs="Times New Roman" w:eastAsia="Times New Roman" w:hAnsi="Times New Roman"/>
                <w:sz w:val="14"/>
                <w:szCs w:val="14"/>
                <w:b w:val="1"/>
                <w:bCs w:val="1"/>
                <w:color w:val="auto"/>
              </w:rPr>
              <w:t>(b) Average price</w:t>
            </w:r>
          </w:p>
        </w:tc>
        <w:tc>
          <w:tcPr>
            <w:tcW w:w="100" w:type="dxa"/>
            <w:vAlign w:val="bottom"/>
          </w:tcPr>
          <w:p>
            <w:pPr>
              <w:spacing w:after="0"/>
              <w:rPr>
                <w:sz w:val="13"/>
                <w:szCs w:val="13"/>
                <w:color w:val="auto"/>
              </w:rPr>
            </w:pPr>
          </w:p>
        </w:tc>
        <w:tc>
          <w:tcPr>
            <w:tcW w:w="1440" w:type="dxa"/>
            <w:vAlign w:val="bottom"/>
          </w:tcPr>
          <w:p>
            <w:pPr>
              <w:jc w:val="center"/>
              <w:ind w:right="44"/>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00" w:type="dxa"/>
            <w:vAlign w:val="bottom"/>
          </w:tcPr>
          <w:p>
            <w:pPr>
              <w:spacing w:after="0"/>
              <w:rPr>
                <w:sz w:val="13"/>
                <w:szCs w:val="13"/>
                <w:color w:val="auto"/>
              </w:rPr>
            </w:pPr>
          </w:p>
        </w:tc>
        <w:tc>
          <w:tcPr>
            <w:tcW w:w="1460" w:type="dxa"/>
            <w:vAlign w:val="bottom"/>
          </w:tcPr>
          <w:p>
            <w:pPr>
              <w:jc w:val="center"/>
              <w:ind w:right="66"/>
              <w:spacing w:after="0" w:line="160"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3"/>
        </w:trPr>
        <w:tc>
          <w:tcPr>
            <w:tcW w:w="52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October 1, 2025 - October 31, 2025</w:t>
            </w:r>
          </w:p>
        </w:tc>
        <w:tc>
          <w:tcPr>
            <w:tcW w:w="142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44"/>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66"/>
              <w:spacing w:after="0" w:line="182" w:lineRule="exact"/>
              <w:rPr>
                <w:sz w:val="20"/>
                <w:szCs w:val="20"/>
                <w:color w:val="auto"/>
              </w:rPr>
            </w:pPr>
            <w:r>
              <w:rPr>
                <w:rFonts w:ascii="Times New Roman" w:cs="Times New Roman" w:eastAsia="Times New Roman" w:hAnsi="Times New Roman"/>
                <w:sz w:val="18"/>
                <w:szCs w:val="18"/>
                <w:color w:val="auto"/>
              </w:rPr>
              <w:t>109,758</w:t>
            </w:r>
          </w:p>
        </w:tc>
        <w:tc>
          <w:tcPr>
            <w:tcW w:w="0" w:type="dxa"/>
            <w:vAlign w:val="bottom"/>
          </w:tcPr>
          <w:p>
            <w:pPr>
              <w:spacing w:after="0"/>
              <w:rPr>
                <w:sz w:val="1"/>
                <w:szCs w:val="1"/>
                <w:color w:val="auto"/>
              </w:rPr>
            </w:pPr>
          </w:p>
        </w:tc>
      </w:tr>
      <w:tr>
        <w:trPr>
          <w:trHeight w:val="189"/>
        </w:trPr>
        <w:tc>
          <w:tcPr>
            <w:tcW w:w="5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November 1, 2025 - November 30, 2025</w:t>
            </w:r>
          </w:p>
        </w:tc>
        <w:tc>
          <w:tcPr>
            <w:tcW w:w="142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100,015</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33.83</w:t>
            </w:r>
          </w:p>
        </w:tc>
        <w:tc>
          <w:tcPr>
            <w:tcW w:w="1540" w:type="dxa"/>
            <w:vAlign w:val="bottom"/>
            <w:gridSpan w:val="2"/>
          </w:tcPr>
          <w:p>
            <w:pPr>
              <w:jc w:val="right"/>
              <w:ind w:right="44"/>
              <w:spacing w:after="0" w:line="189" w:lineRule="exact"/>
              <w:rPr>
                <w:sz w:val="20"/>
                <w:szCs w:val="20"/>
                <w:color w:val="auto"/>
              </w:rPr>
            </w:pPr>
            <w:r>
              <w:rPr>
                <w:rFonts w:ascii="Times New Roman" w:cs="Times New Roman" w:eastAsia="Times New Roman" w:hAnsi="Times New Roman"/>
                <w:sz w:val="18"/>
                <w:szCs w:val="18"/>
                <w:color w:val="auto"/>
              </w:rPr>
              <w:t>100,015</w:t>
            </w:r>
          </w:p>
        </w:tc>
        <w:tc>
          <w:tcPr>
            <w:tcW w:w="1560" w:type="dxa"/>
            <w:vAlign w:val="bottom"/>
            <w:gridSpan w:val="2"/>
          </w:tcPr>
          <w:p>
            <w:pPr>
              <w:jc w:val="right"/>
              <w:ind w:right="66"/>
              <w:spacing w:after="0" w:line="189" w:lineRule="exact"/>
              <w:rPr>
                <w:sz w:val="20"/>
                <w:szCs w:val="20"/>
                <w:color w:val="auto"/>
              </w:rPr>
            </w:pPr>
            <w:r>
              <w:rPr>
                <w:rFonts w:ascii="Times New Roman" w:cs="Times New Roman" w:eastAsia="Times New Roman" w:hAnsi="Times New Roman"/>
                <w:sz w:val="18"/>
                <w:szCs w:val="18"/>
                <w:color w:val="auto"/>
              </w:rPr>
              <w:t>106,374</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December 1, 2025 - December 31, 2025</w:t>
            </w:r>
          </w:p>
        </w:tc>
        <w:tc>
          <w:tcPr>
            <w:tcW w:w="1420" w:type="dxa"/>
            <w:vAlign w:val="bottom"/>
            <w:tcBorders>
              <w:bottom w:val="single" w:sz="8" w:color="auto"/>
            </w:tcBorders>
            <w:shd w:val="clear" w:color="auto" w:fill="CFF0FC"/>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44"/>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66"/>
              <w:spacing w:after="0" w:line="189" w:lineRule="exact"/>
              <w:rPr>
                <w:sz w:val="20"/>
                <w:szCs w:val="20"/>
                <w:color w:val="auto"/>
              </w:rPr>
            </w:pPr>
            <w:r>
              <w:rPr>
                <w:rFonts w:ascii="Times New Roman" w:cs="Times New Roman" w:eastAsia="Times New Roman" w:hAnsi="Times New Roman"/>
                <w:sz w:val="18"/>
                <w:szCs w:val="18"/>
                <w:color w:val="auto"/>
              </w:rPr>
              <w:t>106,374</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420" w:type="dxa"/>
            <w:vAlign w:val="bottom"/>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100,015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gridSpan w:val="2"/>
          </w:tcPr>
          <w:p>
            <w:pPr>
              <w:jc w:val="right"/>
              <w:ind w:right="44"/>
              <w:spacing w:after="0" w:line="182" w:lineRule="exact"/>
              <w:rPr>
                <w:sz w:val="20"/>
                <w:szCs w:val="20"/>
                <w:color w:val="auto"/>
              </w:rPr>
            </w:pPr>
            <w:r>
              <w:rPr>
                <w:rFonts w:ascii="Times New Roman" w:cs="Times New Roman" w:eastAsia="Times New Roman" w:hAnsi="Times New Roman"/>
                <w:sz w:val="18"/>
                <w:szCs w:val="18"/>
                <w:color w:val="auto"/>
              </w:rPr>
              <w:t>100,015</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6. Reserved</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2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 applicable.</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tcPr>
          <w:p>
            <w:pPr>
              <w:spacing w:after="0"/>
              <w:rPr>
                <w:sz w:val="24"/>
                <w:szCs w:val="24"/>
                <w:color w:val="auto"/>
              </w:rPr>
            </w:pPr>
          </w:p>
        </w:tc>
        <w:tc>
          <w:tcPr>
            <w:tcW w:w="142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-1285240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-1285240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46" w:lineRule="exact"/>
        <w:rPr>
          <w:sz w:val="20"/>
          <w:szCs w:val="20"/>
          <w:color w:val="auto"/>
        </w:rPr>
      </w:pPr>
    </w:p>
    <w:p>
      <w:pPr>
        <w:ind w:right="60" w:firstLine="659"/>
        <w:spacing w:after="0" w:line="28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historical consolidated financial statements and the notes thereto included in Part II, Item 8—Consolidated Financial Statements and Supplementary Data of this Annual Report on Form 10-K. This discussion and other sections of this Annual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 Item 1A of this Annual Report. You should also carefully read “Special Note Regarding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firstLine="659"/>
        <w:spacing w:after="0" w:line="281" w:lineRule="auto"/>
        <w:rPr>
          <w:sz w:val="20"/>
          <w:szCs w:val="20"/>
          <w:color w:val="auto"/>
        </w:rPr>
      </w:pPr>
      <w:r>
        <w:rPr>
          <w:rFonts w:ascii="Times New Roman" w:cs="Times New Roman" w:eastAsia="Times New Roman" w:hAnsi="Times New Roman"/>
          <w:sz w:val="18"/>
          <w:szCs w:val="18"/>
          <w:color w:val="auto"/>
        </w:rPr>
        <w:t>We are a clinical-stage biotechnology company focused on delivering innovative immunology therapeutics for autoimmune and inflammatory diseases. Our clinical-stage pipeline includes rosnilimab, a selective pathogenic T cell depleter, for which we completed a Phase 2b trial for the treatment of moderate-to-severe rheumatoid arthritis (“RA”), ANB033, a CD122 antagonist, in a Phase 1b trial for celiac disease (“CeD”) and eosinophilic esophagitis (“EoE”), and ANB101, a BDCA2 modulator, in a Phase 1a trial. We also discovered and out-licensed, in financial collaborations, multiple therapeutic antibodies, including a PD-1 antagonist (Jemperli (dostarlimab-gxly) or “Jemperli”) to GSK and an IL-36R antagonist (imsidolimab) to Vanda Pharmaceuticals Inc. (“Vanda”). We currently recognize revenue from milestones and royalties achieved under our immuno-oncology collaboration with GSK and license and transition services revenue from our collaboration with Vanda.</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Intention to Separate Company</w:t>
      </w:r>
    </w:p>
    <w:p>
      <w:pPr>
        <w:spacing w:after="0" w:line="148" w:lineRule="exact"/>
        <w:rPr>
          <w:sz w:val="20"/>
          <w:szCs w:val="20"/>
          <w:color w:val="auto"/>
        </w:rPr>
      </w:pPr>
    </w:p>
    <w:p>
      <w:pPr>
        <w:ind w:right="100" w:firstLine="659"/>
        <w:spacing w:after="0" w:line="281" w:lineRule="auto"/>
        <w:rPr>
          <w:sz w:val="20"/>
          <w:szCs w:val="20"/>
          <w:color w:val="auto"/>
        </w:rPr>
      </w:pPr>
      <w:r>
        <w:rPr>
          <w:rFonts w:ascii="Times New Roman" w:cs="Times New Roman" w:eastAsia="Times New Roman" w:hAnsi="Times New Roman"/>
          <w:sz w:val="18"/>
          <w:szCs w:val="18"/>
          <w:color w:val="auto"/>
        </w:rPr>
        <w:t>In September 2025, we announced that our board of directors (“Board of Directors”) approved plans to explore separating our business into two independent, publicly traded companies. One company is expected to hold and continue to manage the financial collaboration for Jemperli from GSK and for imsidolimab from Vanda, with a focus on protecting and returning value of the royalties to its shareholders. The other company is expected to be a clinical-stage biotechnology company focused on the development and potential commercialization of innovative therapeutics for autoimmune and inflammatory diseases, including rosnilimab, ANB033 and ANB101. Upon completion of the proposed separation, which we expect to complete in the second quarter of 2026, we intend to launch the clinical-stage biotechnology company with adequate capital to fund operations for at least twelve months after the date the proposed separation is completed. While the proposed separation is anticipated to be a taxable event, we are focused on minimizing overall corporate and shareholder-level taxes across the entire transaction. Completion of the proposed separation is subject to final approval by our Board of Directors and other customary conditions, including the effectiveness of a registration statement with the Securities and Exchange Commission (the “SEC”).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Wholly Owned Clinical-Stage Pipeline</w:t>
      </w:r>
    </w:p>
    <w:p>
      <w:pPr>
        <w:spacing w:after="0" w:line="148" w:lineRule="exact"/>
        <w:rPr>
          <w:sz w:val="20"/>
          <w:szCs w:val="20"/>
          <w:color w:val="auto"/>
        </w:rPr>
      </w:pPr>
    </w:p>
    <w:p>
      <w:pPr>
        <w:ind w:right="60" w:firstLine="659"/>
        <w:spacing w:after="0" w:line="313" w:lineRule="auto"/>
        <w:rPr>
          <w:sz w:val="20"/>
          <w:szCs w:val="20"/>
          <w:color w:val="auto"/>
        </w:rPr>
      </w:pPr>
      <w:r>
        <w:rPr>
          <w:rFonts w:ascii="Times New Roman" w:cs="Times New Roman" w:eastAsia="Times New Roman" w:hAnsi="Times New Roman"/>
          <w:sz w:val="18"/>
          <w:szCs w:val="18"/>
          <w:color w:val="auto"/>
        </w:rPr>
        <w:t>Our antibodies are in development to treat inflammatory diseases. We believe these molecules have potential applicability across a broad range of autoimmune and inflammatory diseases, including in gastroenterology, rheumatology, dermatology, respiratory, and other therapeutic areas.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Rosnilimab</w:t>
      </w:r>
    </w:p>
    <w:p>
      <w:pPr>
        <w:spacing w:after="0" w:line="135" w:lineRule="exact"/>
        <w:rPr>
          <w:sz w:val="20"/>
          <w:szCs w:val="20"/>
          <w:color w:val="auto"/>
        </w:rPr>
      </w:pPr>
    </w:p>
    <w:p>
      <w:pPr>
        <w:ind w:right="180" w:firstLine="659"/>
        <w:spacing w:after="0" w:line="281" w:lineRule="auto"/>
        <w:rPr>
          <w:sz w:val="20"/>
          <w:szCs w:val="20"/>
          <w:color w:val="auto"/>
        </w:rPr>
      </w:pPr>
      <w:r>
        <w:rPr>
          <w:rFonts w:ascii="Times New Roman" w:cs="Times New Roman" w:eastAsia="Times New Roman" w:hAnsi="Times New Roman"/>
          <w:sz w:val="18"/>
          <w:szCs w:val="18"/>
          <w:color w:val="auto"/>
        </w:rPr>
        <w:t>Rosnilimab is an IgG1 antibody that directly targets pathogenic T cells, such as activated Tph/Tfh and T effector cells, in the periphery or inflamed tissue. These T cells, when activated, proliferate and migrate, and secrete the inflammatory cytokines that are the drivers of autoimmune and inflammatory diseases. Rosnilimab is designed to selectively deplete pathogenic T cells in both inflamed tissue and the periphery while sparing non-pathogenic T cells, including naïve T cells, to preserve overall immune function and restore immune homeostasis. This drives specific immunological outcomes, such as a reduction in T cell proliferation, migration and cytokine secretion, and a reduction of plasma cell generation and autoantibody levels. We announced top-line data from a healthy volunteer Phase 1 trial of rosnilimab in November 2021 that supported advancement of rosnilimab into subsequent patient trials. A total of 144 subjects were enrolled in the randomized, double-blind, placebo-controlled healthy volunteer Phase 1 trial, where single ascending dose (“SAD”) cohorts received subcutaneous (“SC”) or intravenous (“IV”) single doses of rosnilimab up to 600mg or placebo, while multiple ascending dose (“MAD”) cohorts received four weekly subcutaneous doses of rosnilimab ranging up to 400mg or placebo. Rosnilimab was generally well-tolerated and no dose-limiting toxicities were observed. Rosnilimab demonstrated a sustained systemic exposure and dose-proportionality with an estimated two-week half-life for subcutaneous and IV routes of administration.</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63" w:name="page64"/>
    <w:bookmarkEnd w:id="63"/>
    <w:p>
      <w:pPr>
        <w:jc w:val="both"/>
        <w:ind w:right="200" w:firstLine="659"/>
        <w:spacing w:after="0" w:line="305" w:lineRule="auto"/>
        <w:rPr>
          <w:sz w:val="20"/>
          <w:szCs w:val="20"/>
          <w:color w:val="auto"/>
        </w:rPr>
      </w:pPr>
      <w:r>
        <w:rPr>
          <w:rFonts w:ascii="Times New Roman" w:cs="Times New Roman" w:eastAsia="Times New Roman" w:hAnsi="Times New Roman"/>
          <w:sz w:val="18"/>
          <w:szCs w:val="18"/>
          <w:color w:val="auto"/>
        </w:rPr>
        <w:t>In February 2025, we announced initial data, which was subsequently updated in June 2025, from rosnilimab’s randomized, placebo-controlled, global 424-patient, Phase 2b clinical trial for moderate-to-severe rheumatoid arthritis. Patients were randomized to receive either 100mg of subcutaneous rosnilimab every four weeks (Q4W), 400mg Q4W, 600mg every two weeks, or placebo.</w:t>
      </w:r>
    </w:p>
    <w:p>
      <w:pPr>
        <w:spacing w:after="0" w:line="61" w:lineRule="exact"/>
        <w:rPr>
          <w:sz w:val="20"/>
          <w:szCs w:val="20"/>
          <w:color w:val="auto"/>
        </w:rPr>
      </w:pPr>
    </w:p>
    <w:p>
      <w:pPr>
        <w:ind w:right="100" w:firstLine="659"/>
        <w:spacing w:after="0" w:line="294" w:lineRule="auto"/>
        <w:rPr>
          <w:sz w:val="20"/>
          <w:szCs w:val="20"/>
          <w:color w:val="auto"/>
        </w:rPr>
      </w:pPr>
      <w:r>
        <w:rPr>
          <w:rFonts w:ascii="Times New Roman" w:cs="Times New Roman" w:eastAsia="Times New Roman" w:hAnsi="Times New Roman"/>
          <w:sz w:val="18"/>
          <w:szCs w:val="18"/>
          <w:color w:val="auto"/>
        </w:rPr>
        <w:t>During the three-month placebo-controlled period, the trial achieved its primary endpoint by observing the reduction of disease activity using the disease activity score, 28 joints (DAS-28) C-Reactive Protein (“CRP”) score, as well as ACR20 response (an accepted Phase 3 registrational endpoint), at Week 12 in all three doses of rosnilimab compared to placebo. Rosnilimab achieved its secondary endpoint by demonstrating statistical significance in at least one dose and numerical superiority at all doses, including once monthly administration, on ACR20, ACR50 and with respect to the clinical disease activity index (“CDAI”) low disease activity (“LDA”) score at Week 12. Specifically, at Week 12, ACR20 achieved statistical significance at 100 mg (p &lt; 0.05), 400 mg (p &lt; 0.01), and 600 mg (p &lt; 0.001); ACR50 achieved statistical significance at 600 mg (p &lt; 0.05); and CDAI LDA achieved statistical significance at 100 mg (p &lt; 0.05) and 400 mg (p &lt; 0.01).</w:t>
      </w:r>
    </w:p>
    <w:p>
      <w:pPr>
        <w:spacing w:after="0" w:line="75" w:lineRule="exact"/>
        <w:rPr>
          <w:sz w:val="20"/>
          <w:szCs w:val="20"/>
          <w:color w:val="auto"/>
        </w:rPr>
      </w:pPr>
    </w:p>
    <w:p>
      <w:pPr>
        <w:ind w:right="40" w:firstLine="659"/>
        <w:spacing w:after="0" w:line="293" w:lineRule="auto"/>
        <w:rPr>
          <w:sz w:val="20"/>
          <w:szCs w:val="20"/>
          <w:color w:val="auto"/>
        </w:rPr>
      </w:pPr>
      <w:r>
        <w:rPr>
          <w:rFonts w:ascii="Times New Roman" w:cs="Times New Roman" w:eastAsia="Times New Roman" w:hAnsi="Times New Roman"/>
          <w:sz w:val="18"/>
          <w:szCs w:val="18"/>
          <w:color w:val="auto"/>
        </w:rPr>
        <w:t>Following completion of the Week 14 visit, 69% (or 220 of the 318) rosnilimab-treated patients who achieved CDAI LDA at this timepoint continued their assigned treatment through six months in a blinded, all-active treatment period. At six months, rosnilimab results demonstrated deepening of responses through six months on CDAI LDA, CDAI remission and ACR70 and independent of prior treatments, including anti-TNFα, anti-IL6R or JAK inhibitors. Importantly, this was particularly observed in b/tsDMARD-experienced patients for the 400mg Q4W and 600mg Q2W doses, showing a dose response relative to the 100mg Q4W dose. Furthermore, Week 28 clinical responses across multiple measures, including CDAI LDA, mean CDAI, mean DAS28-CRP and ACR50/70, were durable off-drug through at least three months after the last rosnilimab dose, results which we believe suggest the potential for extended dosing (e.g., Q8W/Q12W) after initial monthly dosing. Due to the trial design, max response rates for rosnilimab have not yet been observed as strict criteria at Week 14, which prevented additional patients with meaningful improvement from continuing treatment in the trial.</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table summarizing the results for primary and secondary endpoints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Efficacy Measure</w:t>
            </w: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140" w:type="dxa"/>
            <w:vAlign w:val="bottom"/>
          </w:tcPr>
          <w:p>
            <w:pPr>
              <w:spacing w:after="0"/>
              <w:rPr>
                <w:sz w:val="13"/>
                <w:szCs w:val="13"/>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Rosnilimab</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Rosnilimab</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Rosnilimab</w:t>
            </w:r>
          </w:p>
        </w:tc>
        <w:tc>
          <w:tcPr>
            <w:tcW w:w="0" w:type="dxa"/>
            <w:vAlign w:val="bottom"/>
          </w:tcPr>
          <w:p>
            <w:pPr>
              <w:spacing w:after="0"/>
              <w:rPr>
                <w:sz w:val="1"/>
                <w:szCs w:val="1"/>
                <w:color w:val="auto"/>
              </w:rPr>
            </w:pPr>
          </w:p>
        </w:tc>
      </w:tr>
      <w:tr>
        <w:trPr>
          <w:trHeight w:val="173"/>
        </w:trPr>
        <w:tc>
          <w:tcPr>
            <w:tcW w:w="2800" w:type="dxa"/>
            <w:vAlign w:val="bottom"/>
            <w:tcBorders>
              <w:bottom w:val="single" w:sz="8" w:color="auto"/>
            </w:tcBorders>
            <w:vMerge w:val="continue"/>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100mg Q4W</w:t>
            </w:r>
          </w:p>
        </w:tc>
        <w:tc>
          <w:tcPr>
            <w:tcW w:w="340" w:type="dxa"/>
            <w:vAlign w:val="bottom"/>
          </w:tcPr>
          <w:p>
            <w:pPr>
              <w:spacing w:after="0"/>
              <w:rPr>
                <w:sz w:val="15"/>
                <w:szCs w:val="15"/>
                <w:color w:val="auto"/>
              </w:rPr>
            </w:pPr>
          </w:p>
        </w:tc>
        <w:tc>
          <w:tcPr>
            <w:tcW w:w="11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400mg Q4W</w:t>
            </w:r>
          </w:p>
        </w:tc>
        <w:tc>
          <w:tcPr>
            <w:tcW w:w="340" w:type="dxa"/>
            <w:vAlign w:val="bottom"/>
          </w:tcPr>
          <w:p>
            <w:pPr>
              <w:spacing w:after="0"/>
              <w:rPr>
                <w:sz w:val="15"/>
                <w:szCs w:val="15"/>
                <w:color w:val="auto"/>
              </w:rPr>
            </w:pPr>
          </w:p>
        </w:tc>
        <w:tc>
          <w:tcPr>
            <w:tcW w:w="11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600mg Q2W</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0" w:type="dxa"/>
            <w:vAlign w:val="bottom"/>
            <w:shd w:val="clear" w:color="auto" w:fill="CFF0FC"/>
          </w:tcPr>
          <w:p>
            <w:pPr>
              <w:spacing w:after="0"/>
              <w:rPr>
                <w:sz w:val="15"/>
                <w:szCs w:val="15"/>
                <w:color w:val="auto"/>
              </w:rPr>
            </w:pPr>
          </w:p>
        </w:tc>
        <w:tc>
          <w:tcPr>
            <w:tcW w:w="2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(N=106)</w:t>
            </w:r>
          </w:p>
        </w:tc>
        <w:tc>
          <w:tcPr>
            <w:tcW w:w="14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360"/>
              <w:spacing w:after="0" w:line="182" w:lineRule="exact"/>
              <w:rPr>
                <w:sz w:val="20"/>
                <w:szCs w:val="20"/>
                <w:color w:val="auto"/>
              </w:rPr>
            </w:pPr>
            <w:r>
              <w:rPr>
                <w:rFonts w:ascii="Times New Roman" w:cs="Times New Roman" w:eastAsia="Times New Roman" w:hAnsi="Times New Roman"/>
                <w:sz w:val="18"/>
                <w:szCs w:val="18"/>
                <w:color w:val="auto"/>
              </w:rPr>
              <w:t>(N=106)</w:t>
            </w:r>
          </w:p>
        </w:tc>
        <w:tc>
          <w:tcPr>
            <w:tcW w:w="1500" w:type="dxa"/>
            <w:vAlign w:val="bottom"/>
            <w:gridSpan w:val="2"/>
            <w:shd w:val="clear" w:color="auto" w:fill="CFF0FC"/>
          </w:tcPr>
          <w:p>
            <w:pPr>
              <w:jc w:val="right"/>
              <w:ind w:right="340"/>
              <w:spacing w:after="0" w:line="182" w:lineRule="exact"/>
              <w:rPr>
                <w:sz w:val="20"/>
                <w:szCs w:val="20"/>
                <w:color w:val="auto"/>
              </w:rPr>
            </w:pPr>
            <w:r>
              <w:rPr>
                <w:rFonts w:ascii="Times New Roman" w:cs="Times New Roman" w:eastAsia="Times New Roman" w:hAnsi="Times New Roman"/>
                <w:sz w:val="18"/>
                <w:szCs w:val="18"/>
                <w:color w:val="auto"/>
              </w:rPr>
              <w:t>(N=107)</w:t>
            </w:r>
          </w:p>
        </w:tc>
        <w:tc>
          <w:tcPr>
            <w:tcW w:w="1500" w:type="dxa"/>
            <w:vAlign w:val="bottom"/>
            <w:gridSpan w:val="2"/>
            <w:shd w:val="clear" w:color="auto" w:fill="CFF0FC"/>
          </w:tcPr>
          <w:p>
            <w:pPr>
              <w:jc w:val="right"/>
              <w:ind w:right="360"/>
              <w:spacing w:after="0" w:line="182" w:lineRule="exact"/>
              <w:rPr>
                <w:sz w:val="20"/>
                <w:szCs w:val="20"/>
                <w:color w:val="auto"/>
              </w:rPr>
            </w:pPr>
            <w:r>
              <w:rPr>
                <w:rFonts w:ascii="Times New Roman" w:cs="Times New Roman" w:eastAsia="Times New Roman" w:hAnsi="Times New Roman"/>
                <w:sz w:val="18"/>
                <w:szCs w:val="18"/>
                <w:color w:val="auto"/>
              </w:rPr>
              <w:t>(N=105)</w:t>
            </w:r>
          </w:p>
        </w:tc>
        <w:tc>
          <w:tcPr>
            <w:tcW w:w="0" w:type="dxa"/>
            <w:vAlign w:val="bottom"/>
          </w:tcPr>
          <w:p>
            <w:pPr>
              <w:spacing w:after="0"/>
              <w:rPr>
                <w:sz w:val="1"/>
                <w:szCs w:val="1"/>
                <w:color w:val="auto"/>
              </w:rPr>
            </w:pPr>
          </w:p>
        </w:tc>
      </w:tr>
      <w:tr>
        <w:trPr>
          <w:trHeight w:val="189"/>
        </w:trPr>
        <w:tc>
          <w:tcPr>
            <w:tcW w:w="2800" w:type="dxa"/>
            <w:vAlign w:val="bottom"/>
          </w:tcPr>
          <w:p>
            <w:pPr>
              <w:spacing w:after="0"/>
              <w:rPr>
                <w:sz w:val="16"/>
                <w:szCs w:val="16"/>
                <w:color w:val="auto"/>
              </w:rPr>
            </w:pPr>
          </w:p>
        </w:tc>
        <w:tc>
          <w:tcPr>
            <w:tcW w:w="3780" w:type="dxa"/>
            <w:vAlign w:val="bottom"/>
            <w:gridSpan w:val="3"/>
          </w:tcPr>
          <w:p>
            <w:pPr>
              <w:jc w:val="center"/>
              <w:ind w:left="1770"/>
              <w:spacing w:after="0" w:line="189" w:lineRule="exact"/>
              <w:rPr>
                <w:sz w:val="20"/>
                <w:szCs w:val="20"/>
                <w:color w:val="auto"/>
              </w:rPr>
            </w:pPr>
            <w:r>
              <w:rPr>
                <w:rFonts w:ascii="Times New Roman" w:cs="Times New Roman" w:eastAsia="Times New Roman" w:hAnsi="Times New Roman"/>
                <w:sz w:val="18"/>
                <w:szCs w:val="18"/>
                <w:b w:val="1"/>
                <w:bCs w:val="1"/>
                <w:color w:val="auto"/>
                <w:w w:val="98"/>
              </w:rPr>
              <w:t>Primary Endpoint</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DAS28-CRP at Week 12</w:t>
            </w:r>
          </w:p>
        </w:tc>
        <w:tc>
          <w:tcPr>
            <w:tcW w:w="2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(mean change from baseline)</w:t>
            </w:r>
          </w:p>
        </w:tc>
        <w:tc>
          <w:tcPr>
            <w:tcW w:w="37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-1.69</w:t>
            </w:r>
          </w:p>
        </w:tc>
        <w:tc>
          <w:tcPr>
            <w:tcW w:w="166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-2.06**</w:t>
            </w:r>
          </w:p>
        </w:tc>
        <w:tc>
          <w:tcPr>
            <w:tcW w:w="15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-2.12**</w:t>
            </w:r>
          </w:p>
        </w:tc>
        <w:tc>
          <w:tcPr>
            <w:tcW w:w="15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rPr>
                <w:sz w:val="16"/>
                <w:szCs w:val="16"/>
                <w:color w:val="auto"/>
              </w:rPr>
            </w:pPr>
          </w:p>
        </w:tc>
        <w:tc>
          <w:tcPr>
            <w:tcW w:w="5440" w:type="dxa"/>
            <w:vAlign w:val="bottom"/>
            <w:gridSpan w:val="6"/>
            <w:shd w:val="clear" w:color="auto" w:fill="CFF0FC"/>
          </w:tcPr>
          <w:p>
            <w:pPr>
              <w:jc w:val="center"/>
              <w:ind w:lef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Select Secondary Endpoint^ (% of participants)</w:t>
            </w:r>
          </w:p>
        </w:tc>
        <w:tc>
          <w:tcPr>
            <w:tcW w:w="1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ACR20 </w:t>
            </w:r>
            <w:r>
              <w:rPr>
                <w:rFonts w:ascii="Times New Roman" w:cs="Times New Roman" w:eastAsia="Times New Roman" w:hAnsi="Times New Roman"/>
                <w:sz w:val="18"/>
                <w:szCs w:val="18"/>
                <w:color w:val="auto"/>
              </w:rPr>
              <w:t>at Week 12^</w:t>
            </w:r>
          </w:p>
        </w:tc>
        <w:tc>
          <w:tcPr>
            <w:tcW w:w="37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52.8</w:t>
            </w:r>
          </w:p>
        </w:tc>
        <w:tc>
          <w:tcPr>
            <w:tcW w:w="1660" w:type="dxa"/>
            <w:vAlign w:val="bottom"/>
            <w:gridSpan w:val="3"/>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68.9*</w:t>
            </w:r>
          </w:p>
        </w:tc>
        <w:tc>
          <w:tcPr>
            <w:tcW w:w="15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70.1**</w:t>
            </w:r>
          </w:p>
        </w:tc>
        <w:tc>
          <w:tcPr>
            <w:tcW w:w="150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ACR50 </w:t>
            </w:r>
            <w:r>
              <w:rPr>
                <w:rFonts w:ascii="Times New Roman" w:cs="Times New Roman" w:eastAsia="Times New Roman" w:hAnsi="Times New Roman"/>
                <w:sz w:val="18"/>
                <w:szCs w:val="18"/>
                <w:color w:val="auto"/>
              </w:rPr>
              <w:t>at Week 12^</w:t>
            </w:r>
          </w:p>
        </w:tc>
        <w:tc>
          <w:tcPr>
            <w:tcW w:w="378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13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44.3</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36.4</w:t>
            </w:r>
          </w:p>
        </w:tc>
        <w:tc>
          <w:tcPr>
            <w:tcW w:w="34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189"/>
        </w:trPr>
        <w:tc>
          <w:tcPr>
            <w:tcW w:w="28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28</w:t>
            </w: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45.3</w:t>
            </w:r>
          </w:p>
        </w:tc>
        <w:tc>
          <w:tcPr>
            <w:tcW w:w="3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48.6</w:t>
            </w:r>
          </w:p>
        </w:tc>
        <w:tc>
          <w:tcPr>
            <w:tcW w:w="3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58.1</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ACR70 </w:t>
            </w:r>
            <w:r>
              <w:rPr>
                <w:rFonts w:ascii="Times New Roman" w:cs="Times New Roman" w:eastAsia="Times New Roman" w:hAnsi="Times New Roman"/>
                <w:sz w:val="18"/>
                <w:szCs w:val="18"/>
                <w:color w:val="auto"/>
              </w:rPr>
              <w:t>at Week 12^</w:t>
            </w:r>
          </w:p>
        </w:tc>
        <w:tc>
          <w:tcPr>
            <w:tcW w:w="378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17.9</w:t>
            </w:r>
          </w:p>
        </w:tc>
        <w:tc>
          <w:tcPr>
            <w:tcW w:w="13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21.7</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21.5</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21.9</w:t>
            </w:r>
          </w:p>
        </w:tc>
        <w:tc>
          <w:tcPr>
            <w:tcW w:w="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28</w:t>
            </w: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40.6</w:t>
            </w:r>
          </w:p>
        </w:tc>
        <w:tc>
          <w:tcPr>
            <w:tcW w:w="3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36.4</w:t>
            </w:r>
          </w:p>
        </w:tc>
        <w:tc>
          <w:tcPr>
            <w:tcW w:w="3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44.8</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CDAI ≤10 (LDA) </w:t>
            </w:r>
            <w:r>
              <w:rPr>
                <w:rFonts w:ascii="Times New Roman" w:cs="Times New Roman" w:eastAsia="Times New Roman" w:hAnsi="Times New Roman"/>
                <w:sz w:val="18"/>
                <w:szCs w:val="18"/>
                <w:color w:val="auto"/>
              </w:rPr>
              <w:t>at Week 12^</w:t>
            </w:r>
          </w:p>
        </w:tc>
        <w:tc>
          <w:tcPr>
            <w:tcW w:w="378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660" w:type="dxa"/>
            <w:vAlign w:val="bottom"/>
            <w:gridSpan w:val="3"/>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46.2*</w:t>
            </w:r>
          </w:p>
        </w:tc>
        <w:tc>
          <w:tcPr>
            <w:tcW w:w="150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49.5**</w:t>
            </w: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38.1</w:t>
            </w:r>
          </w:p>
        </w:tc>
        <w:tc>
          <w:tcPr>
            <w:tcW w:w="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28</w:t>
            </w: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52.8</w:t>
            </w:r>
          </w:p>
        </w:tc>
        <w:tc>
          <w:tcPr>
            <w:tcW w:w="3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54.2</w:t>
            </w:r>
          </w:p>
        </w:tc>
        <w:tc>
          <w:tcPr>
            <w:tcW w:w="3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62.9</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rPr>
                <w:sz w:val="16"/>
                <w:szCs w:val="16"/>
                <w:color w:val="auto"/>
              </w:rPr>
            </w:pPr>
          </w:p>
        </w:tc>
        <w:tc>
          <w:tcPr>
            <w:tcW w:w="5440" w:type="dxa"/>
            <w:vAlign w:val="bottom"/>
            <w:gridSpan w:val="6"/>
            <w:shd w:val="clear" w:color="auto" w:fill="CFF0FC"/>
          </w:tcPr>
          <w:p>
            <w:pPr>
              <w:jc w:val="center"/>
              <w:ind w:lef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Select Exploratory Endpoints (Mean Change from Baseline)</w:t>
            </w:r>
          </w:p>
        </w:tc>
        <w:tc>
          <w:tcPr>
            <w:tcW w:w="1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DAS28-CRP</w:t>
            </w: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28</w:t>
            </w:r>
          </w:p>
        </w:tc>
        <w:tc>
          <w:tcPr>
            <w:tcW w:w="2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-2.51</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-2.51</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-2.57</w:t>
            </w:r>
          </w:p>
        </w:tc>
        <w:tc>
          <w:tcPr>
            <w:tcW w:w="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hs-CRP</w:t>
            </w: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12</w:t>
            </w:r>
          </w:p>
        </w:tc>
        <w:tc>
          <w:tcPr>
            <w:tcW w:w="378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-0.73</w:t>
            </w:r>
          </w:p>
        </w:tc>
        <w:tc>
          <w:tcPr>
            <w:tcW w:w="1660" w:type="dxa"/>
            <w:vAlign w:val="bottom"/>
            <w:gridSpan w:val="3"/>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-9.67***</w:t>
            </w:r>
          </w:p>
        </w:tc>
        <w:tc>
          <w:tcPr>
            <w:tcW w:w="150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50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189"/>
        </w:trPr>
        <w:tc>
          <w:tcPr>
            <w:tcW w:w="28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28</w:t>
            </w: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-7.23</w:t>
            </w:r>
          </w:p>
        </w:tc>
        <w:tc>
          <w:tcPr>
            <w:tcW w:w="3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-10.55</w:t>
            </w:r>
          </w:p>
        </w:tc>
        <w:tc>
          <w:tcPr>
            <w:tcW w:w="3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-5.98</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Patient Global Assessment</w:t>
            </w:r>
          </w:p>
        </w:tc>
        <w:tc>
          <w:tcPr>
            <w:tcW w:w="2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12</w:t>
            </w:r>
          </w:p>
        </w:tc>
        <w:tc>
          <w:tcPr>
            <w:tcW w:w="37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-25.4</w:t>
            </w:r>
          </w:p>
        </w:tc>
        <w:tc>
          <w:tcPr>
            <w:tcW w:w="1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-30.1</w:t>
            </w:r>
          </w:p>
        </w:tc>
        <w:tc>
          <w:tcPr>
            <w:tcW w:w="3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-30.5</w:t>
            </w:r>
          </w:p>
        </w:tc>
        <w:tc>
          <w:tcPr>
            <w:tcW w:w="340" w:type="dxa"/>
            <w:vAlign w:val="bottom"/>
          </w:tcPr>
          <w:p>
            <w:pPr>
              <w:spacing w:after="0"/>
              <w:rPr>
                <w:sz w:val="16"/>
                <w:szCs w:val="16"/>
                <w:color w:val="auto"/>
              </w:rPr>
            </w:pPr>
          </w:p>
        </w:tc>
        <w:tc>
          <w:tcPr>
            <w:tcW w:w="15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28</w:t>
            </w:r>
          </w:p>
        </w:tc>
        <w:tc>
          <w:tcPr>
            <w:tcW w:w="2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-35.9</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-38.4</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-40.7</w:t>
            </w:r>
          </w:p>
        </w:tc>
        <w:tc>
          <w:tcPr>
            <w:tcW w:w="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HAQ-DI (range 0-3)</w:t>
            </w: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12</w:t>
            </w:r>
          </w:p>
        </w:tc>
        <w:tc>
          <w:tcPr>
            <w:tcW w:w="378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-0.56</w:t>
            </w:r>
          </w:p>
        </w:tc>
        <w:tc>
          <w:tcPr>
            <w:tcW w:w="13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-0.61</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-0.59</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-0.60</w:t>
            </w:r>
          </w:p>
        </w:tc>
        <w:tc>
          <w:tcPr>
            <w:tcW w:w="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28</w:t>
            </w: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-0.74</w:t>
            </w:r>
          </w:p>
        </w:tc>
        <w:tc>
          <w:tcPr>
            <w:tcW w:w="3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-0.75</w:t>
            </w:r>
          </w:p>
        </w:tc>
        <w:tc>
          <w:tcPr>
            <w:tcW w:w="3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-0.78</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Pain VAS</w:t>
            </w:r>
          </w:p>
        </w:tc>
        <w:tc>
          <w:tcPr>
            <w:tcW w:w="2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12</w:t>
            </w:r>
          </w:p>
        </w:tc>
        <w:tc>
          <w:tcPr>
            <w:tcW w:w="37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13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-32.6</w:t>
            </w:r>
          </w:p>
        </w:tc>
        <w:tc>
          <w:tcPr>
            <w:tcW w:w="3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-35.3</w:t>
            </w:r>
          </w:p>
        </w:tc>
        <w:tc>
          <w:tcPr>
            <w:tcW w:w="340" w:type="dxa"/>
            <w:vAlign w:val="bottom"/>
          </w:tcPr>
          <w:p>
            <w:pPr>
              <w:spacing w:after="0"/>
              <w:rPr>
                <w:sz w:val="16"/>
                <w:szCs w:val="16"/>
                <w:color w:val="auto"/>
              </w:rPr>
            </w:pPr>
          </w:p>
        </w:tc>
        <w:tc>
          <w:tcPr>
            <w:tcW w:w="15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189"/>
        </w:trPr>
        <w:tc>
          <w:tcPr>
            <w:tcW w:w="28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Week 28</w:t>
            </w:r>
          </w:p>
        </w:tc>
        <w:tc>
          <w:tcPr>
            <w:tcW w:w="2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-44.5</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-47.2</w:t>
            </w:r>
          </w:p>
        </w:tc>
        <w:tc>
          <w:tcPr>
            <w:tcW w:w="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88"/>
        </w:trPr>
        <w:tc>
          <w:tcPr>
            <w:tcW w:w="2800" w:type="dxa"/>
            <w:vAlign w:val="bottom"/>
          </w:tcPr>
          <w:p>
            <w:pPr>
              <w:spacing w:after="0"/>
              <w:rPr>
                <w:sz w:val="24"/>
                <w:szCs w:val="24"/>
                <w:color w:val="auto"/>
              </w:rPr>
            </w:pPr>
          </w:p>
        </w:tc>
        <w:tc>
          <w:tcPr>
            <w:tcW w:w="3780" w:type="dxa"/>
            <w:vAlign w:val="bottom"/>
            <w:gridSpan w:val="3"/>
          </w:tcPr>
          <w:p>
            <w:pPr>
              <w:jc w:val="center"/>
              <w:ind w:left="1790"/>
              <w:spacing w:after="0"/>
              <w:rPr>
                <w:sz w:val="20"/>
                <w:szCs w:val="20"/>
                <w:color w:val="auto"/>
              </w:rPr>
            </w:pPr>
            <w:r>
              <w:rPr>
                <w:rFonts w:ascii="Times New Roman" w:cs="Times New Roman" w:eastAsia="Times New Roman" w:hAnsi="Times New Roman"/>
                <w:sz w:val="18"/>
                <w:szCs w:val="18"/>
                <w:color w:val="auto"/>
                <w:w w:val="99"/>
              </w:rPr>
              <w:t>62</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8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*p&lt;0.05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**p&lt;0.01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***p&lt;0.001</w:t>
      </w:r>
    </w:p>
    <w:p>
      <w:pPr>
        <w:spacing w:after="0" w:line="144" w:lineRule="exact"/>
        <w:rPr>
          <w:sz w:val="20"/>
          <w:szCs w:val="20"/>
          <w:color w:val="auto"/>
        </w:rPr>
      </w:pPr>
    </w:p>
    <w:p>
      <w:pPr>
        <w:ind w:right="100" w:firstLine="659"/>
        <w:spacing w:after="0" w:line="294" w:lineRule="auto"/>
        <w:rPr>
          <w:sz w:val="20"/>
          <w:szCs w:val="20"/>
          <w:color w:val="auto"/>
        </w:rPr>
      </w:pPr>
      <w:r>
        <w:rPr>
          <w:rFonts w:ascii="Times New Roman" w:cs="Times New Roman" w:eastAsia="Times New Roman" w:hAnsi="Times New Roman"/>
          <w:sz w:val="18"/>
          <w:szCs w:val="18"/>
          <w:color w:val="auto"/>
        </w:rPr>
        <w:t>Clinical outcomes were further substantiated by objective translational data. An approximately 50% reduction in the mean CRP from baseline, an objective measure of inflammation, was observed through Week 28 in rosnilimab patients who entered the all-active period. Additionally, translational blood and synovial biopsy biomarker data showed differentiated and consistent immunological impact with on-target pharmacological activity in rosnilimab patients that was not observed on placebo. In blood, rosnilimab demonstrated rapid, deep and sustained reductions of approximately 90% in pathogenic T cells (largely Tph, Tph and Teff cells), and an increase in total Tregs. Additionally, synovial biopsies of the most impacted joint taken at baseline and after six weeks showed a deep reduction of approximately 90% in pathogenic T cells (largely Tph cells) at the 400mg Q4W and 600mg Q2W doses, showing a dose response relative to the 100mg Q4W dose.</w:t>
      </w:r>
    </w:p>
    <w:p>
      <w:pPr>
        <w:spacing w:after="0" w:line="75"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Consistent with prior rosnilimab studies, all rosnilimab doses through end-of-trial follow up at week 38 demonstrated no treatment-related serious adverse events (“SAEs”), malignancies, anaphylaxis or systemic hypersensitivity, and a low incidence of injection site reactions. Most adverse events (“AEs”) were mild to moderate in severity. Less than 2% of patients in the trial discontinued rosnilimab due to an AE, including only one patient after three months for a moderate headache treated with over-the-counter pain medication. Non-treatment related SAEs observed were consistent with known RA patient history and comorbidities.</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ANB033</w:t>
      </w:r>
    </w:p>
    <w:p>
      <w:pPr>
        <w:spacing w:after="0" w:line="148" w:lineRule="exact"/>
        <w:rPr>
          <w:sz w:val="20"/>
          <w:szCs w:val="20"/>
          <w:color w:val="auto"/>
        </w:rPr>
      </w:pPr>
    </w:p>
    <w:p>
      <w:pPr>
        <w:ind w:right="40" w:firstLine="659"/>
        <w:spacing w:after="0" w:line="294" w:lineRule="auto"/>
        <w:rPr>
          <w:sz w:val="20"/>
          <w:szCs w:val="20"/>
          <w:color w:val="auto"/>
        </w:rPr>
      </w:pPr>
      <w:r>
        <w:rPr>
          <w:rFonts w:ascii="Times New Roman" w:cs="Times New Roman" w:eastAsia="Times New Roman" w:hAnsi="Times New Roman"/>
          <w:sz w:val="18"/>
          <w:szCs w:val="18"/>
          <w:color w:val="auto"/>
        </w:rPr>
        <w:t>ANB033 is an antagonist of CD122, the common beta subunit shared by the IL-15 and IL-2 receptors. IL-15 and IL-2 signaling mediate the proliferation and survival of subsets of CD8+ and CD4 T+ cells, NK cells, as well as ILC2s. ANB033 is an antibody designed with an optimal epitope and affinity to CD122 that inhibits IL-15 and IL-2 signaling through both the intermediate affinity IL-2 receptor (comprised of CD122 and the common gamma subunit, CD132) and the high affinity IL-2 receptor (comprised of CD122, CD132 and the alpha receptor subunit for IL-2, CD25) expressed by activated CD4 Th1 and Th2 T cells as well as ILC2. Antagonizing CD122 has the potential to achieve and maintain remission of inflammation through the reduction of disease-causing cytolytic CD8 T cell subsets, including intraepithelial lymphocytes, NK cells and reducing inflammatory cytokine secretion by activated CD4+ Th1 and Th2 cells, as well as ILC2 cells.</w:t>
      </w:r>
    </w:p>
    <w:p>
      <w:pPr>
        <w:spacing w:after="0" w:line="75" w:lineRule="exact"/>
        <w:rPr>
          <w:sz w:val="20"/>
          <w:szCs w:val="20"/>
          <w:color w:val="auto"/>
        </w:rPr>
      </w:pPr>
    </w:p>
    <w:p>
      <w:pPr>
        <w:ind w:right="40" w:firstLine="659"/>
        <w:spacing w:after="0" w:line="291" w:lineRule="auto"/>
        <w:rPr>
          <w:sz w:val="20"/>
          <w:szCs w:val="20"/>
          <w:color w:val="auto"/>
        </w:rPr>
      </w:pPr>
      <w:r>
        <w:rPr>
          <w:rFonts w:ascii="Times New Roman" w:cs="Times New Roman" w:eastAsia="Times New Roman" w:hAnsi="Times New Roman"/>
          <w:sz w:val="18"/>
          <w:szCs w:val="18"/>
          <w:color w:val="auto"/>
        </w:rPr>
        <w:t>We announced top-line data from a healthy volunteer Phase 1a trial of ANB033 in October 2025 that demonstrated no safety concerns at any dose and a rapid and sustained pharmacokinetic (“PK”) profile. A total of 80 subjects were enrolled in the randomized, double-blind, placebo-controlled healthy volunteer Phase 1 trial, where SAD cohorts received SC or IV single doses of ANB033 or placebo, while MAD cohorts received four weekly SC doses of ANB033. ANB033 was generally well-tolerated and no SAE discontinuations or dose-limiting toxicities were observed in the study. ANB033 demonstrated an estimated two-to-three week half-life and full receptor occupancy for SC and IV routes of administration. A dose response was observed on relevant PD biomarkers. We observed responsive effects with both IV and SC modes of administration, with a 70-75% reduction in CD122-expressing CD8 T cells, which did not result in a meaningful reduction in overall CD8 T cells. Additionally, treatment with ANB033 effectively eliminated all CD122-expressing NK cells, but the overall NK cell count remained above the levels needed to maintain immune competency as not all NK cells in humans express CD122. No overall reductions were observed on regulatory T cell counts in the peripheral blood.</w:t>
      </w:r>
    </w:p>
    <w:p>
      <w:pPr>
        <w:spacing w:after="0" w:line="90" w:lineRule="exact"/>
        <w:rPr>
          <w:sz w:val="20"/>
          <w:szCs w:val="20"/>
          <w:color w:val="auto"/>
        </w:rPr>
      </w:pPr>
    </w:p>
    <w:p>
      <w:pPr>
        <w:ind w:right="220" w:firstLine="659"/>
        <w:spacing w:after="0" w:line="291" w:lineRule="auto"/>
        <w:rPr>
          <w:sz w:val="20"/>
          <w:szCs w:val="20"/>
          <w:color w:val="auto"/>
        </w:rPr>
      </w:pPr>
      <w:r>
        <w:rPr>
          <w:rFonts w:ascii="Times New Roman" w:cs="Times New Roman" w:eastAsia="Times New Roman" w:hAnsi="Times New Roman"/>
          <w:sz w:val="18"/>
          <w:szCs w:val="18"/>
          <w:color w:val="auto"/>
        </w:rPr>
        <w:t>We are conducting a randomized placebo-controlled 60-patient, global Phase 1b trial cohort of ANB033 in CeD. This trial will assess both a cohort of patients with baseline villus height to crypt depth (“Vh:Cd”) ratio greater than 2.0 in a gluten-challenge to assess prevention of further mucosal damage, as well as a cohort of patients with a Vh:Cd ratio less than 2.0, who will not be subjected to a gluten-challenge, to assess the ability to heal mucosal damage in symptom-controlled patients.  The two distinct cohorts will enroll 30 patients each, randomized 1:1 between one dose level of subcutaneously administered ANB033 dose and placebo. Key assessments include safety and tolerability, efficacy assessments including the change in Vh:Cd ratio, IEL counts, and PROs, such as the Celiac Disease Symptom Diary (“CDSD”), as well as PK and immunogenicity.</w:t>
      </w:r>
    </w:p>
    <w:p>
      <w:pPr>
        <w:spacing w:after="0" w:line="87" w:lineRule="exact"/>
        <w:rPr>
          <w:sz w:val="20"/>
          <w:szCs w:val="20"/>
          <w:color w:val="auto"/>
        </w:rPr>
      </w:pPr>
    </w:p>
    <w:p>
      <w:pPr>
        <w:ind w:right="180" w:firstLine="659"/>
        <w:spacing w:after="0" w:line="297" w:lineRule="auto"/>
        <w:rPr>
          <w:sz w:val="20"/>
          <w:szCs w:val="20"/>
          <w:color w:val="auto"/>
        </w:rPr>
      </w:pPr>
      <w:r>
        <w:rPr>
          <w:rFonts w:ascii="Times New Roman" w:cs="Times New Roman" w:eastAsia="Times New Roman" w:hAnsi="Times New Roman"/>
          <w:sz w:val="18"/>
          <w:szCs w:val="18"/>
          <w:color w:val="auto"/>
        </w:rPr>
        <w:t>We are also conducting a randomized placebo-controlled 50-patient, global Phase 1b trial cohort of ANB033 in EoE. This trial will enroll adults who have histologic evidence of EoE with peak eosinophil count ≥15/hpf at the screening endoscopy and with symptomatic dysphagia. Key assessments include safety and tolerability, efficacy assessments including the Dysphagia Symptom Questionnaire (“DSQ”) and peak esophageal intraepithelial eosinophilic count (“eos/hpf”), as well as PK and immunogenicity.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ANB101</w:t>
      </w:r>
    </w:p>
    <w:p>
      <w:pPr>
        <w:spacing w:after="0" w:line="148"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ANB101 is a blood dendritic cell antigen 2 (“BDCA2”) modulator antibody that targets plasmacytoid dendritic cells (“pDCs”) and inhibits interferon secretion and modulates antigen presentation for the treatment of autoimmune and inflammatory diseases. BDCA2 is a molecule specifically expressed on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w:t>
      </w:r>
    </w:p>
    <w:p>
      <w:pPr>
        <w:spacing w:after="0" w:line="84" w:lineRule="exact"/>
        <w:rPr>
          <w:sz w:val="20"/>
          <w:szCs w:val="20"/>
          <w:color w:val="auto"/>
        </w:rPr>
      </w:pPr>
    </w:p>
    <w:p>
      <w:pPr>
        <w:ind w:right="100" w:firstLine="659"/>
        <w:spacing w:after="0" w:line="313" w:lineRule="auto"/>
        <w:rPr>
          <w:sz w:val="20"/>
          <w:szCs w:val="20"/>
          <w:color w:val="auto"/>
        </w:rPr>
      </w:pPr>
      <w:r>
        <w:rPr>
          <w:rFonts w:ascii="Times New Roman" w:cs="Times New Roman" w:eastAsia="Times New Roman" w:hAnsi="Times New Roman"/>
          <w:sz w:val="18"/>
          <w:szCs w:val="18"/>
          <w:color w:val="auto"/>
        </w:rPr>
        <w:t>We initiated a Phase 1 clinical trial of ANB101 in healthy volunteers in March 2025 and the trial is ongoing. ANB101 preclinical data suggests it is a more potent antibody compared to litifilimab with a longer half-life that results in a deeper and more durable PD effect on pDC depletion.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GSK Collaboration</w:t>
      </w:r>
    </w:p>
    <w:p>
      <w:pPr>
        <w:spacing w:after="0" w:line="148" w:lineRule="exact"/>
        <w:rPr>
          <w:sz w:val="20"/>
          <w:szCs w:val="20"/>
          <w:color w:val="auto"/>
        </w:rPr>
      </w:pPr>
    </w:p>
    <w:p>
      <w:pPr>
        <w:ind w:right="640" w:firstLine="659"/>
        <w:spacing w:after="0" w:line="313" w:lineRule="auto"/>
        <w:rPr>
          <w:sz w:val="20"/>
          <w:szCs w:val="20"/>
          <w:color w:val="auto"/>
        </w:rPr>
      </w:pPr>
      <w:r>
        <w:rPr>
          <w:rFonts w:ascii="Times New Roman" w:cs="Times New Roman" w:eastAsia="Times New Roman" w:hAnsi="Times New Roman"/>
          <w:sz w:val="18"/>
          <w:szCs w:val="18"/>
          <w:color w:val="auto"/>
        </w:rPr>
        <w:t>Multiple company-discovered antibody programs have been advanced to preclinical and clinical milestones under our collaborations. Our collaborations include an immuno-oncology-focused collaboration with GSK.</w:t>
      </w:r>
    </w:p>
    <w:p>
      <w:pPr>
        <w:spacing w:after="0" w:line="68" w:lineRule="exact"/>
        <w:rPr>
          <w:sz w:val="20"/>
          <w:szCs w:val="20"/>
          <w:color w:val="auto"/>
        </w:rPr>
      </w:pPr>
    </w:p>
    <w:p>
      <w:pPr>
        <w:ind w:right="20" w:firstLine="659"/>
        <w:spacing w:after="0" w:line="290" w:lineRule="auto"/>
        <w:rPr>
          <w:sz w:val="20"/>
          <w:szCs w:val="20"/>
          <w:color w:val="auto"/>
        </w:rPr>
      </w:pPr>
      <w:r>
        <w:rPr>
          <w:rFonts w:ascii="Times New Roman" w:cs="Times New Roman" w:eastAsia="Times New Roman" w:hAnsi="Times New Roman"/>
          <w:sz w:val="18"/>
          <w:szCs w:val="18"/>
          <w:color w:val="auto"/>
        </w:rPr>
        <w:t>Under the GSK Agreement, a Biologics License Application (“BLA”) for our most advanced partnered program, which is a PD-1 antagonist antibody called Jemperli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A second FDA approval was received in August 2021 for Jemperli in pan-deficient mismatch repair tumors (PdMMRT). In July 2023, the FDA approved Jemperli in combination with chemotherapy for the treatment of adult patients with dMMR MSI-H primary advanced or recurrent endometrial cancer. In December 2023, the EMA approved Jemperli plus chemotherapy for dMMR/MSI-H primary advanced or recurrent endometrial cancer. In August 2024, the FDA approved Jemperli plus chemotherapy for all adult patients with primary advanced or recurrent endometrial cancer. In January 2025, the EMA approved Jemperli plus chemotherapy for this same indication. In October 2025, GSK terminated the TIM-3 antagonist antibody development program under our existing collaboration, and all rights to the TIM-3 antagonist antibody will be reverted to us in the near future.</w:t>
      </w:r>
    </w:p>
    <w:p>
      <w:pPr>
        <w:spacing w:after="0" w:line="90" w:lineRule="exact"/>
        <w:rPr>
          <w:sz w:val="20"/>
          <w:szCs w:val="20"/>
          <w:color w:val="auto"/>
        </w:rPr>
      </w:pPr>
    </w:p>
    <w:p>
      <w:pPr>
        <w:ind w:right="520" w:firstLine="659"/>
        <w:spacing w:after="0" w:line="313" w:lineRule="auto"/>
        <w:rPr>
          <w:sz w:val="20"/>
          <w:szCs w:val="20"/>
          <w:color w:val="auto"/>
        </w:rPr>
      </w:pPr>
      <w:r>
        <w:rPr>
          <w:rFonts w:ascii="Times New Roman" w:cs="Times New Roman" w:eastAsia="Times New Roman" w:hAnsi="Times New Roman"/>
          <w:sz w:val="18"/>
          <w:szCs w:val="18"/>
          <w:color w:val="auto"/>
        </w:rPr>
        <w:t>For the year ended December 31, 2025, GSK reported $1.1 billion in sales for Jemperli, a greater than 80% sales growth when compared to $598.0 million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Vanda Collaboration</w:t>
      </w:r>
    </w:p>
    <w:p>
      <w:pPr>
        <w:spacing w:after="0" w:line="162" w:lineRule="exact"/>
        <w:rPr>
          <w:sz w:val="20"/>
          <w:szCs w:val="20"/>
          <w:color w:val="auto"/>
        </w:rPr>
      </w:pPr>
    </w:p>
    <w:p>
      <w:pPr>
        <w:ind w:right="140" w:firstLine="659"/>
        <w:spacing w:after="0" w:line="297" w:lineRule="auto"/>
        <w:rPr>
          <w:sz w:val="20"/>
          <w:szCs w:val="20"/>
          <w:color w:val="auto"/>
        </w:rPr>
      </w:pPr>
      <w:r>
        <w:rPr>
          <w:rFonts w:ascii="Times New Roman" w:cs="Times New Roman" w:eastAsia="Times New Roman" w:hAnsi="Times New Roman"/>
          <w:sz w:val="18"/>
          <w:szCs w:val="18"/>
          <w:color w:val="auto"/>
        </w:rPr>
        <w:t>On January 31, 2025, we entered into an Exclusive License Agreement (the “Vanda License Agreement”) with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spacing w:after="0" w:line="69" w:lineRule="exact"/>
        <w:rPr>
          <w:sz w:val="20"/>
          <w:szCs w:val="20"/>
          <w:color w:val="auto"/>
        </w:rPr>
      </w:pPr>
    </w:p>
    <w:p>
      <w:pPr>
        <w:ind w:right="200" w:firstLine="659"/>
        <w:spacing w:after="0" w:line="329" w:lineRule="auto"/>
        <w:rPr>
          <w:sz w:val="20"/>
          <w:szCs w:val="20"/>
          <w:color w:val="auto"/>
        </w:rPr>
      </w:pPr>
      <w:r>
        <w:rPr>
          <w:rFonts w:ascii="Times New Roman" w:cs="Times New Roman" w:eastAsia="Times New Roman" w:hAnsi="Times New Roman"/>
          <w:sz w:val="18"/>
          <w:szCs w:val="18"/>
          <w:color w:val="auto"/>
        </w:rPr>
        <w:t>In December 2025, Vanda announced the submission of a BLA to the U.S. FDA for imsidolimab in GPP. The FDA accepted the BLA filing for imsidolimab in GPP in February 2026 with a target action date of December 12, 2026.</w:t>
      </w:r>
    </w:p>
    <w:p>
      <w:pPr>
        <w:spacing w:after="0" w:line="40" w:lineRule="exact"/>
        <w:rPr>
          <w:sz w:val="20"/>
          <w:szCs w:val="20"/>
          <w:color w:val="auto"/>
        </w:rPr>
      </w:pPr>
    </w:p>
    <w:p>
      <w:pPr>
        <w:ind w:right="100" w:firstLine="659"/>
        <w:spacing w:after="0" w:line="313" w:lineRule="auto"/>
        <w:rPr>
          <w:sz w:val="20"/>
          <w:szCs w:val="20"/>
          <w:color w:val="auto"/>
        </w:rPr>
      </w:pPr>
      <w:r>
        <w:rPr>
          <w:rFonts w:ascii="Times New Roman" w:cs="Times New Roman" w:eastAsia="Times New Roman" w:hAnsi="Times New Roman"/>
          <w:sz w:val="18"/>
          <w:szCs w:val="18"/>
          <w:color w:val="auto"/>
        </w:rPr>
        <w:t>Pursuant to the terms of the Vanda License Agreement, we received an upfront payment of $10.0 million and a $5.0 million payment for existing drug supply. We are also eligible to receive a 10% royalty on net sales, as well as the following milestones under the Vanda License Agreement: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about these collaborations, see “— Collaborations” included in Part I, Item 1 of this Annual Report.</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48" w:lineRule="exact"/>
        <w:rPr>
          <w:sz w:val="20"/>
          <w:szCs w:val="20"/>
          <w:color w:val="auto"/>
        </w:rPr>
      </w:pPr>
    </w:p>
    <w:p>
      <w:pPr>
        <w:ind w:right="220" w:firstLine="659"/>
        <w:spacing w:after="0" w:line="302" w:lineRule="auto"/>
        <w:rPr>
          <w:sz w:val="20"/>
          <w:szCs w:val="20"/>
          <w:color w:val="auto"/>
        </w:rPr>
      </w:pPr>
      <w:r>
        <w:rPr>
          <w:rFonts w:ascii="Times New Roman" w:cs="Times New Roman" w:eastAsia="Times New Roman" w:hAnsi="Times New Roman"/>
          <w:sz w:val="18"/>
          <w:szCs w:val="18"/>
          <w:color w:val="auto"/>
        </w:rPr>
        <w:t>As of December 31, 2025, we had an accumulated deficit of $772.6 million, primarily as a result of losses incurred since our inception in 2005.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spacing w:after="0" w:line="65" w:lineRule="exact"/>
        <w:rPr>
          <w:sz w:val="20"/>
          <w:szCs w:val="20"/>
          <w:color w:val="auto"/>
        </w:rPr>
      </w:pPr>
    </w:p>
    <w:p>
      <w:pPr>
        <w:ind w:firstLine="659"/>
        <w:spacing w:after="0" w:line="305" w:lineRule="auto"/>
        <w:rPr>
          <w:sz w:val="20"/>
          <w:szCs w:val="20"/>
          <w:color w:val="auto"/>
        </w:rPr>
      </w:pPr>
      <w:r>
        <w:rPr>
          <w:rFonts w:ascii="Times New Roman" w:cs="Times New Roman" w:eastAsia="Times New Roman" w:hAnsi="Times New Roman"/>
          <w:sz w:val="18"/>
          <w:szCs w:val="18"/>
          <w:color w:val="auto"/>
        </w:rPr>
        <w:t>For our discussion related to the results of our operations and liquidity and capital resources for fiscal year ended December 31, 2024 compared to the year ended December 31, 2023, please refer to Part II, Item 7, “Management’s Discussion and Analysis of Financial Condition and Results of Operations” in our Annual Report on Form 10-K for the year ended December 31, 2024.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62" w:lineRule="exact"/>
        <w:rPr>
          <w:sz w:val="20"/>
          <w:szCs w:val="20"/>
          <w:color w:val="auto"/>
        </w:rPr>
      </w:pPr>
    </w:p>
    <w:p>
      <w:pPr>
        <w:ind w:right="260" w:firstLine="659"/>
        <w:spacing w:after="0" w:line="297" w:lineRule="auto"/>
        <w:rPr>
          <w:sz w:val="20"/>
          <w:szCs w:val="20"/>
          <w:color w:val="auto"/>
        </w:rPr>
      </w:pPr>
      <w:r>
        <w:rPr>
          <w:rFonts w:ascii="Times New Roman" w:cs="Times New Roman" w:eastAsia="Times New Roman" w:hAnsi="Times New Roman"/>
          <w:sz w:val="18"/>
          <w:szCs w:val="18"/>
          <w:color w:val="auto"/>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December 31, 2025, we have recognized $581.1 million in revenue from our collaborators.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Exclusive License Agreement with GSK</w:t>
      </w:r>
    </w:p>
    <w:p>
      <w:pPr>
        <w:spacing w:after="0" w:line="148" w:lineRule="exact"/>
        <w:rPr>
          <w:sz w:val="20"/>
          <w:szCs w:val="20"/>
          <w:color w:val="auto"/>
        </w:rPr>
      </w:pPr>
    </w:p>
    <w:p>
      <w:pPr>
        <w:ind w:right="160" w:firstLine="659"/>
        <w:spacing w:after="0" w:line="297" w:lineRule="auto"/>
        <w:rPr>
          <w:sz w:val="20"/>
          <w:szCs w:val="20"/>
          <w:color w:val="auto"/>
        </w:rPr>
      </w:pPr>
      <w:r>
        <w:rPr>
          <w:rFonts w:ascii="Times New Roman" w:cs="Times New Roman" w:eastAsia="Times New Roman" w:hAnsi="Times New Roman"/>
          <w:sz w:val="18"/>
          <w:szCs w:val="18"/>
          <w:color w:val="auto"/>
        </w:rPr>
        <w:t>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Jemperli (dostarlimab) as a monotherapy and in combination with additional therapies, for various solid tumor indications.</w:t>
      </w:r>
    </w:p>
    <w:p>
      <w:pPr>
        <w:spacing w:after="0" w:line="82" w:lineRule="exact"/>
        <w:rPr>
          <w:sz w:val="20"/>
          <w:szCs w:val="20"/>
          <w:color w:val="auto"/>
        </w:rPr>
      </w:pPr>
    </w:p>
    <w:p>
      <w:pPr>
        <w:ind w:right="100" w:firstLine="659"/>
        <w:spacing w:after="0" w:line="290" w:lineRule="auto"/>
        <w:rPr>
          <w:sz w:val="20"/>
          <w:szCs w:val="20"/>
          <w:color w:val="auto"/>
        </w:rPr>
      </w:pPr>
      <w:r>
        <w:rPr>
          <w:rFonts w:ascii="Times New Roman" w:cs="Times New Roman" w:eastAsia="Times New Roman" w:hAnsi="Times New Roman"/>
          <w:sz w:val="18"/>
          <w:szCs w:val="18"/>
          <w:color w:val="auto"/>
        </w:rPr>
        <w:t>For Jemperli, the remaining development program under the GSK Agreement, we are eligible to receive milestone payments if a European regulatory submission and approval in a second indication is achieved.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 3, we were granted increased royalties upon sales of Jemperli, equal to 8% of net sales (as defined in the GSK Agreement) below $1.0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spacing w:after="0" w:line="92" w:lineRule="exact"/>
        <w:rPr>
          <w:sz w:val="20"/>
          <w:szCs w:val="20"/>
          <w:color w:val="auto"/>
        </w:rPr>
      </w:pPr>
    </w:p>
    <w:p>
      <w:pPr>
        <w:ind w:right="320" w:firstLine="659"/>
        <w:spacing w:after="0" w:line="305" w:lineRule="auto"/>
        <w:rPr>
          <w:sz w:val="20"/>
          <w:szCs w:val="20"/>
          <w:color w:val="auto"/>
        </w:rPr>
      </w:pPr>
      <w:r>
        <w:rPr>
          <w:rFonts w:ascii="Times New Roman" w:cs="Times New Roman" w:eastAsia="Times New Roman" w:hAnsi="Times New Roman"/>
          <w:sz w:val="18"/>
          <w:szCs w:val="18"/>
          <w:color w:val="auto"/>
        </w:rPr>
        <w:t>In October 2021, we signed a royalty monetization agreement (“Jemperli Royalty Monetization Agreement”) with Sagard Healthcare Royalty Partners, LP (“Sagard”). Under the terms of the Jemperli Royalty Monetization Agreement, we received $250.0 million in exchange for royalties and milestones payable to us under our GSK collaboration on annual global net sales of Jemperli.</w:t>
      </w:r>
    </w:p>
    <w:p>
      <w:pPr>
        <w:spacing w:after="0" w:line="61" w:lineRule="exact"/>
        <w:rPr>
          <w:sz w:val="20"/>
          <w:szCs w:val="20"/>
          <w:color w:val="auto"/>
        </w:rPr>
      </w:pPr>
    </w:p>
    <w:p>
      <w:pPr>
        <w:ind w:right="20" w:firstLine="659"/>
        <w:spacing w:after="0" w:line="293" w:lineRule="auto"/>
        <w:rPr>
          <w:sz w:val="20"/>
          <w:szCs w:val="20"/>
          <w:color w:val="auto"/>
        </w:rPr>
      </w:pPr>
      <w:r>
        <w:rPr>
          <w:rFonts w:ascii="Times New Roman" w:cs="Times New Roman" w:eastAsia="Times New Roman" w:hAnsi="Times New Roman"/>
          <w:sz w:val="18"/>
          <w:szCs w:val="18"/>
          <w:color w:val="auto"/>
        </w:rPr>
        <w:t>In May 2024, we entered into an amendment to the Jemperli Royalty Monetization Agreement, Amendment No. 1 (the “Jemperli Amendment”) under which we sold additional receivables to Sagard in exchange for $50.0 million. The Jemperli Amendment includes all Jemperli sales, including any product containing Jemperli, whether or not such product constitutes a combination product, and the threshold amounts of aggregate Jemperli royalties and milestones to be received by Sagard under the Jemperli Amendment is either $600.0 million if received by the end of March 31, 2031, or $675.0 million if received thereafter. Once either of these thresholds are met, the Jemperli Royalty Monetization Agreement and the Jemperli Amendment will expire, resulting in us regaining all subsequent Jemperli royalties and milestones. As of December 31, 2025, Sagard has accrued approximately $250.0 million in royalties and milestones. For more information see Note 5 — Sale of Future Royalties in the accompanying notes to the consolidated financial statements included in Part II, Item 8, “Consolidated Financial Statements and Supplementary Data” of this Annual Report on Form 10-K.</w:t>
      </w:r>
    </w:p>
    <w:p>
      <w:pPr>
        <w:spacing w:after="0" w:line="71" w:lineRule="exact"/>
        <w:rPr>
          <w:sz w:val="20"/>
          <w:szCs w:val="20"/>
          <w:color w:val="auto"/>
        </w:rPr>
      </w:pPr>
    </w:p>
    <w:p>
      <w:pPr>
        <w:ind w:right="20" w:firstLine="659"/>
        <w:spacing w:after="0" w:line="305" w:lineRule="auto"/>
        <w:rPr>
          <w:sz w:val="20"/>
          <w:szCs w:val="20"/>
          <w:color w:val="auto"/>
        </w:rPr>
      </w:pPr>
      <w:r>
        <w:rPr>
          <w:rFonts w:ascii="Times New Roman" w:cs="Times New Roman" w:eastAsia="Times New Roman" w:hAnsi="Times New Roman"/>
          <w:sz w:val="18"/>
          <w:szCs w:val="18"/>
          <w:color w:val="auto"/>
        </w:rPr>
        <w:t>The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Milestones under the GSK Agreement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0" w:type="dxa"/>
            <w:vAlign w:val="bottom"/>
          </w:tcPr>
          <w:p>
            <w:pPr>
              <w:jc w:val="center"/>
              <w:ind w:right="1052"/>
              <w:spacing w:after="0"/>
              <w:rPr>
                <w:sz w:val="20"/>
                <w:szCs w:val="20"/>
                <w:color w:val="auto"/>
              </w:rPr>
            </w:pPr>
            <w:r>
              <w:rPr>
                <w:rFonts w:ascii="Times New Roman" w:cs="Times New Roman" w:eastAsia="Times New Roman" w:hAnsi="Times New Roman"/>
                <w:sz w:val="14"/>
                <w:szCs w:val="14"/>
                <w:b w:val="1"/>
                <w:bCs w:val="1"/>
                <w:color w:val="auto"/>
                <w:w w:val="98"/>
              </w:rPr>
              <w:t>PD-1</w:t>
            </w:r>
          </w:p>
        </w:tc>
        <w:tc>
          <w:tcPr>
            <w:tcW w:w="0" w:type="dxa"/>
            <w:vAlign w:val="bottom"/>
          </w:tcPr>
          <w:p>
            <w:pPr>
              <w:spacing w:after="0"/>
              <w:rPr>
                <w:sz w:val="1"/>
                <w:szCs w:val="1"/>
                <w:color w:val="auto"/>
              </w:rPr>
            </w:pPr>
          </w:p>
        </w:tc>
      </w:tr>
      <w:tr>
        <w:trPr>
          <w:trHeight w:val="173"/>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1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jc w:val="center"/>
              <w:ind w:right="1052"/>
              <w:spacing w:after="0"/>
              <w:rPr>
                <w:sz w:val="20"/>
                <w:szCs w:val="20"/>
                <w:color w:val="auto"/>
              </w:rPr>
            </w:pPr>
            <w:r>
              <w:rPr>
                <w:rFonts w:ascii="Times New Roman" w:cs="Times New Roman" w:eastAsia="Times New Roman" w:hAnsi="Times New Roman"/>
                <w:sz w:val="14"/>
                <w:szCs w:val="14"/>
                <w:b w:val="1"/>
                <w:bCs w:val="1"/>
                <w:color w:val="auto"/>
              </w:rPr>
              <w:t>(Jemperli/Dostarlimab)</w:t>
            </w:r>
          </w:p>
        </w:tc>
        <w:tc>
          <w:tcPr>
            <w:tcW w:w="0" w:type="dxa"/>
            <w:vAlign w:val="bottom"/>
          </w:tcPr>
          <w:p>
            <w:pPr>
              <w:spacing w:after="0"/>
              <w:rPr>
                <w:sz w:val="1"/>
                <w:szCs w:val="1"/>
                <w:color w:val="auto"/>
              </w:rPr>
            </w:pPr>
          </w:p>
        </w:tc>
      </w:tr>
      <w:tr>
        <w:trPr>
          <w:trHeight w:val="142"/>
        </w:trPr>
        <w:tc>
          <w:tcPr>
            <w:tcW w:w="7520" w:type="dxa"/>
            <w:vAlign w:val="bottom"/>
            <w:vMerge w:val="continue"/>
          </w:tcPr>
          <w:p>
            <w:pPr>
              <w:spacing w:after="0"/>
              <w:rPr>
                <w:sz w:val="12"/>
                <w:szCs w:val="12"/>
                <w:color w:val="auto"/>
              </w:rPr>
            </w:pPr>
          </w:p>
        </w:tc>
        <w:tc>
          <w:tcPr>
            <w:tcW w:w="112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0" w:type="dxa"/>
            <w:vAlign w:val="bottom"/>
          </w:tcPr>
          <w:p>
            <w:pPr>
              <w:ind w:left="1000"/>
              <w:spacing w:after="0" w:line="142" w:lineRule="exact"/>
              <w:rPr>
                <w:sz w:val="20"/>
                <w:szCs w:val="20"/>
                <w:color w:val="auto"/>
              </w:rPr>
            </w:pPr>
            <w:r>
              <w:rPr>
                <w:rFonts w:ascii="Times New Roman" w:cs="Times New Roman" w:eastAsia="Times New Roman" w:hAnsi="Times New Roman"/>
                <w:sz w:val="14"/>
                <w:szCs w:val="14"/>
                <w:b w:val="1"/>
                <w:bCs w:val="1"/>
                <w:color w:val="auto"/>
              </w:rPr>
              <w:t>Quarter Recognized</w:t>
            </w:r>
          </w:p>
        </w:tc>
        <w:tc>
          <w:tcPr>
            <w:tcW w:w="0" w:type="dxa"/>
            <w:vAlign w:val="bottom"/>
          </w:tcPr>
          <w:p>
            <w:pPr>
              <w:spacing w:after="0"/>
              <w:rPr>
                <w:sz w:val="1"/>
                <w:szCs w:val="1"/>
                <w:color w:val="auto"/>
              </w:rPr>
            </w:pPr>
          </w:p>
        </w:tc>
      </w:tr>
      <w:tr>
        <w:trPr>
          <w:trHeight w:val="189"/>
        </w:trPr>
        <w:tc>
          <w:tcPr>
            <w:tcW w:w="7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Initiated in vivo toxicology studies using good laboratory practices (GLPs)</w:t>
            </w:r>
          </w:p>
        </w:tc>
        <w:tc>
          <w:tcPr>
            <w:tcW w:w="1120" w:type="dxa"/>
            <w:vAlign w:val="bottom"/>
            <w:shd w:val="clear" w:color="auto" w:fill="CFF0FC"/>
          </w:tcPr>
          <w:p>
            <w:pPr>
              <w:jc w:val="center"/>
              <w:ind w:left="391"/>
              <w:spacing w:after="0" w:line="189" w:lineRule="exact"/>
              <w:rPr>
                <w:sz w:val="20"/>
                <w:szCs w:val="20"/>
                <w:color w:val="auto"/>
              </w:rPr>
            </w:pPr>
            <w:r>
              <w:rPr>
                <w:rFonts w:ascii="Times New Roman" w:cs="Times New Roman" w:eastAsia="Times New Roman" w:hAnsi="Times New Roman"/>
                <w:sz w:val="18"/>
                <w:szCs w:val="18"/>
                <w:color w:val="auto"/>
              </w:rPr>
              <w:t>$1.0M</w:t>
            </w:r>
          </w:p>
        </w:tc>
        <w:tc>
          <w:tcPr>
            <w:tcW w:w="2600" w:type="dxa"/>
            <w:vAlign w:val="bottom"/>
            <w:shd w:val="clear" w:color="auto" w:fill="CFF0FC"/>
          </w:tcPr>
          <w:p>
            <w:pPr>
              <w:jc w:val="center"/>
              <w:ind w:left="572"/>
              <w:spacing w:after="0" w:line="189" w:lineRule="exact"/>
              <w:rPr>
                <w:sz w:val="20"/>
                <w:szCs w:val="20"/>
                <w:color w:val="auto"/>
              </w:rPr>
            </w:pPr>
            <w:r>
              <w:rPr>
                <w:rFonts w:ascii="Times New Roman" w:cs="Times New Roman" w:eastAsia="Times New Roman" w:hAnsi="Times New Roman"/>
                <w:sz w:val="18"/>
                <w:szCs w:val="18"/>
                <w:color w:val="auto"/>
                <w:w w:val="97"/>
              </w:rPr>
              <w:t>Q2'15</w:t>
            </w:r>
          </w:p>
        </w:tc>
        <w:tc>
          <w:tcPr>
            <w:tcW w:w="0" w:type="dxa"/>
            <w:vAlign w:val="bottom"/>
          </w:tcPr>
          <w:p>
            <w:pPr>
              <w:spacing w:after="0"/>
              <w:rPr>
                <w:sz w:val="1"/>
                <w:szCs w:val="1"/>
                <w:color w:val="auto"/>
              </w:rPr>
            </w:pP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IND clearance from the FDA</w:t>
            </w:r>
          </w:p>
        </w:tc>
        <w:tc>
          <w:tcPr>
            <w:tcW w:w="1120" w:type="dxa"/>
            <w:vAlign w:val="bottom"/>
          </w:tcPr>
          <w:p>
            <w:pPr>
              <w:jc w:val="center"/>
              <w:ind w:left="391"/>
              <w:spacing w:after="0" w:line="189" w:lineRule="exact"/>
              <w:rPr>
                <w:sz w:val="20"/>
                <w:szCs w:val="20"/>
                <w:color w:val="auto"/>
              </w:rPr>
            </w:pPr>
            <w:r>
              <w:rPr>
                <w:rFonts w:ascii="Times New Roman" w:cs="Times New Roman" w:eastAsia="Times New Roman" w:hAnsi="Times New Roman"/>
                <w:sz w:val="18"/>
                <w:szCs w:val="18"/>
                <w:color w:val="auto"/>
              </w:rPr>
              <w:t>$4.0M</w:t>
            </w:r>
          </w:p>
        </w:tc>
        <w:tc>
          <w:tcPr>
            <w:tcW w:w="2600" w:type="dxa"/>
            <w:vAlign w:val="bottom"/>
          </w:tcPr>
          <w:p>
            <w:pPr>
              <w:jc w:val="center"/>
              <w:ind w:left="572"/>
              <w:spacing w:after="0" w:line="189" w:lineRule="exact"/>
              <w:rPr>
                <w:sz w:val="20"/>
                <w:szCs w:val="20"/>
                <w:color w:val="auto"/>
              </w:rPr>
            </w:pPr>
            <w:r>
              <w:rPr>
                <w:rFonts w:ascii="Times New Roman" w:cs="Times New Roman" w:eastAsia="Times New Roman" w:hAnsi="Times New Roman"/>
                <w:sz w:val="18"/>
                <w:szCs w:val="18"/>
                <w:color w:val="auto"/>
                <w:w w:val="97"/>
              </w:rPr>
              <w:t>Q1'16</w:t>
            </w:r>
          </w:p>
        </w:tc>
        <w:tc>
          <w:tcPr>
            <w:tcW w:w="0" w:type="dxa"/>
            <w:vAlign w:val="bottom"/>
          </w:tcPr>
          <w:p>
            <w:pPr>
              <w:spacing w:after="0"/>
              <w:rPr>
                <w:sz w:val="1"/>
                <w:szCs w:val="1"/>
                <w:color w:val="auto"/>
              </w:rPr>
            </w:pPr>
          </w:p>
        </w:tc>
      </w:tr>
      <w:tr>
        <w:trPr>
          <w:trHeight w:val="189"/>
        </w:trPr>
        <w:tc>
          <w:tcPr>
            <w:tcW w:w="7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Phase 2 clinical trial initiation</w:t>
            </w:r>
          </w:p>
        </w:tc>
        <w:tc>
          <w:tcPr>
            <w:tcW w:w="1120" w:type="dxa"/>
            <w:vAlign w:val="bottom"/>
            <w:shd w:val="clear" w:color="auto" w:fill="CFF0FC"/>
          </w:tcPr>
          <w:p>
            <w:pPr>
              <w:jc w:val="center"/>
              <w:ind w:left="391"/>
              <w:spacing w:after="0" w:line="189" w:lineRule="exact"/>
              <w:rPr>
                <w:sz w:val="20"/>
                <w:szCs w:val="20"/>
                <w:color w:val="auto"/>
              </w:rPr>
            </w:pPr>
            <w:r>
              <w:rPr>
                <w:rFonts w:ascii="Times New Roman" w:cs="Times New Roman" w:eastAsia="Times New Roman" w:hAnsi="Times New Roman"/>
                <w:sz w:val="18"/>
                <w:szCs w:val="18"/>
                <w:color w:val="auto"/>
              </w:rPr>
              <w:t>$3.0M</w:t>
            </w:r>
          </w:p>
        </w:tc>
        <w:tc>
          <w:tcPr>
            <w:tcW w:w="2600" w:type="dxa"/>
            <w:vAlign w:val="bottom"/>
            <w:shd w:val="clear" w:color="auto" w:fill="CFF0FC"/>
          </w:tcPr>
          <w:p>
            <w:pPr>
              <w:jc w:val="center"/>
              <w:ind w:left="572"/>
              <w:spacing w:after="0" w:line="189" w:lineRule="exact"/>
              <w:rPr>
                <w:sz w:val="20"/>
                <w:szCs w:val="20"/>
                <w:color w:val="auto"/>
              </w:rPr>
            </w:pPr>
            <w:r>
              <w:rPr>
                <w:rFonts w:ascii="Times New Roman" w:cs="Times New Roman" w:eastAsia="Times New Roman" w:hAnsi="Times New Roman"/>
                <w:sz w:val="18"/>
                <w:szCs w:val="18"/>
                <w:color w:val="auto"/>
                <w:w w:val="97"/>
              </w:rPr>
              <w:t>Q2'17</w:t>
            </w:r>
          </w:p>
        </w:tc>
        <w:tc>
          <w:tcPr>
            <w:tcW w:w="0" w:type="dxa"/>
            <w:vAlign w:val="bottom"/>
          </w:tcPr>
          <w:p>
            <w:pPr>
              <w:spacing w:after="0"/>
              <w:rPr>
                <w:sz w:val="1"/>
                <w:szCs w:val="1"/>
                <w:color w:val="auto"/>
              </w:rPr>
            </w:pPr>
          </w:p>
        </w:tc>
      </w:tr>
      <w:tr>
        <w:trPr>
          <w:trHeight w:val="157"/>
        </w:trPr>
        <w:tc>
          <w:tcPr>
            <w:tcW w:w="75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Phase 3 clinical trial initiation - first indication</w:t>
            </w:r>
          </w:p>
        </w:tc>
        <w:tc>
          <w:tcPr>
            <w:tcW w:w="1120" w:type="dxa"/>
            <w:vAlign w:val="bottom"/>
          </w:tcPr>
          <w:p>
            <w:pPr>
              <w:jc w:val="center"/>
              <w:ind w:left="391"/>
              <w:spacing w:after="0" w:line="157" w:lineRule="exact"/>
              <w:rPr>
                <w:sz w:val="20"/>
                <w:szCs w:val="20"/>
                <w:color w:val="auto"/>
              </w:rPr>
            </w:pPr>
            <w:r>
              <w:rPr>
                <w:rFonts w:ascii="Times New Roman" w:cs="Times New Roman" w:eastAsia="Times New Roman" w:hAnsi="Times New Roman"/>
                <w:sz w:val="18"/>
                <w:szCs w:val="18"/>
                <w:color w:val="auto"/>
              </w:rPr>
              <w:t>$5.0M</w:t>
            </w:r>
          </w:p>
        </w:tc>
        <w:tc>
          <w:tcPr>
            <w:tcW w:w="2600" w:type="dxa"/>
            <w:vAlign w:val="bottom"/>
          </w:tcPr>
          <w:p>
            <w:pPr>
              <w:jc w:val="center"/>
              <w:ind w:left="572"/>
              <w:spacing w:after="0" w:line="157" w:lineRule="exact"/>
              <w:rPr>
                <w:sz w:val="20"/>
                <w:szCs w:val="20"/>
                <w:color w:val="auto"/>
              </w:rPr>
            </w:pPr>
            <w:r>
              <w:rPr>
                <w:rFonts w:ascii="Times New Roman" w:cs="Times New Roman" w:eastAsia="Times New Roman" w:hAnsi="Times New Roman"/>
                <w:sz w:val="18"/>
                <w:szCs w:val="18"/>
                <w:color w:val="auto"/>
                <w:w w:val="97"/>
              </w:rPr>
              <w:t>Q3'18</w:t>
            </w:r>
          </w:p>
        </w:tc>
        <w:tc>
          <w:tcPr>
            <w:tcW w:w="0" w:type="dxa"/>
            <w:vAlign w:val="bottom"/>
          </w:tcPr>
          <w:p>
            <w:pPr>
              <w:spacing w:after="0"/>
              <w:rPr>
                <w:sz w:val="1"/>
                <w:szCs w:val="1"/>
                <w:color w:val="auto"/>
              </w:rPr>
            </w:pPr>
          </w:p>
        </w:tc>
      </w:tr>
      <w:tr>
        <w:trPr>
          <w:trHeight w:val="180"/>
        </w:trPr>
        <w:tc>
          <w:tcPr>
            <w:tcW w:w="7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Phase 3 clinical trial initiation - second indication</w:t>
            </w:r>
          </w:p>
        </w:tc>
        <w:tc>
          <w:tcPr>
            <w:tcW w:w="1120" w:type="dxa"/>
            <w:vAlign w:val="bottom"/>
          </w:tcPr>
          <w:p>
            <w:pPr>
              <w:jc w:val="center"/>
              <w:ind w:left="391"/>
              <w:spacing w:after="0" w:line="181" w:lineRule="exact"/>
              <w:rPr>
                <w:sz w:val="20"/>
                <w:szCs w:val="20"/>
                <w:color w:val="auto"/>
              </w:rPr>
            </w:pPr>
            <w:r>
              <w:rPr>
                <w:rFonts w:ascii="Times New Roman" w:cs="Times New Roman" w:eastAsia="Times New Roman" w:hAnsi="Times New Roman"/>
                <w:sz w:val="18"/>
                <w:szCs w:val="18"/>
                <w:color w:val="auto"/>
              </w:rPr>
              <w:t>$5.0M</w:t>
            </w:r>
          </w:p>
        </w:tc>
        <w:tc>
          <w:tcPr>
            <w:tcW w:w="2600" w:type="dxa"/>
            <w:vAlign w:val="bottom"/>
          </w:tcPr>
          <w:p>
            <w:pPr>
              <w:jc w:val="center"/>
              <w:ind w:left="572"/>
              <w:spacing w:after="0" w:line="181" w:lineRule="exact"/>
              <w:rPr>
                <w:sz w:val="20"/>
                <w:szCs w:val="20"/>
                <w:color w:val="auto"/>
              </w:rPr>
            </w:pPr>
            <w:r>
              <w:rPr>
                <w:rFonts w:ascii="Times New Roman" w:cs="Times New Roman" w:eastAsia="Times New Roman" w:hAnsi="Times New Roman"/>
                <w:sz w:val="18"/>
                <w:szCs w:val="18"/>
                <w:color w:val="auto"/>
                <w:w w:val="97"/>
              </w:rPr>
              <w:t>Q2'19</w:t>
            </w:r>
          </w:p>
        </w:tc>
        <w:tc>
          <w:tcPr>
            <w:tcW w:w="0" w:type="dxa"/>
            <w:vAlign w:val="bottom"/>
          </w:tcPr>
          <w:p>
            <w:pPr>
              <w:spacing w:after="0"/>
              <w:rPr>
                <w:sz w:val="1"/>
                <w:szCs w:val="1"/>
                <w:color w:val="auto"/>
              </w:rPr>
            </w:pP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Filing of the first BLA</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 first indication</w:t>
            </w:r>
          </w:p>
        </w:tc>
        <w:tc>
          <w:tcPr>
            <w:tcW w:w="1120" w:type="dxa"/>
            <w:vAlign w:val="bottom"/>
          </w:tcPr>
          <w:p>
            <w:pPr>
              <w:jc w:val="center"/>
              <w:ind w:left="391"/>
              <w:spacing w:after="0" w:line="189" w:lineRule="exact"/>
              <w:rPr>
                <w:sz w:val="20"/>
                <w:szCs w:val="20"/>
                <w:color w:val="auto"/>
              </w:rPr>
            </w:pPr>
            <w:r>
              <w:rPr>
                <w:rFonts w:ascii="Times New Roman" w:cs="Times New Roman" w:eastAsia="Times New Roman" w:hAnsi="Times New Roman"/>
                <w:sz w:val="18"/>
                <w:szCs w:val="18"/>
                <w:color w:val="auto"/>
                <w:w w:val="99"/>
              </w:rPr>
              <w:t>$10.0M</w:t>
            </w:r>
          </w:p>
        </w:tc>
        <w:tc>
          <w:tcPr>
            <w:tcW w:w="2600" w:type="dxa"/>
            <w:vAlign w:val="bottom"/>
          </w:tcPr>
          <w:p>
            <w:pPr>
              <w:jc w:val="center"/>
              <w:ind w:left="572"/>
              <w:spacing w:after="0" w:line="189" w:lineRule="exact"/>
              <w:rPr>
                <w:sz w:val="20"/>
                <w:szCs w:val="20"/>
                <w:color w:val="auto"/>
              </w:rPr>
            </w:pPr>
            <w:r>
              <w:rPr>
                <w:rFonts w:ascii="Times New Roman" w:cs="Times New Roman" w:eastAsia="Times New Roman" w:hAnsi="Times New Roman"/>
                <w:sz w:val="18"/>
                <w:szCs w:val="18"/>
                <w:color w:val="auto"/>
                <w:w w:val="97"/>
              </w:rPr>
              <w:t>Q1'20</w:t>
            </w:r>
          </w:p>
        </w:tc>
        <w:tc>
          <w:tcPr>
            <w:tcW w:w="0" w:type="dxa"/>
            <w:vAlign w:val="bottom"/>
          </w:tcPr>
          <w:p>
            <w:pPr>
              <w:spacing w:after="0"/>
              <w:rPr>
                <w:sz w:val="1"/>
                <w:szCs w:val="1"/>
                <w:color w:val="auto"/>
              </w:rPr>
            </w:pPr>
          </w:p>
        </w:tc>
      </w:tr>
      <w:tr>
        <w:trPr>
          <w:trHeight w:val="198"/>
        </w:trPr>
        <w:tc>
          <w:tcPr>
            <w:tcW w:w="7520" w:type="dxa"/>
            <w:vAlign w:val="bottom"/>
          </w:tcPr>
          <w:p>
            <w:pPr>
              <w:spacing w:after="0" w:line="198" w:lineRule="exact"/>
              <w:rPr>
                <w:sz w:val="20"/>
                <w:szCs w:val="20"/>
                <w:color w:val="auto"/>
              </w:rPr>
            </w:pPr>
            <w:r>
              <w:rPr>
                <w:rFonts w:ascii="Times New Roman" w:cs="Times New Roman" w:eastAsia="Times New Roman" w:hAnsi="Times New Roman"/>
                <w:sz w:val="17"/>
                <w:szCs w:val="17"/>
                <w:color w:val="auto"/>
              </w:rPr>
              <w:t>Filing of the first MAA</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 first indication</w:t>
            </w:r>
          </w:p>
        </w:tc>
        <w:tc>
          <w:tcPr>
            <w:tcW w:w="1120" w:type="dxa"/>
            <w:vAlign w:val="bottom"/>
          </w:tcPr>
          <w:p>
            <w:pPr>
              <w:jc w:val="center"/>
              <w:ind w:left="391"/>
              <w:spacing w:after="0" w:line="198" w:lineRule="exact"/>
              <w:rPr>
                <w:sz w:val="20"/>
                <w:szCs w:val="20"/>
                <w:color w:val="auto"/>
              </w:rPr>
            </w:pPr>
            <w:r>
              <w:rPr>
                <w:rFonts w:ascii="Times New Roman" w:cs="Times New Roman" w:eastAsia="Times New Roman" w:hAnsi="Times New Roman"/>
                <w:sz w:val="18"/>
                <w:szCs w:val="18"/>
                <w:color w:val="auto"/>
              </w:rPr>
              <w:t>$5.0M</w:t>
            </w:r>
          </w:p>
        </w:tc>
        <w:tc>
          <w:tcPr>
            <w:tcW w:w="2600" w:type="dxa"/>
            <w:vAlign w:val="bottom"/>
          </w:tcPr>
          <w:p>
            <w:pPr>
              <w:jc w:val="center"/>
              <w:ind w:left="572"/>
              <w:spacing w:after="0" w:line="198" w:lineRule="exact"/>
              <w:rPr>
                <w:sz w:val="20"/>
                <w:szCs w:val="20"/>
                <w:color w:val="auto"/>
              </w:rPr>
            </w:pPr>
            <w:r>
              <w:rPr>
                <w:rFonts w:ascii="Times New Roman" w:cs="Times New Roman" w:eastAsia="Times New Roman" w:hAnsi="Times New Roman"/>
                <w:sz w:val="18"/>
                <w:szCs w:val="18"/>
                <w:color w:val="auto"/>
                <w:w w:val="97"/>
              </w:rPr>
              <w:t>Q1'20</w:t>
            </w:r>
          </w:p>
        </w:tc>
        <w:tc>
          <w:tcPr>
            <w:tcW w:w="0" w:type="dxa"/>
            <w:vAlign w:val="bottom"/>
          </w:tcPr>
          <w:p>
            <w:pPr>
              <w:spacing w:after="0"/>
              <w:rPr>
                <w:sz w:val="1"/>
                <w:szCs w:val="1"/>
                <w:color w:val="auto"/>
              </w:rPr>
            </w:pPr>
          </w:p>
        </w:tc>
      </w:tr>
      <w:tr>
        <w:trPr>
          <w:trHeight w:val="221"/>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Filing of the first BLA - second indication</w:t>
            </w:r>
          </w:p>
        </w:tc>
        <w:tc>
          <w:tcPr>
            <w:tcW w:w="112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$10.0M</w:t>
            </w:r>
          </w:p>
        </w:tc>
        <w:tc>
          <w:tcPr>
            <w:tcW w:w="26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7"/>
              </w:rPr>
              <w:t>Q1'21</w:t>
            </w:r>
          </w:p>
        </w:tc>
        <w:tc>
          <w:tcPr>
            <w:tcW w:w="0" w:type="dxa"/>
            <w:vAlign w:val="bottom"/>
          </w:tcPr>
          <w:p>
            <w:pPr>
              <w:spacing w:after="0"/>
              <w:rPr>
                <w:sz w:val="1"/>
                <w:szCs w:val="1"/>
                <w:color w:val="auto"/>
              </w:rPr>
            </w:pPr>
          </w:p>
        </w:tc>
      </w:tr>
      <w:tr>
        <w:trPr>
          <w:trHeight w:val="189"/>
        </w:trPr>
        <w:tc>
          <w:tcPr>
            <w:tcW w:w="7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First BLA approval - first indication</w:t>
            </w:r>
          </w:p>
        </w:tc>
        <w:tc>
          <w:tcPr>
            <w:tcW w:w="1120" w:type="dxa"/>
            <w:vAlign w:val="bottom"/>
            <w:shd w:val="clear" w:color="auto" w:fill="CFF0FC"/>
          </w:tcPr>
          <w:p>
            <w:pPr>
              <w:jc w:val="center"/>
              <w:ind w:left="391"/>
              <w:spacing w:after="0" w:line="189" w:lineRule="exact"/>
              <w:rPr>
                <w:sz w:val="20"/>
                <w:szCs w:val="20"/>
                <w:color w:val="auto"/>
              </w:rPr>
            </w:pPr>
            <w:r>
              <w:rPr>
                <w:rFonts w:ascii="Times New Roman" w:cs="Times New Roman" w:eastAsia="Times New Roman" w:hAnsi="Times New Roman"/>
                <w:sz w:val="18"/>
                <w:szCs w:val="18"/>
                <w:color w:val="auto"/>
                <w:w w:val="99"/>
              </w:rPr>
              <w:t>$20.0M</w:t>
            </w:r>
          </w:p>
        </w:tc>
        <w:tc>
          <w:tcPr>
            <w:tcW w:w="2600" w:type="dxa"/>
            <w:vAlign w:val="bottom"/>
            <w:shd w:val="clear" w:color="auto" w:fill="CFF0FC"/>
          </w:tcPr>
          <w:p>
            <w:pPr>
              <w:jc w:val="center"/>
              <w:ind w:left="572"/>
              <w:spacing w:after="0" w:line="189" w:lineRule="exact"/>
              <w:rPr>
                <w:sz w:val="20"/>
                <w:szCs w:val="20"/>
                <w:color w:val="auto"/>
              </w:rPr>
            </w:pPr>
            <w:r>
              <w:rPr>
                <w:rFonts w:ascii="Times New Roman" w:cs="Times New Roman" w:eastAsia="Times New Roman" w:hAnsi="Times New Roman"/>
                <w:sz w:val="18"/>
                <w:szCs w:val="18"/>
                <w:color w:val="auto"/>
                <w:w w:val="97"/>
              </w:rPr>
              <w:t>Q2'21</w:t>
            </w:r>
          </w:p>
        </w:tc>
        <w:tc>
          <w:tcPr>
            <w:tcW w:w="0" w:type="dxa"/>
            <w:vAlign w:val="bottom"/>
          </w:tcPr>
          <w:p>
            <w:pPr>
              <w:spacing w:after="0"/>
              <w:rPr>
                <w:sz w:val="1"/>
                <w:szCs w:val="1"/>
                <w:color w:val="auto"/>
              </w:rPr>
            </w:pPr>
          </w:p>
        </w:tc>
      </w:tr>
      <w:tr>
        <w:trPr>
          <w:trHeight w:val="157"/>
        </w:trPr>
        <w:tc>
          <w:tcPr>
            <w:tcW w:w="75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First MAA approval - first indication</w:t>
            </w:r>
          </w:p>
        </w:tc>
        <w:tc>
          <w:tcPr>
            <w:tcW w:w="1120" w:type="dxa"/>
            <w:vAlign w:val="bottom"/>
          </w:tcPr>
          <w:p>
            <w:pPr>
              <w:jc w:val="center"/>
              <w:ind w:left="391"/>
              <w:spacing w:after="0" w:line="157" w:lineRule="exact"/>
              <w:rPr>
                <w:sz w:val="20"/>
                <w:szCs w:val="20"/>
                <w:color w:val="auto"/>
              </w:rPr>
            </w:pPr>
            <w:r>
              <w:rPr>
                <w:rFonts w:ascii="Times New Roman" w:cs="Times New Roman" w:eastAsia="Times New Roman" w:hAnsi="Times New Roman"/>
                <w:sz w:val="18"/>
                <w:szCs w:val="18"/>
                <w:color w:val="auto"/>
                <w:w w:val="99"/>
              </w:rPr>
              <w:t>$10.0M</w:t>
            </w:r>
          </w:p>
        </w:tc>
        <w:tc>
          <w:tcPr>
            <w:tcW w:w="2600" w:type="dxa"/>
            <w:vAlign w:val="bottom"/>
          </w:tcPr>
          <w:p>
            <w:pPr>
              <w:jc w:val="center"/>
              <w:ind w:left="572"/>
              <w:spacing w:after="0" w:line="157" w:lineRule="exact"/>
              <w:rPr>
                <w:sz w:val="20"/>
                <w:szCs w:val="20"/>
                <w:color w:val="auto"/>
              </w:rPr>
            </w:pPr>
            <w:r>
              <w:rPr>
                <w:rFonts w:ascii="Times New Roman" w:cs="Times New Roman" w:eastAsia="Times New Roman" w:hAnsi="Times New Roman"/>
                <w:sz w:val="18"/>
                <w:szCs w:val="18"/>
                <w:color w:val="auto"/>
                <w:w w:val="97"/>
              </w:rPr>
              <w:t>Q2'21</w:t>
            </w:r>
          </w:p>
        </w:tc>
        <w:tc>
          <w:tcPr>
            <w:tcW w:w="0" w:type="dxa"/>
            <w:vAlign w:val="bottom"/>
          </w:tcPr>
          <w:p>
            <w:pPr>
              <w:spacing w:after="0"/>
              <w:rPr>
                <w:sz w:val="1"/>
                <w:szCs w:val="1"/>
                <w:color w:val="auto"/>
              </w:rPr>
            </w:pPr>
          </w:p>
        </w:tc>
      </w:tr>
      <w:tr>
        <w:trPr>
          <w:trHeight w:val="180"/>
        </w:trPr>
        <w:tc>
          <w:tcPr>
            <w:tcW w:w="7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First BLA approval - second indication</w:t>
            </w:r>
          </w:p>
        </w:tc>
        <w:tc>
          <w:tcPr>
            <w:tcW w:w="1120" w:type="dxa"/>
            <w:vAlign w:val="bottom"/>
          </w:tcPr>
          <w:p>
            <w:pPr>
              <w:jc w:val="center"/>
              <w:ind w:left="391"/>
              <w:spacing w:after="0" w:line="181" w:lineRule="exact"/>
              <w:rPr>
                <w:sz w:val="20"/>
                <w:szCs w:val="20"/>
                <w:color w:val="auto"/>
              </w:rPr>
            </w:pPr>
            <w:r>
              <w:rPr>
                <w:rFonts w:ascii="Times New Roman" w:cs="Times New Roman" w:eastAsia="Times New Roman" w:hAnsi="Times New Roman"/>
                <w:sz w:val="18"/>
                <w:szCs w:val="18"/>
                <w:color w:val="auto"/>
                <w:w w:val="99"/>
              </w:rPr>
              <w:t>$20.0M</w:t>
            </w:r>
          </w:p>
        </w:tc>
        <w:tc>
          <w:tcPr>
            <w:tcW w:w="2600" w:type="dxa"/>
            <w:vAlign w:val="bottom"/>
          </w:tcPr>
          <w:p>
            <w:pPr>
              <w:jc w:val="center"/>
              <w:ind w:left="572"/>
              <w:spacing w:after="0" w:line="181" w:lineRule="exact"/>
              <w:rPr>
                <w:sz w:val="20"/>
                <w:szCs w:val="20"/>
                <w:color w:val="auto"/>
              </w:rPr>
            </w:pPr>
            <w:r>
              <w:rPr>
                <w:rFonts w:ascii="Times New Roman" w:cs="Times New Roman" w:eastAsia="Times New Roman" w:hAnsi="Times New Roman"/>
                <w:sz w:val="18"/>
                <w:szCs w:val="18"/>
                <w:color w:val="auto"/>
                <w:w w:val="97"/>
              </w:rPr>
              <w:t>Q3'21</w:t>
            </w:r>
          </w:p>
        </w:tc>
        <w:tc>
          <w:tcPr>
            <w:tcW w:w="0" w:type="dxa"/>
            <w:vAlign w:val="bottom"/>
          </w:tcPr>
          <w:p>
            <w:pPr>
              <w:spacing w:after="0"/>
              <w:rPr>
                <w:sz w:val="1"/>
                <w:szCs w:val="1"/>
                <w:color w:val="auto"/>
              </w:rPr>
            </w:pP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Filing of the first MAA - second indication</w:t>
            </w:r>
            <w:r>
              <w:rPr>
                <w:rFonts w:ascii="Times New Roman" w:cs="Times New Roman" w:eastAsia="Times New Roman" w:hAnsi="Times New Roman"/>
                <w:sz w:val="21"/>
                <w:szCs w:val="21"/>
                <w:color w:val="auto"/>
                <w:vertAlign w:val="superscript"/>
              </w:rPr>
              <w:t>(3)</w:t>
            </w:r>
          </w:p>
        </w:tc>
        <w:tc>
          <w:tcPr>
            <w:tcW w:w="1120" w:type="dxa"/>
            <w:vAlign w:val="bottom"/>
          </w:tcPr>
          <w:p>
            <w:pPr>
              <w:jc w:val="center"/>
              <w:ind w:left="391"/>
              <w:spacing w:after="0" w:line="189" w:lineRule="exact"/>
              <w:rPr>
                <w:sz w:val="20"/>
                <w:szCs w:val="20"/>
                <w:color w:val="auto"/>
              </w:rPr>
            </w:pPr>
            <w:r>
              <w:rPr>
                <w:rFonts w:ascii="Times New Roman" w:cs="Times New Roman" w:eastAsia="Times New Roman" w:hAnsi="Times New Roman"/>
                <w:sz w:val="18"/>
                <w:szCs w:val="18"/>
                <w:color w:val="auto"/>
              </w:rPr>
              <w:t>$5.0M</w:t>
            </w:r>
          </w:p>
        </w:tc>
        <w:tc>
          <w:tcPr>
            <w:tcW w:w="2600" w:type="dxa"/>
            <w:vAlign w:val="bottom"/>
          </w:tcPr>
          <w:p>
            <w:pPr>
              <w:jc w:val="center"/>
              <w:ind w:left="572"/>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First MAA approval - second indication</w:t>
            </w:r>
            <w:r>
              <w:rPr>
                <w:rFonts w:ascii="Times New Roman" w:cs="Times New Roman" w:eastAsia="Times New Roman" w:hAnsi="Times New Roman"/>
                <w:sz w:val="21"/>
                <w:szCs w:val="21"/>
                <w:color w:val="auto"/>
                <w:vertAlign w:val="superscript"/>
              </w:rPr>
              <w:t>(3)</w:t>
            </w:r>
          </w:p>
        </w:tc>
        <w:tc>
          <w:tcPr>
            <w:tcW w:w="1120" w:type="dxa"/>
            <w:vAlign w:val="bottom"/>
          </w:tcPr>
          <w:p>
            <w:pPr>
              <w:jc w:val="center"/>
              <w:ind w:left="391"/>
              <w:spacing w:after="0" w:line="189" w:lineRule="exact"/>
              <w:rPr>
                <w:sz w:val="20"/>
                <w:szCs w:val="20"/>
                <w:color w:val="auto"/>
              </w:rPr>
            </w:pPr>
            <w:r>
              <w:rPr>
                <w:rFonts w:ascii="Times New Roman" w:cs="Times New Roman" w:eastAsia="Times New Roman" w:hAnsi="Times New Roman"/>
                <w:sz w:val="18"/>
                <w:szCs w:val="18"/>
                <w:color w:val="auto"/>
                <w:w w:val="99"/>
              </w:rPr>
              <w:t>$10.0M</w:t>
            </w:r>
          </w:p>
        </w:tc>
        <w:tc>
          <w:tcPr>
            <w:tcW w:w="2600" w:type="dxa"/>
            <w:vAlign w:val="bottom"/>
          </w:tcPr>
          <w:p>
            <w:pPr>
              <w:jc w:val="center"/>
              <w:ind w:left="572"/>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First commercial sales milestone</w:t>
            </w:r>
            <w:r>
              <w:rPr>
                <w:rFonts w:ascii="Times New Roman" w:cs="Times New Roman" w:eastAsia="Times New Roman" w:hAnsi="Times New Roman"/>
                <w:sz w:val="21"/>
                <w:szCs w:val="21"/>
                <w:color w:val="auto"/>
                <w:vertAlign w:val="superscript"/>
              </w:rPr>
              <w:t>(3)</w:t>
            </w:r>
          </w:p>
        </w:tc>
        <w:tc>
          <w:tcPr>
            <w:tcW w:w="1120" w:type="dxa"/>
            <w:vAlign w:val="bottom"/>
          </w:tcPr>
          <w:p>
            <w:pPr>
              <w:jc w:val="center"/>
              <w:ind w:left="391"/>
              <w:spacing w:after="0" w:line="189" w:lineRule="exact"/>
              <w:rPr>
                <w:sz w:val="20"/>
                <w:szCs w:val="20"/>
                <w:color w:val="auto"/>
              </w:rPr>
            </w:pPr>
            <w:r>
              <w:rPr>
                <w:rFonts w:ascii="Times New Roman" w:cs="Times New Roman" w:eastAsia="Times New Roman" w:hAnsi="Times New Roman"/>
                <w:sz w:val="18"/>
                <w:szCs w:val="18"/>
                <w:color w:val="auto"/>
                <w:w w:val="99"/>
              </w:rPr>
              <w:t>$15.0M</w:t>
            </w:r>
          </w:p>
        </w:tc>
        <w:tc>
          <w:tcPr>
            <w:tcW w:w="2600" w:type="dxa"/>
            <w:vAlign w:val="bottom"/>
          </w:tcPr>
          <w:p>
            <w:pPr>
              <w:jc w:val="center"/>
              <w:ind w:left="572"/>
              <w:spacing w:after="0" w:line="189" w:lineRule="exact"/>
              <w:rPr>
                <w:sz w:val="20"/>
                <w:szCs w:val="20"/>
                <w:color w:val="auto"/>
              </w:rPr>
            </w:pPr>
            <w:r>
              <w:rPr>
                <w:rFonts w:ascii="Times New Roman" w:cs="Times New Roman" w:eastAsia="Times New Roman" w:hAnsi="Times New Roman"/>
                <w:sz w:val="18"/>
                <w:szCs w:val="18"/>
                <w:color w:val="auto"/>
                <w:w w:val="97"/>
              </w:rPr>
              <w:t>Q3'24</w:t>
            </w:r>
          </w:p>
        </w:tc>
        <w:tc>
          <w:tcPr>
            <w:tcW w:w="0" w:type="dxa"/>
            <w:vAlign w:val="bottom"/>
          </w:tcPr>
          <w:p>
            <w:pPr>
              <w:spacing w:after="0"/>
              <w:rPr>
                <w:sz w:val="1"/>
                <w:szCs w:val="1"/>
                <w:color w:val="auto"/>
              </w:rPr>
            </w:pP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Second commercial sales milestone</w:t>
            </w:r>
            <w:r>
              <w:rPr>
                <w:rFonts w:ascii="Times New Roman" w:cs="Times New Roman" w:eastAsia="Times New Roman" w:hAnsi="Times New Roman"/>
                <w:sz w:val="21"/>
                <w:szCs w:val="21"/>
                <w:color w:val="auto"/>
                <w:vertAlign w:val="superscript"/>
              </w:rPr>
              <w:t>(3)</w:t>
            </w:r>
          </w:p>
        </w:tc>
        <w:tc>
          <w:tcPr>
            <w:tcW w:w="1120" w:type="dxa"/>
            <w:vAlign w:val="bottom"/>
          </w:tcPr>
          <w:p>
            <w:pPr>
              <w:jc w:val="center"/>
              <w:ind w:left="391"/>
              <w:spacing w:after="0" w:line="189" w:lineRule="exact"/>
              <w:rPr>
                <w:sz w:val="20"/>
                <w:szCs w:val="20"/>
                <w:color w:val="auto"/>
              </w:rPr>
            </w:pPr>
            <w:r>
              <w:rPr>
                <w:rFonts w:ascii="Times New Roman" w:cs="Times New Roman" w:eastAsia="Times New Roman" w:hAnsi="Times New Roman"/>
                <w:sz w:val="18"/>
                <w:szCs w:val="18"/>
                <w:color w:val="auto"/>
                <w:w w:val="99"/>
              </w:rPr>
              <w:t>$25.0M</w:t>
            </w:r>
          </w:p>
        </w:tc>
        <w:tc>
          <w:tcPr>
            <w:tcW w:w="2600" w:type="dxa"/>
            <w:vAlign w:val="bottom"/>
          </w:tcPr>
          <w:p>
            <w:pPr>
              <w:jc w:val="center"/>
              <w:ind w:left="572"/>
              <w:spacing w:after="0" w:line="189" w:lineRule="exact"/>
              <w:rPr>
                <w:sz w:val="20"/>
                <w:szCs w:val="20"/>
                <w:color w:val="auto"/>
              </w:rPr>
            </w:pPr>
            <w:r>
              <w:rPr>
                <w:rFonts w:ascii="Times New Roman" w:cs="Times New Roman" w:eastAsia="Times New Roman" w:hAnsi="Times New Roman"/>
                <w:sz w:val="18"/>
                <w:szCs w:val="18"/>
                <w:color w:val="auto"/>
                <w:w w:val="97"/>
              </w:rPr>
              <w:t>Q4'24</w:t>
            </w:r>
          </w:p>
        </w:tc>
        <w:tc>
          <w:tcPr>
            <w:tcW w:w="0" w:type="dxa"/>
            <w:vAlign w:val="bottom"/>
          </w:tcPr>
          <w:p>
            <w:pPr>
              <w:spacing w:after="0"/>
              <w:rPr>
                <w:sz w:val="1"/>
                <w:szCs w:val="1"/>
                <w:color w:val="auto"/>
              </w:rPr>
            </w:pPr>
          </w:p>
        </w:tc>
      </w:tr>
      <w:tr>
        <w:trPr>
          <w:trHeight w:val="189"/>
        </w:trPr>
        <w:tc>
          <w:tcPr>
            <w:tcW w:w="75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Third commercial sales milestone</w:t>
            </w:r>
            <w:r>
              <w:rPr>
                <w:rFonts w:ascii="Times New Roman" w:cs="Times New Roman" w:eastAsia="Times New Roman" w:hAnsi="Times New Roman"/>
                <w:sz w:val="21"/>
                <w:szCs w:val="21"/>
                <w:color w:val="auto"/>
                <w:vertAlign w:val="superscript"/>
              </w:rPr>
              <w:t>(3)</w:t>
            </w:r>
          </w:p>
        </w:tc>
        <w:tc>
          <w:tcPr>
            <w:tcW w:w="1120" w:type="dxa"/>
            <w:vAlign w:val="bottom"/>
          </w:tcPr>
          <w:p>
            <w:pPr>
              <w:jc w:val="center"/>
              <w:ind w:left="391"/>
              <w:spacing w:after="0" w:line="189" w:lineRule="exact"/>
              <w:rPr>
                <w:sz w:val="20"/>
                <w:szCs w:val="20"/>
                <w:color w:val="auto"/>
              </w:rPr>
            </w:pPr>
            <w:r>
              <w:rPr>
                <w:rFonts w:ascii="Times New Roman" w:cs="Times New Roman" w:eastAsia="Times New Roman" w:hAnsi="Times New Roman"/>
                <w:sz w:val="18"/>
                <w:szCs w:val="18"/>
                <w:color w:val="auto"/>
                <w:w w:val="99"/>
              </w:rPr>
              <w:t>$50.0M</w:t>
            </w:r>
          </w:p>
        </w:tc>
        <w:tc>
          <w:tcPr>
            <w:tcW w:w="2600" w:type="dxa"/>
            <w:vAlign w:val="bottom"/>
          </w:tcPr>
          <w:p>
            <w:pPr>
              <w:jc w:val="center"/>
              <w:ind w:left="572"/>
              <w:spacing w:after="0" w:line="189" w:lineRule="exact"/>
              <w:rPr>
                <w:sz w:val="20"/>
                <w:szCs w:val="20"/>
                <w:color w:val="auto"/>
              </w:rPr>
            </w:pPr>
            <w:r>
              <w:rPr>
                <w:rFonts w:ascii="Times New Roman" w:cs="Times New Roman" w:eastAsia="Times New Roman" w:hAnsi="Times New Roman"/>
                <w:sz w:val="18"/>
                <w:szCs w:val="18"/>
                <w:color w:val="auto"/>
                <w:w w:val="97"/>
              </w:rPr>
              <w:t>Q3'25</w:t>
            </w:r>
          </w:p>
        </w:tc>
        <w:tc>
          <w:tcPr>
            <w:tcW w:w="0" w:type="dxa"/>
            <w:vAlign w:val="bottom"/>
          </w:tcPr>
          <w:p>
            <w:pPr>
              <w:spacing w:after="0"/>
              <w:rPr>
                <w:sz w:val="1"/>
                <w:szCs w:val="1"/>
                <w:color w:val="auto"/>
              </w:rPr>
            </w:pPr>
          </w:p>
        </w:tc>
      </w:tr>
      <w:tr>
        <w:trPr>
          <w:trHeight w:val="230"/>
        </w:trPr>
        <w:tc>
          <w:tcPr>
            <w:tcW w:w="752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Fourth commercial sales milestone</w:t>
            </w:r>
            <w:r>
              <w:rPr>
                <w:rFonts w:ascii="Times New Roman" w:cs="Times New Roman" w:eastAsia="Times New Roman" w:hAnsi="Times New Roman"/>
                <w:sz w:val="24"/>
                <w:szCs w:val="24"/>
                <w:color w:val="auto"/>
                <w:vertAlign w:val="superscript"/>
              </w:rPr>
              <w:t>(4)</w:t>
            </w:r>
          </w:p>
        </w:tc>
        <w:tc>
          <w:tcPr>
            <w:tcW w:w="112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$75.0M</w:t>
            </w:r>
          </w:p>
        </w:tc>
        <w:tc>
          <w:tcPr>
            <w:tcW w:w="26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7"/>
              </w:rPr>
              <w:t>Q4'25</w:t>
            </w:r>
          </w:p>
        </w:tc>
        <w:tc>
          <w:tcPr>
            <w:tcW w:w="0" w:type="dxa"/>
            <w:vAlign w:val="bottom"/>
          </w:tcPr>
          <w:p>
            <w:pPr>
              <w:spacing w:after="0"/>
              <w:rPr>
                <w:sz w:val="1"/>
                <w:szCs w:val="1"/>
                <w:color w:val="auto"/>
              </w:rPr>
            </w:pPr>
          </w:p>
        </w:tc>
      </w:tr>
      <w:tr>
        <w:trPr>
          <w:trHeight w:val="189"/>
        </w:trPr>
        <w:tc>
          <w:tcPr>
            <w:tcW w:w="7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Milestones recognized through December 31, 2025</w:t>
            </w:r>
          </w:p>
        </w:tc>
        <w:tc>
          <w:tcPr>
            <w:tcW w:w="1120" w:type="dxa"/>
            <w:vAlign w:val="bottom"/>
            <w:shd w:val="clear" w:color="auto" w:fill="CFF0FC"/>
          </w:tcPr>
          <w:p>
            <w:pPr>
              <w:jc w:val="center"/>
              <w:ind w:left="391"/>
              <w:spacing w:after="0" w:line="189" w:lineRule="exact"/>
              <w:rPr>
                <w:sz w:val="20"/>
                <w:szCs w:val="20"/>
                <w:color w:val="auto"/>
              </w:rPr>
            </w:pPr>
            <w:r>
              <w:rPr>
                <w:rFonts w:ascii="Times New Roman" w:cs="Times New Roman" w:eastAsia="Times New Roman" w:hAnsi="Times New Roman"/>
                <w:sz w:val="18"/>
                <w:szCs w:val="18"/>
                <w:color w:val="auto"/>
                <w:w w:val="97"/>
              </w:rPr>
              <w:t>$258.0M</w:t>
            </w:r>
          </w:p>
        </w:tc>
        <w:tc>
          <w:tcPr>
            <w:tcW w:w="2600" w:type="dxa"/>
            <w:vAlign w:val="bottom"/>
            <w:shd w:val="clear" w:color="auto" w:fill="CFF0FC"/>
          </w:tcPr>
          <w:p>
            <w:pPr>
              <w:jc w:val="center"/>
              <w:ind w:left="572"/>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Milestones that may be recognized in the future</w:t>
            </w:r>
          </w:p>
        </w:tc>
        <w:tc>
          <w:tcPr>
            <w:tcW w:w="1120" w:type="dxa"/>
            <w:vAlign w:val="bottom"/>
          </w:tcPr>
          <w:p>
            <w:pPr>
              <w:jc w:val="center"/>
              <w:ind w:left="391"/>
              <w:spacing w:after="0"/>
              <w:rPr>
                <w:sz w:val="20"/>
                <w:szCs w:val="20"/>
                <w:color w:val="auto"/>
              </w:rPr>
            </w:pPr>
            <w:r>
              <w:rPr>
                <w:rFonts w:ascii="Times New Roman" w:cs="Times New Roman" w:eastAsia="Times New Roman" w:hAnsi="Times New Roman"/>
                <w:sz w:val="18"/>
                <w:szCs w:val="18"/>
                <w:color w:val="auto"/>
                <w:w w:val="99"/>
              </w:rPr>
              <w:t>$15.0M</w:t>
            </w:r>
          </w:p>
        </w:tc>
        <w:tc>
          <w:tcPr>
            <w:tcW w:w="26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-1948180</wp:posOffset>
            </wp:positionV>
            <wp:extent cx="7132320"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-1708150</wp:posOffset>
            </wp:positionV>
            <wp:extent cx="7132320"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-1228090</wp:posOffset>
            </wp:positionV>
            <wp:extent cx="7132320"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-988060</wp:posOffset>
            </wp:positionV>
            <wp:extent cx="713232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-748030</wp:posOffset>
            </wp:positionV>
            <wp:extent cx="7132320" cy="120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-508000</wp:posOffset>
            </wp:positionV>
            <wp:extent cx="713232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85" w:lineRule="exact"/>
        <w:rPr>
          <w:sz w:val="20"/>
          <w:szCs w:val="20"/>
          <w:color w:val="auto"/>
        </w:rPr>
      </w:pPr>
    </w:p>
    <w:p>
      <w:pPr>
        <w:ind w:left="580" w:hanging="572"/>
        <w:spacing w:after="0"/>
        <w:tabs>
          <w:tab w:leader="none" w:pos="580"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Biologics License Application (“BLA”)</w:t>
      </w:r>
    </w:p>
    <w:p>
      <w:pPr>
        <w:spacing w:after="0" w:line="85" w:lineRule="exact"/>
        <w:rPr>
          <w:rFonts w:ascii="Times New Roman" w:cs="Times New Roman" w:eastAsia="Times New Roman" w:hAnsi="Times New Roman"/>
          <w:sz w:val="24"/>
          <w:szCs w:val="24"/>
          <w:color w:val="auto"/>
          <w:vertAlign w:val="superscript"/>
        </w:rPr>
      </w:pPr>
    </w:p>
    <w:p>
      <w:pPr>
        <w:ind w:left="580" w:hanging="572"/>
        <w:spacing w:after="0" w:line="231" w:lineRule="auto"/>
        <w:tabs>
          <w:tab w:leader="none" w:pos="580"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Marketing Authorization Application (“MAA”)</w:t>
      </w:r>
    </w:p>
    <w:p>
      <w:pPr>
        <w:spacing w:after="0" w:line="116" w:lineRule="exact"/>
        <w:rPr>
          <w:rFonts w:ascii="Times New Roman" w:cs="Times New Roman" w:eastAsia="Times New Roman" w:hAnsi="Times New Roman"/>
          <w:sz w:val="24"/>
          <w:szCs w:val="24"/>
          <w:color w:val="auto"/>
          <w:vertAlign w:val="superscript"/>
        </w:rPr>
      </w:pPr>
    </w:p>
    <w:p>
      <w:pPr>
        <w:ind w:left="580" w:right="20" w:hanging="572"/>
        <w:spacing w:after="0" w:line="249" w:lineRule="auto"/>
        <w:tabs>
          <w:tab w:leader="none" w:pos="580"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Jemperli, the filing and approval of the first MAA for a second indication and first three commercial sales milestones are included as part of the royalty monetization agreement with Sagard. For more information, see Note 5.</w:t>
      </w:r>
    </w:p>
    <w:p>
      <w:pPr>
        <w:spacing w:after="0" w:line="106" w:lineRule="exact"/>
        <w:rPr>
          <w:rFonts w:ascii="Times New Roman" w:cs="Times New Roman" w:eastAsia="Times New Roman" w:hAnsi="Times New Roman"/>
          <w:sz w:val="24"/>
          <w:szCs w:val="24"/>
          <w:color w:val="auto"/>
          <w:vertAlign w:val="superscript"/>
        </w:rPr>
      </w:pPr>
    </w:p>
    <w:p>
      <w:pPr>
        <w:ind w:left="580" w:right="280" w:hanging="572"/>
        <w:spacing w:after="0" w:line="249" w:lineRule="auto"/>
        <w:tabs>
          <w:tab w:leader="none" w:pos="580"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Jemperli, we retained the rights to a $75.0 million sales milestone when Jemperli annual net sales exceeded $1 billion. We received the cash milestone payment in December 2025.</w:t>
      </w:r>
    </w:p>
    <w:p>
      <w:pPr>
        <w:spacing w:after="0" w:line="1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connection with the 2020 Amendment, in October 2020 GSK agreed, under the terms of a settlement agreement (the “GSK Settlement</w:t>
      </w:r>
    </w:p>
    <w:p>
      <w:pPr>
        <w:spacing w:after="0" w:line="36"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auto"/>
        </w:rPr>
        <w:t>Agreement”), to pay us a royalty on all GSK net sales of Zejula starting January 1, 2021. Under the GSK Settlement Agreement, the royalty is paid at a rate of 1% but is subject to reduction due to royalties paid to third parties, with a minimum royalty payable under the GSK Settlement Agreement of 0.5% of global net sales of Zejula. The current effective royalty rate is 0.5%. In September 2022, we signed a royalty monetization agreement (the “Zejula Royalty Monetization Agreement”) with a wholly owned subsidiary of DRI Healthcare Trust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currently party to litigation with GSK with respect to the GSK Agreement. See Item 3. “Legal Proceedings” for additional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62" w:lineRule="exact"/>
        <w:rPr>
          <w:sz w:val="20"/>
          <w:szCs w:val="20"/>
          <w:color w:val="auto"/>
        </w:rPr>
      </w:pPr>
    </w:p>
    <w:p>
      <w:pPr>
        <w:ind w:right="40" w:firstLine="659"/>
        <w:spacing w:after="0" w:line="313"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our research and development activities, preclinical and clinical development of our programs, and manufacturing. Our research and development expenses include:</w:t>
      </w:r>
    </w:p>
    <w:p>
      <w:pPr>
        <w:spacing w:after="0" w:line="41" w:lineRule="exact"/>
        <w:rPr>
          <w:sz w:val="20"/>
          <w:szCs w:val="20"/>
          <w:color w:val="auto"/>
        </w:rPr>
      </w:pPr>
    </w:p>
    <w:p>
      <w:pPr>
        <w:ind w:left="1040" w:right="380" w:hanging="373"/>
        <w:spacing w:after="0" w:line="312" w:lineRule="auto"/>
        <w:tabs>
          <w:tab w:leader="none" w:pos="10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18" w:lineRule="exact"/>
        <w:rPr>
          <w:rFonts w:ascii="Times New Roman" w:cs="Times New Roman" w:eastAsia="Times New Roman" w:hAnsi="Times New Roman"/>
          <w:sz w:val="17"/>
          <w:szCs w:val="17"/>
          <w:color w:val="auto"/>
        </w:rPr>
      </w:pPr>
    </w:p>
    <w:p>
      <w:pPr>
        <w:ind w:left="1040" w:hanging="373"/>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stock-based compensation;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ind w:left="1040" w:right="440" w:hanging="373"/>
        <w:spacing w:after="0" w:line="266"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7"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and sub-license fees.</w:t>
      </w:r>
    </w:p>
    <w:p>
      <w:pPr>
        <w:spacing w:after="0" w:line="117" w:lineRule="exact"/>
        <w:rPr>
          <w:sz w:val="20"/>
          <w:szCs w:val="20"/>
          <w:color w:val="auto"/>
        </w:rPr>
      </w:pPr>
    </w:p>
    <w:p>
      <w:pPr>
        <w:ind w:right="560" w:firstLine="659"/>
        <w:spacing w:after="0" w:line="297" w:lineRule="auto"/>
        <w:rPr>
          <w:sz w:val="20"/>
          <w:szCs w:val="20"/>
          <w:color w:val="auto"/>
        </w:rPr>
      </w:pPr>
      <w:r>
        <w:rPr>
          <w:rFonts w:ascii="Times New Roman" w:cs="Times New Roman" w:eastAsia="Times New Roman" w:hAnsi="Times New Roman"/>
          <w:sz w:val="18"/>
          <w:szCs w:val="18"/>
          <w:color w:val="auto"/>
        </w:rPr>
        <w:t>We may also incur in-process research and development expense as we acquire assets from other parties. Acquired in-process research and development costs that have no alternative future use are immediately expensed.</w:t>
      </w:r>
    </w:p>
    <w:p>
      <w:pPr>
        <w:spacing w:after="0" w:line="68" w:lineRule="exact"/>
        <w:rPr>
          <w:sz w:val="20"/>
          <w:szCs w:val="20"/>
          <w:color w:val="auto"/>
        </w:rPr>
      </w:pPr>
    </w:p>
    <w:p>
      <w:pPr>
        <w:ind w:right="340" w:firstLine="659"/>
        <w:spacing w:after="0" w:line="297" w:lineRule="auto"/>
        <w:rPr>
          <w:sz w:val="20"/>
          <w:szCs w:val="20"/>
          <w:color w:val="auto"/>
        </w:rPr>
      </w:pPr>
      <w:r>
        <w:rPr>
          <w:rFonts w:ascii="Times New Roman" w:cs="Times New Roman" w:eastAsia="Times New Roman" w:hAnsi="Times New Roman"/>
          <w:sz w:val="18"/>
          <w:szCs w:val="18"/>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68" w:lineRule="exact"/>
        <w:rPr>
          <w:sz w:val="20"/>
          <w:szCs w:val="20"/>
          <w:color w:val="auto"/>
        </w:rPr>
      </w:pPr>
    </w:p>
    <w:p>
      <w:pPr>
        <w:ind w:right="40" w:firstLine="659"/>
        <w:spacing w:after="0" w:line="281" w:lineRule="auto"/>
        <w:rPr>
          <w:sz w:val="20"/>
          <w:szCs w:val="20"/>
          <w:color w:val="auto"/>
        </w:rPr>
      </w:pPr>
      <w:r>
        <w:rPr>
          <w:rFonts w:ascii="Times New Roman" w:cs="Times New Roman" w:eastAsia="Times New Roman" w:hAnsi="Times New Roman"/>
          <w:sz w:val="18"/>
          <w:szCs w:val="18"/>
          <w:color w:val="auto"/>
        </w:rPr>
        <w:t xml:space="preserve">We are conducting research and development activities primarily on inflammation programs. We have a research and development team that conducts antibody characterization, translational studies, IND-enabling preclinical studies, and clinical development. We conduct some of our preclinical activities internally and plan to rely on third parties, such as CROs and CMOs, for the execution of certain of our research and development activities, such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toxicology and pharmacology studies, drug product manufacturing, and clinical trials.</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our research and development expenses to be consistent for the foreseeable future as we continue to advance our product candidates.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48" w:lineRule="exact"/>
        <w:rPr>
          <w:sz w:val="20"/>
          <w:szCs w:val="20"/>
          <w:color w:val="auto"/>
        </w:rPr>
      </w:pPr>
    </w:p>
    <w:p>
      <w:pPr>
        <w:ind w:right="160" w:firstLine="659"/>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transaction costs, and professional fees for auditing, tax, and legal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135" w:lineRule="exact"/>
        <w:rPr>
          <w:sz w:val="20"/>
          <w:szCs w:val="20"/>
          <w:color w:val="auto"/>
        </w:rPr>
      </w:pPr>
    </w:p>
    <w:p>
      <w:pPr>
        <w:ind w:firstLine="659"/>
        <w:spacing w:after="0" w:line="281" w:lineRule="auto"/>
        <w:rPr>
          <w:sz w:val="20"/>
          <w:szCs w:val="20"/>
          <w:color w:val="auto"/>
        </w:rPr>
      </w:pPr>
      <w:r>
        <w:rPr>
          <w:rFonts w:ascii="Times New Roman" w:cs="Times New Roman" w:eastAsia="Times New Roman" w:hAnsi="Times New Roman"/>
          <w:sz w:val="18"/>
          <w:szCs w:val="18"/>
          <w:color w:val="auto"/>
        </w:rPr>
        <w:t>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Jemperli Royalty Monetization Agreement and the Zejula Royalty Monetization Agreement (the “Royalty Monetization Agreements”). Our estimate of the interest rate under the arrangements is based on forecasted royalty and milestone payments expected to be made over the life of the agreements.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short-term and long-term investments and is recognized when earned.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Operating Loss and Research and Development Tax Credit Carryforwards</w:t>
      </w:r>
    </w:p>
    <w:p>
      <w:pPr>
        <w:spacing w:after="0" w:line="135" w:lineRule="exact"/>
        <w:rPr>
          <w:sz w:val="20"/>
          <w:szCs w:val="20"/>
          <w:color w:val="auto"/>
        </w:rPr>
      </w:pPr>
    </w:p>
    <w:p>
      <w:pPr>
        <w:jc w:val="both"/>
        <w:ind w:right="120" w:firstLine="659"/>
        <w:spacing w:after="0" w:line="281" w:lineRule="auto"/>
        <w:rPr>
          <w:sz w:val="20"/>
          <w:szCs w:val="20"/>
          <w:color w:val="auto"/>
        </w:rPr>
      </w:pPr>
      <w:r>
        <w:rPr>
          <w:rFonts w:ascii="Times New Roman" w:cs="Times New Roman" w:eastAsia="Times New Roman" w:hAnsi="Times New Roman"/>
          <w:sz w:val="18"/>
          <w:szCs w:val="18"/>
          <w:color w:val="auto"/>
        </w:rPr>
        <w:t>Since inception, we have accumulated net operating losses (“NOLs”) in all years except December 31, 2024, 2022, 2015 and 2014, in which we generated taxable income primarily attributable to our collaboration agreement with GSK, our Zejula Royalty Monetization Agreement in 2022, and the requirement to capitalize and amortize R&amp;D expenditures for tax purposes in 2022 and 2024. While we utilized NOLs in 2024, 2022, 2015 and 2014, we continue to incur losses and therefore continue to have a valuation allowance against our net deferred tax assets due to the uncertainty of the realization of such assets.</w:t>
      </w:r>
    </w:p>
    <w:p>
      <w:pPr>
        <w:spacing w:after="0" w:line="84" w:lineRule="exact"/>
        <w:rPr>
          <w:sz w:val="20"/>
          <w:szCs w:val="20"/>
          <w:color w:val="auto"/>
        </w:rPr>
      </w:pPr>
    </w:p>
    <w:p>
      <w:pPr>
        <w:ind w:right="100" w:firstLine="659"/>
        <w:spacing w:after="0" w:line="278" w:lineRule="auto"/>
        <w:rPr>
          <w:sz w:val="20"/>
          <w:szCs w:val="20"/>
          <w:color w:val="auto"/>
        </w:rPr>
      </w:pPr>
      <w:r>
        <w:rPr>
          <w:rFonts w:ascii="Times New Roman" w:cs="Times New Roman" w:eastAsia="Times New Roman" w:hAnsi="Times New Roman"/>
          <w:sz w:val="18"/>
          <w:szCs w:val="18"/>
          <w:color w:val="auto"/>
        </w:rPr>
        <w:t>As of December 31, 2025, we had federal and state NOL carryforwards of $323.5 million and $69.8 million, respectively. The federal and state NOLs generated prior to 2018 will begin to expire in 2031 and 2028, respectively, unless previously utilized. The federal NOL includes $284.9 million of net operating losses generated in 2018 and after. Federal net operating losses generated in 2018 and after carryover indefinitely and may generally be used to offset up to 80% of future taxable income. As of December 31, 2025, we had federal and state research tax credit carryforwards of approximately $24.0 million and $21.1 million, respectively. The federal research tax credit carryforwards will begin to expire in 2041 and the state research tax credits will begin to expire in 2039.</w:t>
      </w:r>
    </w:p>
    <w:p>
      <w:pPr>
        <w:spacing w:after="0" w:line="73" w:lineRule="exact"/>
        <w:rPr>
          <w:sz w:val="20"/>
          <w:szCs w:val="20"/>
          <w:color w:val="auto"/>
        </w:rPr>
      </w:pPr>
    </w:p>
    <w:p>
      <w:pPr>
        <w:ind w:right="120" w:firstLine="659"/>
        <w:spacing w:after="0" w:line="289" w:lineRule="auto"/>
        <w:rPr>
          <w:sz w:val="20"/>
          <w:szCs w:val="20"/>
          <w:color w:val="auto"/>
        </w:rPr>
      </w:pPr>
      <w:r>
        <w:rPr>
          <w:rFonts w:ascii="Times New Roman" w:cs="Times New Roman" w:eastAsia="Times New Roman" w:hAnsi="Times New Roman"/>
          <w:sz w:val="18"/>
          <w:szCs w:val="18"/>
          <w:color w:val="auto"/>
        </w:rPr>
        <w:t>We experienced ownership changes as defined by Section 382 of the Code during 2007, 2017 and 2021. As a result, as of December 31, 2025, there are $154.1 million of federal NOLs available to offset taxable income in future years without Section 382 limitation, while $169.4 million of federal NOLs are subject to annual limitations over future periods. State NOL and credit carryforwards may be similarly limited.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69" w:name="page70"/>
    <w:bookmarkEnd w:id="69"/>
    <w:p>
      <w:pPr>
        <w:ind w:right="80" w:firstLine="659"/>
        <w:spacing w:after="0" w:line="297" w:lineRule="auto"/>
        <w:rPr>
          <w:sz w:val="20"/>
          <w:szCs w:val="20"/>
          <w:color w:val="auto"/>
        </w:rPr>
      </w:pPr>
      <w:r>
        <w:rPr>
          <w:rFonts w:ascii="Times New Roman" w:cs="Times New Roman" w:eastAsia="Times New Roman" w:hAnsi="Times New Roman"/>
          <w:sz w:val="18"/>
          <w:szCs w:val="18"/>
          <w:color w:val="auto"/>
        </w:rPr>
        <w:t>The above NOL carryforward and the federal and state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48" w:lineRule="exact"/>
        <w:rPr>
          <w:sz w:val="20"/>
          <w:szCs w:val="20"/>
          <w:color w:val="auto"/>
        </w:rPr>
      </w:pPr>
    </w:p>
    <w:p>
      <w:pPr>
        <w:jc w:val="both"/>
        <w:ind w:right="120" w:firstLine="659"/>
        <w:spacing w:after="0" w:line="29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w:t>
      </w:r>
    </w:p>
    <w:p>
      <w:pPr>
        <w:spacing w:after="0" w:line="85" w:lineRule="exact"/>
        <w:rPr>
          <w:sz w:val="20"/>
          <w:szCs w:val="20"/>
          <w:color w:val="auto"/>
        </w:rPr>
      </w:pPr>
    </w:p>
    <w:p>
      <w:pPr>
        <w:ind w:right="140" w:firstLine="659"/>
        <w:spacing w:after="0" w:line="297"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ind w:right="140" w:firstLine="659"/>
        <w:spacing w:after="0" w:line="305" w:lineRule="auto"/>
        <w:rPr>
          <w:sz w:val="20"/>
          <w:szCs w:val="20"/>
          <w:color w:val="auto"/>
        </w:rPr>
      </w:pPr>
      <w:r>
        <w:rPr>
          <w:rFonts w:ascii="Times New Roman" w:cs="Times New Roman" w:eastAsia="Times New Roman" w:hAnsi="Times New Roman"/>
          <w:sz w:val="18"/>
          <w:szCs w:val="18"/>
          <w:color w:val="auto"/>
        </w:rPr>
        <w:t>Revenue is recognized in accordance with Accounting Standards Codification (“ASC”) 606,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59"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i w:val="1"/>
          <w:iCs w:val="1"/>
          <w:color w:val="auto"/>
        </w:rPr>
        <w:t xml:space="preserve">Performance Obligations. </w:t>
      </w:r>
      <w:r>
        <w:rPr>
          <w:rFonts w:ascii="Times New Roman" w:cs="Times New Roman" w:eastAsia="Times New Roman" w:hAnsi="Times New Roman"/>
          <w:sz w:val="18"/>
          <w:szCs w:val="18"/>
          <w:color w:val="auto"/>
        </w:rPr>
        <w:t>We evaluate promised goods or services on a contract-by-contract basis to determine whether each deliverable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a good or service that is distinct or has the same pattern of transfer as other deliverables. A promised good or service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promised good or service is not considered distinct, we combine such deliverables and account for them as a single performance obligation. We allocate the consideration to each performance obligation at the inception of the arrangement based on the stand alone selling price.</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performance obligations may include the following:</w:t>
      </w:r>
    </w:p>
    <w:p>
      <w:pPr>
        <w:spacing w:after="0" w:line="144" w:lineRule="exact"/>
        <w:rPr>
          <w:sz w:val="20"/>
          <w:szCs w:val="20"/>
          <w:color w:val="auto"/>
        </w:rPr>
      </w:pPr>
    </w:p>
    <w:p>
      <w:pPr>
        <w:ind w:left="1040" w:hanging="373"/>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Arrangements. The performance obligations under our collaboration and license agreements generally include exclusive or</w:t>
      </w:r>
    </w:p>
    <w:p>
      <w:pPr>
        <w:spacing w:after="0" w:line="49" w:lineRule="exact"/>
        <w:rPr>
          <w:rFonts w:ascii="Times New Roman" w:cs="Times New Roman" w:eastAsia="Times New Roman" w:hAnsi="Times New Roman"/>
          <w:sz w:val="18"/>
          <w:szCs w:val="18"/>
          <w:color w:val="auto"/>
        </w:rPr>
      </w:pPr>
    </w:p>
    <w:p>
      <w:pPr>
        <w:ind w:left="1040" w:right="4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68"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and Development Services. The performance obligations under our collaboration and license agreements generally include research</w:t>
      </w:r>
    </w:p>
    <w:p>
      <w:pPr>
        <w:spacing w:after="0" w:line="61" w:lineRule="exact"/>
        <w:rPr>
          <w:rFonts w:ascii="Times New Roman" w:cs="Times New Roman" w:eastAsia="Times New Roman" w:hAnsi="Times New Roman"/>
          <w:sz w:val="17"/>
          <w:szCs w:val="17"/>
          <w:color w:val="auto"/>
        </w:rPr>
      </w:pPr>
    </w:p>
    <w:p>
      <w:pPr>
        <w:ind w:left="1040" w:right="180"/>
        <w:spacing w:after="0" w:line="29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68" w:lineRule="exact"/>
        <w:rPr>
          <w:rFonts w:ascii="Times New Roman" w:cs="Times New Roman" w:eastAsia="Times New Roman" w:hAnsi="Times New Roman"/>
          <w:sz w:val="17"/>
          <w:szCs w:val="17"/>
          <w:color w:val="auto"/>
        </w:rPr>
      </w:pPr>
    </w:p>
    <w:p>
      <w:pPr>
        <w:ind w:left="1040" w:right="360" w:hanging="373"/>
        <w:spacing w:after="0" w:line="305"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Steering Committee Meetings. The performance obligations under our collaboration and license agreements may also include our participation in a steering committee, which allows us to direct the progression of our discovery programs. As these steering committees would not occur or benefit the customer without the use of our licenses, these are not considered distinct.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0" w:name="page71"/>
    <w:bookmarkEnd w:id="70"/>
    <w:p>
      <w:pPr>
        <w:ind w:right="60" w:firstLine="659"/>
        <w:spacing w:after="0" w:line="297" w:lineRule="auto"/>
        <w:rPr>
          <w:sz w:val="20"/>
          <w:szCs w:val="20"/>
          <w:color w:val="auto"/>
        </w:rPr>
      </w:pPr>
      <w:r>
        <w:rPr>
          <w:rFonts w:ascii="Times New Roman" w:cs="Times New Roman" w:eastAsia="Times New Roman" w:hAnsi="Times New Roman"/>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 There were no new agreements with performance obligations entered into during the year ended December 31, 2025.</w:t>
      </w:r>
    </w:p>
    <w:p>
      <w:pPr>
        <w:spacing w:after="0" w:line="80" w:lineRule="exact"/>
        <w:rPr>
          <w:sz w:val="20"/>
          <w:szCs w:val="20"/>
          <w:color w:val="auto"/>
        </w:rPr>
      </w:pPr>
    </w:p>
    <w:p>
      <w:pPr>
        <w:ind w:right="20" w:firstLine="659"/>
        <w:spacing w:after="0" w:line="294" w:lineRule="auto"/>
        <w:rPr>
          <w:sz w:val="20"/>
          <w:szCs w:val="20"/>
          <w:color w:val="auto"/>
        </w:rPr>
      </w:pPr>
      <w:r>
        <w:rPr>
          <w:rFonts w:ascii="Times New Roman" w:cs="Times New Roman" w:eastAsia="Times New Roman" w:hAnsi="Times New Roman"/>
          <w:sz w:val="18"/>
          <w:szCs w:val="18"/>
          <w:i w:val="1"/>
          <w:iCs w:val="1"/>
          <w:color w:val="auto"/>
        </w:rPr>
        <w:t xml:space="preserve">Transaction Price. </w:t>
      </w:r>
      <w:r>
        <w:rPr>
          <w:rFonts w:ascii="Times New Roman" w:cs="Times New Roman" w:eastAsia="Times New Roman" w:hAnsi="Times New Roman"/>
          <w:sz w:val="18"/>
          <w:szCs w:val="18"/>
          <w:color w:val="auto"/>
        </w:rPr>
        <w:t>Our collaboration and license agreements generally include both fixed and variable consideration. Fixed payments,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48" w:lineRule="exact"/>
        <w:rPr>
          <w:sz w:val="20"/>
          <w:szCs w:val="20"/>
          <w:color w:val="auto"/>
        </w:rPr>
      </w:pPr>
    </w:p>
    <w:p>
      <w:pPr>
        <w:ind w:right="100" w:firstLine="659"/>
        <w:spacing w:after="0" w:line="291"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77" w:lineRule="exact"/>
        <w:rPr>
          <w:sz w:val="20"/>
          <w:szCs w:val="20"/>
          <w:color w:val="auto"/>
        </w:rPr>
      </w:pPr>
    </w:p>
    <w:p>
      <w:pPr>
        <w:ind w:right="40" w:firstLine="659"/>
        <w:spacing w:after="0" w:line="293" w:lineRule="auto"/>
        <w:rPr>
          <w:sz w:val="20"/>
          <w:szCs w:val="20"/>
          <w:color w:val="auto"/>
        </w:rPr>
      </w:pPr>
      <w:r>
        <w:rPr>
          <w:rFonts w:ascii="Times New Roman" w:cs="Times New Roman" w:eastAsia="Times New Roman" w:hAnsi="Times New Roman"/>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84" w:lineRule="exact"/>
        <w:rPr>
          <w:sz w:val="20"/>
          <w:szCs w:val="20"/>
          <w:color w:val="auto"/>
        </w:rPr>
      </w:pPr>
    </w:p>
    <w:p>
      <w:pPr>
        <w:ind w:right="40" w:firstLine="659"/>
        <w:spacing w:after="0" w:line="297"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Future Royalties</w:t>
      </w:r>
    </w:p>
    <w:p>
      <w:pPr>
        <w:spacing w:after="0" w:line="148" w:lineRule="exact"/>
        <w:rPr>
          <w:sz w:val="20"/>
          <w:szCs w:val="20"/>
          <w:color w:val="auto"/>
        </w:rPr>
      </w:pPr>
    </w:p>
    <w:p>
      <w:pPr>
        <w:ind w:firstLine="659"/>
        <w:spacing w:after="0" w:line="311" w:lineRule="auto"/>
        <w:rPr>
          <w:sz w:val="20"/>
          <w:szCs w:val="20"/>
          <w:color w:val="auto"/>
        </w:rPr>
      </w:pPr>
      <w:r>
        <w:rPr>
          <w:rFonts w:ascii="Times New Roman" w:cs="Times New Roman" w:eastAsia="Times New Roman" w:hAnsi="Times New Roman"/>
          <w:sz w:val="17"/>
          <w:szCs w:val="17"/>
          <w:color w:val="auto"/>
        </w:rPr>
        <w:t>We treated the sale of future revenue from the Jemperli Royalty Monetization Agreement, as amended by the Jemperli Amendment, with Sagard and the Zejula Royalty Monetization Agreement with DRI as a liability related to the sale of future royalties on the balance sheet. The recorded upfront proceeds, net of transaction costs, will be amortized under the effective interest rate method over the estimated life of the related expected royalty stream. The liability and the related interest expense are based on our current estimates of future royalties and certain milestones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Jemperli and Zejula, and we will record the royalty payments made as a reduction of the liability when paid. As such payments are made, the balance of the liability will be effectively repaid over the life of the Jemperli Royalty Monetization Agreement and the Zejula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48" w:lineRule="exact"/>
        <w:rPr>
          <w:sz w:val="20"/>
          <w:szCs w:val="20"/>
          <w:color w:val="auto"/>
        </w:rPr>
      </w:pPr>
    </w:p>
    <w:p>
      <w:pPr>
        <w:ind w:right="200" w:firstLine="659"/>
        <w:spacing w:after="0" w:line="305" w:lineRule="auto"/>
        <w:rPr>
          <w:sz w:val="20"/>
          <w:szCs w:val="20"/>
          <w:color w:val="auto"/>
        </w:rPr>
      </w:pPr>
      <w:r>
        <w:rPr>
          <w:rFonts w:ascii="Times New Roman" w:cs="Times New Roman" w:eastAsia="Times New Roman" w:hAnsi="Times New Roman"/>
          <w:sz w:val="18"/>
          <w:szCs w:val="18"/>
          <w:color w:val="auto"/>
        </w:rPr>
        <w:t>For further information on recently issued accounting pronouncements, see Note 2 — Summary of Significant Accounting Policies in the accompanying notes to the consolidated financial statements included in Part II, Item 8, “Consolidated Financial Statements and Supplementary Data” of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Collaboration revenue was $234.6 million for the year ended December 31, 2025, compared to $91.3 million for the year ended December 31,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 comparison of collaboration revenue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0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GSK Milestone Revenue</w:t>
            </w:r>
          </w:p>
        </w:tc>
        <w:tc>
          <w:tcPr>
            <w:tcW w:w="360" w:type="dxa"/>
            <w:vAlign w:val="bottom"/>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75,000</w:t>
            </w:r>
          </w:p>
        </w:tc>
        <w:tc>
          <w:tcPr>
            <w:tcW w:w="620" w:type="dxa"/>
            <w:vAlign w:val="bottom"/>
            <w:gridSpan w:val="2"/>
            <w:shd w:val="clear" w:color="auto" w:fill="CFF0FC"/>
          </w:tcPr>
          <w:p>
            <w:pPr>
              <w:jc w:val="right"/>
              <w:ind w:right="3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189"/>
        </w:trPr>
        <w:tc>
          <w:tcPr>
            <w:tcW w:w="6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GSK Milestone Revenue (non-cash)</w:t>
            </w:r>
          </w:p>
        </w:tc>
        <w:tc>
          <w:tcPr>
            <w:tcW w:w="360" w:type="dxa"/>
            <w:vAlign w:val="bottom"/>
          </w:tcPr>
          <w:p>
            <w:pPr>
              <w:spacing w:after="0"/>
              <w:rPr>
                <w:sz w:val="16"/>
                <w:szCs w:val="16"/>
                <w:color w:val="auto"/>
              </w:rPr>
            </w:pPr>
          </w:p>
        </w:tc>
        <w:tc>
          <w:tcPr>
            <w:tcW w:w="128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40,000</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189"/>
        </w:trPr>
        <w:tc>
          <w:tcPr>
            <w:tcW w:w="6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GSK Royalty Revenue - Jemperli (non-cash)</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95,945</w:t>
            </w: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47,381</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48,564</w:t>
            </w:r>
          </w:p>
        </w:tc>
        <w:tc>
          <w:tcPr>
            <w:tcW w:w="0" w:type="dxa"/>
            <w:vAlign w:val="bottom"/>
          </w:tcPr>
          <w:p>
            <w:pPr>
              <w:spacing w:after="0"/>
              <w:rPr>
                <w:sz w:val="1"/>
                <w:szCs w:val="1"/>
                <w:color w:val="auto"/>
              </w:rPr>
            </w:pPr>
          </w:p>
        </w:tc>
      </w:tr>
      <w:tr>
        <w:trPr>
          <w:trHeight w:val="189"/>
        </w:trPr>
        <w:tc>
          <w:tcPr>
            <w:tcW w:w="6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GSK Royalty Revenue - Zejula (non-cash)</w:t>
            </w:r>
          </w:p>
        </w:tc>
        <w:tc>
          <w:tcPr>
            <w:tcW w:w="360" w:type="dxa"/>
            <w:vAlign w:val="bottom"/>
          </w:tcPr>
          <w:p>
            <w:pPr>
              <w:spacing w:after="0"/>
              <w:rPr>
                <w:sz w:val="16"/>
                <w:szCs w:val="16"/>
                <w:color w:val="auto"/>
              </w:rPr>
            </w:pPr>
          </w:p>
        </w:tc>
        <w:tc>
          <w:tcPr>
            <w:tcW w:w="128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3,917</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3,899</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9"/>
        </w:trPr>
        <w:tc>
          <w:tcPr>
            <w:tcW w:w="600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Vanda License and Transition Services Revenue</w:t>
            </w:r>
          </w:p>
        </w:tc>
        <w:tc>
          <w:tcPr>
            <w:tcW w:w="3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9,741</w:t>
            </w:r>
          </w:p>
        </w:tc>
        <w:tc>
          <w:tcPr>
            <w:tcW w:w="18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9,741</w:t>
            </w:r>
          </w:p>
        </w:tc>
        <w:tc>
          <w:tcPr>
            <w:tcW w:w="0" w:type="dxa"/>
            <w:vAlign w:val="bottom"/>
          </w:tcPr>
          <w:p>
            <w:pPr>
              <w:spacing w:after="0"/>
              <w:rPr>
                <w:sz w:val="1"/>
                <w:szCs w:val="1"/>
                <w:color w:val="auto"/>
              </w:rPr>
            </w:pPr>
          </w:p>
        </w:tc>
      </w:tr>
      <w:tr>
        <w:trPr>
          <w:trHeight w:val="183"/>
        </w:trPr>
        <w:tc>
          <w:tcPr>
            <w:tcW w:w="600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collaboration revenue</w:t>
            </w:r>
          </w:p>
        </w:tc>
        <w:tc>
          <w:tcPr>
            <w:tcW w:w="36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234,603</w:t>
            </w:r>
          </w:p>
        </w:tc>
        <w:tc>
          <w:tcPr>
            <w:tcW w:w="620" w:type="dxa"/>
            <w:vAlign w:val="bottom"/>
            <w:gridSpan w:val="2"/>
          </w:tcPr>
          <w:p>
            <w:pPr>
              <w:jc w:val="right"/>
              <w:ind w:right="3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91,280</w:t>
            </w:r>
          </w:p>
        </w:tc>
        <w:tc>
          <w:tcPr>
            <w:tcW w:w="48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143,323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-153670</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-153670</wp:posOffset>
            </wp:positionV>
            <wp:extent cx="111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72" w:lineRule="exact"/>
        <w:rPr>
          <w:sz w:val="20"/>
          <w:szCs w:val="20"/>
          <w:color w:val="auto"/>
        </w:rPr>
      </w:pPr>
    </w:p>
    <w:p>
      <w:pPr>
        <w:jc w:val="both"/>
        <w:ind w:right="80" w:firstLine="659"/>
        <w:spacing w:after="0" w:line="305" w:lineRule="auto"/>
        <w:rPr>
          <w:sz w:val="20"/>
          <w:szCs w:val="20"/>
          <w:color w:val="auto"/>
        </w:rPr>
      </w:pPr>
      <w:r>
        <w:rPr>
          <w:rFonts w:ascii="Times New Roman" w:cs="Times New Roman" w:eastAsia="Times New Roman" w:hAnsi="Times New Roman"/>
          <w:sz w:val="18"/>
          <w:szCs w:val="18"/>
          <w:color w:val="auto"/>
        </w:rPr>
        <w:t>Collaboration revenue during the year ended December 31, 2025 increased $143.3 million compared to the year ended December 31, 2024 due to an increase of $85.0 million in Jemperli sales milestones, $48.6 million increase in Jemperli and Zejula royalty revenue and $9.7 million increase in Vanda license and transition services revenue.</w:t>
      </w:r>
    </w:p>
    <w:p>
      <w:pPr>
        <w:spacing w:after="0" w:line="75" w:lineRule="exact"/>
        <w:rPr>
          <w:sz w:val="20"/>
          <w:szCs w:val="20"/>
          <w:color w:val="auto"/>
        </w:rPr>
      </w:pPr>
    </w:p>
    <w:p>
      <w:pPr>
        <w:ind w:right="420" w:firstLine="659"/>
        <w:spacing w:after="0" w:line="313" w:lineRule="auto"/>
        <w:rPr>
          <w:sz w:val="20"/>
          <w:szCs w:val="20"/>
          <w:color w:val="auto"/>
        </w:rPr>
      </w:pPr>
      <w:r>
        <w:rPr>
          <w:rFonts w:ascii="Times New Roman" w:cs="Times New Roman" w:eastAsia="Times New Roman" w:hAnsi="Times New Roman"/>
          <w:sz w:val="18"/>
          <w:szCs w:val="18"/>
          <w:color w:val="auto"/>
        </w:rPr>
        <w:t>We expect that any collaboration revenue we generate will continue to fluctuate from period to period as a result of the timing and amount of milestones and royalties from our existing collaborations.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2" w:lineRule="exact"/>
        <w:rPr>
          <w:sz w:val="20"/>
          <w:szCs w:val="20"/>
          <w:color w:val="auto"/>
        </w:rPr>
      </w:pPr>
    </w:p>
    <w:p>
      <w:pPr>
        <w:ind w:right="200" w:firstLine="659"/>
        <w:spacing w:after="0" w:line="293" w:lineRule="auto"/>
        <w:rPr>
          <w:sz w:val="20"/>
          <w:szCs w:val="20"/>
          <w:color w:val="auto"/>
        </w:rPr>
      </w:pPr>
      <w:r>
        <w:rPr>
          <w:rFonts w:ascii="Times New Roman" w:cs="Times New Roman" w:eastAsia="Times New Roman" w:hAnsi="Times New Roman"/>
          <w:sz w:val="18"/>
          <w:szCs w:val="18"/>
          <w:color w:val="auto"/>
        </w:rPr>
        <w:t>Research and development expenses were $136.0 million during the year ended December 31, 2025 compared to $163.8 million during the year ended December 31, 2024, for a decrease of $27.8 million. The decrease is primarily attributable to a $21.6 million decrease in clinical expenses and a decrease of $12.0 million in outside services for manufacturing expenses, offset by a $5.5 million increase in salaries and related costs, including a $2.3 million increase in stock compensation expense and a decrease of $0.6 million in recruiting costs, and a $0.9 million increase in other research and development expenses.</w:t>
      </w:r>
    </w:p>
    <w:p>
      <w:pPr>
        <w:spacing w:after="0" w:line="87" w:lineRule="exact"/>
        <w:rPr>
          <w:sz w:val="20"/>
          <w:szCs w:val="20"/>
          <w:color w:val="auto"/>
        </w:rPr>
      </w:pPr>
    </w:p>
    <w:p>
      <w:pPr>
        <w:ind w:right="80" w:firstLine="659"/>
        <w:spacing w:after="0" w:line="293" w:lineRule="auto"/>
        <w:rPr>
          <w:sz w:val="20"/>
          <w:szCs w:val="20"/>
          <w:color w:val="auto"/>
        </w:rPr>
      </w:pPr>
      <w:r>
        <w:rPr>
          <w:rFonts w:ascii="Times New Roman" w:cs="Times New Roman" w:eastAsia="Times New Roman" w:hAnsi="Times New Roman"/>
          <w:sz w:val="18"/>
          <w:szCs w:val="18"/>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stock-based compensation and benefits, which are not tracked by product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72" w:name="page73"/>
    <w:bookmarkEnd w:id="72"/>
    <w:p>
      <w:pPr>
        <w:ind w:right="500"/>
        <w:spacing w:after="0" w:line="313" w:lineRule="auto"/>
        <w:rPr>
          <w:sz w:val="20"/>
          <w:szCs w:val="20"/>
          <w:color w:val="auto"/>
        </w:rPr>
      </w:pPr>
      <w:r>
        <w:rPr>
          <w:rFonts w:ascii="Times New Roman" w:cs="Times New Roman" w:eastAsia="Times New Roman" w:hAnsi="Times New Roman"/>
          <w:sz w:val="18"/>
          <w:szCs w:val="18"/>
          <w:color w:val="auto"/>
        </w:rPr>
        <w:t>candidate as several of our departments support multiple product candidate research and development programs. The following table summarizes the external costs attributable to each program and internal costs: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594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9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External Costs</w:t>
            </w: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Rosnilimab</w:t>
            </w:r>
          </w:p>
        </w:tc>
        <w:tc>
          <w:tcPr>
            <w:tcW w:w="36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42,744</w:t>
            </w:r>
          </w:p>
        </w:tc>
        <w:tc>
          <w:tcPr>
            <w:tcW w:w="600" w:type="dxa"/>
            <w:vAlign w:val="bottom"/>
            <w:gridSpan w:val="2"/>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53,422</w:t>
            </w:r>
          </w:p>
        </w:tc>
        <w:tc>
          <w:tcPr>
            <w:tcW w:w="32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(10,678)</w:t>
            </w:r>
          </w:p>
        </w:tc>
        <w:tc>
          <w:tcPr>
            <w:tcW w:w="0" w:type="dxa"/>
            <w:vAlign w:val="bottom"/>
          </w:tcPr>
          <w:p>
            <w:pPr>
              <w:spacing w:after="0"/>
              <w:rPr>
                <w:sz w:val="1"/>
                <w:szCs w:val="1"/>
                <w:color w:val="auto"/>
              </w:rPr>
            </w:pPr>
          </w:p>
        </w:tc>
      </w:tr>
      <w:tr>
        <w:trPr>
          <w:trHeight w:val="189"/>
        </w:trPr>
        <w:tc>
          <w:tcPr>
            <w:tcW w:w="594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ANB033</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20,427</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12,460</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189"/>
        </w:trPr>
        <w:tc>
          <w:tcPr>
            <w:tcW w:w="5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ANB101</w:t>
            </w:r>
          </w:p>
        </w:tc>
        <w:tc>
          <w:tcPr>
            <w:tcW w:w="360" w:type="dxa"/>
            <w:vAlign w:val="bottom"/>
          </w:tcPr>
          <w:p>
            <w:pPr>
              <w:spacing w:after="0"/>
              <w:rPr>
                <w:sz w:val="16"/>
                <w:szCs w:val="16"/>
                <w:color w:val="auto"/>
              </w:rPr>
            </w:pPr>
          </w:p>
        </w:tc>
        <w:tc>
          <w:tcPr>
            <w:tcW w:w="128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8,138</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3,367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4,771</w:t>
            </w:r>
          </w:p>
        </w:tc>
        <w:tc>
          <w:tcPr>
            <w:tcW w:w="0" w:type="dxa"/>
            <w:vAlign w:val="bottom"/>
          </w:tcPr>
          <w:p>
            <w:pPr>
              <w:spacing w:after="0"/>
              <w:rPr>
                <w:sz w:val="1"/>
                <w:szCs w:val="1"/>
                <w:color w:val="auto"/>
              </w:rPr>
            </w:pPr>
          </w:p>
        </w:tc>
      </w:tr>
      <w:tr>
        <w:trPr>
          <w:trHeight w:val="189"/>
        </w:trPr>
        <w:tc>
          <w:tcPr>
            <w:tcW w:w="594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ANB032</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26,084</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(26,036)</w:t>
            </w:r>
          </w:p>
        </w:tc>
        <w:tc>
          <w:tcPr>
            <w:tcW w:w="0" w:type="dxa"/>
            <w:vAlign w:val="bottom"/>
          </w:tcPr>
          <w:p>
            <w:pPr>
              <w:spacing w:after="0"/>
              <w:rPr>
                <w:sz w:val="1"/>
                <w:szCs w:val="1"/>
                <w:color w:val="auto"/>
              </w:rPr>
            </w:pPr>
          </w:p>
        </w:tc>
      </w:tr>
      <w:tr>
        <w:trPr>
          <w:trHeight w:val="189"/>
        </w:trPr>
        <w:tc>
          <w:tcPr>
            <w:tcW w:w="5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Imsidolimab</w:t>
            </w:r>
          </w:p>
        </w:tc>
        <w:tc>
          <w:tcPr>
            <w:tcW w:w="36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(2,273)</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8,284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(10,557)</w:t>
            </w:r>
          </w:p>
        </w:tc>
        <w:tc>
          <w:tcPr>
            <w:tcW w:w="0" w:type="dxa"/>
            <w:vAlign w:val="bottom"/>
          </w:tcPr>
          <w:p>
            <w:pPr>
              <w:spacing w:after="0"/>
              <w:rPr>
                <w:sz w:val="1"/>
                <w:szCs w:val="1"/>
                <w:color w:val="auto"/>
              </w:rPr>
            </w:pPr>
          </w:p>
        </w:tc>
      </w:tr>
      <w:tr>
        <w:trPr>
          <w:trHeight w:val="189"/>
        </w:trPr>
        <w:tc>
          <w:tcPr>
            <w:tcW w:w="5940" w:type="dxa"/>
            <w:vAlign w:val="bottom"/>
            <w:tcBorders>
              <w:bottom w:val="single" w:sz="8" w:color="CFF0FC"/>
            </w:tcBorders>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Preclinical and other unallocated costs</w:t>
            </w:r>
          </w:p>
        </w:tc>
        <w:tc>
          <w:tcPr>
            <w:tcW w:w="3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16,093</w:t>
            </w:r>
          </w:p>
        </w:tc>
        <w:tc>
          <w:tcPr>
            <w:tcW w:w="18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14,350</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183"/>
        </w:trPr>
        <w:tc>
          <w:tcPr>
            <w:tcW w:w="59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External Costs</w:t>
            </w:r>
          </w:p>
        </w:tc>
        <w:tc>
          <w:tcPr>
            <w:tcW w:w="36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85,177</w:t>
            </w:r>
          </w:p>
        </w:tc>
        <w:tc>
          <w:tcPr>
            <w:tcW w:w="600" w:type="dxa"/>
            <w:vAlign w:val="bottom"/>
            <w:gridSpan w:val="2"/>
          </w:tcPr>
          <w:p>
            <w:pPr>
              <w:jc w:val="right"/>
              <w:ind w:right="3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117,967</w:t>
            </w:r>
          </w:p>
        </w:tc>
        <w:tc>
          <w:tcPr>
            <w:tcW w:w="32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(32,790)</w:t>
            </w:r>
          </w:p>
        </w:tc>
        <w:tc>
          <w:tcPr>
            <w:tcW w:w="0" w:type="dxa"/>
            <w:vAlign w:val="bottom"/>
          </w:tcPr>
          <w:p>
            <w:pPr>
              <w:spacing w:after="0"/>
              <w:rPr>
                <w:sz w:val="1"/>
                <w:szCs w:val="1"/>
                <w:color w:val="auto"/>
              </w:rPr>
            </w:pPr>
          </w:p>
        </w:tc>
      </w:tr>
      <w:tr>
        <w:trPr>
          <w:trHeight w:val="189"/>
        </w:trPr>
        <w:tc>
          <w:tcPr>
            <w:tcW w:w="59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Internal Costs</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Salaries and wages</w:t>
            </w:r>
          </w:p>
        </w:tc>
        <w:tc>
          <w:tcPr>
            <w:tcW w:w="360" w:type="dxa"/>
            <w:vAlign w:val="bottom"/>
          </w:tcPr>
          <w:p>
            <w:pPr>
              <w:spacing w:after="0"/>
              <w:rPr>
                <w:sz w:val="16"/>
                <w:szCs w:val="16"/>
                <w:color w:val="auto"/>
              </w:rPr>
            </w:pPr>
          </w:p>
        </w:tc>
        <w:tc>
          <w:tcPr>
            <w:tcW w:w="128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33,658</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30,424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189"/>
        </w:trPr>
        <w:tc>
          <w:tcPr>
            <w:tcW w:w="594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17,135</w:t>
            </w: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14,823</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189"/>
        </w:trPr>
        <w:tc>
          <w:tcPr>
            <w:tcW w:w="5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internal costs</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626</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183"/>
        </w:trPr>
        <w:tc>
          <w:tcPr>
            <w:tcW w:w="59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Internal Costs</w:t>
            </w:r>
          </w:p>
        </w:tc>
        <w:tc>
          <w:tcPr>
            <w:tcW w:w="36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50,793</w:t>
            </w:r>
          </w:p>
        </w:tc>
        <w:tc>
          <w:tcPr>
            <w:tcW w:w="18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45,873</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183"/>
        </w:trPr>
        <w:tc>
          <w:tcPr>
            <w:tcW w:w="59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Costs</w:t>
            </w:r>
          </w:p>
        </w:tc>
        <w:tc>
          <w:tcPr>
            <w:tcW w:w="36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135,970</w:t>
            </w:r>
          </w:p>
        </w:tc>
        <w:tc>
          <w:tcPr>
            <w:tcW w:w="600" w:type="dxa"/>
            <w:vAlign w:val="bottom"/>
            <w:gridSpan w:val="2"/>
          </w:tcPr>
          <w:p>
            <w:pPr>
              <w:jc w:val="right"/>
              <w:ind w:right="3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163,840</w:t>
            </w:r>
          </w:p>
        </w:tc>
        <w:tc>
          <w:tcPr>
            <w:tcW w:w="32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(27,870)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-890905</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-890905</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-153670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-153670</wp:posOffset>
            </wp:positionV>
            <wp:extent cx="111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48" w:lineRule="exact"/>
        <w:rPr>
          <w:sz w:val="20"/>
          <w:szCs w:val="20"/>
          <w:color w:val="auto"/>
        </w:rPr>
      </w:pPr>
    </w:p>
    <w:p>
      <w:pPr>
        <w:ind w:right="80" w:firstLine="659"/>
        <w:spacing w:after="0" w:line="297" w:lineRule="auto"/>
        <w:rPr>
          <w:sz w:val="20"/>
          <w:szCs w:val="20"/>
          <w:color w:val="auto"/>
        </w:rPr>
      </w:pPr>
      <w:r>
        <w:rPr>
          <w:rFonts w:ascii="Times New Roman" w:cs="Times New Roman" w:eastAsia="Times New Roman" w:hAnsi="Times New Roman"/>
          <w:sz w:val="18"/>
          <w:szCs w:val="18"/>
          <w:color w:val="auto"/>
        </w:rPr>
        <w:t>General and administrative expenses were $50.7 million during the year ended December 31, 2025 compared to $42.4 million during the year ended December 31, 2024, for an increase of approximately $8.3 million. The increase is primarily due to a $5.2 million increase in legal expenses due to the GSK lawsuit and activity related to the separation of the business, a $2.5 million increase in transaction costs related to our Vanda License Agreement, a $1.0 million increase in personnel costs, and a $0.8 million net increase in other general and administrative expenses, offset by a $0.9 million decrease in market research costs and a $0.3 million decrease in stock compensation expense.</w:t>
      </w:r>
    </w:p>
    <w:p>
      <w:pPr>
        <w:spacing w:after="0" w:line="6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We expect that our general and administrative expenses may increase for the foreseeable future as we incur costs associated with stock</w:t>
      </w:r>
    </w:p>
    <w:p>
      <w:pPr>
        <w:spacing w:after="0" w:line="50"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8"/>
          <w:szCs w:val="18"/>
          <w:color w:val="auto"/>
        </w:rPr>
        <w:t>compensation expense, legal, auditing and filing fees, additional insurance premiums, investor relations expenses and general compliance and consulting expenses.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148" w:lineRule="exact"/>
        <w:rPr>
          <w:sz w:val="20"/>
          <w:szCs w:val="20"/>
          <w:color w:val="auto"/>
        </w:rPr>
      </w:pPr>
    </w:p>
    <w:p>
      <w:pPr>
        <w:jc w:val="both"/>
        <w:ind w:right="360" w:firstLine="659"/>
        <w:spacing w:after="0" w:line="305" w:lineRule="auto"/>
        <w:rPr>
          <w:sz w:val="20"/>
          <w:szCs w:val="20"/>
          <w:color w:val="auto"/>
        </w:rPr>
      </w:pPr>
      <w:r>
        <w:rPr>
          <w:rFonts w:ascii="Times New Roman" w:cs="Times New Roman" w:eastAsia="Times New Roman" w:hAnsi="Times New Roman"/>
          <w:sz w:val="18"/>
          <w:szCs w:val="18"/>
          <w:color w:val="auto"/>
        </w:rPr>
        <w:t>Interest expense was $79.9 million during the year ended December 31, 2025 compared to $50.1 million during the year ended December 31, 2024. The increase of $29.8 million in non-cash interest expense is primarily due to an increase in the GSK Jemperli sales which changed the expected timing for Sagard to be paid per the Jemperli Royalty Monetization Agreement.</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2" w:lineRule="exact"/>
        <w:rPr>
          <w:sz w:val="20"/>
          <w:szCs w:val="20"/>
          <w:color w:val="auto"/>
        </w:rPr>
      </w:pPr>
    </w:p>
    <w:p>
      <w:pPr>
        <w:ind w:right="40" w:firstLine="656"/>
        <w:spacing w:after="0" w:line="297" w:lineRule="auto"/>
        <w:rPr>
          <w:sz w:val="20"/>
          <w:szCs w:val="20"/>
          <w:color w:val="auto"/>
        </w:rPr>
      </w:pPr>
      <w:r>
        <w:rPr>
          <w:rFonts w:ascii="Times New Roman" w:cs="Times New Roman" w:eastAsia="Times New Roman" w:hAnsi="Times New Roman"/>
          <w:sz w:val="18"/>
          <w:szCs w:val="18"/>
          <w:color w:val="auto"/>
        </w:rPr>
        <w:t>Interest income was $13.5 million during the year ended December 31, 2025 compared to $19.8 million during the year ended December 31, 2024. The decrease of $6.3 million in interest income was primarily related to our short-term and long-term investments. The decrease in interest income is primarily due to the decrease in investment balances, as well as the timing of sales, maturities and purchases of our investments.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jc w:val="both"/>
        <w:ind w:right="380" w:firstLine="659"/>
        <w:spacing w:after="0" w:line="305" w:lineRule="auto"/>
        <w:rPr>
          <w:sz w:val="20"/>
          <w:szCs w:val="20"/>
          <w:color w:val="auto"/>
        </w:rPr>
      </w:pPr>
      <w:r>
        <w:rPr>
          <w:rFonts w:ascii="Times New Roman" w:cs="Times New Roman" w:eastAsia="Times New Roman" w:hAnsi="Times New Roman"/>
          <w:sz w:val="18"/>
          <w:szCs w:val="18"/>
          <w:color w:val="auto"/>
        </w:rPr>
        <w:t>From our inception through December 31, 2025, we have received an aggregate of $1.4 billion to fund our operations, which included $752.4 million from the sale of equity securities, $335.0 million from the sale of future royalties, $324.2 million from our collaboration agreements and $19.1 million from venture debt. As of December 31, 2025, we had $311.6 million in cash, cash equivalents and investments.</w:t>
      </w:r>
    </w:p>
    <w:p>
      <w:pPr>
        <w:spacing w:after="0" w:line="61" w:lineRule="exact"/>
        <w:rPr>
          <w:sz w:val="20"/>
          <w:szCs w:val="20"/>
          <w:color w:val="auto"/>
        </w:rPr>
      </w:pPr>
    </w:p>
    <w:p>
      <w:pPr>
        <w:ind w:right="200" w:firstLine="659"/>
        <w:spacing w:after="0" w:line="297" w:lineRule="auto"/>
        <w:rPr>
          <w:sz w:val="20"/>
          <w:szCs w:val="20"/>
          <w:color w:val="auto"/>
        </w:rPr>
      </w:pPr>
      <w:r>
        <w:rPr>
          <w:rFonts w:ascii="Times New Roman" w:cs="Times New Roman" w:eastAsia="Times New Roman" w:hAnsi="Times New Roman"/>
          <w:sz w:val="18"/>
          <w:szCs w:val="18"/>
          <w:color w:val="auto"/>
        </w:rPr>
        <w:t>In addition to our existing cash, cash equivalents and investments, we are eligible to earn milestone and other contingent payments for the achievement of defined collaboration objectives and certain regulatory and sales-based events, and royalty payments under our collaboration agreements, including the GSK Agreement, the GSK Settlement Agreement, and the Vanda License Agreement. Our ability to earn these milestone and contingent payments and the timing of achieving these milestones is primarily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3" w:name="page74"/>
    <w:bookmarkEnd w:id="73"/>
    <w:p>
      <w:pPr>
        <w:ind w:right="320"/>
        <w:spacing w:after="0" w:line="313" w:lineRule="auto"/>
        <w:rPr>
          <w:sz w:val="20"/>
          <w:szCs w:val="20"/>
          <w:color w:val="auto"/>
        </w:rPr>
      </w:pPr>
      <w:r>
        <w:rPr>
          <w:rFonts w:ascii="Times New Roman" w:cs="Times New Roman" w:eastAsia="Times New Roman" w:hAnsi="Times New Roman"/>
          <w:sz w:val="18"/>
          <w:szCs w:val="18"/>
          <w:color w:val="auto"/>
        </w:rPr>
        <w:t>dependent upon the outcome of our collaborators’ research and development and sales-based activities. Our rights to payments under our collaboration agreements are our only committed external source of funds.</w:t>
      </w:r>
    </w:p>
    <w:p>
      <w:pPr>
        <w:spacing w:after="0" w:line="68" w:lineRule="exact"/>
        <w:rPr>
          <w:sz w:val="20"/>
          <w:szCs w:val="20"/>
          <w:color w:val="auto"/>
        </w:rPr>
      </w:pPr>
    </w:p>
    <w:p>
      <w:pPr>
        <w:ind w:firstLine="659"/>
        <w:spacing w:after="0" w:line="291" w:lineRule="auto"/>
        <w:rPr>
          <w:sz w:val="20"/>
          <w:szCs w:val="20"/>
          <w:color w:val="auto"/>
        </w:rPr>
      </w:pPr>
      <w:r>
        <w:rPr>
          <w:rFonts w:ascii="Times New Roman" w:cs="Times New Roman" w:eastAsia="Times New Roman" w:hAnsi="Times New Roman"/>
          <w:sz w:val="18"/>
          <w:szCs w:val="18"/>
          <w:color w:val="auto"/>
        </w:rPr>
        <w:t>In October 2021, we signed the Jemperli Royalty Monetization Agreement with Sagard. Pursuant to this transaction, we received a $250.0 million payment upon closing in December 2021, in exchange for Jemperli royalties due to us on annual commercial sales below $1.0 billion and certain future milestones starting in October 2021. In May 2024, we entered into the Jemperli Amendment under which we sold additional receivables to Sagard in exchange for $50.0 million. The Jemperli Amendment includes all Jemperli sales, including any product containing Jemperli, whether or not such product constitutes a combination product, and the threshold amounts of aggregate Jemperli royalties and milestones to be received by Sagard under the Jemperli Amendment is either $600.0 million if received by the end of March 31, 2031, or $675.0 million if received thereafter. Once either of these thresholds are met, the Jemperli Royalty Monetization Agreement and the Jemperli Amendment will expire, resulting in us regaining all subsequent Jemperli royalties and milestones. We treated the sale of future revenue from the Jemperli Royalty Monetization Agreement (as amended) with Sagard as debt, which will be amortized under the effective interest rate method over the estimated life of the related expected royalty stream.</w:t>
      </w:r>
    </w:p>
    <w:p>
      <w:pPr>
        <w:spacing w:after="0" w:line="77" w:lineRule="exact"/>
        <w:rPr>
          <w:sz w:val="20"/>
          <w:szCs w:val="20"/>
          <w:color w:val="auto"/>
        </w:rPr>
      </w:pPr>
    </w:p>
    <w:p>
      <w:pPr>
        <w:ind w:right="40" w:firstLine="659"/>
        <w:spacing w:after="0" w:line="294" w:lineRule="auto"/>
        <w:rPr>
          <w:sz w:val="20"/>
          <w:szCs w:val="20"/>
          <w:color w:val="auto"/>
        </w:rPr>
      </w:pPr>
      <w:r>
        <w:rPr>
          <w:rFonts w:ascii="Times New Roman" w:cs="Times New Roman" w:eastAsia="Times New Roman" w:hAnsi="Times New Roman"/>
          <w:sz w:val="18"/>
          <w:szCs w:val="18"/>
          <w:color w:val="auto"/>
        </w:rPr>
        <w:t>The proceeds received from Sagard of $250.0 million and $50.0 million were recorded as a liability, net of transaction costs of $0.4 million and $0.1 million, which will be amortized over the estimated life of the arrangement using the effective interest rate method. The aggregate future estimated payments, less the $299.5 million, net of proceeds, will be recognized as non-cash interest expense over the life of the agreement. Royalty and milestone revenue will be recognized as earned on net sales of Jemperli, and these payments to Sagard will be recorded as a reduction of the liability when paid. As such payments are made to Sagard, the balance of the liability will be effectively repaid over the life of the Jemperli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spacing w:after="0" w:line="75" w:lineRule="exact"/>
        <w:rPr>
          <w:sz w:val="20"/>
          <w:szCs w:val="20"/>
          <w:color w:val="auto"/>
        </w:rPr>
      </w:pPr>
    </w:p>
    <w:p>
      <w:pPr>
        <w:jc w:val="both"/>
        <w:ind w:right="220" w:firstLine="659"/>
        <w:spacing w:after="0" w:line="305" w:lineRule="auto"/>
        <w:rPr>
          <w:sz w:val="20"/>
          <w:szCs w:val="20"/>
          <w:color w:val="auto"/>
        </w:rPr>
      </w:pPr>
      <w:r>
        <w:rPr>
          <w:rFonts w:ascii="Times New Roman" w:cs="Times New Roman" w:eastAsia="Times New Roman" w:hAnsi="Times New Roman"/>
          <w:sz w:val="18"/>
          <w:szCs w:val="18"/>
          <w:color w:val="auto"/>
        </w:rPr>
        <w:t>In November 2024, we entered into an open market sales agreement with TD Securities (USA) LLC (“TD Cowen”), under which we may offer and sell shares of our common stock up to, an aggregate offering of $100.0 million through TD Cowen as our sales agent. As of December 31, 2025, we had sold no shares under this agreement.</w:t>
      </w:r>
    </w:p>
    <w:p>
      <w:pPr>
        <w:spacing w:after="0" w:line="61" w:lineRule="exact"/>
        <w:rPr>
          <w:sz w:val="20"/>
          <w:szCs w:val="20"/>
          <w:color w:val="auto"/>
        </w:rPr>
      </w:pPr>
    </w:p>
    <w:p>
      <w:pPr>
        <w:ind w:right="120" w:firstLine="659"/>
        <w:spacing w:after="0" w:line="297" w:lineRule="auto"/>
        <w:rPr>
          <w:sz w:val="20"/>
          <w:szCs w:val="20"/>
          <w:color w:val="auto"/>
        </w:rPr>
      </w:pPr>
      <w:r>
        <w:rPr>
          <w:rFonts w:ascii="Times New Roman" w:cs="Times New Roman" w:eastAsia="Times New Roman" w:hAnsi="Times New Roman"/>
          <w:sz w:val="18"/>
          <w:szCs w:val="18"/>
          <w:color w:val="auto"/>
        </w:rPr>
        <w:t>In August 2024, we entered into an underwriting agreement with TD Cowen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48" w:lineRule="exact"/>
        <w:rPr>
          <w:sz w:val="20"/>
          <w:szCs w:val="20"/>
          <w:color w:val="auto"/>
        </w:rPr>
      </w:pPr>
    </w:p>
    <w:p>
      <w:pPr>
        <w:jc w:val="both"/>
        <w:ind w:right="240" w:firstLine="659"/>
        <w:spacing w:after="0" w:line="305" w:lineRule="auto"/>
        <w:rPr>
          <w:sz w:val="20"/>
          <w:szCs w:val="20"/>
          <w:color w:val="auto"/>
        </w:rPr>
      </w:pPr>
      <w:r>
        <w:rPr>
          <w:rFonts w:ascii="Times New Roman" w:cs="Times New Roman" w:eastAsia="Times New Roman" w:hAnsi="Times New Roman"/>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61" w:lineRule="exact"/>
        <w:rPr>
          <w:sz w:val="20"/>
          <w:szCs w:val="20"/>
          <w:color w:val="auto"/>
        </w:rPr>
      </w:pPr>
    </w:p>
    <w:p>
      <w:pPr>
        <w:ind w:right="400" w:firstLine="659"/>
        <w:spacing w:after="0" w:line="297"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third 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69" w:lineRule="exact"/>
        <w:rPr>
          <w:sz w:val="20"/>
          <w:szCs w:val="20"/>
          <w:color w:val="auto"/>
        </w:rPr>
      </w:pPr>
    </w:p>
    <w:p>
      <w:pPr>
        <w:ind w:right="80" w:firstLine="659"/>
        <w:spacing w:after="0" w:line="297" w:lineRule="auto"/>
        <w:rPr>
          <w:sz w:val="20"/>
          <w:szCs w:val="20"/>
          <w:color w:val="auto"/>
        </w:rPr>
      </w:pPr>
      <w:r>
        <w:rPr>
          <w:rFonts w:ascii="Times New Roman" w:cs="Times New Roman" w:eastAsia="Times New Roman" w:hAnsi="Times New Roman"/>
          <w:sz w:val="18"/>
          <w:szCs w:val="18"/>
          <w:color w:val="auto"/>
        </w:rPr>
        <w:t>Cash, cash equivalents and investments totaled $311.6 million as of December 31, 2025, compared to $420.8 million as of December 31, 2024.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2025 and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3"/>
        </w:trPr>
        <w:tc>
          <w:tcPr>
            <w:tcW w:w="54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2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activities</w:t>
            </w:r>
          </w:p>
        </w:tc>
        <w:tc>
          <w:tcPr>
            <w:tcW w:w="2660" w:type="dxa"/>
            <w:vAlign w:val="bottom"/>
            <w:gridSpan w:val="2"/>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8"/>
              <w:spacing w:after="0" w:line="189" w:lineRule="exact"/>
              <w:rPr>
                <w:sz w:val="20"/>
                <w:szCs w:val="20"/>
                <w:color w:val="auto"/>
              </w:rPr>
            </w:pPr>
            <w:r>
              <w:rPr>
                <w:rFonts w:ascii="Times New Roman" w:cs="Times New Roman" w:eastAsia="Times New Roman" w:hAnsi="Times New Roman"/>
                <w:sz w:val="18"/>
                <w:szCs w:val="18"/>
                <w:color w:val="auto"/>
              </w:rPr>
              <w:t>19,697</w:t>
            </w:r>
          </w:p>
        </w:tc>
        <w:tc>
          <w:tcPr>
            <w:tcW w:w="620" w:type="dxa"/>
            <w:vAlign w:val="bottom"/>
            <w:gridSpan w:val="2"/>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(135,337)</w:t>
            </w:r>
          </w:p>
        </w:tc>
        <w:tc>
          <w:tcPr>
            <w:tcW w:w="0" w:type="dxa"/>
            <w:vAlign w:val="bottom"/>
          </w:tcPr>
          <w:p>
            <w:pPr>
              <w:spacing w:after="0"/>
              <w:rPr>
                <w:sz w:val="1"/>
                <w:szCs w:val="1"/>
                <w:color w:val="auto"/>
              </w:rPr>
            </w:pPr>
          </w:p>
        </w:tc>
      </w:tr>
      <w:tr>
        <w:trPr>
          <w:trHeight w:val="189"/>
        </w:trPr>
        <w:tc>
          <w:tcPr>
            <w:tcW w:w="54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Investing activities</w:t>
            </w:r>
          </w:p>
        </w:tc>
        <w:tc>
          <w:tcPr>
            <w:tcW w:w="23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8"/>
              <w:spacing w:after="0" w:line="189" w:lineRule="exact"/>
              <w:rPr>
                <w:sz w:val="20"/>
                <w:szCs w:val="20"/>
                <w:color w:val="auto"/>
              </w:rPr>
            </w:pPr>
            <w:r>
              <w:rPr>
                <w:rFonts w:ascii="Times New Roman" w:cs="Times New Roman" w:eastAsia="Times New Roman" w:hAnsi="Times New Roman"/>
                <w:sz w:val="18"/>
                <w:szCs w:val="18"/>
                <w:color w:val="auto"/>
              </w:rPr>
              <w:t>228,032</w:t>
            </w: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95,398</w:t>
            </w:r>
          </w:p>
        </w:tc>
        <w:tc>
          <w:tcPr>
            <w:tcW w:w="0" w:type="dxa"/>
            <w:vAlign w:val="bottom"/>
          </w:tcPr>
          <w:p>
            <w:pPr>
              <w:spacing w:after="0"/>
              <w:rPr>
                <w:sz w:val="1"/>
                <w:szCs w:val="1"/>
                <w:color w:val="auto"/>
              </w:rPr>
            </w:pPr>
          </w:p>
        </w:tc>
      </w:tr>
      <w:tr>
        <w:trPr>
          <w:trHeight w:val="189"/>
        </w:trPr>
        <w:tc>
          <w:tcPr>
            <w:tcW w:w="5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Financing activities</w:t>
            </w:r>
          </w:p>
        </w:tc>
        <w:tc>
          <w:tcPr>
            <w:tcW w:w="2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(132,613)</w:t>
            </w: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127,054</w:t>
            </w: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Net increase in cash and cash equivalents</w:t>
            </w:r>
          </w:p>
        </w:tc>
        <w:tc>
          <w:tcPr>
            <w:tcW w:w="23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8"/>
              <w:spacing w:after="0" w:line="182" w:lineRule="exact"/>
              <w:rPr>
                <w:sz w:val="20"/>
                <w:szCs w:val="20"/>
                <w:color w:val="auto"/>
              </w:rPr>
            </w:pPr>
            <w:r>
              <w:rPr>
                <w:rFonts w:ascii="Times New Roman" w:cs="Times New Roman" w:eastAsia="Times New Roman" w:hAnsi="Times New Roman"/>
                <w:sz w:val="18"/>
                <w:szCs w:val="18"/>
                <w:color w:val="auto"/>
              </w:rPr>
              <w:t>115,116</w:t>
            </w:r>
          </w:p>
        </w:tc>
        <w:tc>
          <w:tcPr>
            <w:tcW w:w="620" w:type="dxa"/>
            <w:vAlign w:val="bottom"/>
            <w:gridSpan w:val="2"/>
            <w:shd w:val="clear" w:color="auto" w:fill="CFF0FC"/>
          </w:tcPr>
          <w:p>
            <w:pPr>
              <w:jc w:val="right"/>
              <w:ind w:right="3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87,115</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ind w:right="240" w:firstLine="659"/>
        <w:spacing w:after="0" w:line="297" w:lineRule="auto"/>
        <w:rPr>
          <w:sz w:val="20"/>
          <w:szCs w:val="20"/>
          <w:color w:val="auto"/>
        </w:rPr>
      </w:pPr>
      <w:r>
        <w:rPr>
          <w:rFonts w:ascii="Times New Roman" w:cs="Times New Roman" w:eastAsia="Times New Roman" w:hAnsi="Times New Roman"/>
          <w:sz w:val="18"/>
          <w:szCs w:val="18"/>
          <w:color w:val="auto"/>
        </w:rPr>
        <w:t>Net cash provided by operating activities during the year ended December 31, 2025 was $19.7 million, primarily due to our net loss of $13.2 million, adjusted for addbacks for non-cash items of $113.6 million which includes stock-based compensation, amortization of operating right-of-use assets, non-cash interest expense, income from marketable securities, and depreciation, offset by decreases in working capital of $80.7 million, which includes decreases related to accounts payable and other liabilities, and operating lease liabilities, partially offset by increases related to receivables from collaborative partners, and prepaid expenses and other assets.</w:t>
      </w:r>
    </w:p>
    <w:p>
      <w:pPr>
        <w:spacing w:after="0" w:line="69" w:lineRule="exact"/>
        <w:rPr>
          <w:sz w:val="20"/>
          <w:szCs w:val="20"/>
          <w:color w:val="auto"/>
        </w:rPr>
      </w:pPr>
    </w:p>
    <w:p>
      <w:pPr>
        <w:ind w:firstLine="659"/>
        <w:spacing w:after="0" w:line="305"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2024 was $135.3 million, primarily due to our net loss of $145.2 million, adjusted for addbacks for non-cash items of $76.2 million which includes stock-based compensation, amortization of operating right-of-use assets, non-cash interest expense, and income from marketable securities, offset by decreases in in working capital of $66.3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jc w:val="both"/>
        <w:ind w:right="280" w:firstLine="659"/>
        <w:spacing w:after="0" w:line="305" w:lineRule="auto"/>
        <w:rPr>
          <w:sz w:val="20"/>
          <w:szCs w:val="20"/>
          <w:color w:val="auto"/>
        </w:rPr>
      </w:pPr>
      <w:r>
        <w:rPr>
          <w:rFonts w:ascii="Times New Roman" w:cs="Times New Roman" w:eastAsia="Times New Roman" w:hAnsi="Times New Roman"/>
          <w:sz w:val="18"/>
          <w:szCs w:val="18"/>
          <w:color w:val="auto"/>
        </w:rPr>
        <w:t>Cash provided by investing activities during the year ended December 31, 2025 was $228.0 million, primarily due to the sale and maturities of investments of $424.5 million, offset by the acquisition of investments of $196.4 million and the purchases of property and equipment of approximately $0.1 million.</w:t>
      </w:r>
    </w:p>
    <w:p>
      <w:pPr>
        <w:spacing w:after="0" w:line="61" w:lineRule="exact"/>
        <w:rPr>
          <w:sz w:val="20"/>
          <w:szCs w:val="20"/>
          <w:color w:val="auto"/>
        </w:rPr>
      </w:pPr>
    </w:p>
    <w:p>
      <w:pPr>
        <w:ind w:right="280" w:firstLine="659"/>
        <w:spacing w:after="0" w:line="305" w:lineRule="auto"/>
        <w:rPr>
          <w:sz w:val="20"/>
          <w:szCs w:val="20"/>
          <w:color w:val="auto"/>
        </w:rPr>
      </w:pPr>
      <w:r>
        <w:rPr>
          <w:rFonts w:ascii="Times New Roman" w:cs="Times New Roman" w:eastAsia="Times New Roman" w:hAnsi="Times New Roman"/>
          <w:sz w:val="18"/>
          <w:szCs w:val="18"/>
          <w:color w:val="auto"/>
        </w:rPr>
        <w:t>Cash provided by investing activities during the year ended December 31, 2024 was $95.4 million, primarily due to the sale and maturities of investments of $476.1 million, offset by the acquisition of investments of $380.4 million and the purchases of property and equipment of approximately $0.3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jc w:val="both"/>
        <w:ind w:right="260" w:firstLine="659"/>
        <w:spacing w:after="0" w:line="297" w:lineRule="auto"/>
        <w:rPr>
          <w:sz w:val="20"/>
          <w:szCs w:val="20"/>
          <w:color w:val="auto"/>
        </w:rPr>
      </w:pPr>
      <w:r>
        <w:rPr>
          <w:rFonts w:ascii="Times New Roman" w:cs="Times New Roman" w:eastAsia="Times New Roman" w:hAnsi="Times New Roman"/>
          <w:sz w:val="18"/>
          <w:szCs w:val="18"/>
          <w:color w:val="auto"/>
        </w:rPr>
        <w:t>Cash used by financing activities during the year ended December 31, 2025 was $132.6 million, primarily related to $76.8 million for principal repayments of the liability for the sale of future royalties, $1.5 million for net share settlement of equity awards, $68.6 million paid for repurchases and retirements of common stock, offset by $14.3 million of cash received for the issuance of common stock.</w:t>
      </w:r>
    </w:p>
    <w:p>
      <w:pPr>
        <w:spacing w:after="0" w:line="82" w:lineRule="exact"/>
        <w:rPr>
          <w:sz w:val="20"/>
          <w:szCs w:val="20"/>
          <w:color w:val="auto"/>
        </w:rPr>
      </w:pPr>
    </w:p>
    <w:p>
      <w:pPr>
        <w:ind w:right="20" w:firstLine="659"/>
        <w:spacing w:after="0" w:line="293"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2024 was $127.1 million, primarily related to $94.4 million of proceeds received from public offerings, net of underwriters’ fees, $50.0 million received for the sale of future royalties, $6.5 million of cash received for the issuance of common stock, offset by $15.2 million for repayments of the liability for the sale of future royalties, $7.5 million for net share settlement of equity awards, $0.5 million paid for repurchases and retirements of common stock excise tax, and $0.6 million payments for offering and debt issuance costs.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48" w:lineRule="exact"/>
        <w:rPr>
          <w:sz w:val="20"/>
          <w:szCs w:val="20"/>
          <w:color w:val="auto"/>
        </w:rPr>
      </w:pPr>
    </w:p>
    <w:p>
      <w:pPr>
        <w:ind w:right="100" w:firstLine="659"/>
        <w:spacing w:after="0" w:line="297" w:lineRule="auto"/>
        <w:rPr>
          <w:sz w:val="20"/>
          <w:szCs w:val="20"/>
          <w:color w:val="auto"/>
        </w:rPr>
      </w:pPr>
      <w:r>
        <w:rPr>
          <w:rFonts w:ascii="Times New Roman" w:cs="Times New Roman" w:eastAsia="Times New Roman" w:hAnsi="Times New Roman"/>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75" w:name="page76"/>
    <w:bookmarkEnd w:id="75"/>
    <w:p>
      <w:pPr>
        <w:jc w:val="center"/>
        <w:ind w:right="60"/>
        <w:spacing w:after="0"/>
        <w:rPr>
          <w:sz w:val="20"/>
          <w:szCs w:val="20"/>
          <w:color w:val="auto"/>
        </w:rPr>
      </w:pPr>
      <w:r>
        <w:rPr>
          <w:rFonts w:ascii="Times New Roman" w:cs="Times New Roman" w:eastAsia="Times New Roman" w:hAnsi="Times New Roman"/>
          <w:sz w:val="18"/>
          <w:szCs w:val="18"/>
          <w:color w:val="auto"/>
        </w:rPr>
        <w:t>For further information related to our operating lease, see Note 10 — Commitments and Contingencies in the accompanying notes to the</w:t>
      </w:r>
    </w:p>
    <w:p>
      <w:pPr>
        <w:spacing w:after="0" w:line="36" w:lineRule="exact"/>
        <w:rPr>
          <w:sz w:val="20"/>
          <w:szCs w:val="20"/>
          <w:color w:val="auto"/>
        </w:rPr>
      </w:pPr>
    </w:p>
    <w:p>
      <w:pPr>
        <w:ind w:right="80"/>
        <w:spacing w:after="0" w:line="329" w:lineRule="auto"/>
        <w:rPr>
          <w:sz w:val="20"/>
          <w:szCs w:val="20"/>
          <w:color w:val="auto"/>
        </w:rPr>
      </w:pPr>
      <w:r>
        <w:rPr>
          <w:rFonts w:ascii="Times New Roman" w:cs="Times New Roman" w:eastAsia="Times New Roman" w:hAnsi="Times New Roman"/>
          <w:sz w:val="18"/>
          <w:szCs w:val="18"/>
          <w:color w:val="auto"/>
        </w:rPr>
        <w:t>consolidated financial statements included in Part II, Item 8, “Consolidated Financial Statements and Supplementary Data” of this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48" w:lineRule="exact"/>
        <w:rPr>
          <w:sz w:val="20"/>
          <w:szCs w:val="20"/>
          <w:color w:val="auto"/>
        </w:rPr>
      </w:pPr>
    </w:p>
    <w:p>
      <w:pPr>
        <w:ind w:right="20" w:firstLine="659"/>
        <w:spacing w:after="0" w:line="291" w:lineRule="auto"/>
        <w:rPr>
          <w:sz w:val="20"/>
          <w:szCs w:val="20"/>
          <w:color w:val="auto"/>
        </w:rPr>
      </w:pPr>
      <w:r>
        <w:rPr>
          <w:rFonts w:ascii="Times New Roman" w:cs="Times New Roman" w:eastAsia="Times New Roman" w:hAnsi="Times New Roman"/>
          <w:sz w:val="18"/>
          <w:szCs w:val="18"/>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and cash equivalents, short-term and long-term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As of December 31, 2025, our investment portfolio includes cash, cash equivalents, and investments of $311.6 million that earn interest at market rates. Our investments held during the year were comprised of highly rated instruments such as money market funds, certificates of deposit, agency securities, commercial obligations and U.S. Treasury securities. As of December 31, 2025, the majority of these instruments had a maturity of less than a year. A hypothetical increase or decrease of 100 basis points on the interest rates of our investments would not have a material effect on the fair value of our investment portfolio and any losses would only be realized if we sold the investments prior to maturity.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62" w:lineRule="exact"/>
        <w:rPr>
          <w:sz w:val="20"/>
          <w:szCs w:val="20"/>
          <w:color w:val="auto"/>
        </w:rPr>
      </w:pPr>
    </w:p>
    <w:p>
      <w:pPr>
        <w:ind w:firstLine="659"/>
        <w:spacing w:after="0" w:line="292" w:lineRule="auto"/>
        <w:rPr>
          <w:sz w:val="20"/>
          <w:szCs w:val="20"/>
          <w:color w:val="auto"/>
        </w:rPr>
      </w:pPr>
      <w:r>
        <w:rPr>
          <w:rFonts w:ascii="Times New Roman" w:cs="Times New Roman" w:eastAsia="Times New Roman" w:hAnsi="Times New Roman"/>
          <w:sz w:val="18"/>
          <w:szCs w:val="18"/>
          <w:color w:val="auto"/>
        </w:rPr>
        <w:t>We conduct a portion of our business with CROs in currencies other than our U.S. dollar functional currency. These transactions give rise to monetary assets and liabilities that are denominated in currencies other than the U.S. dollar. The value of these monetary assets and liabilities are subject to changes in currency exchange rates from the time the transactions are originated until settlement in cash. Our foreign currency exposures are primarily concentrated in the euro, British pound, Australian dollar, and Canadian dollar. Both realized and unrealized gains or losses on the value of these monetary assets and liabilities are included in the determination of net income. We do not hedge our foreign currency exchange rate risk, however, we may do so in the future. As of December 31, 2025, we had no material accounts payable or receivable denominated in foreign currencies, and a hypothetical 10% change in foreign currency exchange rates applicable to our business would not have had a material impact on our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62" w:lineRule="exact"/>
        <w:rPr>
          <w:sz w:val="20"/>
          <w:szCs w:val="20"/>
          <w:color w:val="auto"/>
        </w:rPr>
      </w:pPr>
    </w:p>
    <w:p>
      <w:pPr>
        <w:ind w:right="140" w:firstLine="656"/>
        <w:spacing w:after="0" w:line="313" w:lineRule="auto"/>
        <w:rPr>
          <w:sz w:val="20"/>
          <w:szCs w:val="20"/>
          <w:color w:val="auto"/>
        </w:rPr>
      </w:pPr>
      <w:r>
        <w:rPr>
          <w:rFonts w:ascii="Times New Roman" w:cs="Times New Roman" w:eastAsia="Times New Roman" w:hAnsi="Times New Roman"/>
          <w:sz w:val="18"/>
          <w:szCs w:val="18"/>
          <w:color w:val="auto"/>
        </w:rPr>
        <w:t>Inflation generally affects us by increasing our clinical trial and other operational costs. We do not believe that inflation has had a material effect on our business, financial condition or results of operations during the years ended December 31, 2025, 2024 or 2023.</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2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Audited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80" w:type="dxa"/>
            <w:vAlign w:val="bottom"/>
          </w:tcPr>
          <w:p>
            <w:pPr>
              <w:spacing w:after="0"/>
              <w:rPr>
                <w:sz w:val="18"/>
                <w:szCs w:val="18"/>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98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36"/>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8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28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696"/>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80" w:type="dxa"/>
            <w:vAlign w:val="bottom"/>
          </w:tcPr>
          <w:p>
            <w:pPr>
              <w:jc w:val="right"/>
              <w:ind w:right="5432"/>
              <w:spacing w:after="0"/>
              <w:rPr>
                <w:sz w:val="20"/>
                <w:szCs w:val="20"/>
                <w:color w:val="auto"/>
              </w:rPr>
            </w:pPr>
            <w:r>
              <w:rPr>
                <w:rFonts w:ascii="Times New Roman" w:cs="Times New Roman" w:eastAsia="Times New Roman" w:hAnsi="Times New Roman"/>
                <w:sz w:val="18"/>
                <w:szCs w:val="18"/>
                <w:color w:val="auto"/>
              </w:rPr>
              <w:t>75</w:t>
            </w:r>
          </w:p>
        </w:tc>
      </w:tr>
      <w:tr>
        <w:trPr>
          <w:trHeight w:val="385"/>
        </w:trPr>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AnaptysBio,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60"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AnaptysBio, Inc. and subsidiary (the Company) as of December 31, 2025 and 2024, the related consolidated statements of operations and comprehensive loss,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46"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9"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60"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Research and Development Costs</w:t>
      </w:r>
    </w:p>
    <w:p>
      <w:pPr>
        <w:spacing w:after="0" w:line="146" w:lineRule="exact"/>
        <w:rPr>
          <w:sz w:val="20"/>
          <w:szCs w:val="20"/>
          <w:color w:val="auto"/>
        </w:rPr>
      </w:pPr>
    </w:p>
    <w:p>
      <w:pPr>
        <w:jc w:val="both"/>
        <w:ind w:right="160"/>
        <w:spacing w:after="0" w:line="28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has entered into various contracts with third parties to perform research and development, including clinical manufacturing. When billing terms under these contracts do not coincide with the timing of when work is performed, the Company makes estimates of the costs incurred by third parties during the period and the outstanding obligations to those third parties as of period end.</w:t>
      </w:r>
    </w:p>
    <w:p>
      <w:pPr>
        <w:spacing w:after="0" w:line="3"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Estimates of costs incurred during the period that are included in period-end prepaid or accrued expense balances are based on a number of factors, including the review of open contracts and purchase orders, communicating with personnel and service providers to identify services that have been performed on the Company’s behalf and estimating the level of service performed and the associated costs incurred for the service when the Company has not yet been invoiced or otherwise notified of the actual cost. Significant judgments and estimates are made by the Company in determining the costs incurred during the period that are included in prepaid or accrued expense balances at the end of each reporting period.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8" w:name="page79"/>
    <w:bookmarkEnd w:id="78"/>
    <w:p>
      <w:pPr>
        <w:spacing w:after="0" w:line="305" w:lineRule="auto"/>
        <w:rPr>
          <w:sz w:val="20"/>
          <w:szCs w:val="20"/>
          <w:color w:val="auto"/>
        </w:rPr>
      </w:pPr>
      <w:r>
        <w:rPr>
          <w:rFonts w:ascii="Times New Roman" w:cs="Times New Roman" w:eastAsia="Times New Roman" w:hAnsi="Times New Roman"/>
          <w:sz w:val="18"/>
          <w:szCs w:val="18"/>
          <w:color w:val="auto"/>
        </w:rPr>
        <w:t>We identified the evaluation of research and development costs as a critical audit matter. Subjective auditor judgment was involved in evaluating the nature and extent of evidence available in evaluating certain assumptions and inputs that were used in estimating the degree of completion of research and development programs when the Company has not yet been invoiced or otherwise notified of the actual cost.</w:t>
      </w:r>
    </w:p>
    <w:p>
      <w:pPr>
        <w:spacing w:after="0" w:line="61"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On a sample basis, we examined contracts, invoices, and third-party confirmations and compared them to the assumptions and inputs that are described above. We also examined certain invoices received after December 31, 2025 and evaluated whether services received prior to December 31, 2025 were included in the Company’s estimate of costs incurred as of December 31, 2025.</w:t>
      </w:r>
    </w:p>
    <w:p>
      <w:pPr>
        <w:spacing w:after="0" w:line="8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 KPMG LLP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83"/>
        </w:trPr>
        <w:tc>
          <w:tcPr>
            <w:tcW w:w="7740" w:type="dxa"/>
            <w:vAlign w:val="bottom"/>
            <w:shd w:val="clear" w:color="auto" w:fill="CFF0FC"/>
          </w:tcPr>
          <w:p>
            <w:pPr>
              <w:ind w:left="3440"/>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238,196</w:t>
            </w:r>
          </w:p>
        </w:tc>
        <w:tc>
          <w:tcPr>
            <w:tcW w:w="32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123,080</w:t>
            </w: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Receivables from collaborative partners</w:t>
            </w:r>
          </w:p>
        </w:tc>
        <w:tc>
          <w:tcPr>
            <w:tcW w:w="140" w:type="dxa"/>
            <w:vAlign w:val="bottom"/>
          </w:tcPr>
          <w:p>
            <w:pPr>
              <w:spacing w:after="0"/>
              <w:rPr>
                <w:sz w:val="16"/>
                <w:szCs w:val="16"/>
                <w:color w:val="auto"/>
              </w:rPr>
            </w:pP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33,850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40,765</w:t>
            </w: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73,442</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262,293</w:t>
            </w: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4,762</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5,738</w:t>
            </w:r>
          </w:p>
        </w:tc>
      </w:tr>
      <w:tr>
        <w:trPr>
          <w:trHeight w:val="183"/>
        </w:trPr>
        <w:tc>
          <w:tcPr>
            <w:tcW w:w="7740" w:type="dxa"/>
            <w:vAlign w:val="bottom"/>
            <w:shd w:val="clear" w:color="auto" w:fill="CFF0FC"/>
          </w:tcPr>
          <w:p>
            <w:pPr>
              <w:ind w:left="420"/>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350,250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431,876</w:t>
            </w: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6"/>
                <w:szCs w:val="16"/>
                <w:color w:val="auto"/>
              </w:rPr>
            </w:pP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1,370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1,849</w:t>
            </w: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12,519</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14,383</w:t>
            </w: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Pr>
          <w:p>
            <w:pPr>
              <w:spacing w:after="0"/>
              <w:rPr>
                <w:sz w:val="16"/>
                <w:szCs w:val="16"/>
                <w:color w:val="auto"/>
              </w:rPr>
            </w:pP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35,470</w:t>
            </w:r>
          </w:p>
        </w:tc>
      </w:tr>
      <w:tr>
        <w:trPr>
          <w:trHeight w:val="189"/>
        </w:trPr>
        <w:tc>
          <w:tcPr>
            <w:tcW w:w="77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256</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256</w:t>
            </w:r>
          </w:p>
        </w:tc>
      </w:tr>
      <w:tr>
        <w:trPr>
          <w:trHeight w:val="183"/>
        </w:trPr>
        <w:tc>
          <w:tcPr>
            <w:tcW w:w="774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364,395</w:t>
            </w:r>
          </w:p>
        </w:tc>
        <w:tc>
          <w:tcPr>
            <w:tcW w:w="32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483,834</w:t>
            </w: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7740" w:type="dxa"/>
            <w:vAlign w:val="bottom"/>
            <w:shd w:val="clear" w:color="auto" w:fill="CFF0FC"/>
          </w:tcPr>
          <w:p>
            <w:pPr>
              <w:ind w:left="1820"/>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3,871</w:t>
            </w:r>
          </w:p>
        </w:tc>
        <w:tc>
          <w:tcPr>
            <w:tcW w:w="32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4,002</w:t>
            </w: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6"/>
                <w:szCs w:val="16"/>
                <w:color w:val="auto"/>
              </w:rPr>
            </w:pP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32,674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39,501</w:t>
            </w:r>
          </w:p>
        </w:tc>
      </w:tr>
      <w:tr>
        <w:trPr>
          <w:trHeight w:val="189"/>
        </w:trPr>
        <w:tc>
          <w:tcPr>
            <w:tcW w:w="77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2,080</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1,925</w:t>
            </w:r>
          </w:p>
        </w:tc>
      </w:tr>
      <w:tr>
        <w:trPr>
          <w:trHeight w:val="183"/>
        </w:trPr>
        <w:tc>
          <w:tcPr>
            <w:tcW w:w="7740" w:type="dxa"/>
            <w:vAlign w:val="bottom"/>
          </w:tcPr>
          <w:p>
            <w:pPr>
              <w:ind w:left="420"/>
              <w:spacing w:after="0" w:line="182" w:lineRule="exact"/>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5"/>
                <w:szCs w:val="15"/>
                <w:color w:val="auto"/>
              </w:rPr>
            </w:pPr>
          </w:p>
        </w:tc>
        <w:tc>
          <w:tcPr>
            <w:tcW w:w="15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38,625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45,428</w:t>
            </w: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276,528</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353,426</w:t>
            </w: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40" w:type="dxa"/>
            <w:vAlign w:val="bottom"/>
          </w:tcPr>
          <w:p>
            <w:pPr>
              <w:spacing w:after="0"/>
              <w:rPr>
                <w:sz w:val="16"/>
                <w:szCs w:val="16"/>
                <w:color w:val="auto"/>
              </w:rPr>
            </w:pP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12,032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14,112</w:t>
            </w: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r>
      <w:tr>
        <w:trPr>
          <w:trHeight w:val="157"/>
        </w:trPr>
        <w:tc>
          <w:tcPr>
            <w:tcW w:w="77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Preferred stock, $0.001 par value, 10,000 shares authorized and no shares, issued or outstanding at</w:t>
            </w: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and December 31, 2024, respectively</w:t>
            </w:r>
          </w:p>
        </w:tc>
        <w:tc>
          <w:tcPr>
            <w:tcW w:w="1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774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8"/>
                <w:szCs w:val="18"/>
                <w:color w:val="auto"/>
              </w:rPr>
              <w:t>Common stock, $0.001 par value, 500,000 shares authorized, 28,019 shares and 30,473 shares issued</w:t>
            </w:r>
          </w:p>
        </w:tc>
        <w:tc>
          <w:tcPr>
            <w:tcW w:w="14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r>
      <w:tr>
        <w:trPr>
          <w:trHeight w:val="221"/>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outstanding at December 31, 2025 and December 31, 2024, respectively</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tcPr>
          <w:p>
            <w:pPr>
              <w:spacing w:after="0"/>
              <w:rPr>
                <w:sz w:val="16"/>
                <w:szCs w:val="16"/>
                <w:color w:val="auto"/>
              </w:rPr>
            </w:pP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809,765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829,860</w:t>
            </w: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Accumulated other comprehensive (loss) gain</w:t>
            </w: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305</w:t>
            </w: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(772,559)</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(759,327)</w:t>
            </w:r>
          </w:p>
        </w:tc>
      </w:tr>
      <w:tr>
        <w:trPr>
          <w:trHeight w:val="183"/>
        </w:trPr>
        <w:tc>
          <w:tcPr>
            <w:tcW w:w="7740" w:type="dxa"/>
            <w:vAlign w:val="bottom"/>
            <w:tcBorders>
              <w:bottom w:val="single" w:sz="8" w:color="CFF0FC"/>
            </w:tcBorders>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37,210</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70,868</w:t>
            </w:r>
          </w:p>
        </w:tc>
      </w:tr>
      <w:tr>
        <w:trPr>
          <w:trHeight w:val="183"/>
        </w:trPr>
        <w:tc>
          <w:tcPr>
            <w:tcW w:w="774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364,395</w:t>
            </w:r>
          </w:p>
        </w:tc>
        <w:tc>
          <w:tcPr>
            <w:tcW w:w="32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483,834</w:t>
            </w: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-2365375</wp:posOffset>
            </wp:positionV>
            <wp:extent cx="1111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-1610995</wp:posOffset>
            </wp:positionV>
            <wp:extent cx="1111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-153670</wp:posOffset>
            </wp:positionV>
            <wp:extent cx="1111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0"/>
        </w:trPr>
        <w:tc>
          <w:tcPr>
            <w:tcW w:w="5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93"/>
              <w:spacing w:after="0" w:line="16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42"/>
        </w:trPr>
        <w:tc>
          <w:tcPr>
            <w:tcW w:w="5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54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1520" w:type="dxa"/>
            <w:vAlign w:val="bottom"/>
            <w:gridSpan w:val="2"/>
            <w:shd w:val="clear" w:color="auto" w:fill="CFF0FC"/>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234,603</w:t>
            </w:r>
          </w:p>
        </w:tc>
        <w:tc>
          <w:tcPr>
            <w:tcW w:w="30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91,280</w:t>
            </w:r>
          </w:p>
        </w:tc>
        <w:tc>
          <w:tcPr>
            <w:tcW w:w="440" w:type="dxa"/>
            <w:vAlign w:val="bottom"/>
            <w:gridSpan w:val="2"/>
            <w:shd w:val="clear" w:color="auto" w:fill="CFF0FC"/>
          </w:tcPr>
          <w:p>
            <w:pPr>
              <w:jc w:val="right"/>
              <w:ind w:right="2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17,157</w:t>
            </w:r>
          </w:p>
        </w:tc>
      </w:tr>
      <w:tr>
        <w:trPr>
          <w:trHeight w:val="183"/>
        </w:trPr>
        <w:tc>
          <w:tcPr>
            <w:tcW w:w="542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189"/>
        </w:trPr>
        <w:tc>
          <w:tcPr>
            <w:tcW w:w="542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135,970</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163,840</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132,283</w:t>
            </w:r>
          </w:p>
        </w:tc>
      </w:tr>
      <w:tr>
        <w:trPr>
          <w:trHeight w:val="189"/>
        </w:trPr>
        <w:tc>
          <w:tcPr>
            <w:tcW w:w="54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50,737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42,389</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41,946</w:t>
            </w:r>
          </w:p>
        </w:tc>
      </w:tr>
      <w:tr>
        <w:trPr>
          <w:trHeight w:val="189"/>
        </w:trPr>
        <w:tc>
          <w:tcPr>
            <w:tcW w:w="5420" w:type="dxa"/>
            <w:vAlign w:val="bottom"/>
            <w:tcBorders>
              <w:bottom w:val="single" w:sz="8" w:color="CFF0FC"/>
            </w:tcBorders>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2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7,339</w:t>
            </w:r>
          </w:p>
        </w:tc>
      </w:tr>
      <w:tr>
        <w:trPr>
          <w:trHeight w:val="183"/>
        </w:trPr>
        <w:tc>
          <w:tcPr>
            <w:tcW w:w="542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186,707</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206,229</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181,568</w:t>
            </w:r>
          </w:p>
        </w:tc>
      </w:tr>
      <w:tr>
        <w:trPr>
          <w:trHeight w:val="183"/>
        </w:trPr>
        <w:tc>
          <w:tcPr>
            <w:tcW w:w="5420" w:type="dxa"/>
            <w:vAlign w:val="bottom"/>
            <w:tcBorders>
              <w:bottom w:val="single" w:sz="8" w:color="CFF0FC"/>
            </w:tcBorders>
            <w:shd w:val="clear" w:color="auto" w:fill="CFF0FC"/>
          </w:tcPr>
          <w:p>
            <w:pPr>
              <w:ind w:left="480"/>
              <w:spacing w:after="0" w:line="182" w:lineRule="exact"/>
              <w:rPr>
                <w:sz w:val="20"/>
                <w:szCs w:val="20"/>
                <w:color w:val="auto"/>
              </w:rPr>
            </w:pPr>
            <w:r>
              <w:rPr>
                <w:rFonts w:ascii="Times New Roman" w:cs="Times New Roman" w:eastAsia="Times New Roman" w:hAnsi="Times New Roman"/>
                <w:sz w:val="18"/>
                <w:szCs w:val="18"/>
                <w:color w:val="auto"/>
              </w:rPr>
              <w:t>Income (loss) from operations</w:t>
            </w:r>
          </w:p>
        </w:tc>
        <w:tc>
          <w:tcPr>
            <w:tcW w:w="1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47,896</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(114,949)</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(164,411)</w:t>
            </w:r>
          </w:p>
        </w:tc>
      </w:tr>
      <w:tr>
        <w:trPr>
          <w:trHeight w:val="183"/>
        </w:trPr>
        <w:tc>
          <w:tcPr>
            <w:tcW w:w="54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Other (expense) income, net:</w:t>
            </w: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9"/>
        </w:trPr>
        <w:tc>
          <w:tcPr>
            <w:tcW w:w="542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13,499</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19,794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18,873</w:t>
            </w:r>
          </w:p>
        </w:tc>
      </w:tr>
      <w:tr>
        <w:trPr>
          <w:trHeight w:val="189"/>
        </w:trPr>
        <w:tc>
          <w:tcPr>
            <w:tcW w:w="54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(79,893)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(50,087)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(18,083)</w:t>
            </w:r>
          </w:p>
        </w:tc>
      </w:tr>
      <w:tr>
        <w:trPr>
          <w:trHeight w:val="189"/>
        </w:trPr>
        <w:tc>
          <w:tcPr>
            <w:tcW w:w="5420" w:type="dxa"/>
            <w:vAlign w:val="bottom"/>
            <w:tcBorders>
              <w:bottom w:val="single" w:sz="8" w:color="CFF0FC"/>
            </w:tcBorders>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income (expense), net</w:t>
            </w:r>
          </w:p>
        </w:tc>
        <w:tc>
          <w:tcPr>
            <w:tcW w:w="12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5,430</w:t>
            </w:r>
          </w:p>
        </w:tc>
        <w:tc>
          <w:tcPr>
            <w:tcW w:w="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183"/>
        </w:trPr>
        <w:tc>
          <w:tcPr>
            <w:tcW w:w="5420" w:type="dxa"/>
            <w:vAlign w:val="bottom"/>
          </w:tcPr>
          <w:p>
            <w:pPr>
              <w:ind w:left="480"/>
              <w:spacing w:after="0" w:line="182" w:lineRule="exact"/>
              <w:rPr>
                <w:sz w:val="20"/>
                <w:szCs w:val="20"/>
                <w:color w:val="auto"/>
              </w:rPr>
            </w:pPr>
            <w:r>
              <w:rPr>
                <w:rFonts w:ascii="Times New Roman" w:cs="Times New Roman" w:eastAsia="Times New Roman" w:hAnsi="Times New Roman"/>
                <w:sz w:val="18"/>
                <w:szCs w:val="18"/>
                <w:color w:val="auto"/>
              </w:rPr>
              <w:t>Total other (expense) income, net</w:t>
            </w:r>
          </w:p>
        </w:tc>
        <w:tc>
          <w:tcPr>
            <w:tcW w:w="1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(60,964)</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(30,279)</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788</w:t>
            </w:r>
          </w:p>
        </w:tc>
      </w:tr>
      <w:tr>
        <w:trPr>
          <w:trHeight w:val="183"/>
        </w:trPr>
        <w:tc>
          <w:tcPr>
            <w:tcW w:w="54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Loss before income taxes</w:t>
            </w:r>
          </w:p>
        </w:tc>
        <w:tc>
          <w:tcPr>
            <w:tcW w:w="1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(13,068)</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(145,228)</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(163,623)</w:t>
            </w:r>
          </w:p>
        </w:tc>
      </w:tr>
      <w:tr>
        <w:trPr>
          <w:trHeight w:val="189"/>
        </w:trPr>
        <w:tc>
          <w:tcPr>
            <w:tcW w:w="54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(Provision) benefit for income taxes</w:t>
            </w:r>
          </w:p>
        </w:tc>
        <w:tc>
          <w:tcPr>
            <w:tcW w:w="1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183"/>
        </w:trPr>
        <w:tc>
          <w:tcPr>
            <w:tcW w:w="5420" w:type="dxa"/>
            <w:vAlign w:val="bottom"/>
            <w:tcBorders>
              <w:bottom w:val="single" w:sz="8" w:color="CFF0FC"/>
            </w:tcBorders>
            <w:shd w:val="clear" w:color="auto" w:fill="CFF0FC"/>
          </w:tcPr>
          <w:p>
            <w:pPr>
              <w:ind w:left="480"/>
              <w:spacing w:after="0" w:line="182" w:lineRule="exact"/>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(13,232)</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(145,231)</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(163,619)</w:t>
            </w:r>
          </w:p>
        </w:tc>
      </w:tr>
      <w:tr>
        <w:trPr>
          <w:trHeight w:val="183"/>
        </w:trPr>
        <w:tc>
          <w:tcPr>
            <w:tcW w:w="54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9"/>
        </w:trPr>
        <w:tc>
          <w:tcPr>
            <w:tcW w:w="5420" w:type="dxa"/>
            <w:vAlign w:val="bottom"/>
            <w:tcBorders>
              <w:bottom w:val="single" w:sz="8" w:color="CFF0FC"/>
            </w:tcBorders>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Unrealized (loss) gain on available for sale securities</w:t>
            </w:r>
          </w:p>
        </w:tc>
        <w:tc>
          <w:tcPr>
            <w:tcW w:w="12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(329)</w:t>
            </w:r>
          </w:p>
        </w:tc>
        <w:tc>
          <w:tcPr>
            <w:tcW w:w="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1,102</w:t>
            </w: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4,449</w:t>
            </w:r>
          </w:p>
        </w:tc>
      </w:tr>
      <w:tr>
        <w:trPr>
          <w:trHeight w:val="183"/>
        </w:trPr>
        <w:tc>
          <w:tcPr>
            <w:tcW w:w="542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color w:val="auto"/>
              </w:rPr>
              <w:t>Comprehensive loss</w:t>
            </w:r>
          </w:p>
        </w:tc>
        <w:tc>
          <w:tcPr>
            <w:tcW w:w="152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(13,561)</w:t>
            </w:r>
          </w:p>
        </w:tc>
        <w:tc>
          <w:tcPr>
            <w:tcW w:w="30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(144,129)</w:t>
            </w:r>
          </w:p>
        </w:tc>
        <w:tc>
          <w:tcPr>
            <w:tcW w:w="44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(159,170)</w:t>
            </w:r>
          </w:p>
        </w:tc>
      </w:tr>
      <w:tr>
        <w:trPr>
          <w:trHeight w:val="20"/>
        </w:trPr>
        <w:tc>
          <w:tcPr>
            <w:tcW w:w="5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542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Net loss per common share:</w:t>
            </w:r>
          </w:p>
        </w:tc>
        <w:tc>
          <w:tcPr>
            <w:tcW w:w="1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89"/>
        </w:trPr>
        <w:tc>
          <w:tcPr>
            <w:tcW w:w="54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Basic and diluted</w:t>
            </w:r>
          </w:p>
        </w:tc>
        <w:tc>
          <w:tcPr>
            <w:tcW w:w="152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(0.46)</w:t>
            </w:r>
          </w:p>
        </w:tc>
        <w:tc>
          <w:tcPr>
            <w:tcW w:w="30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(5.12)</w:t>
            </w:r>
          </w:p>
        </w:tc>
        <w:tc>
          <w:tcPr>
            <w:tcW w:w="4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(6.08)</w:t>
            </w:r>
          </w:p>
        </w:tc>
      </w:tr>
      <w:tr>
        <w:trPr>
          <w:trHeight w:val="20"/>
        </w:trPr>
        <w:tc>
          <w:tcPr>
            <w:tcW w:w="5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542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Weighted-average number of shares outstanding:</w:t>
            </w:r>
          </w:p>
        </w:tc>
        <w:tc>
          <w:tcPr>
            <w:tcW w:w="1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89"/>
        </w:trPr>
        <w:tc>
          <w:tcPr>
            <w:tcW w:w="54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Basic and diluted</w:t>
            </w:r>
          </w:p>
        </w:tc>
        <w:tc>
          <w:tcPr>
            <w:tcW w:w="1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28,758</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28,382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26,924</w:t>
            </w:r>
          </w:p>
        </w:tc>
      </w:tr>
      <w:tr>
        <w:trPr>
          <w:trHeight w:val="20"/>
        </w:trPr>
        <w:tc>
          <w:tcPr>
            <w:tcW w:w="5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-2673985</wp:posOffset>
            </wp:positionV>
            <wp:extent cx="1028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-2673985</wp:posOffset>
            </wp:positionV>
            <wp:extent cx="939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-2185670</wp:posOffset>
            </wp:positionV>
            <wp:extent cx="102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-2185670</wp:posOffset>
            </wp:positionV>
            <wp:extent cx="939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-1928495</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-1928495</wp:posOffset>
            </wp:positionV>
            <wp:extent cx="939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-1439545</wp:posOffset>
            </wp:positionV>
            <wp:extent cx="1028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-1439545</wp:posOffset>
            </wp:positionV>
            <wp:extent cx="939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-934085</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-934085</wp:posOffset>
            </wp:positionV>
            <wp:extent cx="939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-685165</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-685165</wp:posOffset>
            </wp:positionV>
            <wp:extent cx="939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02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2020" w:type="dxa"/>
            <w:vAlign w:val="bottom"/>
            <w:tcBorders>
              <w:bottom w:val="single" w:sz="8" w:color="auto"/>
            </w:tcBorders>
            <w:gridSpan w:val="3"/>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0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ind w:right="14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0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right="140"/>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14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6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Balance, January 1, 2023</w:t>
            </w:r>
          </w:p>
        </w:tc>
        <w:tc>
          <w:tcPr>
            <w:tcW w:w="1140" w:type="dxa"/>
            <w:vAlign w:val="bottom"/>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28,513</w:t>
            </w:r>
          </w:p>
        </w:tc>
        <w:tc>
          <w:tcPr>
            <w:tcW w:w="880" w:type="dxa"/>
            <w:vAlign w:val="bottom"/>
            <w:gridSpan w:val="2"/>
            <w:shd w:val="clear" w:color="auto" w:fill="CFF0FC"/>
          </w:tcPr>
          <w:p>
            <w:pPr>
              <w:jc w:val="right"/>
              <w:ind w:right="628"/>
              <w:spacing w:after="0" w:line="169"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29</w:t>
            </w:r>
          </w:p>
        </w:tc>
        <w:tc>
          <w:tcPr>
            <w:tcW w:w="220" w:type="dxa"/>
            <w:vAlign w:val="bottom"/>
            <w:gridSpan w:val="2"/>
            <w:shd w:val="clear" w:color="auto" w:fill="CFF0FC"/>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717,797</w:t>
            </w:r>
          </w:p>
        </w:tc>
        <w:tc>
          <w:tcPr>
            <w:tcW w:w="20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(5,246)</w:t>
            </w:r>
          </w:p>
        </w:tc>
        <w:tc>
          <w:tcPr>
            <w:tcW w:w="22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(450,477)</w:t>
            </w:r>
          </w:p>
        </w:tc>
        <w:tc>
          <w:tcPr>
            <w:tcW w:w="20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60"/>
              <w:spacing w:after="0" w:line="169" w:lineRule="exact"/>
              <w:rPr>
                <w:sz w:val="20"/>
                <w:szCs w:val="20"/>
                <w:color w:val="auto"/>
              </w:rPr>
            </w:pPr>
            <w:r>
              <w:rPr>
                <w:rFonts w:ascii="Times New Roman" w:cs="Times New Roman" w:eastAsia="Times New Roman" w:hAnsi="Times New Roman"/>
                <w:sz w:val="16"/>
                <w:szCs w:val="16"/>
                <w:color w:val="auto"/>
              </w:rPr>
              <w:t>262,103</w:t>
            </w:r>
          </w:p>
        </w:tc>
        <w:tc>
          <w:tcPr>
            <w:tcW w:w="0" w:type="dxa"/>
            <w:vAlign w:val="bottom"/>
          </w:tcPr>
          <w:p>
            <w:pPr>
              <w:spacing w:after="0"/>
              <w:rPr>
                <w:sz w:val="1"/>
                <w:szCs w:val="1"/>
                <w:color w:val="auto"/>
              </w:rPr>
            </w:pPr>
          </w:p>
        </w:tc>
      </w:tr>
      <w:tr>
        <w:trPr>
          <w:trHeight w:val="148"/>
        </w:trPr>
        <w:tc>
          <w:tcPr>
            <w:tcW w:w="362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Issuance of common stock from exercises of options</w:t>
            </w:r>
          </w:p>
        </w:tc>
        <w:tc>
          <w:tcPr>
            <w:tcW w:w="11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2,421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2,421</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and employee stock purchase plan</w:t>
            </w: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6"/>
                <w:szCs w:val="16"/>
                <w:color w:val="auto"/>
              </w:rPr>
              <w:t>Issuance of common stock upon vesting of restricted</w:t>
            </w:r>
          </w:p>
        </w:tc>
        <w:tc>
          <w:tcPr>
            <w:tcW w:w="114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units</w:t>
            </w:r>
          </w:p>
        </w:tc>
        <w:tc>
          <w:tcPr>
            <w:tcW w:w="11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Repurchases and retirements of common stock</w:t>
            </w: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(2,124)</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(50,454)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(50,456)</w:t>
            </w:r>
          </w:p>
        </w:tc>
        <w:tc>
          <w:tcPr>
            <w:tcW w:w="0" w:type="dxa"/>
            <w:vAlign w:val="bottom"/>
          </w:tcPr>
          <w:p>
            <w:pPr>
              <w:spacing w:after="0"/>
              <w:rPr>
                <w:sz w:val="1"/>
                <w:szCs w:val="1"/>
                <w:color w:val="auto"/>
              </w:rPr>
            </w:pPr>
          </w:p>
        </w:tc>
      </w:tr>
      <w:tr>
        <w:trPr>
          <w:trHeight w:val="175"/>
        </w:trPr>
        <w:tc>
          <w:tcPr>
            <w:tcW w:w="362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33,205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33,205</w:t>
            </w:r>
          </w:p>
        </w:tc>
        <w:tc>
          <w:tcPr>
            <w:tcW w:w="0" w:type="dxa"/>
            <w:vAlign w:val="bottom"/>
          </w:tcPr>
          <w:p>
            <w:pPr>
              <w:spacing w:after="0"/>
              <w:rPr>
                <w:sz w:val="1"/>
                <w:szCs w:val="1"/>
                <w:color w:val="auto"/>
              </w:rPr>
            </w:pPr>
          </w:p>
        </w:tc>
      </w:tr>
      <w:tr>
        <w:trPr>
          <w:trHeight w:val="176"/>
        </w:trPr>
        <w:tc>
          <w:tcPr>
            <w:tcW w:w="36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Comprehensive income</w:t>
            </w:r>
          </w:p>
        </w:tc>
        <w:tc>
          <w:tcPr>
            <w:tcW w:w="114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4,449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4,449</w:t>
            </w:r>
          </w:p>
        </w:tc>
        <w:tc>
          <w:tcPr>
            <w:tcW w:w="0" w:type="dxa"/>
            <w:vAlign w:val="bottom"/>
          </w:tcPr>
          <w:p>
            <w:pPr>
              <w:spacing w:after="0"/>
              <w:rPr>
                <w:sz w:val="1"/>
                <w:szCs w:val="1"/>
                <w:color w:val="auto"/>
              </w:rPr>
            </w:pPr>
          </w:p>
        </w:tc>
      </w:tr>
      <w:tr>
        <w:trPr>
          <w:trHeight w:val="176"/>
        </w:trPr>
        <w:tc>
          <w:tcPr>
            <w:tcW w:w="3620" w:type="dxa"/>
            <w:vAlign w:val="bottom"/>
            <w:tcBorders>
              <w:bottom w:val="single" w:sz="8" w:color="CFF0FC"/>
            </w:tcBorders>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Borders>
              <w:bottom w:val="single" w:sz="8" w:color="auto"/>
            </w:tcBorders>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(163,619)</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(163,619)</w:t>
            </w:r>
          </w:p>
        </w:tc>
        <w:tc>
          <w:tcPr>
            <w:tcW w:w="0" w:type="dxa"/>
            <w:vAlign w:val="bottom"/>
          </w:tcPr>
          <w:p>
            <w:pPr>
              <w:spacing w:after="0"/>
              <w:rPr>
                <w:sz w:val="1"/>
                <w:szCs w:val="1"/>
                <w:color w:val="auto"/>
              </w:rPr>
            </w:pPr>
          </w:p>
        </w:tc>
      </w:tr>
      <w:tr>
        <w:trPr>
          <w:trHeight w:val="169"/>
        </w:trPr>
        <w:tc>
          <w:tcPr>
            <w:tcW w:w="362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1140" w:type="dxa"/>
            <w:vAlign w:val="bottom"/>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26,597</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702,969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(614,096)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60"/>
              <w:spacing w:after="0" w:line="169" w:lineRule="exact"/>
              <w:rPr>
                <w:sz w:val="20"/>
                <w:szCs w:val="20"/>
                <w:color w:val="auto"/>
              </w:rPr>
            </w:pPr>
            <w:r>
              <w:rPr>
                <w:rFonts w:ascii="Times New Roman" w:cs="Times New Roman" w:eastAsia="Times New Roman" w:hAnsi="Times New Roman"/>
                <w:sz w:val="16"/>
                <w:szCs w:val="16"/>
                <w:color w:val="auto"/>
              </w:rPr>
              <w:t>88,103</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6"/>
                <w:szCs w:val="16"/>
                <w:color w:val="auto"/>
              </w:rPr>
              <w:t>Issuance of common stock from exercises of options</w:t>
            </w:r>
          </w:p>
        </w:tc>
        <w:tc>
          <w:tcPr>
            <w:tcW w:w="114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6,473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6,473</w:t>
            </w:r>
          </w:p>
        </w:tc>
        <w:tc>
          <w:tcPr>
            <w:tcW w:w="0" w:type="dxa"/>
            <w:vAlign w:val="bottom"/>
          </w:tcPr>
          <w:p>
            <w:pPr>
              <w:spacing w:after="0"/>
              <w:rPr>
                <w:sz w:val="1"/>
                <w:szCs w:val="1"/>
                <w:color w:val="auto"/>
              </w:rPr>
            </w:pPr>
          </w:p>
        </w:tc>
      </w:tr>
      <w:tr>
        <w:trPr>
          <w:trHeight w:val="18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and employee stock purchase plan</w:t>
            </w:r>
          </w:p>
        </w:tc>
        <w:tc>
          <w:tcPr>
            <w:tcW w:w="11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Issuance of common stock upon vesting of restricted</w:t>
            </w:r>
          </w:p>
        </w:tc>
        <w:tc>
          <w:tcPr>
            <w:tcW w:w="11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stock units</w:t>
            </w: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2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Net share settlement of restricted stock units</w:t>
            </w:r>
          </w:p>
        </w:tc>
        <w:tc>
          <w:tcPr>
            <w:tcW w:w="114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(7,504)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(7,504)</w:t>
            </w:r>
          </w:p>
        </w:tc>
        <w:tc>
          <w:tcPr>
            <w:tcW w:w="0" w:type="dxa"/>
            <w:vAlign w:val="bottom"/>
          </w:tcPr>
          <w:p>
            <w:pPr>
              <w:spacing w:after="0"/>
              <w:rPr>
                <w:sz w:val="1"/>
                <w:szCs w:val="1"/>
                <w:color w:val="auto"/>
              </w:rPr>
            </w:pPr>
          </w:p>
        </w:tc>
      </w:tr>
      <w:tr>
        <w:trPr>
          <w:trHeight w:val="148"/>
        </w:trPr>
        <w:tc>
          <w:tcPr>
            <w:tcW w:w="362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Issuance of common stock, net of $6,516 of</w:t>
            </w:r>
          </w:p>
        </w:tc>
        <w:tc>
          <w:tcPr>
            <w:tcW w:w="11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2,751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93,874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93,877</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transaction costs</w:t>
            </w: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34,048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34,048</w:t>
            </w:r>
          </w:p>
        </w:tc>
        <w:tc>
          <w:tcPr>
            <w:tcW w:w="0" w:type="dxa"/>
            <w:vAlign w:val="bottom"/>
          </w:tcPr>
          <w:p>
            <w:pPr>
              <w:spacing w:after="0"/>
              <w:rPr>
                <w:sz w:val="1"/>
                <w:szCs w:val="1"/>
                <w:color w:val="auto"/>
              </w:rPr>
            </w:pPr>
          </w:p>
        </w:tc>
      </w:tr>
      <w:tr>
        <w:trPr>
          <w:trHeight w:val="176"/>
        </w:trPr>
        <w:tc>
          <w:tcPr>
            <w:tcW w:w="36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Comprehensive income</w:t>
            </w:r>
          </w:p>
        </w:tc>
        <w:tc>
          <w:tcPr>
            <w:tcW w:w="114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1,102</w:t>
            </w:r>
          </w:p>
        </w:tc>
        <w:tc>
          <w:tcPr>
            <w:tcW w:w="0" w:type="dxa"/>
            <w:vAlign w:val="bottom"/>
          </w:tcPr>
          <w:p>
            <w:pPr>
              <w:spacing w:after="0"/>
              <w:rPr>
                <w:sz w:val="1"/>
                <w:szCs w:val="1"/>
                <w:color w:val="auto"/>
              </w:rPr>
            </w:pPr>
          </w:p>
        </w:tc>
      </w:tr>
      <w:tr>
        <w:trPr>
          <w:trHeight w:val="176"/>
        </w:trPr>
        <w:tc>
          <w:tcPr>
            <w:tcW w:w="3620" w:type="dxa"/>
            <w:vAlign w:val="bottom"/>
            <w:tcBorders>
              <w:bottom w:val="single" w:sz="8" w:color="CFF0FC"/>
            </w:tcBorders>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Borders>
              <w:bottom w:val="single" w:sz="8" w:color="auto"/>
            </w:tcBorders>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(145,231)</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(145,231)</w:t>
            </w:r>
          </w:p>
        </w:tc>
        <w:tc>
          <w:tcPr>
            <w:tcW w:w="0" w:type="dxa"/>
            <w:vAlign w:val="bottom"/>
          </w:tcPr>
          <w:p>
            <w:pPr>
              <w:spacing w:after="0"/>
              <w:rPr>
                <w:sz w:val="1"/>
                <w:szCs w:val="1"/>
                <w:color w:val="auto"/>
              </w:rPr>
            </w:pPr>
          </w:p>
        </w:tc>
      </w:tr>
      <w:tr>
        <w:trPr>
          <w:trHeight w:val="169"/>
        </w:trPr>
        <w:tc>
          <w:tcPr>
            <w:tcW w:w="362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1140" w:type="dxa"/>
            <w:vAlign w:val="bottom"/>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30,473</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829,860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(759,327)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60"/>
              <w:spacing w:after="0" w:line="169" w:lineRule="exact"/>
              <w:rPr>
                <w:sz w:val="20"/>
                <w:szCs w:val="20"/>
                <w:color w:val="auto"/>
              </w:rPr>
            </w:pPr>
            <w:r>
              <w:rPr>
                <w:rFonts w:ascii="Times New Roman" w:cs="Times New Roman" w:eastAsia="Times New Roman" w:hAnsi="Times New Roman"/>
                <w:sz w:val="16"/>
                <w:szCs w:val="16"/>
                <w:color w:val="auto"/>
              </w:rPr>
              <w:t>70,868</w:t>
            </w:r>
          </w:p>
        </w:tc>
        <w:tc>
          <w:tcPr>
            <w:tcW w:w="0" w:type="dxa"/>
            <w:vAlign w:val="bottom"/>
          </w:tcPr>
          <w:p>
            <w:pPr>
              <w:spacing w:after="0"/>
              <w:rPr>
                <w:sz w:val="1"/>
                <w:szCs w:val="1"/>
                <w:color w:val="auto"/>
              </w:rPr>
            </w:pPr>
          </w:p>
        </w:tc>
      </w:tr>
      <w:tr>
        <w:trPr>
          <w:trHeight w:val="148"/>
        </w:trPr>
        <w:tc>
          <w:tcPr>
            <w:tcW w:w="362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6"/>
                <w:szCs w:val="16"/>
                <w:color w:val="auto"/>
              </w:rPr>
              <w:t>Issuance of common stock from exercises of options</w:t>
            </w:r>
          </w:p>
        </w:tc>
        <w:tc>
          <w:tcPr>
            <w:tcW w:w="114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14,290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14,291</w:t>
            </w:r>
          </w:p>
        </w:tc>
        <w:tc>
          <w:tcPr>
            <w:tcW w:w="0" w:type="dxa"/>
            <w:vAlign w:val="bottom"/>
          </w:tcPr>
          <w:p>
            <w:pPr>
              <w:spacing w:after="0"/>
              <w:rPr>
                <w:sz w:val="1"/>
                <w:szCs w:val="1"/>
                <w:color w:val="auto"/>
              </w:rPr>
            </w:pPr>
          </w:p>
        </w:tc>
      </w:tr>
      <w:tr>
        <w:trPr>
          <w:trHeight w:val="18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and employee stock purchase plan</w:t>
            </w:r>
          </w:p>
        </w:tc>
        <w:tc>
          <w:tcPr>
            <w:tcW w:w="11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Issuance of common stock upon vesting of restricted</w:t>
            </w:r>
          </w:p>
        </w:tc>
        <w:tc>
          <w:tcPr>
            <w:tcW w:w="11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stock units</w:t>
            </w: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2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Net share settlement of restricted stock units</w:t>
            </w:r>
          </w:p>
        </w:tc>
        <w:tc>
          <w:tcPr>
            <w:tcW w:w="114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(1,451)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(1,451)</w:t>
            </w:r>
          </w:p>
        </w:tc>
        <w:tc>
          <w:tcPr>
            <w:tcW w:w="0" w:type="dxa"/>
            <w:vAlign w:val="bottom"/>
          </w:tcPr>
          <w:p>
            <w:pPr>
              <w:spacing w:after="0"/>
              <w:rPr>
                <w:sz w:val="1"/>
                <w:szCs w:val="1"/>
                <w:color w:val="auto"/>
              </w:rPr>
            </w:pPr>
          </w:p>
        </w:tc>
      </w:tr>
      <w:tr>
        <w:trPr>
          <w:trHeight w:val="175"/>
        </w:trPr>
        <w:tc>
          <w:tcPr>
            <w:tcW w:w="36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Repurchases and retirements of common stock</w:t>
            </w:r>
          </w:p>
        </w:tc>
        <w:tc>
          <w:tcPr>
            <w:tcW w:w="11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(3,444)</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(69,006)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(69,009)</w:t>
            </w:r>
          </w:p>
        </w:tc>
        <w:tc>
          <w:tcPr>
            <w:tcW w:w="0" w:type="dxa"/>
            <w:vAlign w:val="bottom"/>
          </w:tcPr>
          <w:p>
            <w:pPr>
              <w:spacing w:after="0"/>
              <w:rPr>
                <w:sz w:val="1"/>
                <w:szCs w:val="1"/>
                <w:color w:val="auto"/>
              </w:rPr>
            </w:pPr>
          </w:p>
        </w:tc>
      </w:tr>
      <w:tr>
        <w:trPr>
          <w:trHeight w:val="175"/>
        </w:trPr>
        <w:tc>
          <w:tcPr>
            <w:tcW w:w="3620" w:type="dxa"/>
            <w:vAlign w:val="bottom"/>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36,072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rPr>
              <w:t>36,072</w:t>
            </w:r>
          </w:p>
        </w:tc>
        <w:tc>
          <w:tcPr>
            <w:tcW w:w="0" w:type="dxa"/>
            <w:vAlign w:val="bottom"/>
          </w:tcPr>
          <w:p>
            <w:pPr>
              <w:spacing w:after="0"/>
              <w:rPr>
                <w:sz w:val="1"/>
                <w:szCs w:val="1"/>
                <w:color w:val="auto"/>
              </w:rPr>
            </w:pPr>
          </w:p>
        </w:tc>
      </w:tr>
      <w:tr>
        <w:trPr>
          <w:trHeight w:val="175"/>
        </w:trPr>
        <w:tc>
          <w:tcPr>
            <w:tcW w:w="36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Comprehensive loss</w:t>
            </w:r>
          </w:p>
        </w:tc>
        <w:tc>
          <w:tcPr>
            <w:tcW w:w="114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176"/>
        </w:trPr>
        <w:tc>
          <w:tcPr>
            <w:tcW w:w="3620" w:type="dxa"/>
            <w:vAlign w:val="bottom"/>
            <w:tcBorders>
              <w:bottom w:val="single" w:sz="8" w:color="CFF0FC"/>
            </w:tcBorders>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Net loss</w:t>
            </w:r>
          </w:p>
        </w:tc>
        <w:tc>
          <w:tcPr>
            <w:tcW w:w="1140" w:type="dxa"/>
            <w:vAlign w:val="bottom"/>
            <w:tcBorders>
              <w:bottom w:val="single" w:sz="8" w:color="auto"/>
            </w:tcBorders>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(13,232)</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75" w:lineRule="exact"/>
              <w:rPr>
                <w:sz w:val="20"/>
                <w:szCs w:val="20"/>
                <w:color w:val="auto"/>
              </w:rPr>
            </w:pPr>
            <w:r>
              <w:rPr>
                <w:rFonts w:ascii="Times New Roman" w:cs="Times New Roman" w:eastAsia="Times New Roman" w:hAnsi="Times New Roman"/>
                <w:sz w:val="16"/>
                <w:szCs w:val="16"/>
                <w:color w:val="auto"/>
              </w:rPr>
              <w:t>(13,232)</w:t>
            </w:r>
          </w:p>
        </w:tc>
        <w:tc>
          <w:tcPr>
            <w:tcW w:w="0" w:type="dxa"/>
            <w:vAlign w:val="bottom"/>
          </w:tcPr>
          <w:p>
            <w:pPr>
              <w:spacing w:after="0"/>
              <w:rPr>
                <w:sz w:val="1"/>
                <w:szCs w:val="1"/>
                <w:color w:val="auto"/>
              </w:rPr>
            </w:pPr>
          </w:p>
        </w:tc>
      </w:tr>
      <w:tr>
        <w:trPr>
          <w:trHeight w:val="169"/>
        </w:trPr>
        <w:tc>
          <w:tcPr>
            <w:tcW w:w="362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Balance, December 31, 2025</w:t>
            </w:r>
          </w:p>
        </w:tc>
        <w:tc>
          <w:tcPr>
            <w:tcW w:w="1140" w:type="dxa"/>
            <w:vAlign w:val="bottom"/>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28,019</w:t>
            </w:r>
          </w:p>
        </w:tc>
        <w:tc>
          <w:tcPr>
            <w:tcW w:w="880" w:type="dxa"/>
            <w:vAlign w:val="bottom"/>
            <w:gridSpan w:val="2"/>
          </w:tcPr>
          <w:p>
            <w:pPr>
              <w:jc w:val="right"/>
              <w:ind w:right="628"/>
              <w:spacing w:after="0" w:line="169"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28</w:t>
            </w:r>
          </w:p>
        </w:tc>
        <w:tc>
          <w:tcPr>
            <w:tcW w:w="22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809,765</w:t>
            </w:r>
          </w:p>
        </w:tc>
        <w:tc>
          <w:tcPr>
            <w:tcW w:w="2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(24)</w:t>
            </w:r>
          </w:p>
        </w:tc>
        <w:tc>
          <w:tcPr>
            <w:tcW w:w="220" w:type="dxa"/>
            <w:vAlign w:val="bottom"/>
            <w:gridSpan w:val="2"/>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(772,559)</w:t>
            </w:r>
          </w:p>
        </w:tc>
        <w:tc>
          <w:tcPr>
            <w:tcW w:w="2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60"/>
              <w:spacing w:after="0" w:line="169" w:lineRule="exact"/>
              <w:rPr>
                <w:sz w:val="20"/>
                <w:szCs w:val="20"/>
                <w:color w:val="auto"/>
              </w:rPr>
            </w:pPr>
            <w:r>
              <w:rPr>
                <w:rFonts w:ascii="Times New Roman" w:cs="Times New Roman" w:eastAsia="Times New Roman" w:hAnsi="Times New Roman"/>
                <w:sz w:val="16"/>
                <w:szCs w:val="16"/>
                <w:color w:val="auto"/>
              </w:rPr>
              <w:t>37,210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-2459355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-2459355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-2459355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-2459355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-2459355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-1250950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-1250950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-1250950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-1250950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-1250950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-144780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-144780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-144780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-144780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-144780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0"/>
        </w:trPr>
        <w:tc>
          <w:tcPr>
            <w:tcW w:w="6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92"/>
              <w:spacing w:after="0" w:line="16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42"/>
        </w:trPr>
        <w:tc>
          <w:tcPr>
            <w:tcW w:w="6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64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9"/>
        </w:trPr>
        <w:tc>
          <w:tcPr>
            <w:tcW w:w="6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(13,232)</w:t>
            </w:r>
          </w:p>
        </w:tc>
        <w:tc>
          <w:tcPr>
            <w:tcW w:w="30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(145,231)</w:t>
            </w:r>
          </w:p>
        </w:tc>
        <w:tc>
          <w:tcPr>
            <w:tcW w:w="4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(163,619)</w:t>
            </w: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559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606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652</w:t>
            </w: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36,072</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34,048</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33,205</w:t>
            </w: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Accretion/amortization of investments, net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(4,734)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(10,313)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(10,521)</w:t>
            </w: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Amortization of right-of-use assets – operating</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1,864</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1,791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1,724</w:t>
            </w: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Non-cash interest expense for sale of future royalties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79,893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50,087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18,083</w:t>
            </w: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r>
      <w:tr>
        <w:trPr>
          <w:trHeight w:val="189"/>
        </w:trPr>
        <w:tc>
          <w:tcPr>
            <w:tcW w:w="646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Receivables from collaborative partners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6,915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(33,914)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(5,432)</w:t>
            </w:r>
          </w:p>
        </w:tc>
      </w:tr>
      <w:tr>
        <w:trPr>
          <w:trHeight w:val="189"/>
        </w:trPr>
        <w:tc>
          <w:tcPr>
            <w:tcW w:w="646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1,612</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3,203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(4,194)</w:t>
            </w:r>
          </w:p>
        </w:tc>
      </w:tr>
      <w:tr>
        <w:trPr>
          <w:trHeight w:val="189"/>
        </w:trPr>
        <w:tc>
          <w:tcPr>
            <w:tcW w:w="646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Accounts payable and other liabilities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(87,327)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(33,837)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10,938</w:t>
            </w:r>
          </w:p>
        </w:tc>
      </w:tr>
      <w:tr>
        <w:trPr>
          <w:trHeight w:val="189"/>
        </w:trPr>
        <w:tc>
          <w:tcPr>
            <w:tcW w:w="6460" w:type="dxa"/>
            <w:vAlign w:val="bottom"/>
            <w:tcBorders>
              <w:bottom w:val="single" w:sz="8" w:color="CFF0FC"/>
            </w:tcBorders>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(1,925)</w:t>
            </w:r>
          </w:p>
        </w:tc>
        <w:tc>
          <w:tcPr>
            <w:tcW w:w="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(1,777)</w:t>
            </w: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(1,636)</w:t>
            </w:r>
          </w:p>
        </w:tc>
      </w:tr>
      <w:tr>
        <w:trPr>
          <w:trHeight w:val="183"/>
        </w:trPr>
        <w:tc>
          <w:tcPr>
            <w:tcW w:w="646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19,697</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(135,337)</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(120,800)</w:t>
            </w:r>
          </w:p>
        </w:tc>
      </w:tr>
      <w:tr>
        <w:trPr>
          <w:trHeight w:val="183"/>
        </w:trPr>
        <w:tc>
          <w:tcPr>
            <w:tcW w:w="64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9"/>
        </w:trPr>
        <w:tc>
          <w:tcPr>
            <w:tcW w:w="6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Purchase of investments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(196,411)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(380,376)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(303,919)</w:t>
            </w: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Sales and maturities of investments</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424,530</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476,132</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449,480</w:t>
            </w:r>
          </w:p>
        </w:tc>
      </w:tr>
      <w:tr>
        <w:trPr>
          <w:trHeight w:val="189"/>
        </w:trPr>
        <w:tc>
          <w:tcPr>
            <w:tcW w:w="6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(358)</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(807)</w:t>
            </w:r>
          </w:p>
        </w:tc>
      </w:tr>
      <w:tr>
        <w:trPr>
          <w:trHeight w:val="183"/>
        </w:trPr>
        <w:tc>
          <w:tcPr>
            <w:tcW w:w="6460" w:type="dxa"/>
            <w:vAlign w:val="bottom"/>
            <w:tcBorders>
              <w:bottom w:val="single" w:sz="8" w:color="CFF0FC"/>
            </w:tcBorders>
            <w:shd w:val="clear" w:color="auto" w:fill="CFF0FC"/>
          </w:tcPr>
          <w:p>
            <w:pPr>
              <w:ind w:left="360"/>
              <w:spacing w:after="0" w:line="182" w:lineRule="exact"/>
              <w:rPr>
                <w:sz w:val="20"/>
                <w:szCs w:val="20"/>
                <w:color w:val="auto"/>
              </w:rPr>
            </w:pPr>
            <w:r>
              <w:rPr>
                <w:rFonts w:ascii="Times New Roman" w:cs="Times New Roman" w:eastAsia="Times New Roman" w:hAnsi="Times New Roman"/>
                <w:sz w:val="18"/>
                <w:szCs w:val="18"/>
                <w:color w:val="auto"/>
              </w:rPr>
              <w:t>Net cash provided by investing activities</w:t>
            </w:r>
          </w:p>
        </w:tc>
        <w:tc>
          <w:tcPr>
            <w:tcW w:w="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228,032</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95,398</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144,754</w:t>
            </w:r>
          </w:p>
        </w:tc>
      </w:tr>
      <w:tr>
        <w:trPr>
          <w:trHeight w:val="183"/>
        </w:trPr>
        <w:tc>
          <w:tcPr>
            <w:tcW w:w="646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Proceeds from public offerings, net of underwriters' fees</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94,369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6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Proceeds from issuance of common stock</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14,261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6,473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2,472</w:t>
            </w: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Proceeds from the sale of future royalties</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6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Principal repayment of liability for sale of future royalties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(76,797)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(15,233)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(11,726)</w:t>
            </w: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Payments for repurchase of common stock</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(68,626)</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(456)</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(50,000)</w:t>
            </w:r>
          </w:p>
        </w:tc>
      </w:tr>
      <w:tr>
        <w:trPr>
          <w:trHeight w:val="189"/>
        </w:trPr>
        <w:tc>
          <w:tcPr>
            <w:tcW w:w="6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Payment for net share settlement of equity awards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(1,451)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(7,504)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Payments for offering costs, net</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(492)</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6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Payments for issuance costs related to the sale of future royalties</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r>
      <w:tr>
        <w:trPr>
          <w:trHeight w:val="183"/>
        </w:trPr>
        <w:tc>
          <w:tcPr>
            <w:tcW w:w="6460" w:type="dxa"/>
            <w:vAlign w:val="bottom"/>
            <w:tcBorders>
              <w:bottom w:val="single" w:sz="8" w:color="CFF0FC"/>
            </w:tcBorders>
            <w:shd w:val="clear" w:color="auto" w:fill="CFF0FC"/>
          </w:tcPr>
          <w:p>
            <w:pPr>
              <w:ind w:left="360"/>
              <w:spacing w:after="0" w:line="182" w:lineRule="exact"/>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(132,613)</w:t>
            </w: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127,054</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(59,297)</w:t>
            </w:r>
          </w:p>
        </w:tc>
      </w:tr>
      <w:tr>
        <w:trPr>
          <w:trHeight w:val="183"/>
        </w:trPr>
        <w:tc>
          <w:tcPr>
            <w:tcW w:w="6460" w:type="dxa"/>
            <w:vAlign w:val="bottom"/>
          </w:tcPr>
          <w:p>
            <w:pPr>
              <w:ind w:left="480"/>
              <w:spacing w:after="0" w:line="182"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115,116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87,115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(35,343)</w:t>
            </w:r>
          </w:p>
        </w:tc>
      </w:tr>
      <w:tr>
        <w:trPr>
          <w:trHeight w:val="189"/>
        </w:trPr>
        <w:tc>
          <w:tcPr>
            <w:tcW w:w="64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123,080</w:t>
            </w:r>
          </w:p>
        </w:tc>
        <w:tc>
          <w:tcPr>
            <w:tcW w:w="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35,965</w:t>
            </w:r>
          </w:p>
        </w:tc>
        <w:tc>
          <w:tcPr>
            <w:tcW w:w="1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71,308</w:t>
            </w:r>
          </w:p>
        </w:tc>
      </w:tr>
      <w:tr>
        <w:trPr>
          <w:trHeight w:val="183"/>
        </w:trPr>
        <w:tc>
          <w:tcPr>
            <w:tcW w:w="64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480" w:type="dxa"/>
            <w:vAlign w:val="bottom"/>
            <w:gridSpan w:val="2"/>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238,196</w:t>
            </w:r>
          </w:p>
        </w:tc>
        <w:tc>
          <w:tcPr>
            <w:tcW w:w="30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123,080</w:t>
            </w:r>
          </w:p>
        </w:tc>
        <w:tc>
          <w:tcPr>
            <w:tcW w:w="44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35,965</w:t>
            </w:r>
          </w:p>
        </w:tc>
      </w:tr>
      <w:tr>
        <w:trPr>
          <w:trHeight w:val="20"/>
        </w:trPr>
        <w:tc>
          <w:tcPr>
            <w:tcW w:w="6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646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89"/>
        </w:trPr>
        <w:tc>
          <w:tcPr>
            <w:tcW w:w="6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portion of repayment for sale of future royalties</w:t>
            </w:r>
          </w:p>
        </w:tc>
        <w:tc>
          <w:tcPr>
            <w:tcW w:w="4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79,994</w:t>
            </w:r>
          </w:p>
        </w:tc>
        <w:tc>
          <w:tcPr>
            <w:tcW w:w="30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42,132</w:t>
            </w:r>
          </w:p>
        </w:tc>
        <w:tc>
          <w:tcPr>
            <w:tcW w:w="4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State income taxes paid</w:t>
            </w:r>
          </w:p>
        </w:tc>
        <w:tc>
          <w:tcPr>
            <w:tcW w:w="48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78</w:t>
            </w:r>
          </w:p>
        </w:tc>
        <w:tc>
          <w:tcPr>
            <w:tcW w:w="30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6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Amounts accrued for property and equipment</w:t>
            </w:r>
          </w:p>
        </w:tc>
        <w:tc>
          <w:tcPr>
            <w:tcW w:w="48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Amounts accrued for repurchase of common stock</w:t>
            </w:r>
          </w:p>
        </w:tc>
        <w:tc>
          <w:tcPr>
            <w:tcW w:w="4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382</w:t>
            </w:r>
          </w:p>
        </w:tc>
        <w:tc>
          <w:tcPr>
            <w:tcW w:w="30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456</w:t>
            </w: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Receivable related to issuance of common stock, upon exercise of stock options</w:t>
            </w:r>
          </w:p>
        </w:tc>
        <w:tc>
          <w:tcPr>
            <w:tcW w:w="48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300" w:type="dxa"/>
            <w:vAlign w:val="bottom"/>
            <w:gridSpan w:val="2"/>
            <w:shd w:val="clear" w:color="auto" w:fill="CFF0FC"/>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-3205480</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-3205480</wp:posOffset>
            </wp:positionV>
            <wp:extent cx="939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-2459990</wp:posOffset>
            </wp:positionV>
            <wp:extent cx="1028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-2459990</wp:posOffset>
            </wp:positionV>
            <wp:extent cx="939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-1242695</wp:posOffset>
            </wp:positionV>
            <wp:extent cx="1028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-1242695</wp:posOffset>
            </wp:positionV>
            <wp:extent cx="939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-993775</wp:posOffset>
            </wp:positionV>
            <wp:extent cx="102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-993775</wp:posOffset>
            </wp:positionV>
            <wp:extent cx="939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3" w:name="page84"/>
    <w:bookmarkEnd w:id="8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48" w:lineRule="exact"/>
        <w:rPr>
          <w:sz w:val="20"/>
          <w:szCs w:val="20"/>
          <w:color w:val="auto"/>
        </w:rPr>
      </w:pPr>
    </w:p>
    <w:p>
      <w:pPr>
        <w:ind w:firstLine="659"/>
        <w:spacing w:after="0" w:line="293" w:lineRule="auto"/>
        <w:rPr>
          <w:sz w:val="20"/>
          <w:szCs w:val="20"/>
          <w:color w:val="auto"/>
        </w:rPr>
      </w:pPr>
      <w:r>
        <w:rPr>
          <w:rFonts w:ascii="Times New Roman" w:cs="Times New Roman" w:eastAsia="Times New Roman" w:hAnsi="Times New Roman"/>
          <w:sz w:val="18"/>
          <w:szCs w:val="18"/>
          <w:color w:val="auto"/>
        </w:rPr>
        <w:t>AnaptysBio, Inc. (“we,” “us,” “our,” or the “Company”) was incorporated in the state of Delaware in November 2005. We are a clinical-stage biotechnology company focused on delivering innovative immunology therapeutics for autoimmune and inflammatory diseases. Our clinical-stage pipeline includes rosnilimab, a selective pathogenic T cell depleter, for which we completed a Phase 2b trial for the treatment of moderate-to-severe rheumatoid arthritis (“RA”), ANB033, a CD122 antagonist, in a Phase 1b trial for celiac disease (“CeD”) and eosinophilic esophagitis (“EoE”), and ANB101, a BDCA2 modulator, in a Phase 1a trial. We also discovered and out-licensed, in financial collaborations, multiple therapeutic antibodies, including a PD-1 antagonist (Jemperli (dostarlimab-gxly) or “Jemperli”) to GSK and an IL-36R antagonist (imsidolimab) to Vanda Pharmaceuticals Inc. (“Vanda”). We currently recognize revenue from milestones and royalties achieved under our immuno-oncology collaboration with GSK and license and transition services revenue from our collaboration with Vanda.</w:t>
      </w:r>
    </w:p>
    <w:p>
      <w:pPr>
        <w:spacing w:after="0" w:line="71" w:lineRule="exact"/>
        <w:rPr>
          <w:sz w:val="20"/>
          <w:szCs w:val="20"/>
          <w:color w:val="auto"/>
        </w:rPr>
      </w:pPr>
    </w:p>
    <w:p>
      <w:pPr>
        <w:ind w:firstLine="659"/>
        <w:spacing w:after="0" w:line="312" w:lineRule="auto"/>
        <w:rPr>
          <w:sz w:val="20"/>
          <w:szCs w:val="20"/>
          <w:color w:val="auto"/>
        </w:rPr>
      </w:pPr>
      <w:r>
        <w:rPr>
          <w:rFonts w:ascii="Times New Roman" w:cs="Times New Roman" w:eastAsia="Times New Roman" w:hAnsi="Times New Roman"/>
          <w:sz w:val="17"/>
          <w:szCs w:val="17"/>
          <w:color w:val="auto"/>
        </w:rPr>
        <w:t>Since our inception, we have devoted our primary effort to research and development activities. Our financial support has been provided primarily from the sale of our common stock and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12 months from the issuance of our consolidated financial statements. The accompanying consolidated financial statements do not include any adjustments that might be necessary if we are unable to continue as a going concern.</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Intention to Separate Company</w:t>
      </w:r>
    </w:p>
    <w:p>
      <w:pPr>
        <w:spacing w:after="0" w:line="162" w:lineRule="exact"/>
        <w:rPr>
          <w:sz w:val="20"/>
          <w:szCs w:val="20"/>
          <w:color w:val="auto"/>
        </w:rPr>
      </w:pPr>
    </w:p>
    <w:p>
      <w:pPr>
        <w:ind w:right="60" w:firstLine="659"/>
        <w:spacing w:after="0" w:line="290" w:lineRule="auto"/>
        <w:rPr>
          <w:sz w:val="20"/>
          <w:szCs w:val="20"/>
          <w:color w:val="auto"/>
        </w:rPr>
      </w:pPr>
      <w:r>
        <w:rPr>
          <w:rFonts w:ascii="Times New Roman" w:cs="Times New Roman" w:eastAsia="Times New Roman" w:hAnsi="Times New Roman"/>
          <w:sz w:val="18"/>
          <w:szCs w:val="18"/>
          <w:color w:val="auto"/>
        </w:rPr>
        <w:t>In September 2025, we announced that our board of directors (“Board of Directors”) approved plans to explore separating our business into two independent, publicly traded companies. One company is expected to hold and continue to manage the financial collaboration for Jemperli from GSK and for imsidolimab from Vanda, with a focus on protecting and returning value of the royalties to its shareholders. The other company is expected to be a clinical-stage biotechnology company focused on the development and potential commercialization of innovative therapeutics for autoimmune and inflammatory diseases, including rosnilimab, ANB033 and ANB101. Upon completion of the proposed separation, which we expect to complete in the second quarter of 2026, we intend to launch the clinical-stage biotechnology company with adequate capital to fund operations for at least twelve months after the date the proposed separation is completed. While the proposed separation is anticipated to be a taxable event, we are focused on minimizing overall corporate and shareholder-level taxes across the entire transaction. Completion of the proposed separation is subject to final approval by our Board of Directors and other customary conditions, including the effectiveness of a registration statement with the Securities and Exchange Commission (the “SEC”).</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w:t>
      </w:r>
    </w:p>
    <w:p>
      <w:pPr>
        <w:spacing w:after="0" w:line="148" w:lineRule="exact"/>
        <w:rPr>
          <w:sz w:val="20"/>
          <w:szCs w:val="20"/>
          <w:color w:val="auto"/>
        </w:rPr>
      </w:pPr>
    </w:p>
    <w:p>
      <w:pPr>
        <w:ind w:right="120" w:firstLine="659"/>
        <w:spacing w:after="0" w:line="305" w:lineRule="auto"/>
        <w:rPr>
          <w:sz w:val="20"/>
          <w:szCs w:val="20"/>
          <w:color w:val="auto"/>
        </w:rPr>
      </w:pPr>
      <w:r>
        <w:rPr>
          <w:rFonts w:ascii="Times New Roman" w:cs="Times New Roman" w:eastAsia="Times New Roman" w:hAnsi="Times New Roman"/>
          <w:sz w:val="18"/>
          <w:szCs w:val="18"/>
          <w:color w:val="auto"/>
        </w:rPr>
        <w:t>On August 15, 2024, we completed an underwritten public offering selling 2,750,498 shares of common stock, at an offering price of $36.50 per share. The aggregate net proceeds received by us from the offering were $93.9 million, net of underwriting discounts and commissions and offering expenses of $6.5 million, in the aggregate.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8" w:lineRule="exact"/>
        <w:rPr>
          <w:sz w:val="20"/>
          <w:szCs w:val="20"/>
          <w:color w:val="auto"/>
        </w:rPr>
      </w:pPr>
    </w:p>
    <w:p>
      <w:pPr>
        <w:ind w:right="160" w:firstLine="659"/>
        <w:spacing w:after="0" w:line="30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pursuant to the rules and regulations of the SEC. The accompanying consolidated financial statements have been prepared in conformity with accounting principles generally accepted in the United States of America (“U.S. GAAP”).</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9" w:right="379" w:bottom="1440" w:gutter="0" w:footer="0" w:header="0"/>
        </w:sectPr>
      </w:pPr>
    </w:p>
    <w:bookmarkStart w:id="84" w:name="page85"/>
    <w:bookmarkEnd w:id="84"/>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48" w:lineRule="exact"/>
        <w:rPr>
          <w:sz w:val="20"/>
          <w:szCs w:val="20"/>
          <w:color w:val="auto"/>
        </w:rPr>
      </w:pPr>
    </w:p>
    <w:p>
      <w:pPr>
        <w:ind w:right="40" w:firstLine="659"/>
        <w:spacing w:after="0" w:line="30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us and our wholly owned Australian subsidiary, which was deregistered with the Australian Securities &amp; Investments Commission as of December 31, 2025. The deregistration did not have a material impact on our consolidated financial statements. All intercompany accounts and transactions have been eliminated in consolidation. We operate in two reportable segments, and our functional and reporting currency is the U.S. dollar.</w:t>
      </w:r>
    </w:p>
    <w:p>
      <w:pPr>
        <w:spacing w:after="0" w:line="1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48" w:lineRule="exact"/>
        <w:rPr>
          <w:sz w:val="20"/>
          <w:szCs w:val="20"/>
          <w:color w:val="auto"/>
        </w:rPr>
      </w:pPr>
    </w:p>
    <w:p>
      <w:pPr>
        <w:ind w:right="60" w:firstLine="659"/>
        <w:spacing w:after="0" w:line="294"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revenue recognition, accrued research and development expenses, stock-based compensation, and the liability related to the sale of future royalties. We evaluate our estimates and assumptions on an ongoing basis. Our actual results could differ from these estimates under different assumptions or conditions.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48" w:lineRule="exact"/>
        <w:rPr>
          <w:sz w:val="20"/>
          <w:szCs w:val="20"/>
          <w:color w:val="auto"/>
        </w:rPr>
      </w:pPr>
    </w:p>
    <w:p>
      <w:pPr>
        <w:ind w:right="380" w:firstLine="659"/>
        <w:spacing w:after="0" w:line="329" w:lineRule="auto"/>
        <w:rPr>
          <w:sz w:val="20"/>
          <w:szCs w:val="20"/>
          <w:color w:val="auto"/>
        </w:rPr>
      </w:pPr>
      <w:r>
        <w:rPr>
          <w:rFonts w:ascii="Times New Roman" w:cs="Times New Roman" w:eastAsia="Times New Roman" w:hAnsi="Times New Roman"/>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Investments</w:t>
      </w:r>
    </w:p>
    <w:p>
      <w:pPr>
        <w:spacing w:after="0" w:line="162" w:lineRule="exact"/>
        <w:rPr>
          <w:sz w:val="20"/>
          <w:szCs w:val="20"/>
          <w:color w:val="auto"/>
        </w:rPr>
      </w:pPr>
    </w:p>
    <w:p>
      <w:pPr>
        <w:ind w:firstLine="659"/>
        <w:spacing w:after="0" w:line="291" w:lineRule="auto"/>
        <w:rPr>
          <w:sz w:val="20"/>
          <w:szCs w:val="20"/>
          <w:color w:val="auto"/>
        </w:rPr>
      </w:pPr>
      <w:r>
        <w:rPr>
          <w:rFonts w:ascii="Times New Roman" w:cs="Times New Roman" w:eastAsia="Times New Roman" w:hAnsi="Times New Roman"/>
          <w:sz w:val="18"/>
          <w:szCs w:val="18"/>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Dividend and interest income are recognized when earned. Realized gains and losses are included in earnings and are derived using the specific identification method for determining the cost of securities sold. Unrealized gains and losses are reported as a component of accumulated other comprehensive income (loss). We review our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 No credit impairment losses have been recorded during the years ended December 31, 2025, 2024, or 2023.</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62" w:lineRule="exact"/>
        <w:rPr>
          <w:sz w:val="20"/>
          <w:szCs w:val="20"/>
          <w:color w:val="auto"/>
        </w:rPr>
      </w:pPr>
    </w:p>
    <w:p>
      <w:pPr>
        <w:ind w:right="60" w:firstLine="659"/>
        <w:spacing w:after="0" w:line="293" w:lineRule="auto"/>
        <w:rPr>
          <w:sz w:val="20"/>
          <w:szCs w:val="20"/>
          <w:color w:val="auto"/>
        </w:rPr>
      </w:pPr>
      <w:r>
        <w:rPr>
          <w:rFonts w:ascii="Times New Roman" w:cs="Times New Roman" w:eastAsia="Times New Roman" w:hAnsi="Times New Roman"/>
          <w:sz w:val="18"/>
          <w:szCs w:val="18"/>
          <w:color w:val="auto"/>
        </w:rPr>
        <w:t>Financial instruments that potentially subject us to a concentration of credit risk consist of cash and cash equivalents and certain investments in money market funds, certificates of deposit,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48" w:lineRule="exact"/>
        <w:rPr>
          <w:sz w:val="20"/>
          <w:szCs w:val="20"/>
          <w:color w:val="auto"/>
        </w:rPr>
      </w:pPr>
    </w:p>
    <w:p>
      <w:pPr>
        <w:ind w:right="20" w:firstLine="656"/>
        <w:spacing w:after="0" w:line="293"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straight-line method over the term of the lease. Upon sale or retirement of property and equipment, the related cost and accumulated depreciation are removed from the accounts and any gain or loss is reflected in operations.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Long Lived Assets</w:t>
      </w:r>
    </w:p>
    <w:p>
      <w:pPr>
        <w:spacing w:after="0" w:line="148" w:lineRule="exact"/>
        <w:rPr>
          <w:sz w:val="20"/>
          <w:szCs w:val="20"/>
          <w:color w:val="auto"/>
        </w:rPr>
      </w:pPr>
    </w:p>
    <w:p>
      <w:pPr>
        <w:ind w:right="100" w:firstLine="659"/>
        <w:spacing w:after="0" w:line="294" w:lineRule="auto"/>
        <w:rPr>
          <w:sz w:val="20"/>
          <w:szCs w:val="20"/>
          <w:color w:val="auto"/>
        </w:rPr>
      </w:pPr>
      <w:r>
        <w:rPr>
          <w:rFonts w:ascii="Times New Roman" w:cs="Times New Roman" w:eastAsia="Times New Roman" w:hAnsi="Times New Roman"/>
          <w:sz w:val="18"/>
          <w:szCs w:val="18"/>
          <w:color w:val="auto"/>
        </w:rPr>
        <w:t>Long-lived assets, consisting of property and equipment, are reviewed for impairment whenever events or changes in circumstances indicate that the carrying value of an asset may not be recoverable. If circumstances require a long-lived asset or asset group to be tested for possible impairment, we first compare undiscounted cash flows expected to be generated by the asset or asset group to its carrying amount. If the carrying amount of the long-lived asset or asset group is not recoverable on an undiscounted cash flow basis, an impairment loss is recognized and is measured as the amount by which the carrying value exceeds the estimated fair value of the assets. No impairment charges were recorded during the years ended December 31, 2025, 2024, or 2023.</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Our leases consist of a lease for office and lab space that is classified as an operating lease. We determine if an arrangement is a lease at inception.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ROU asset. For leases that have greater than a 12-month lease term, the ROU assets and lease liabilities are recognized based on the present value of the future minimum unpaid lease payments over the lease term. For this purpose, we consider only payments that are fixed and determinable at the time of commencement.</w:t>
      </w:r>
    </w:p>
    <w:p>
      <w:pPr>
        <w:spacing w:after="0" w:line="72" w:lineRule="exact"/>
        <w:rPr>
          <w:sz w:val="20"/>
          <w:szCs w:val="20"/>
          <w:color w:val="auto"/>
        </w:rPr>
      </w:pPr>
    </w:p>
    <w:p>
      <w:pPr>
        <w:ind w:firstLine="659"/>
        <w:spacing w:after="0" w:line="329" w:lineRule="auto"/>
        <w:rPr>
          <w:sz w:val="20"/>
          <w:szCs w:val="20"/>
          <w:color w:val="auto"/>
        </w:rPr>
      </w:pPr>
      <w:r>
        <w:rPr>
          <w:rFonts w:ascii="Times New Roman" w:cs="Times New Roman" w:eastAsia="Times New Roman" w:hAnsi="Times New Roman"/>
          <w:sz w:val="18"/>
          <w:szCs w:val="18"/>
          <w:color w:val="auto"/>
        </w:rPr>
        <w:t>As our lease does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40" w:lineRule="exact"/>
        <w:rPr>
          <w:sz w:val="20"/>
          <w:szCs w:val="20"/>
          <w:color w:val="auto"/>
        </w:rPr>
      </w:pPr>
    </w:p>
    <w:p>
      <w:pPr>
        <w:ind w:right="120" w:firstLine="659"/>
        <w:spacing w:after="0" w:line="329" w:lineRule="auto"/>
        <w:rPr>
          <w:sz w:val="20"/>
          <w:szCs w:val="20"/>
          <w:color w:val="auto"/>
        </w:rPr>
      </w:pPr>
      <w:r>
        <w:rPr>
          <w:rFonts w:ascii="Times New Roman" w:cs="Times New Roman" w:eastAsia="Times New Roman" w:hAnsi="Times New Roman"/>
          <w:sz w:val="18"/>
          <w:szCs w:val="18"/>
          <w:color w:val="auto"/>
        </w:rPr>
        <w:t>We elected the practical expedient to not record leases with an initial term of 12 months or less on the balance sheet and recognize the associated lease payments in the consolidated statements of operations on a straight-line basis over the lease term.</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 of Future Royalties</w:t>
      </w:r>
    </w:p>
    <w:p>
      <w:pPr>
        <w:spacing w:after="0" w:line="148" w:lineRule="exact"/>
        <w:rPr>
          <w:sz w:val="20"/>
          <w:szCs w:val="20"/>
          <w:color w:val="auto"/>
        </w:rPr>
      </w:pPr>
    </w:p>
    <w:p>
      <w:pPr>
        <w:ind w:firstLine="659"/>
        <w:spacing w:after="0" w:line="302" w:lineRule="auto"/>
        <w:rPr>
          <w:sz w:val="20"/>
          <w:szCs w:val="20"/>
          <w:color w:val="auto"/>
        </w:rPr>
      </w:pPr>
      <w:r>
        <w:rPr>
          <w:rFonts w:ascii="Times New Roman" w:cs="Times New Roman" w:eastAsia="Times New Roman" w:hAnsi="Times New Roman"/>
          <w:sz w:val="18"/>
          <w:szCs w:val="18"/>
          <w:color w:val="auto"/>
        </w:rPr>
        <w:t>We treat the liability related to the sale of future royalties as debt, amortized under the effective interest rate method over the estimated life of the Jemperli Royalty Monetization Agreement and the Zejula Royalty Monetization Agreement. For more information, see Note 5. The amortization of the liability related to the sale of future revenue is based on our current estimates of future royalty payments. Royalty and milestone revenue will be recognized as earned and the payments made will be recorded as a reduction of the liability when paid.</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48" w:lineRule="exact"/>
        <w:rPr>
          <w:sz w:val="20"/>
          <w:szCs w:val="20"/>
          <w:color w:val="auto"/>
        </w:rPr>
      </w:pPr>
    </w:p>
    <w:p>
      <w:pPr>
        <w:ind w:right="140" w:firstLine="656"/>
        <w:spacing w:after="0" w:line="305" w:lineRule="auto"/>
        <w:rPr>
          <w:sz w:val="20"/>
          <w:szCs w:val="20"/>
          <w:color w:val="auto"/>
        </w:rPr>
      </w:pPr>
      <w:r>
        <w:rPr>
          <w:rFonts w:ascii="Times New Roman" w:cs="Times New Roman" w:eastAsia="Times New Roman" w:hAnsi="Times New Roman"/>
          <w:sz w:val="18"/>
          <w:szCs w:val="18"/>
          <w:color w:val="auto"/>
        </w:rPr>
        <w:t>Debt issuance costs related to a recognized debt liability are deferred and amortized over the term of the debt using the effective interest method. These costs are recorded as a direct reduction to the carrying value of the debt on the balance sheet and the amortization expense is included in non-cash interest expense in the statement of operations.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on the Liability Related to the Sale of Future Royalties</w:t>
      </w:r>
    </w:p>
    <w:p>
      <w:pPr>
        <w:spacing w:after="0" w:line="148"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The total threshold of royalties to be paid, less the net proceeds received will be recorded as non-cash interest expense over the life of the liability. We impute interest on the unamortized portion of the liability using the effective interest method and record expense based on the timing of payments received over the term of the Jemperli Royalty Monetization Agreement and the Zejula Royalty Monetization Agreement. Over the course of the agreement, the actual interest rate will be affected by the timing of royalty and milestone payments made and changes in the forecasted revenue.</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ind w:firstLine="656"/>
        <w:spacing w:after="0" w:line="305" w:lineRule="auto"/>
        <w:rPr>
          <w:sz w:val="20"/>
          <w:szCs w:val="20"/>
          <w:color w:val="auto"/>
        </w:rPr>
      </w:pPr>
      <w:r>
        <w:rPr>
          <w:rFonts w:ascii="Times New Roman" w:cs="Times New Roman" w:eastAsia="Times New Roman" w:hAnsi="Times New Roman"/>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59" w:lineRule="exact"/>
        <w:rPr>
          <w:sz w:val="20"/>
          <w:szCs w:val="20"/>
          <w:color w:val="auto"/>
        </w:rPr>
      </w:pPr>
    </w:p>
    <w:p>
      <w:pPr>
        <w:ind w:right="280" w:firstLine="656"/>
        <w:spacing w:after="0" w:line="315" w:lineRule="auto"/>
        <w:rPr>
          <w:sz w:val="20"/>
          <w:szCs w:val="20"/>
          <w:color w:val="auto"/>
        </w:rPr>
      </w:pPr>
      <w:r>
        <w:rPr>
          <w:rFonts w:ascii="Times New Roman" w:cs="Times New Roman" w:eastAsia="Times New Roman" w:hAnsi="Times New Roman"/>
          <w:sz w:val="18"/>
          <w:szCs w:val="18"/>
          <w:i w:val="1"/>
          <w:iCs w:val="1"/>
          <w:color w:val="auto"/>
        </w:rPr>
        <w:t xml:space="preserve">Performance Obligations. </w:t>
      </w:r>
      <w:r>
        <w:rPr>
          <w:rFonts w:ascii="Times New Roman" w:cs="Times New Roman" w:eastAsia="Times New Roman" w:hAnsi="Times New Roman"/>
          <w:sz w:val="18"/>
          <w:szCs w:val="18"/>
          <w:color w:val="auto"/>
        </w:rPr>
        <w:t>We evaluate deliverables on a contract-by-contract basis to determine whether each deliverable represents a good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that is distinct or has the same pattern of transfer as other deliverables. A deliverable is considered distinct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86" w:name="page87"/>
    <w:bookmarkEnd w:id="86"/>
    <w:p>
      <w:pPr>
        <w:spacing w:after="0" w:line="297" w:lineRule="auto"/>
        <w:rPr>
          <w:sz w:val="20"/>
          <w:szCs w:val="20"/>
          <w:color w:val="auto"/>
        </w:rPr>
      </w:pPr>
      <w:r>
        <w:rPr>
          <w:rFonts w:ascii="Times New Roman" w:cs="Times New Roman" w:eastAsia="Times New Roman" w:hAnsi="Times New Roman"/>
          <w:sz w:val="18"/>
          <w:szCs w:val="18"/>
          <w:color w:val="auto"/>
        </w:rPr>
        <w:t>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stand alone selling price.</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performance obligations may include the following:</w:t>
      </w:r>
    </w:p>
    <w:p>
      <w:pPr>
        <w:spacing w:after="0" w:line="144" w:lineRule="exact"/>
        <w:rPr>
          <w:sz w:val="20"/>
          <w:szCs w:val="20"/>
          <w:color w:val="auto"/>
        </w:rPr>
      </w:pPr>
    </w:p>
    <w:p>
      <w:pPr>
        <w:ind w:left="760" w:right="40" w:hanging="378"/>
        <w:spacing w:after="0" w:line="306" w:lineRule="auto"/>
        <w:tabs>
          <w:tab w:leader="none" w:pos="7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w:t>
      </w:r>
    </w:p>
    <w:p>
      <w:pPr>
        <w:spacing w:after="0" w:line="1" w:lineRule="exact"/>
        <w:rPr>
          <w:rFonts w:ascii="Times New Roman" w:cs="Times New Roman" w:eastAsia="Times New Roman" w:hAnsi="Times New Roman"/>
          <w:sz w:val="17"/>
          <w:szCs w:val="17"/>
          <w:color w:val="auto"/>
        </w:rPr>
      </w:pPr>
    </w:p>
    <w:p>
      <w:pPr>
        <w:ind w:left="760" w:right="40"/>
        <w:spacing w:after="0" w:line="3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3" w:lineRule="exact"/>
        <w:rPr>
          <w:rFonts w:ascii="Times New Roman" w:cs="Times New Roman" w:eastAsia="Times New Roman" w:hAnsi="Times New Roman"/>
          <w:sz w:val="17"/>
          <w:szCs w:val="17"/>
          <w:color w:val="auto"/>
        </w:rPr>
      </w:pPr>
    </w:p>
    <w:p>
      <w:pPr>
        <w:ind w:left="760" w:right="120" w:hanging="378"/>
        <w:spacing w:after="0" w:line="303" w:lineRule="auto"/>
        <w:tabs>
          <w:tab w:leader="none" w:pos="7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w:t>
      </w:r>
    </w:p>
    <w:p>
      <w:pPr>
        <w:spacing w:after="0" w:line="2" w:lineRule="exact"/>
        <w:rPr>
          <w:rFonts w:ascii="Times New Roman" w:cs="Times New Roman" w:eastAsia="Times New Roman" w:hAnsi="Times New Roman"/>
          <w:sz w:val="17"/>
          <w:szCs w:val="17"/>
          <w:color w:val="auto"/>
        </w:rPr>
      </w:pPr>
    </w:p>
    <w:p>
      <w:pPr>
        <w:ind w:left="760" w:right="30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services for internally generated antibodies that require a license to be utilized by a third party, our research and development services are not considered distinct.</w:t>
      </w:r>
    </w:p>
    <w:p>
      <w:pPr>
        <w:spacing w:after="0" w:line="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Steering Committee Meetings. The performance obligations under our collaboration and license agreements may also include our participation</w:t>
      </w:r>
    </w:p>
    <w:p>
      <w:pPr>
        <w:spacing w:after="0" w:line="49" w:lineRule="exact"/>
        <w:rPr>
          <w:rFonts w:ascii="Times New Roman" w:cs="Times New Roman" w:eastAsia="Times New Roman" w:hAnsi="Times New Roman"/>
          <w:sz w:val="18"/>
          <w:szCs w:val="18"/>
          <w:color w:val="auto"/>
        </w:rPr>
      </w:pPr>
    </w:p>
    <w:p>
      <w:pPr>
        <w:ind w:left="760" w:right="2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steering committees, which allows us to direct the progression of our discovery programs. As these steering committees would not occur or benefit the customer without the use of our licenses, these are not considered distinct.</w:t>
      </w:r>
    </w:p>
    <w:p>
      <w:pPr>
        <w:spacing w:after="0" w:line="68" w:lineRule="exact"/>
        <w:rPr>
          <w:sz w:val="20"/>
          <w:szCs w:val="20"/>
          <w:color w:val="auto"/>
        </w:rPr>
      </w:pPr>
    </w:p>
    <w:p>
      <w:pPr>
        <w:ind w:right="80" w:firstLine="656"/>
        <w:spacing w:after="0" w:line="297" w:lineRule="auto"/>
        <w:rPr>
          <w:sz w:val="20"/>
          <w:szCs w:val="20"/>
          <w:color w:val="auto"/>
        </w:rPr>
      </w:pPr>
      <w:r>
        <w:rPr>
          <w:rFonts w:ascii="Times New Roman" w:cs="Times New Roman" w:eastAsia="Times New Roman" w:hAnsi="Times New Roman"/>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 There were no new agreements with performance obligations entered into during the year ended December 31, 2025.</w:t>
      </w:r>
    </w:p>
    <w:p>
      <w:pPr>
        <w:spacing w:after="0" w:line="67" w:lineRule="exact"/>
        <w:rPr>
          <w:sz w:val="20"/>
          <w:szCs w:val="20"/>
          <w:color w:val="auto"/>
        </w:rPr>
      </w:pPr>
    </w:p>
    <w:p>
      <w:pPr>
        <w:ind w:right="40" w:firstLine="656"/>
        <w:spacing w:after="0" w:line="298" w:lineRule="auto"/>
        <w:rPr>
          <w:sz w:val="20"/>
          <w:szCs w:val="20"/>
          <w:color w:val="auto"/>
        </w:rPr>
      </w:pPr>
      <w:r>
        <w:rPr>
          <w:rFonts w:ascii="Times New Roman" w:cs="Times New Roman" w:eastAsia="Times New Roman" w:hAnsi="Times New Roman"/>
          <w:sz w:val="18"/>
          <w:szCs w:val="18"/>
          <w:i w:val="1"/>
          <w:iCs w:val="1"/>
          <w:color w:val="auto"/>
        </w:rPr>
        <w:t xml:space="preserve">Transaction Price. </w:t>
      </w:r>
      <w:r>
        <w:rPr>
          <w:rFonts w:ascii="Times New Roman" w:cs="Times New Roman" w:eastAsia="Times New Roman" w:hAnsi="Times New Roman"/>
          <w:sz w:val="18"/>
          <w:szCs w:val="18"/>
          <w:color w:val="auto"/>
        </w:rPr>
        <w:t>Our collaboration and license agreements generally include both fixed and variable consideration. Fixed payments,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will be recognized in the period incurred.</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Royalty Revenue</w:t>
      </w:r>
    </w:p>
    <w:p>
      <w:pPr>
        <w:spacing w:after="0" w:line="162" w:lineRule="exact"/>
        <w:rPr>
          <w:sz w:val="20"/>
          <w:szCs w:val="20"/>
          <w:color w:val="auto"/>
        </w:rPr>
      </w:pPr>
    </w:p>
    <w:p>
      <w:pPr>
        <w:ind w:right="40" w:firstLine="659"/>
        <w:spacing w:after="0" w:line="291" w:lineRule="auto"/>
        <w:rPr>
          <w:sz w:val="20"/>
          <w:szCs w:val="20"/>
          <w:color w:val="auto"/>
        </w:rPr>
      </w:pPr>
      <w:r>
        <w:rPr>
          <w:rFonts w:ascii="Times New Roman" w:cs="Times New Roman" w:eastAsia="Times New Roman" w:hAnsi="Times New Roman"/>
          <w:sz w:val="18"/>
          <w:szCs w:val="18"/>
          <w:color w:val="auto"/>
        </w:rPr>
        <w:t>We receive royalty revenue on sales by our partners of products covered by patents or contract rights that we own and net sales of their approved drugs, where we have concluded the license is the predominant item to which the royalties relate. We do not have future performance obligations under these license arrangements. We generally satisfy our obligation to grant intellectual property rights on the effective date of the contract. However, we apply the royalty recognition constraint required under the guidance for sales-based royalties, which requires a sales-based royalty to be recorded when the underlying sale occurs. Therefore, royalties on sales of products commercialized by our partners are recognized in the quarter the product is sold. Our partners generally report sales information to us on a quarter lag. Thus, we estimate the expected royalty proceeds based on an analysis of our partners’ historical experience including their publicly announced sales. Differences between actual and estimated royalty revenues are adjusted for in the period in which they become known, typically the following quarter. As of December 31, 2025, there have not been material differences between actual and estimated royalty revenues.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48" w:lineRule="exact"/>
        <w:rPr>
          <w:sz w:val="20"/>
          <w:szCs w:val="20"/>
          <w:color w:val="auto"/>
        </w:rPr>
      </w:pPr>
    </w:p>
    <w:p>
      <w:pPr>
        <w:jc w:val="both"/>
        <w:ind w:right="200" w:firstLine="659"/>
        <w:spacing w:after="0" w:line="305" w:lineRule="auto"/>
        <w:rPr>
          <w:sz w:val="20"/>
          <w:szCs w:val="20"/>
          <w:color w:val="auto"/>
        </w:rPr>
      </w:pPr>
      <w:r>
        <w:rPr>
          <w:rFonts w:ascii="Times New Roman" w:cs="Times New Roman" w:eastAsia="Times New Roman" w:hAnsi="Times New Roman"/>
          <w:sz w:val="18"/>
          <w:szCs w:val="18"/>
          <w:color w:val="auto"/>
        </w:rPr>
        <w:t>Research and development costs primarily include third party clinical and preclinical research and development services such as manufacturing, laboratory and related supplies, salaries and personnel-related costs, in-licensing fees, outside services, and an allocation of information technology, and facility overhead costs.</w:t>
      </w:r>
    </w:p>
    <w:p>
      <w:pPr>
        <w:spacing w:after="0" w:line="75" w:lineRule="exact"/>
        <w:rPr>
          <w:sz w:val="20"/>
          <w:szCs w:val="20"/>
          <w:color w:val="auto"/>
        </w:rPr>
      </w:pPr>
    </w:p>
    <w:p>
      <w:pPr>
        <w:jc w:val="both"/>
        <w:ind w:right="200" w:firstLine="659"/>
        <w:spacing w:after="0" w:line="313" w:lineRule="auto"/>
        <w:rPr>
          <w:sz w:val="20"/>
          <w:szCs w:val="20"/>
          <w:color w:val="auto"/>
        </w:rPr>
      </w:pPr>
      <w:r>
        <w:rPr>
          <w:rFonts w:ascii="Times New Roman" w:cs="Times New Roman" w:eastAsia="Times New Roman" w:hAnsi="Times New Roman"/>
          <w:sz w:val="18"/>
          <w:szCs w:val="18"/>
          <w:color w:val="auto"/>
        </w:rPr>
        <w:t>Costs associated with research and development activities are expensed as incurred. We account for nonrefundable advance payments for goods and services that will be used in future research and development activities as expense when the service has been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7" w:name="page88"/>
    <w:bookmarkEnd w:id="87"/>
    <w:p>
      <w:pPr>
        <w:spacing w:after="0" w:line="293" w:lineRule="auto"/>
        <w:rPr>
          <w:sz w:val="20"/>
          <w:szCs w:val="20"/>
          <w:color w:val="auto"/>
        </w:rPr>
      </w:pPr>
      <w:r>
        <w:rPr>
          <w:rFonts w:ascii="Times New Roman" w:cs="Times New Roman" w:eastAsia="Times New Roman" w:hAnsi="Times New Roman"/>
          <w:sz w:val="18"/>
          <w:szCs w:val="18"/>
          <w:color w:val="auto"/>
        </w:rPr>
        <w:t>performed or when the goods have been received. We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71" w:lineRule="exact"/>
        <w:rPr>
          <w:sz w:val="20"/>
          <w:szCs w:val="20"/>
          <w:color w:val="auto"/>
        </w:rPr>
      </w:pPr>
    </w:p>
    <w:p>
      <w:pPr>
        <w:ind w:firstLine="659"/>
        <w:spacing w:after="0" w:line="329" w:lineRule="auto"/>
        <w:rPr>
          <w:sz w:val="20"/>
          <w:szCs w:val="20"/>
          <w:color w:val="auto"/>
        </w:rPr>
      </w:pPr>
      <w:r>
        <w:rPr>
          <w:rFonts w:ascii="Times New Roman" w:cs="Times New Roman" w:eastAsia="Times New Roman" w:hAnsi="Times New Roman"/>
          <w:sz w:val="18"/>
          <w:szCs w:val="18"/>
          <w:color w:val="auto"/>
        </w:rPr>
        <w:t>Upfront and milestone payments incurred under our in-licensing agreements are expensed as research and development in the period in which they are incurred, provided that the technology or method has no alternative future use.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ind w:firstLine="659"/>
        <w:spacing w:after="0" w:line="297" w:lineRule="auto"/>
        <w:rPr>
          <w:sz w:val="20"/>
          <w:szCs w:val="20"/>
          <w:color w:val="auto"/>
        </w:rPr>
      </w:pPr>
      <w:r>
        <w:rPr>
          <w:rFonts w:ascii="Times New Roman" w:cs="Times New Roman" w:eastAsia="Times New Roman" w:hAnsi="Times New Roman"/>
          <w:sz w:val="18"/>
          <w:szCs w:val="18"/>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recognize forfeitures in the period in which forfeitures occur and record stock-based compensation expense as though all awards are expected to vest.</w:t>
      </w:r>
    </w:p>
    <w:p>
      <w:pPr>
        <w:spacing w:after="0" w:line="69" w:lineRule="exact"/>
        <w:rPr>
          <w:sz w:val="20"/>
          <w:szCs w:val="20"/>
          <w:color w:val="auto"/>
        </w:rPr>
      </w:pPr>
    </w:p>
    <w:p>
      <w:pPr>
        <w:ind w:right="360" w:firstLine="659"/>
        <w:spacing w:after="0" w:line="305" w:lineRule="auto"/>
        <w:rPr>
          <w:sz w:val="20"/>
          <w:szCs w:val="20"/>
          <w:color w:val="auto"/>
        </w:rPr>
      </w:pPr>
      <w:r>
        <w:rPr>
          <w:rFonts w:ascii="Times New Roman" w:cs="Times New Roman" w:eastAsia="Times New Roman" w:hAnsi="Times New Roman"/>
          <w:sz w:val="18"/>
          <w:szCs w:val="18"/>
          <w:color w:val="auto"/>
        </w:rPr>
        <w:t>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w:t>
      </w:r>
    </w:p>
    <w:p>
      <w:pPr>
        <w:spacing w:after="0" w:line="61" w:lineRule="exact"/>
        <w:rPr>
          <w:sz w:val="20"/>
          <w:szCs w:val="20"/>
          <w:color w:val="auto"/>
        </w:rPr>
      </w:pPr>
    </w:p>
    <w:p>
      <w:pPr>
        <w:jc w:val="both"/>
        <w:ind w:right="260" w:firstLine="659"/>
        <w:spacing w:after="0" w:line="305" w:lineRule="auto"/>
        <w:rPr>
          <w:sz w:val="20"/>
          <w:szCs w:val="20"/>
          <w:color w:val="auto"/>
        </w:rPr>
      </w:pPr>
      <w:r>
        <w:rPr>
          <w:rFonts w:ascii="Times New Roman" w:cs="Times New Roman" w:eastAsia="Times New Roman" w:hAnsi="Times New Roman"/>
          <w:sz w:val="18"/>
          <w:szCs w:val="18"/>
          <w:color w:val="auto"/>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w:t>
      </w:r>
    </w:p>
    <w:p>
      <w:pPr>
        <w:spacing w:after="0" w:line="75" w:lineRule="exact"/>
        <w:rPr>
          <w:sz w:val="20"/>
          <w:szCs w:val="20"/>
          <w:color w:val="auto"/>
        </w:rPr>
      </w:pPr>
    </w:p>
    <w:p>
      <w:pPr>
        <w:ind w:firstLine="659"/>
        <w:spacing w:after="0" w:line="294" w:lineRule="auto"/>
        <w:rPr>
          <w:sz w:val="20"/>
          <w:szCs w:val="20"/>
          <w:color w:val="auto"/>
        </w:rPr>
      </w:pPr>
      <w:r>
        <w:rPr>
          <w:rFonts w:ascii="Times New Roman" w:cs="Times New Roman" w:eastAsia="Times New Roman" w:hAnsi="Times New Roman"/>
          <w:sz w:val="18"/>
          <w:szCs w:val="18"/>
          <w:color w:val="auto"/>
        </w:rPr>
        <w:t>Each Performance Stock Unit (“PSU”) represents one equivalent share of our common stock to be issued after achievement of the performance metrics specified in the grant. The fair value of our PSUs is estimated as of the grant date, based upon the expected achievement of the performance metrics specified in the grant and the closing market price of our common stock on the date of grant. The grant date fair value is estimated using a Monte Carlo simulation. 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w:t>
      </w:r>
    </w:p>
    <w:p>
      <w:pPr>
        <w:spacing w:after="0" w:line="72" w:lineRule="exact"/>
        <w:rPr>
          <w:sz w:val="20"/>
          <w:szCs w:val="20"/>
          <w:color w:val="auto"/>
        </w:rPr>
      </w:pPr>
    </w:p>
    <w:p>
      <w:pPr>
        <w:jc w:val="both"/>
        <w:ind w:right="180" w:firstLine="659"/>
        <w:spacing w:after="0" w:line="305" w:lineRule="auto"/>
        <w:rPr>
          <w:sz w:val="20"/>
          <w:szCs w:val="20"/>
          <w:color w:val="auto"/>
        </w:rPr>
      </w:pPr>
      <w:r>
        <w:rPr>
          <w:rFonts w:ascii="Times New Roman" w:cs="Times New Roman" w:eastAsia="Times New Roman" w:hAnsi="Times New Roman"/>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62" w:lineRule="exact"/>
        <w:rPr>
          <w:sz w:val="20"/>
          <w:szCs w:val="20"/>
          <w:color w:val="auto"/>
        </w:rPr>
      </w:pPr>
    </w:p>
    <w:p>
      <w:pPr>
        <w:ind w:right="160" w:firstLine="659"/>
        <w:spacing w:after="0" w:line="309" w:lineRule="auto"/>
        <w:rPr>
          <w:sz w:val="20"/>
          <w:szCs w:val="20"/>
          <w:color w:val="auto"/>
        </w:rPr>
      </w:pPr>
      <w:r>
        <w:rPr>
          <w:rFonts w:ascii="Times New Roman" w:cs="Times New Roman" w:eastAsia="Times New Roman" w:hAnsi="Times New Roman"/>
          <w:sz w:val="17"/>
          <w:szCs w:val="17"/>
          <w:color w:val="auto"/>
        </w:rPr>
        <w:t>ASC Topic 280, Segment Reporting, establishes standards for companies to report financial statement information about operating segments. Operating segments are defined as components of an enterprise engaging in business activities for which separate financial information is available that is regularly evaluated by the company’s chief operating decision-makers in deciding how to allocate resources and assess performance. Our chief operating decision maker (“CODM”) has been identified as the Chief Executive Officer. During fiscal year 2025, in connection with the planned separation of the businesses, the CODM changed the information he regularly reviews in evaluating the allocation of resources and assessing operating performance. As a result of these changes, we updated our segment reporting to reflect two operating segments: Biopharma and Royalty Management. Our Biopharma segment focuses on the development and potential commercialization of innovative immunology therapeutics for autoimmune and inflammatory diseases and our Royalty Management segment manages the financial collaboration for Jemperli from GSK and for imsidolimab from Vanda.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48" w:lineRule="exact"/>
        <w:rPr>
          <w:sz w:val="20"/>
          <w:szCs w:val="20"/>
          <w:color w:val="auto"/>
        </w:rPr>
      </w:pPr>
    </w:p>
    <w:p>
      <w:pPr>
        <w:ind w:right="80" w:firstLine="659"/>
        <w:spacing w:after="0" w:line="297"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69" w:lineRule="exact"/>
        <w:rPr>
          <w:sz w:val="20"/>
          <w:szCs w:val="20"/>
          <w:color w:val="auto"/>
        </w:rPr>
      </w:pPr>
    </w:p>
    <w:p>
      <w:pPr>
        <w:ind w:right="80" w:firstLine="659"/>
        <w:spacing w:after="0" w:line="297" w:lineRule="auto"/>
        <w:rPr>
          <w:sz w:val="20"/>
          <w:szCs w:val="20"/>
          <w:color w:val="auto"/>
        </w:rPr>
      </w:pPr>
      <w:r>
        <w:rPr>
          <w:rFonts w:ascii="Times New Roman" w:cs="Times New Roman" w:eastAsia="Times New Roman" w:hAnsi="Times New Roman"/>
          <w:sz w:val="18"/>
          <w:szCs w:val="18"/>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 of Foreign Operations</w:t>
      </w:r>
    </w:p>
    <w:p>
      <w:pPr>
        <w:spacing w:after="0" w:line="162" w:lineRule="exact"/>
        <w:rPr>
          <w:sz w:val="20"/>
          <w:szCs w:val="20"/>
          <w:color w:val="auto"/>
        </w:rPr>
      </w:pPr>
    </w:p>
    <w:p>
      <w:pPr>
        <w:ind w:right="180" w:firstLine="659"/>
        <w:spacing w:after="0" w:line="294" w:lineRule="auto"/>
        <w:rPr>
          <w:sz w:val="20"/>
          <w:szCs w:val="20"/>
          <w:color w:val="auto"/>
        </w:rPr>
      </w:pPr>
      <w:r>
        <w:rPr>
          <w:rFonts w:ascii="Times New Roman" w:cs="Times New Roman" w:eastAsia="Times New Roman" w:hAnsi="Times New Roman"/>
          <w:sz w:val="18"/>
          <w:szCs w:val="18"/>
          <w:color w:val="auto"/>
        </w:rPr>
        <w:t>Our Australian subsidiary operates in a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48" w:lineRule="exact"/>
        <w:rPr>
          <w:sz w:val="20"/>
          <w:szCs w:val="20"/>
          <w:color w:val="auto"/>
        </w:rPr>
      </w:pPr>
    </w:p>
    <w:p>
      <w:pPr>
        <w:ind w:right="100" w:firstLine="659"/>
        <w:spacing w:after="0" w:line="305" w:lineRule="auto"/>
        <w:rPr>
          <w:sz w:val="20"/>
          <w:szCs w:val="20"/>
          <w:color w:val="auto"/>
        </w:rPr>
      </w:pPr>
      <w:r>
        <w:rPr>
          <w:rFonts w:ascii="Times New Roman" w:cs="Times New Roman" w:eastAsia="Times New Roman" w:hAnsi="Times New Roman"/>
          <w:sz w:val="18"/>
          <w:szCs w:val="18"/>
          <w:color w:val="auto"/>
        </w:rPr>
        <w:t>Comprehensive income (loss) represents all changes in stockholders’ equity except those resulting from distributions to stockholders. Our unrealized gains and losses on available for sale investments represent the only component of other comprehensive income (loss) that is excluded from the reported net income (loss).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48" w:lineRule="exact"/>
        <w:rPr>
          <w:sz w:val="20"/>
          <w:szCs w:val="20"/>
          <w:color w:val="auto"/>
        </w:rPr>
      </w:pPr>
    </w:p>
    <w:p>
      <w:pPr>
        <w:ind w:right="360" w:firstLine="656"/>
        <w:spacing w:after="0" w:line="297"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awards using the treasury stock method. For each period presented, there is no difference in the number of shares used to calculate basic and diluted net loss per share.</w:t>
      </w:r>
    </w:p>
    <w:p>
      <w:pPr>
        <w:spacing w:after="0" w:line="82" w:lineRule="exact"/>
        <w:rPr>
          <w:sz w:val="20"/>
          <w:szCs w:val="20"/>
          <w:color w:val="auto"/>
        </w:rPr>
      </w:pPr>
    </w:p>
    <w:p>
      <w:pPr>
        <w:ind w:right="40" w:firstLine="659"/>
        <w:spacing w:after="0" w:line="313" w:lineRule="auto"/>
        <w:rPr>
          <w:sz w:val="20"/>
          <w:szCs w:val="20"/>
          <w:color w:val="auto"/>
        </w:rPr>
      </w:pPr>
      <w:r>
        <w:rPr>
          <w:rFonts w:ascii="Times New Roman" w:cs="Times New Roman" w:eastAsia="Times New Roman" w:hAnsi="Times New Roman"/>
          <w:sz w:val="18"/>
          <w:szCs w:val="18"/>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146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60" w:type="dxa"/>
            <w:vAlign w:val="bottom"/>
            <w:tcBorders>
              <w:bottom w:val="single" w:sz="8" w:color="auto"/>
            </w:tcBorders>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8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3"/>
        </w:trPr>
        <w:tc>
          <w:tcPr>
            <w:tcW w:w="66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Options to purchase common stock</w:t>
            </w:r>
          </w:p>
        </w:tc>
        <w:tc>
          <w:tcPr>
            <w:tcW w:w="146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7,506</w:t>
            </w:r>
          </w:p>
        </w:tc>
        <w:tc>
          <w:tcPr>
            <w:tcW w:w="1580" w:type="dxa"/>
            <w:vAlign w:val="bottom"/>
            <w:gridSpan w:val="2"/>
            <w:shd w:val="clear" w:color="auto" w:fill="CFF0FC"/>
          </w:tcPr>
          <w:p>
            <w:pPr>
              <w:jc w:val="right"/>
              <w:ind w:right="41"/>
              <w:spacing w:after="0" w:line="182" w:lineRule="exact"/>
              <w:rPr>
                <w:sz w:val="20"/>
                <w:szCs w:val="20"/>
                <w:color w:val="auto"/>
              </w:rPr>
            </w:pPr>
            <w:r>
              <w:rPr>
                <w:rFonts w:ascii="Times New Roman" w:cs="Times New Roman" w:eastAsia="Times New Roman" w:hAnsi="Times New Roman"/>
                <w:sz w:val="18"/>
                <w:szCs w:val="18"/>
                <w:color w:val="auto"/>
              </w:rPr>
              <w:t>6,076</w:t>
            </w:r>
          </w:p>
        </w:tc>
        <w:tc>
          <w:tcPr>
            <w:tcW w:w="1600" w:type="dxa"/>
            <w:vAlign w:val="bottom"/>
            <w:gridSpan w:val="2"/>
            <w:shd w:val="clear" w:color="auto" w:fill="CFF0FC"/>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4,279</w:t>
            </w:r>
          </w:p>
        </w:tc>
        <w:tc>
          <w:tcPr>
            <w:tcW w:w="0" w:type="dxa"/>
            <w:vAlign w:val="bottom"/>
          </w:tcPr>
          <w:p>
            <w:pPr>
              <w:spacing w:after="0"/>
              <w:rPr>
                <w:sz w:val="1"/>
                <w:szCs w:val="1"/>
                <w:color w:val="auto"/>
              </w:rPr>
            </w:pPr>
          </w:p>
        </w:tc>
      </w:tr>
      <w:tr>
        <w:trPr>
          <w:trHeight w:val="189"/>
        </w:trPr>
        <w:tc>
          <w:tcPr>
            <w:tcW w:w="6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Stock awards</w:t>
            </w:r>
          </w:p>
        </w:tc>
        <w:tc>
          <w:tcPr>
            <w:tcW w:w="146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1,189</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ind w:right="41"/>
              <w:spacing w:after="0" w:line="189" w:lineRule="exact"/>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8,695</w:t>
            </w:r>
          </w:p>
        </w:tc>
        <w:tc>
          <w:tcPr>
            <w:tcW w:w="1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41"/>
              <w:spacing w:after="0" w:line="182" w:lineRule="exact"/>
              <w:rPr>
                <w:sz w:val="20"/>
                <w:szCs w:val="20"/>
                <w:color w:val="auto"/>
              </w:rPr>
            </w:pPr>
            <w:r>
              <w:rPr>
                <w:rFonts w:ascii="Times New Roman" w:cs="Times New Roman" w:eastAsia="Times New Roman" w:hAnsi="Times New Roman"/>
                <w:sz w:val="18"/>
                <w:szCs w:val="18"/>
                <w:color w:val="auto"/>
              </w:rPr>
              <w:t>6,916</w:t>
            </w:r>
          </w:p>
        </w:tc>
        <w:tc>
          <w:tcPr>
            <w:tcW w:w="1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w:t>
      </w:r>
    </w:p>
    <w:p>
      <w:pPr>
        <w:spacing w:after="0" w:line="148" w:lineRule="exact"/>
        <w:rPr>
          <w:sz w:val="20"/>
          <w:szCs w:val="20"/>
          <w:color w:val="auto"/>
        </w:rPr>
      </w:pPr>
    </w:p>
    <w:p>
      <w:pPr>
        <w:ind w:right="320" w:firstLine="659"/>
        <w:spacing w:after="0" w:line="305" w:lineRule="auto"/>
        <w:rPr>
          <w:sz w:val="20"/>
          <w:szCs w:val="20"/>
          <w:color w:val="auto"/>
        </w:rPr>
      </w:pPr>
      <w:r>
        <w:rPr>
          <w:rFonts w:ascii="Times New Roman" w:cs="Times New Roman" w:eastAsia="Times New Roman" w:hAnsi="Times New Roman"/>
          <w:sz w:val="18"/>
          <w:szCs w:val="18"/>
          <w:color w:val="auto"/>
        </w:rPr>
        <w:t>We have implemented all new accounting pronouncements that are in effect and may have an impact on our consolidated financial statements. Unless otherwise discussed, we believe the impact of any recently issued and not yet effective pronouncements will not have a material impact on our consolidated financial statements.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89" w:name="page90"/>
    <w:bookmarkEnd w:id="89"/>
    <w:p>
      <w:pPr>
        <w:ind w:right="140" w:firstLine="659"/>
        <w:spacing w:after="0" w:line="29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 Update (“ASU”) No. 2023-09,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(Topic 740): Improvements to Income Tax Disclosures. </w:t>
      </w:r>
      <w:r>
        <w:rPr>
          <w:rFonts w:ascii="Times New Roman" w:cs="Times New Roman" w:eastAsia="Times New Roman" w:hAnsi="Times New Roman"/>
          <w:sz w:val="18"/>
          <w:szCs w:val="18"/>
          <w:color w:val="auto"/>
        </w:rPr>
        <w:t>The new standard requires a company to expand its existing income tax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related to the rate reconciliation and income taxes paid. The standard is effective for us beginning in fiscal year 2025. We adopted ASU 2023-09 for the year ended December 31, 2025, applying the new standard prospectively. The significant impact of ASU 2023-09 to our income tax footnote includes an expanded rate reconciliations detail disclosing additional information related to foreign tax effects.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46" w:lineRule="exact"/>
        <w:rPr>
          <w:sz w:val="20"/>
          <w:szCs w:val="20"/>
          <w:color w:val="auto"/>
        </w:rPr>
      </w:pPr>
    </w:p>
    <w:p>
      <w:pPr>
        <w:ind w:right="60" w:firstLine="659"/>
        <w:spacing w:after="0" w:line="29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which requires disclosure about the types of costs and expenses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expense captions presented on the income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new disclosure requirements are effective for annual reporting periods beginning after December 15, 2026, and interim reporting periods beginning after December 15, 2027. Early adoption is permitted. We are currently evaluating the provisions of this guidance and assessing the potential impact on our financial statement disclosures.</w:t>
      </w:r>
    </w:p>
    <w:p>
      <w:pPr>
        <w:spacing w:after="0" w:line="65" w:lineRule="exact"/>
        <w:rPr>
          <w:sz w:val="20"/>
          <w:szCs w:val="20"/>
          <w:color w:val="auto"/>
        </w:rPr>
      </w:pPr>
    </w:p>
    <w:p>
      <w:pPr>
        <w:ind w:right="260" w:firstLine="659"/>
        <w:spacing w:after="0" w:line="29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period that have a material impact on the entity. ASU 2025-11 is effective for fiscal years beginning after December 15, 2027, including interim periods within those fiscal years, with early adoption permitted. We are currently evaluating the impact of adoption on our financial statement disclosures.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Accounts and Supplemental Disclosures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3"/>
        </w:trPr>
        <w:tc>
          <w:tcPr>
            <w:tcW w:w="60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Laboratory equipment</w:t>
            </w:r>
          </w:p>
        </w:tc>
        <w:tc>
          <w:tcPr>
            <w:tcW w:w="182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6,723</w:t>
            </w:r>
          </w:p>
        </w:tc>
        <w:tc>
          <w:tcPr>
            <w:tcW w:w="32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6,715</w:t>
            </w:r>
          </w:p>
        </w:tc>
        <w:tc>
          <w:tcPr>
            <w:tcW w:w="0" w:type="dxa"/>
            <w:vAlign w:val="bottom"/>
          </w:tcPr>
          <w:p>
            <w:pPr>
              <w:spacing w:after="0"/>
              <w:rPr>
                <w:sz w:val="1"/>
                <w:szCs w:val="1"/>
                <w:color w:val="auto"/>
              </w:rPr>
            </w:pPr>
          </w:p>
        </w:tc>
      </w:tr>
      <w:tr>
        <w:trPr>
          <w:trHeight w:val="189"/>
        </w:trPr>
        <w:tc>
          <w:tcPr>
            <w:tcW w:w="6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Office furniture and equipment</w:t>
            </w: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1,583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189"/>
        </w:trPr>
        <w:tc>
          <w:tcPr>
            <w:tcW w:w="60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Leasehold improvements</w:t>
            </w:r>
          </w:p>
        </w:tc>
        <w:tc>
          <w:tcPr>
            <w:tcW w:w="16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203</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83"/>
        </w:trPr>
        <w:tc>
          <w:tcPr>
            <w:tcW w:w="606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Property and equipment, gross</w:t>
            </w: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8,509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8,448</w:t>
            </w:r>
          </w:p>
        </w:tc>
        <w:tc>
          <w:tcPr>
            <w:tcW w:w="0" w:type="dxa"/>
            <w:vAlign w:val="bottom"/>
          </w:tcPr>
          <w:p>
            <w:pPr>
              <w:spacing w:after="0"/>
              <w:rPr>
                <w:sz w:val="1"/>
                <w:szCs w:val="1"/>
                <w:color w:val="auto"/>
              </w:rPr>
            </w:pPr>
          </w:p>
        </w:tc>
      </w:tr>
      <w:tr>
        <w:trPr>
          <w:trHeight w:val="189"/>
        </w:trPr>
        <w:tc>
          <w:tcPr>
            <w:tcW w:w="60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(7,139)</w:t>
            </w: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(6,599)</w:t>
            </w:r>
          </w:p>
        </w:tc>
        <w:tc>
          <w:tcPr>
            <w:tcW w:w="0" w:type="dxa"/>
            <w:vAlign w:val="bottom"/>
          </w:tcPr>
          <w:p>
            <w:pPr>
              <w:spacing w:after="0"/>
              <w:rPr>
                <w:sz w:val="1"/>
                <w:szCs w:val="1"/>
                <w:color w:val="auto"/>
              </w:rPr>
            </w:pPr>
          </w:p>
        </w:tc>
      </w:tr>
      <w:tr>
        <w:trPr>
          <w:trHeight w:val="183"/>
        </w:trPr>
        <w:tc>
          <w:tcPr>
            <w:tcW w:w="606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Total property and equipment, net</w:t>
            </w:r>
          </w:p>
        </w:tc>
        <w:tc>
          <w:tcPr>
            <w:tcW w:w="18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1,370</w:t>
            </w:r>
          </w:p>
        </w:tc>
        <w:tc>
          <w:tcPr>
            <w:tcW w:w="32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6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3"/>
        </w:trPr>
        <w:tc>
          <w:tcPr>
            <w:tcW w:w="60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Accrued compensation and related expenses</w:t>
            </w:r>
          </w:p>
        </w:tc>
        <w:tc>
          <w:tcPr>
            <w:tcW w:w="182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11,094</w:t>
            </w:r>
          </w:p>
        </w:tc>
        <w:tc>
          <w:tcPr>
            <w:tcW w:w="32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8,449</w:t>
            </w:r>
          </w:p>
        </w:tc>
        <w:tc>
          <w:tcPr>
            <w:tcW w:w="0" w:type="dxa"/>
            <w:vAlign w:val="bottom"/>
          </w:tcPr>
          <w:p>
            <w:pPr>
              <w:spacing w:after="0"/>
              <w:rPr>
                <w:sz w:val="1"/>
                <w:szCs w:val="1"/>
                <w:color w:val="auto"/>
              </w:rPr>
            </w:pPr>
          </w:p>
        </w:tc>
      </w:tr>
      <w:tr>
        <w:trPr>
          <w:trHeight w:val="189"/>
        </w:trPr>
        <w:tc>
          <w:tcPr>
            <w:tcW w:w="6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Accrued professional fees and other expenses</w:t>
            </w: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4,796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Accrued research, development and manufacturing expenses</w:t>
            </w:r>
          </w:p>
        </w:tc>
        <w:tc>
          <w:tcPr>
            <w:tcW w:w="1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16,402</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30,213</w:t>
            </w:r>
          </w:p>
        </w:tc>
        <w:tc>
          <w:tcPr>
            <w:tcW w:w="0" w:type="dxa"/>
            <w:vAlign w:val="bottom"/>
          </w:tcPr>
          <w:p>
            <w:pPr>
              <w:spacing w:after="0"/>
              <w:rPr>
                <w:sz w:val="1"/>
                <w:szCs w:val="1"/>
                <w:color w:val="auto"/>
              </w:rPr>
            </w:pPr>
          </w:p>
        </w:tc>
      </w:tr>
      <w:tr>
        <w:trPr>
          <w:trHeight w:val="189"/>
        </w:trPr>
        <w:tc>
          <w:tcPr>
            <w:tcW w:w="6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Accrued for repurchase of common stock</w:t>
            </w:r>
          </w:p>
        </w:tc>
        <w:tc>
          <w:tcPr>
            <w:tcW w:w="1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Total accrued expenses</w:t>
            </w:r>
          </w:p>
        </w:tc>
        <w:tc>
          <w:tcPr>
            <w:tcW w:w="16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32,674</w:t>
            </w:r>
          </w:p>
        </w:tc>
        <w:tc>
          <w:tcPr>
            <w:tcW w:w="32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39,501</w:t>
            </w: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-1739265</wp:posOffset>
            </wp:positionV>
            <wp:extent cx="1111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-1490980</wp:posOffset>
            </wp:positionV>
            <wp:extent cx="1111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00" w:right="6900" w:hanging="292"/>
        <w:spacing w:after="0" w:line="409" w:lineRule="auto"/>
        <w:tabs>
          <w:tab w:leader="none" w:pos="19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Collaborative Research and Development Agreements </w:t>
      </w:r>
      <w:r>
        <w:rPr>
          <w:rFonts w:ascii="Times New Roman" w:cs="Times New Roman" w:eastAsia="Times New Roman" w:hAnsi="Times New Roman"/>
          <w:sz w:val="18"/>
          <w:szCs w:val="18"/>
          <w:b w:val="1"/>
          <w:bCs w:val="1"/>
          <w:i w:val="1"/>
          <w:iCs w:val="1"/>
          <w:color w:val="auto"/>
        </w:rPr>
        <w:t>GSK Collaboration</w:t>
      </w:r>
    </w:p>
    <w:p>
      <w:pPr>
        <w:spacing w:after="0" w:line="1" w:lineRule="exact"/>
        <w:rPr>
          <w:sz w:val="20"/>
          <w:szCs w:val="20"/>
          <w:color w:val="auto"/>
        </w:rPr>
      </w:pPr>
    </w:p>
    <w:p>
      <w:pPr>
        <w:ind w:right="200" w:firstLine="659"/>
        <w:spacing w:after="0" w:line="302" w:lineRule="auto"/>
        <w:rPr>
          <w:sz w:val="20"/>
          <w:szCs w:val="20"/>
          <w:color w:val="auto"/>
        </w:rPr>
      </w:pPr>
      <w:r>
        <w:rPr>
          <w:rFonts w:ascii="Times New Roman" w:cs="Times New Roman" w:eastAsia="Times New Roman" w:hAnsi="Times New Roman"/>
          <w:sz w:val="18"/>
          <w:szCs w:val="18"/>
          <w:color w:val="auto"/>
        </w:rPr>
        <w:t>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Jemperli (dostarlimab) as a monotherapy and in combination with additional therapies, for various solid tumor indications.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90" w:name="page91"/>
    <w:bookmarkEnd w:id="90"/>
    <w:p>
      <w:pPr>
        <w:ind w:right="100" w:firstLine="659"/>
        <w:spacing w:after="0" w:line="293" w:lineRule="auto"/>
        <w:rPr>
          <w:sz w:val="20"/>
          <w:szCs w:val="20"/>
          <w:color w:val="auto"/>
        </w:rPr>
      </w:pPr>
      <w:r>
        <w:rPr>
          <w:rFonts w:ascii="Times New Roman" w:cs="Times New Roman" w:eastAsia="Times New Roman" w:hAnsi="Times New Roman"/>
          <w:sz w:val="18"/>
          <w:szCs w:val="18"/>
          <w:color w:val="auto"/>
        </w:rPr>
        <w:t>For Jemperli, the remaining development program under the GSK Agreement, we are eligible to receive milestone payments if a European regulatory submission and approval in a second indication is achieved.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 3, we were granted increased royalties upon sales of Jemperli, equal to 8% of net sales (as defined in the GSK Agreement) below $1.0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spacing w:after="0" w:line="71" w:lineRule="exact"/>
        <w:rPr>
          <w:sz w:val="20"/>
          <w:szCs w:val="20"/>
          <w:color w:val="auto"/>
        </w:rPr>
      </w:pPr>
    </w:p>
    <w:p>
      <w:pPr>
        <w:ind w:right="20" w:firstLine="659"/>
        <w:spacing w:after="0" w:line="293" w:lineRule="auto"/>
        <w:rPr>
          <w:sz w:val="20"/>
          <w:szCs w:val="20"/>
          <w:color w:val="auto"/>
        </w:rPr>
      </w:pPr>
      <w:r>
        <w:rPr>
          <w:rFonts w:ascii="Times New Roman" w:cs="Times New Roman" w:eastAsia="Times New Roman" w:hAnsi="Times New Roman"/>
          <w:sz w:val="18"/>
          <w:szCs w:val="18"/>
          <w:color w:val="auto"/>
        </w:rPr>
        <w:t>We assessed these arrangements in accordance with ASC 606 and concluded that the contract counterparty, GSK, is a customer. We identified the following material promises under the GSK Agreement: (1) the licenses under certain patent rights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spacing w:after="0" w:line="71" w:lineRule="exact"/>
        <w:rPr>
          <w:sz w:val="20"/>
          <w:szCs w:val="20"/>
          <w:color w:val="auto"/>
        </w:rPr>
      </w:pPr>
    </w:p>
    <w:p>
      <w:pPr>
        <w:ind w:right="260" w:firstLine="659"/>
        <w:spacing w:after="0" w:line="329" w:lineRule="auto"/>
        <w:rPr>
          <w:sz w:val="20"/>
          <w:szCs w:val="20"/>
          <w:color w:val="auto"/>
        </w:rPr>
      </w:pPr>
      <w:r>
        <w:rPr>
          <w:rFonts w:ascii="Times New Roman" w:cs="Times New Roman" w:eastAsia="Times New Roman" w:hAnsi="Times New Roman"/>
          <w:sz w:val="18"/>
          <w:szCs w:val="18"/>
          <w:color w:val="auto"/>
        </w:rPr>
        <w:t>As of December 31, 2025, the transaction price for the GSK Agreement and its associated amendments includes the upfront payment, research reimbursement revenue and milestones and royalties earned to date, which are allocated in their entirety to the single performance obligation.</w:t>
      </w:r>
    </w:p>
    <w:p>
      <w:pPr>
        <w:spacing w:after="0" w:line="40" w:lineRule="exact"/>
        <w:rPr>
          <w:sz w:val="20"/>
          <w:szCs w:val="20"/>
          <w:color w:val="auto"/>
        </w:rPr>
      </w:pPr>
    </w:p>
    <w:p>
      <w:pPr>
        <w:ind w:right="20" w:firstLine="659"/>
        <w:spacing w:after="0" w:line="291" w:lineRule="auto"/>
        <w:rPr>
          <w:sz w:val="20"/>
          <w:szCs w:val="20"/>
          <w:color w:val="auto"/>
        </w:rPr>
      </w:pPr>
      <w:r>
        <w:rPr>
          <w:rFonts w:ascii="Times New Roman" w:cs="Times New Roman" w:eastAsia="Times New Roman" w:hAnsi="Times New Roman"/>
          <w:sz w:val="18"/>
          <w:szCs w:val="18"/>
          <w:color w:val="auto"/>
        </w:rPr>
        <w:t>We recognized $99.9 million in royalty revenue during the year ended December 31, 2025 related to GSK’s net sales of Jemperli and Zejula during the period, which we estimate based on either GSK’s prior sales experience or actuals. Of the royalty revenue recognized during the year ended December 31, 2025, $96.0 million is Jemperli non-cash revenue related to the Jemperli Royalty Monetization Agreement (as amended), and $3.9 million is Zejula non-cash revenue related to the Zejula Monetization Agreement, each of such agreements as described in Note 5. We recognized $51.3 million in royalty revenue during the year ended December 31, 2024, related to GSK’s net sales of Jemperli and Zejula during the period based on GSK’s prior sales experience or actuals. Of the royalty revenue recognized during the year ended December 31, 2024, $47.4 million is Jemperli non-cash revenue related to the Jemperli Royalty Monetization Agreement (as amended) and $3.9 million is Zejula non-cash revenue related to the Zejula Royalty Monetization Agreement. We recognized $17.2 million in royalty revenue during the year ended December 31, 2023. Of the royalty revenue recognized during the year ended December 31, 2023, $13.8 million is Jemperli non-cash revenue related to the Jemperli Royalty Monetization Agreement (as amended) and $3.4 million is Zejula non-cash revenue related to the Zejula Royalty Monetization Agreement. GSK reports sales information to us on a one quarter lag and differences between actual and estimated royalty revenues will be adjusted in the following quarter.</w:t>
      </w:r>
    </w:p>
    <w:p>
      <w:pPr>
        <w:spacing w:after="0" w:line="74" w:lineRule="exact"/>
        <w:rPr>
          <w:sz w:val="20"/>
          <w:szCs w:val="20"/>
          <w:color w:val="auto"/>
        </w:rPr>
      </w:pPr>
    </w:p>
    <w:p>
      <w:pPr>
        <w:ind w:firstLine="659"/>
        <w:spacing w:after="0" w:line="291" w:lineRule="auto"/>
        <w:rPr>
          <w:sz w:val="20"/>
          <w:szCs w:val="20"/>
          <w:color w:val="auto"/>
        </w:rPr>
      </w:pPr>
      <w:r>
        <w:rPr>
          <w:rFonts w:ascii="Times New Roman" w:cs="Times New Roman" w:eastAsia="Times New Roman" w:hAnsi="Times New Roman"/>
          <w:sz w:val="18"/>
          <w:szCs w:val="18"/>
          <w:color w:val="auto"/>
        </w:rPr>
        <w:t>Two sales milestones, for a total of $125.0 million, were recognized during the year ended December 31, 2025 when Jemperli annual sales exceeded both the $750.0 million and $1.0 billion thresholds. The $75.0 million cash milestone which was achieved when annual sales exceeded $1.0 billion was paid to us, as we retained the rights to this milestone. The $50.0 million milestone, achieved when sales exceeded $750.0 million was paid to Sagard. Two sales milestones, for a total of $40.0 million, were recognized during the year ended December 31, 2024 when Jemperli annual sales exceeded both the $250.0 million and $500.0 million sales thresholds. Aside from the $75.0 million milestone, these sales milestones represent Jemperli non-cash revenue related to the Jemperli Royalty Monetization Agreement (as amended). No milestones were recognized during the year ended December 31, 2023. No other future clinical or regulatory milestones have been included in the transaction price, as all future milestone amounts were subject to the revenue constraint. As part of the constraint evaluation, we considered numerous factors including the fact that the receipt of milestones is outside of our control and contingent upon regulatory filing and approval in a second indication,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8"/>
          <w:szCs w:val="18"/>
          <w:color w:val="auto"/>
        </w:rPr>
        <w:t>Milestones under the GSK Agreement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120" w:type="dxa"/>
            <w:vAlign w:val="bottom"/>
            <w:gridSpan w:val="3"/>
          </w:tcPr>
          <w:p>
            <w:pPr>
              <w:jc w:val="center"/>
              <w:ind w:right="1311"/>
              <w:spacing w:after="0"/>
              <w:rPr>
                <w:sz w:val="20"/>
                <w:szCs w:val="20"/>
                <w:color w:val="auto"/>
              </w:rPr>
            </w:pPr>
            <w:r>
              <w:rPr>
                <w:rFonts w:ascii="Times New Roman" w:cs="Times New Roman" w:eastAsia="Times New Roman" w:hAnsi="Times New Roman"/>
                <w:sz w:val="14"/>
                <w:szCs w:val="14"/>
                <w:b w:val="1"/>
                <w:bCs w:val="1"/>
                <w:color w:val="auto"/>
              </w:rPr>
              <w:t>PD-1</w:t>
            </w:r>
          </w:p>
        </w:tc>
        <w:tc>
          <w:tcPr>
            <w:tcW w:w="0" w:type="dxa"/>
            <w:vAlign w:val="bottom"/>
          </w:tcPr>
          <w:p>
            <w:pPr>
              <w:spacing w:after="0"/>
              <w:rPr>
                <w:sz w:val="1"/>
                <w:szCs w:val="1"/>
                <w:color w:val="auto"/>
              </w:rPr>
            </w:pPr>
          </w:p>
        </w:tc>
      </w:tr>
      <w:tr>
        <w:trPr>
          <w:trHeight w:val="173"/>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3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(Jemperli/Dostarlimab)</w:t>
            </w: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1380" w:type="dxa"/>
            <w:vAlign w:val="bottom"/>
            <w:tcBorders>
              <w:bottom w:val="single" w:sz="8" w:color="auto"/>
            </w:tcBorders>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Quarter Recognized</w:t>
            </w:r>
          </w:p>
        </w:tc>
        <w:tc>
          <w:tcPr>
            <w:tcW w:w="0" w:type="dxa"/>
            <w:vAlign w:val="bottom"/>
          </w:tcPr>
          <w:p>
            <w:pPr>
              <w:spacing w:after="0"/>
              <w:rPr>
                <w:sz w:val="1"/>
                <w:szCs w:val="1"/>
                <w:color w:val="auto"/>
              </w:rPr>
            </w:pPr>
          </w:p>
        </w:tc>
      </w:tr>
      <w:tr>
        <w:trPr>
          <w:trHeight w:val="183"/>
        </w:trPr>
        <w:tc>
          <w:tcPr>
            <w:tcW w:w="7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Initiated in vivo toxicology studies using good laboratory practices (GLPs)</w:t>
            </w:r>
          </w:p>
        </w:tc>
        <w:tc>
          <w:tcPr>
            <w:tcW w:w="1380" w:type="dxa"/>
            <w:vAlign w:val="bottom"/>
            <w:shd w:val="clear" w:color="auto" w:fill="CFF0FC"/>
          </w:tcPr>
          <w:p>
            <w:pPr>
              <w:jc w:val="center"/>
              <w:ind w:left="192"/>
              <w:spacing w:after="0" w:line="182" w:lineRule="exact"/>
              <w:rPr>
                <w:sz w:val="20"/>
                <w:szCs w:val="20"/>
                <w:color w:val="auto"/>
              </w:rPr>
            </w:pPr>
            <w:r>
              <w:rPr>
                <w:rFonts w:ascii="Times New Roman" w:cs="Times New Roman" w:eastAsia="Times New Roman" w:hAnsi="Times New Roman"/>
                <w:sz w:val="18"/>
                <w:szCs w:val="18"/>
                <w:color w:val="auto"/>
                <w:w w:val="96"/>
              </w:rPr>
              <w:t>$1.0M</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6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rPr>
              <w:t>Q2'15</w:t>
            </w: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IND clearance from the FDA</w:t>
            </w:r>
          </w:p>
        </w:tc>
        <w:tc>
          <w:tcPr>
            <w:tcW w:w="1380" w:type="dxa"/>
            <w:vAlign w:val="bottom"/>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6"/>
              </w:rPr>
              <w:t>$4.0M</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Q1'16</w:t>
            </w: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Phase 2 clinical trial initiation</w:t>
            </w:r>
          </w:p>
        </w:tc>
        <w:tc>
          <w:tcPr>
            <w:tcW w:w="1380" w:type="dxa"/>
            <w:vAlign w:val="bottom"/>
            <w:shd w:val="clear" w:color="auto" w:fill="CFF0FC"/>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6"/>
              </w:rPr>
              <w:t>$3.0M</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Q2'17</w:t>
            </w:r>
          </w:p>
        </w:tc>
        <w:tc>
          <w:tcPr>
            <w:tcW w:w="0" w:type="dxa"/>
            <w:vAlign w:val="bottom"/>
          </w:tcPr>
          <w:p>
            <w:pPr>
              <w:spacing w:after="0"/>
              <w:rPr>
                <w:sz w:val="1"/>
                <w:szCs w:val="1"/>
                <w:color w:val="auto"/>
              </w:rPr>
            </w:pPr>
          </w:p>
        </w:tc>
      </w:tr>
      <w:tr>
        <w:trPr>
          <w:trHeight w:val="157"/>
        </w:trPr>
        <w:tc>
          <w:tcPr>
            <w:tcW w:w="77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Phase 3 clinical trial initiation - first indication</w:t>
            </w:r>
          </w:p>
        </w:tc>
        <w:tc>
          <w:tcPr>
            <w:tcW w:w="1380" w:type="dxa"/>
            <w:vAlign w:val="bottom"/>
          </w:tcPr>
          <w:p>
            <w:pPr>
              <w:jc w:val="center"/>
              <w:ind w:left="192"/>
              <w:spacing w:after="0" w:line="157" w:lineRule="exact"/>
              <w:rPr>
                <w:sz w:val="20"/>
                <w:szCs w:val="20"/>
                <w:color w:val="auto"/>
              </w:rPr>
            </w:pPr>
            <w:r>
              <w:rPr>
                <w:rFonts w:ascii="Times New Roman" w:cs="Times New Roman" w:eastAsia="Times New Roman" w:hAnsi="Times New Roman"/>
                <w:sz w:val="18"/>
                <w:szCs w:val="18"/>
                <w:color w:val="auto"/>
                <w:w w:val="96"/>
              </w:rPr>
              <w:t>$5.0M</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rPr>
              <w:t>Q3'18</w:t>
            </w:r>
          </w:p>
        </w:tc>
        <w:tc>
          <w:tcPr>
            <w:tcW w:w="0" w:type="dxa"/>
            <w:vAlign w:val="bottom"/>
          </w:tcPr>
          <w:p>
            <w:pPr>
              <w:spacing w:after="0"/>
              <w:rPr>
                <w:sz w:val="1"/>
                <w:szCs w:val="1"/>
                <w:color w:val="auto"/>
              </w:rPr>
            </w:pPr>
          </w:p>
        </w:tc>
      </w:tr>
      <w:tr>
        <w:trPr>
          <w:trHeight w:val="180"/>
        </w:trPr>
        <w:tc>
          <w:tcPr>
            <w:tcW w:w="77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Phase 3 clinical trial initiation - second indication</w:t>
            </w:r>
          </w:p>
        </w:tc>
        <w:tc>
          <w:tcPr>
            <w:tcW w:w="1380" w:type="dxa"/>
            <w:vAlign w:val="bottom"/>
          </w:tcPr>
          <w:p>
            <w:pPr>
              <w:jc w:val="center"/>
              <w:ind w:left="192"/>
              <w:spacing w:after="0" w:line="181" w:lineRule="exact"/>
              <w:rPr>
                <w:sz w:val="20"/>
                <w:szCs w:val="20"/>
                <w:color w:val="auto"/>
              </w:rPr>
            </w:pPr>
            <w:r>
              <w:rPr>
                <w:rFonts w:ascii="Times New Roman" w:cs="Times New Roman" w:eastAsia="Times New Roman" w:hAnsi="Times New Roman"/>
                <w:sz w:val="18"/>
                <w:szCs w:val="18"/>
                <w:color w:val="auto"/>
                <w:w w:val="96"/>
              </w:rPr>
              <w:t>$5.0M</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Q2'19</w:t>
            </w: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Filing of the first BLA</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 first indication</w:t>
            </w:r>
          </w:p>
        </w:tc>
        <w:tc>
          <w:tcPr>
            <w:tcW w:w="1380" w:type="dxa"/>
            <w:vAlign w:val="bottom"/>
          </w:tcPr>
          <w:p>
            <w:pPr>
              <w:jc w:val="center"/>
              <w:ind w:left="172"/>
              <w:spacing w:after="0" w:line="189" w:lineRule="exact"/>
              <w:rPr>
                <w:sz w:val="20"/>
                <w:szCs w:val="20"/>
                <w:color w:val="auto"/>
              </w:rPr>
            </w:pPr>
            <w:r>
              <w:rPr>
                <w:rFonts w:ascii="Times New Roman" w:cs="Times New Roman" w:eastAsia="Times New Roman" w:hAnsi="Times New Roman"/>
                <w:sz w:val="18"/>
                <w:szCs w:val="18"/>
                <w:color w:val="auto"/>
                <w:w w:val="99"/>
              </w:rPr>
              <w:t>$10.0M</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Q1'20</w:t>
            </w:r>
          </w:p>
        </w:tc>
        <w:tc>
          <w:tcPr>
            <w:tcW w:w="0" w:type="dxa"/>
            <w:vAlign w:val="bottom"/>
          </w:tcPr>
          <w:p>
            <w:pPr>
              <w:spacing w:after="0"/>
              <w:rPr>
                <w:sz w:val="1"/>
                <w:szCs w:val="1"/>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7"/>
                <w:szCs w:val="17"/>
                <w:color w:val="auto"/>
              </w:rPr>
              <w:t>Filing of the first MAA</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 first indication</w:t>
            </w:r>
          </w:p>
        </w:tc>
        <w:tc>
          <w:tcPr>
            <w:tcW w:w="1380" w:type="dxa"/>
            <w:vAlign w:val="bottom"/>
          </w:tcPr>
          <w:p>
            <w:pPr>
              <w:jc w:val="center"/>
              <w:ind w:left="192"/>
              <w:spacing w:after="0" w:line="198" w:lineRule="exact"/>
              <w:rPr>
                <w:sz w:val="20"/>
                <w:szCs w:val="20"/>
                <w:color w:val="auto"/>
              </w:rPr>
            </w:pPr>
            <w:r>
              <w:rPr>
                <w:rFonts w:ascii="Times New Roman" w:cs="Times New Roman" w:eastAsia="Times New Roman" w:hAnsi="Times New Roman"/>
                <w:sz w:val="18"/>
                <w:szCs w:val="18"/>
                <w:color w:val="auto"/>
                <w:w w:val="96"/>
              </w:rPr>
              <w:t>$5.0M</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Q1'20</w:t>
            </w:r>
          </w:p>
        </w:tc>
        <w:tc>
          <w:tcPr>
            <w:tcW w:w="0" w:type="dxa"/>
            <w:vAlign w:val="bottom"/>
          </w:tcPr>
          <w:p>
            <w:pPr>
              <w:spacing w:after="0"/>
              <w:rPr>
                <w:sz w:val="1"/>
                <w:szCs w:val="1"/>
                <w:color w:val="auto"/>
              </w:rPr>
            </w:pPr>
          </w:p>
        </w:tc>
      </w:tr>
      <w:tr>
        <w:trPr>
          <w:trHeight w:val="22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Filing of the first BLA - second indication</w:t>
            </w:r>
          </w:p>
        </w:tc>
        <w:tc>
          <w:tcPr>
            <w:tcW w:w="13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$10.0M</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Q1'21</w:t>
            </w: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First BLA approval - first indication</w:t>
            </w:r>
          </w:p>
        </w:tc>
        <w:tc>
          <w:tcPr>
            <w:tcW w:w="1380" w:type="dxa"/>
            <w:vAlign w:val="bottom"/>
            <w:shd w:val="clear" w:color="auto" w:fill="CFF0FC"/>
          </w:tcPr>
          <w:p>
            <w:pPr>
              <w:jc w:val="center"/>
              <w:ind w:left="172"/>
              <w:spacing w:after="0" w:line="189" w:lineRule="exact"/>
              <w:rPr>
                <w:sz w:val="20"/>
                <w:szCs w:val="20"/>
                <w:color w:val="auto"/>
              </w:rPr>
            </w:pPr>
            <w:r>
              <w:rPr>
                <w:rFonts w:ascii="Times New Roman" w:cs="Times New Roman" w:eastAsia="Times New Roman" w:hAnsi="Times New Roman"/>
                <w:sz w:val="18"/>
                <w:szCs w:val="18"/>
                <w:color w:val="auto"/>
                <w:w w:val="99"/>
              </w:rPr>
              <w:t>$20.0M</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Q2'21</w:t>
            </w:r>
          </w:p>
        </w:tc>
        <w:tc>
          <w:tcPr>
            <w:tcW w:w="0" w:type="dxa"/>
            <w:vAlign w:val="bottom"/>
          </w:tcPr>
          <w:p>
            <w:pPr>
              <w:spacing w:after="0"/>
              <w:rPr>
                <w:sz w:val="1"/>
                <w:szCs w:val="1"/>
                <w:color w:val="auto"/>
              </w:rPr>
            </w:pPr>
          </w:p>
        </w:tc>
      </w:tr>
      <w:tr>
        <w:trPr>
          <w:trHeight w:val="157"/>
        </w:trPr>
        <w:tc>
          <w:tcPr>
            <w:tcW w:w="77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First MAA approval - first indication</w:t>
            </w:r>
          </w:p>
        </w:tc>
        <w:tc>
          <w:tcPr>
            <w:tcW w:w="1380" w:type="dxa"/>
            <w:vAlign w:val="bottom"/>
          </w:tcPr>
          <w:p>
            <w:pPr>
              <w:jc w:val="center"/>
              <w:ind w:left="172"/>
              <w:spacing w:after="0" w:line="157" w:lineRule="exact"/>
              <w:rPr>
                <w:sz w:val="20"/>
                <w:szCs w:val="20"/>
                <w:color w:val="auto"/>
              </w:rPr>
            </w:pPr>
            <w:r>
              <w:rPr>
                <w:rFonts w:ascii="Times New Roman" w:cs="Times New Roman" w:eastAsia="Times New Roman" w:hAnsi="Times New Roman"/>
                <w:sz w:val="18"/>
                <w:szCs w:val="18"/>
                <w:color w:val="auto"/>
                <w:w w:val="99"/>
              </w:rPr>
              <w:t>$10.0M</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rPr>
              <w:t>Q2'21</w:t>
            </w:r>
          </w:p>
        </w:tc>
        <w:tc>
          <w:tcPr>
            <w:tcW w:w="0" w:type="dxa"/>
            <w:vAlign w:val="bottom"/>
          </w:tcPr>
          <w:p>
            <w:pPr>
              <w:spacing w:after="0"/>
              <w:rPr>
                <w:sz w:val="1"/>
                <w:szCs w:val="1"/>
                <w:color w:val="auto"/>
              </w:rPr>
            </w:pPr>
          </w:p>
        </w:tc>
      </w:tr>
      <w:tr>
        <w:trPr>
          <w:trHeight w:val="180"/>
        </w:trPr>
        <w:tc>
          <w:tcPr>
            <w:tcW w:w="77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First BLA approval - second indication</w:t>
            </w:r>
          </w:p>
        </w:tc>
        <w:tc>
          <w:tcPr>
            <w:tcW w:w="1380" w:type="dxa"/>
            <w:vAlign w:val="bottom"/>
          </w:tcPr>
          <w:p>
            <w:pPr>
              <w:jc w:val="center"/>
              <w:ind w:left="172"/>
              <w:spacing w:after="0" w:line="181" w:lineRule="exact"/>
              <w:rPr>
                <w:sz w:val="20"/>
                <w:szCs w:val="20"/>
                <w:color w:val="auto"/>
              </w:rPr>
            </w:pPr>
            <w:r>
              <w:rPr>
                <w:rFonts w:ascii="Times New Roman" w:cs="Times New Roman" w:eastAsia="Times New Roman" w:hAnsi="Times New Roman"/>
                <w:sz w:val="18"/>
                <w:szCs w:val="18"/>
                <w:color w:val="auto"/>
                <w:w w:val="99"/>
              </w:rPr>
              <w:t>$20.0M</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Q3'21</w:t>
            </w: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Filing of the first MAA - second indication</w:t>
            </w:r>
            <w:r>
              <w:rPr>
                <w:rFonts w:ascii="Times New Roman" w:cs="Times New Roman" w:eastAsia="Times New Roman" w:hAnsi="Times New Roman"/>
                <w:sz w:val="21"/>
                <w:szCs w:val="21"/>
                <w:color w:val="auto"/>
                <w:vertAlign w:val="superscript"/>
              </w:rPr>
              <w:t>(3)</w:t>
            </w:r>
          </w:p>
        </w:tc>
        <w:tc>
          <w:tcPr>
            <w:tcW w:w="1380" w:type="dxa"/>
            <w:vAlign w:val="bottom"/>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w w:val="96"/>
              </w:rPr>
              <w:t>$5.0M</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First MAA approval - second indication</w:t>
            </w:r>
            <w:r>
              <w:rPr>
                <w:rFonts w:ascii="Times New Roman" w:cs="Times New Roman" w:eastAsia="Times New Roman" w:hAnsi="Times New Roman"/>
                <w:sz w:val="21"/>
                <w:szCs w:val="21"/>
                <w:color w:val="auto"/>
                <w:vertAlign w:val="superscript"/>
              </w:rPr>
              <w:t>(3)</w:t>
            </w:r>
          </w:p>
        </w:tc>
        <w:tc>
          <w:tcPr>
            <w:tcW w:w="1380" w:type="dxa"/>
            <w:vAlign w:val="bottom"/>
          </w:tcPr>
          <w:p>
            <w:pPr>
              <w:jc w:val="center"/>
              <w:ind w:left="172"/>
              <w:spacing w:after="0" w:line="189" w:lineRule="exact"/>
              <w:rPr>
                <w:sz w:val="20"/>
                <w:szCs w:val="20"/>
                <w:color w:val="auto"/>
              </w:rPr>
            </w:pPr>
            <w:r>
              <w:rPr>
                <w:rFonts w:ascii="Times New Roman" w:cs="Times New Roman" w:eastAsia="Times New Roman" w:hAnsi="Times New Roman"/>
                <w:sz w:val="18"/>
                <w:szCs w:val="18"/>
                <w:color w:val="auto"/>
                <w:w w:val="99"/>
              </w:rPr>
              <w:t>$10.0M</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First commercial sales milestone</w:t>
            </w:r>
            <w:r>
              <w:rPr>
                <w:rFonts w:ascii="Times New Roman" w:cs="Times New Roman" w:eastAsia="Times New Roman" w:hAnsi="Times New Roman"/>
                <w:sz w:val="21"/>
                <w:szCs w:val="21"/>
                <w:color w:val="auto"/>
                <w:vertAlign w:val="superscript"/>
              </w:rPr>
              <w:t>(3)</w:t>
            </w:r>
          </w:p>
        </w:tc>
        <w:tc>
          <w:tcPr>
            <w:tcW w:w="1380" w:type="dxa"/>
            <w:vAlign w:val="bottom"/>
          </w:tcPr>
          <w:p>
            <w:pPr>
              <w:jc w:val="center"/>
              <w:ind w:left="172"/>
              <w:spacing w:after="0" w:line="189" w:lineRule="exact"/>
              <w:rPr>
                <w:sz w:val="20"/>
                <w:szCs w:val="20"/>
                <w:color w:val="auto"/>
              </w:rPr>
            </w:pPr>
            <w:r>
              <w:rPr>
                <w:rFonts w:ascii="Times New Roman" w:cs="Times New Roman" w:eastAsia="Times New Roman" w:hAnsi="Times New Roman"/>
                <w:sz w:val="18"/>
                <w:szCs w:val="18"/>
                <w:color w:val="auto"/>
                <w:w w:val="99"/>
              </w:rPr>
              <w:t>$15.0M</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Q3'24</w:t>
            </w: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Second commercial sales milestone</w:t>
            </w:r>
            <w:r>
              <w:rPr>
                <w:rFonts w:ascii="Times New Roman" w:cs="Times New Roman" w:eastAsia="Times New Roman" w:hAnsi="Times New Roman"/>
                <w:sz w:val="21"/>
                <w:szCs w:val="21"/>
                <w:color w:val="auto"/>
                <w:vertAlign w:val="superscript"/>
              </w:rPr>
              <w:t>(3)</w:t>
            </w:r>
          </w:p>
        </w:tc>
        <w:tc>
          <w:tcPr>
            <w:tcW w:w="1380" w:type="dxa"/>
            <w:vAlign w:val="bottom"/>
          </w:tcPr>
          <w:p>
            <w:pPr>
              <w:jc w:val="center"/>
              <w:ind w:left="172"/>
              <w:spacing w:after="0" w:line="189" w:lineRule="exact"/>
              <w:rPr>
                <w:sz w:val="20"/>
                <w:szCs w:val="20"/>
                <w:color w:val="auto"/>
              </w:rPr>
            </w:pPr>
            <w:r>
              <w:rPr>
                <w:rFonts w:ascii="Times New Roman" w:cs="Times New Roman" w:eastAsia="Times New Roman" w:hAnsi="Times New Roman"/>
                <w:sz w:val="18"/>
                <w:szCs w:val="18"/>
                <w:color w:val="auto"/>
                <w:w w:val="99"/>
              </w:rPr>
              <w:t>$25.0M</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Q4'24</w:t>
            </w: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Third commercial sales milestone</w:t>
            </w:r>
            <w:r>
              <w:rPr>
                <w:rFonts w:ascii="Times New Roman" w:cs="Times New Roman" w:eastAsia="Times New Roman" w:hAnsi="Times New Roman"/>
                <w:sz w:val="21"/>
                <w:szCs w:val="21"/>
                <w:color w:val="auto"/>
                <w:vertAlign w:val="superscript"/>
              </w:rPr>
              <w:t>(3)</w:t>
            </w:r>
          </w:p>
        </w:tc>
        <w:tc>
          <w:tcPr>
            <w:tcW w:w="1380" w:type="dxa"/>
            <w:vAlign w:val="bottom"/>
          </w:tcPr>
          <w:p>
            <w:pPr>
              <w:jc w:val="center"/>
              <w:ind w:left="172"/>
              <w:spacing w:after="0" w:line="189" w:lineRule="exact"/>
              <w:rPr>
                <w:sz w:val="20"/>
                <w:szCs w:val="20"/>
                <w:color w:val="auto"/>
              </w:rPr>
            </w:pPr>
            <w:r>
              <w:rPr>
                <w:rFonts w:ascii="Times New Roman" w:cs="Times New Roman" w:eastAsia="Times New Roman" w:hAnsi="Times New Roman"/>
                <w:sz w:val="18"/>
                <w:szCs w:val="18"/>
                <w:color w:val="auto"/>
                <w:w w:val="99"/>
              </w:rPr>
              <w:t>$50.0M</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Q3'25</w:t>
            </w:r>
          </w:p>
        </w:tc>
        <w:tc>
          <w:tcPr>
            <w:tcW w:w="0" w:type="dxa"/>
            <w:vAlign w:val="bottom"/>
          </w:tcPr>
          <w:p>
            <w:pPr>
              <w:spacing w:after="0"/>
              <w:rPr>
                <w:sz w:val="1"/>
                <w:szCs w:val="1"/>
                <w:color w:val="auto"/>
              </w:rPr>
            </w:pPr>
          </w:p>
        </w:tc>
      </w:tr>
      <w:tr>
        <w:trPr>
          <w:trHeight w:val="230"/>
        </w:trPr>
        <w:tc>
          <w:tcPr>
            <w:tcW w:w="774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Fourth commercial sales milestone</w:t>
            </w:r>
            <w:r>
              <w:rPr>
                <w:rFonts w:ascii="Times New Roman" w:cs="Times New Roman" w:eastAsia="Times New Roman" w:hAnsi="Times New Roman"/>
                <w:sz w:val="24"/>
                <w:szCs w:val="24"/>
                <w:color w:val="auto"/>
                <w:vertAlign w:val="superscript"/>
              </w:rPr>
              <w:t>(4)</w:t>
            </w:r>
          </w:p>
        </w:tc>
        <w:tc>
          <w:tcPr>
            <w:tcW w:w="13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$75.0M</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Q4'25</w:t>
            </w:r>
          </w:p>
        </w:tc>
        <w:tc>
          <w:tcPr>
            <w:tcW w:w="0" w:type="dxa"/>
            <w:vAlign w:val="bottom"/>
          </w:tcPr>
          <w:p>
            <w:pPr>
              <w:spacing w:after="0"/>
              <w:rPr>
                <w:sz w:val="1"/>
                <w:szCs w:val="1"/>
                <w:color w:val="auto"/>
              </w:rPr>
            </w:pPr>
          </w:p>
        </w:tc>
      </w:tr>
      <w:tr>
        <w:trPr>
          <w:trHeight w:val="189"/>
        </w:trPr>
        <w:tc>
          <w:tcPr>
            <w:tcW w:w="7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Milestones recognized through December 31, 2025</w:t>
            </w:r>
          </w:p>
        </w:tc>
        <w:tc>
          <w:tcPr>
            <w:tcW w:w="1380" w:type="dxa"/>
            <w:vAlign w:val="bottom"/>
            <w:shd w:val="clear" w:color="auto" w:fill="CFF0FC"/>
          </w:tcPr>
          <w:p>
            <w:pPr>
              <w:jc w:val="center"/>
              <w:ind w:left="192"/>
              <w:spacing w:after="0" w:line="189" w:lineRule="exact"/>
              <w:rPr>
                <w:sz w:val="20"/>
                <w:szCs w:val="20"/>
                <w:color w:val="auto"/>
              </w:rPr>
            </w:pPr>
            <w:r>
              <w:rPr>
                <w:rFonts w:ascii="Times New Roman" w:cs="Times New Roman" w:eastAsia="Times New Roman" w:hAnsi="Times New Roman"/>
                <w:sz w:val="18"/>
                <w:szCs w:val="18"/>
                <w:color w:val="auto"/>
              </w:rPr>
              <w:t>$258.0M</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Milestones that may be recognized in the future</w:t>
            </w:r>
          </w:p>
        </w:tc>
        <w:tc>
          <w:tcPr>
            <w:tcW w:w="13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$15.0M</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-1948180</wp:posOffset>
            </wp:positionV>
            <wp:extent cx="7132320" cy="120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-1708150</wp:posOffset>
            </wp:positionV>
            <wp:extent cx="7132320" cy="1200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-1228090</wp:posOffset>
            </wp:positionV>
            <wp:extent cx="7132320" cy="1200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-988060</wp:posOffset>
            </wp:positionV>
            <wp:extent cx="7132320" cy="1200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-748030</wp:posOffset>
            </wp:positionV>
            <wp:extent cx="7132320"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-508000</wp:posOffset>
            </wp:positionV>
            <wp:extent cx="7132320"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0" w:lineRule="exact"/>
        <w:rPr>
          <w:sz w:val="20"/>
          <w:szCs w:val="20"/>
          <w:color w:val="auto"/>
        </w:rPr>
      </w:pPr>
    </w:p>
    <w:p>
      <w:pPr>
        <w:ind w:left="580" w:hanging="572"/>
        <w:spacing w:after="0"/>
        <w:tabs>
          <w:tab w:leader="none" w:pos="58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Biologics License Application (“BLA”)</w:t>
      </w:r>
    </w:p>
    <w:p>
      <w:pPr>
        <w:spacing w:after="0" w:line="85" w:lineRule="exact"/>
        <w:rPr>
          <w:rFonts w:ascii="Times New Roman" w:cs="Times New Roman" w:eastAsia="Times New Roman" w:hAnsi="Times New Roman"/>
          <w:sz w:val="24"/>
          <w:szCs w:val="24"/>
          <w:color w:val="auto"/>
          <w:vertAlign w:val="superscript"/>
        </w:rPr>
      </w:pPr>
    </w:p>
    <w:p>
      <w:pPr>
        <w:ind w:left="580" w:hanging="572"/>
        <w:spacing w:after="0" w:line="231" w:lineRule="auto"/>
        <w:tabs>
          <w:tab w:leader="none" w:pos="58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Marketing Authorization Application (“MAA”)</w:t>
      </w:r>
    </w:p>
    <w:p>
      <w:pPr>
        <w:spacing w:after="0" w:line="130" w:lineRule="exact"/>
        <w:rPr>
          <w:rFonts w:ascii="Times New Roman" w:cs="Times New Roman" w:eastAsia="Times New Roman" w:hAnsi="Times New Roman"/>
          <w:sz w:val="24"/>
          <w:szCs w:val="24"/>
          <w:color w:val="auto"/>
          <w:vertAlign w:val="superscript"/>
        </w:rPr>
      </w:pPr>
    </w:p>
    <w:p>
      <w:pPr>
        <w:ind w:left="580" w:right="20" w:hanging="572"/>
        <w:spacing w:after="0" w:line="255" w:lineRule="auto"/>
        <w:tabs>
          <w:tab w:leader="none" w:pos="58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Jemperli, the filing and approval of the first MAA for a second indication and first three commercial sales milestones are included as part of the royalty monetization agreement with Sagard (as defined below). For more information, see Note 5. Cash is generally received within 30 days of milestone achievement.</w:t>
      </w:r>
    </w:p>
    <w:p>
      <w:pPr>
        <w:spacing w:after="0" w:line="117" w:lineRule="exact"/>
        <w:rPr>
          <w:rFonts w:ascii="Times New Roman" w:cs="Times New Roman" w:eastAsia="Times New Roman" w:hAnsi="Times New Roman"/>
          <w:sz w:val="24"/>
          <w:szCs w:val="24"/>
          <w:color w:val="auto"/>
          <w:vertAlign w:val="superscript"/>
        </w:rPr>
      </w:pPr>
    </w:p>
    <w:p>
      <w:pPr>
        <w:ind w:left="580" w:right="280" w:hanging="572"/>
        <w:spacing w:after="0" w:line="237" w:lineRule="auto"/>
        <w:tabs>
          <w:tab w:leader="none" w:pos="58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Jemperli, we retained the rights to a $75.0 million sales milestone when Jemperli annual net sales exceeded $1 billion. We received the cash milestone payment in December 2025.</w:t>
      </w:r>
    </w:p>
    <w:p>
      <w:pPr>
        <w:spacing w:after="0" w:line="117" w:lineRule="exact"/>
        <w:rPr>
          <w:sz w:val="20"/>
          <w:szCs w:val="20"/>
          <w:color w:val="auto"/>
        </w:rPr>
      </w:pPr>
    </w:p>
    <w:p>
      <w:pPr>
        <w:ind w:right="120" w:firstLine="659"/>
        <w:spacing w:after="0" w:line="297" w:lineRule="auto"/>
        <w:rPr>
          <w:sz w:val="20"/>
          <w:szCs w:val="20"/>
          <w:color w:val="auto"/>
        </w:rPr>
      </w:pPr>
      <w:r>
        <w:rPr>
          <w:rFonts w:ascii="Times New Roman" w:cs="Times New Roman" w:eastAsia="Times New Roman" w:hAnsi="Times New Roman"/>
          <w:sz w:val="18"/>
          <w:szCs w:val="18"/>
          <w:color w:val="auto"/>
        </w:rPr>
        <w:t>We recognized $224.9 million in revenue under the GSK Agreement during the year ended December 31, 2025, of which $99.9 million was related to royalty revenue and $125.0 million was related to milestone revenue, as there were two milestones earned during the year. We recognized $91.3 million in revenue during the year ended December 31, 2024, of which $51.3 million was related to royalty revenue and $40.0 million was related to milestone revenue, as there were two milestones earned during the year. We recognized $17.2 million in revenue during the year ended December 31, 2023, of which $17.2 million was related to royalty revenue and none was related to milestone revenue.</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currently party to litigation with GSK with respect to the GSK Agreement. See Item 3. “Legal Proceedings” for additional information.</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Vanda Collaboration</w:t>
      </w:r>
    </w:p>
    <w:p>
      <w:pPr>
        <w:spacing w:after="0" w:line="148" w:lineRule="exact"/>
        <w:rPr>
          <w:sz w:val="20"/>
          <w:szCs w:val="20"/>
          <w:color w:val="auto"/>
        </w:rPr>
      </w:pPr>
    </w:p>
    <w:p>
      <w:pPr>
        <w:ind w:right="160" w:firstLine="659"/>
        <w:spacing w:after="0" w:line="297" w:lineRule="auto"/>
        <w:rPr>
          <w:sz w:val="20"/>
          <w:szCs w:val="20"/>
          <w:color w:val="auto"/>
        </w:rPr>
      </w:pPr>
      <w:r>
        <w:rPr>
          <w:rFonts w:ascii="Times New Roman" w:cs="Times New Roman" w:eastAsia="Times New Roman" w:hAnsi="Times New Roman"/>
          <w:sz w:val="18"/>
          <w:szCs w:val="18"/>
          <w:color w:val="auto"/>
        </w:rPr>
        <w:t>On January 31, 2025, we entered into an Exclusive License Agreement (the “Vanda License Agreement”) with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spacing w:after="0" w:line="69" w:lineRule="exact"/>
        <w:rPr>
          <w:sz w:val="20"/>
          <w:szCs w:val="20"/>
          <w:color w:val="auto"/>
        </w:rPr>
      </w:pPr>
    </w:p>
    <w:p>
      <w:pPr>
        <w:ind w:right="260" w:firstLine="659"/>
        <w:spacing w:after="0" w:line="306" w:lineRule="auto"/>
        <w:rPr>
          <w:sz w:val="20"/>
          <w:szCs w:val="20"/>
          <w:color w:val="auto"/>
        </w:rPr>
      </w:pPr>
      <w:r>
        <w:rPr>
          <w:rFonts w:ascii="Times New Roman" w:cs="Times New Roman" w:eastAsia="Times New Roman" w:hAnsi="Times New Roman"/>
          <w:sz w:val="17"/>
          <w:szCs w:val="17"/>
          <w:color w:val="auto"/>
        </w:rPr>
        <w:t>Pursuant to the terms of the Vanda License Agreement, we received an upfront payment of $10.0 million for the license and a $5.0 million payment for existing drug supply. We allocated the total transaction price of $15.0 million on a relative standalone selling price in accordance with ASC</w:t>
      </w:r>
    </w:p>
    <w:p>
      <w:pPr>
        <w:spacing w:after="0" w:line="1"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2025, we recognized $9.5 million of license revenue under ASC 606. During the year ended December 31, 2025,</w:t>
      </w:r>
    </w:p>
    <w:p>
      <w:pPr>
        <w:spacing w:after="0" w:line="49" w:lineRule="exact"/>
        <w:rPr>
          <w:rFonts w:ascii="Times New Roman" w:cs="Times New Roman" w:eastAsia="Times New Roman" w:hAnsi="Times New Roman"/>
          <w:sz w:val="18"/>
          <w:szCs w:val="18"/>
          <w:color w:val="auto"/>
        </w:rPr>
      </w:pPr>
    </w:p>
    <w:p>
      <w:pPr>
        <w:ind w:righ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$0.2 million of transition services revenue under ASC 606 and $5.4 million related to existing drug supply transferred to Vanda as other income under ASC 610. We expensed the $2.5 million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2" w:name="page93"/>
    <w:bookmarkEnd w:id="92"/>
    <w:p>
      <w:pPr>
        <w:ind w:right="340"/>
        <w:spacing w:after="0" w:line="313" w:lineRule="auto"/>
        <w:rPr>
          <w:sz w:val="20"/>
          <w:szCs w:val="20"/>
          <w:color w:val="auto"/>
        </w:rPr>
      </w:pPr>
      <w:r>
        <w:rPr>
          <w:rFonts w:ascii="Times New Roman" w:cs="Times New Roman" w:eastAsia="Times New Roman" w:hAnsi="Times New Roman"/>
          <w:sz w:val="18"/>
          <w:szCs w:val="18"/>
          <w:color w:val="auto"/>
        </w:rPr>
        <w:t>related transaction costs within general and administrative expenses, during the year ended December 31, 2025, as we elected the practical expedient to expense the transaction costs as incurred as the expected amortization period was less than a year.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also eligible to receive a 10% royalty on net sales, as well as the following milestones under the Vanda License Agreement: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Milestone Event</w:t>
            </w:r>
          </w:p>
        </w:tc>
        <w:tc>
          <w:tcPr>
            <w:tcW w:w="16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 Recognized</w:t>
            </w:r>
          </w:p>
        </w:tc>
      </w:tr>
      <w:tr>
        <w:trPr>
          <w:trHeight w:val="151"/>
        </w:trPr>
        <w:tc>
          <w:tcPr>
            <w:tcW w:w="7740" w:type="dxa"/>
            <w:vAlign w:val="bottom"/>
            <w:shd w:val="clear" w:color="auto" w:fill="CFF0FC"/>
          </w:tcPr>
          <w:p>
            <w:pPr>
              <w:spacing w:after="0" w:line="150" w:lineRule="exact"/>
              <w:rPr>
                <w:sz w:val="20"/>
                <w:szCs w:val="20"/>
                <w:color w:val="auto"/>
              </w:rPr>
            </w:pPr>
            <w:r>
              <w:rPr>
                <w:rFonts w:ascii="Times New Roman" w:cs="Times New Roman" w:eastAsia="Times New Roman" w:hAnsi="Times New Roman"/>
                <w:sz w:val="17"/>
                <w:szCs w:val="17"/>
                <w:color w:val="auto"/>
              </w:rPr>
              <w:t>FDA regulatory approval for marketing of first licensed product in the USA for the treatment of active</w:t>
            </w:r>
          </w:p>
        </w:tc>
        <w:tc>
          <w:tcPr>
            <w:tcW w:w="1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60" w:type="dxa"/>
            <w:vAlign w:val="bottom"/>
            <w:shd w:val="clear" w:color="auto" w:fill="CFF0FC"/>
          </w:tcPr>
          <w:p>
            <w:pPr>
              <w:spacing w:after="0"/>
              <w:rPr>
                <w:sz w:val="13"/>
                <w:szCs w:val="13"/>
                <w:color w:val="auto"/>
              </w:rPr>
            </w:pPr>
          </w:p>
        </w:tc>
      </w:tr>
      <w:tr>
        <w:trPr>
          <w:trHeight w:val="221"/>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flares in GPP</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$5.0M</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Regulatory approval for marketing of the first licensed product in the EU</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$5.0M</w:t>
            </w:r>
          </w:p>
        </w:tc>
        <w:tc>
          <w:tcPr>
            <w:tcW w:w="18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Commercial sales first exceed $100.0 million</w:t>
            </w:r>
          </w:p>
        </w:tc>
        <w:tc>
          <w:tcPr>
            <w:tcW w:w="16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$25.0M</w:t>
            </w: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r>
      <w:tr>
        <w:trPr>
          <w:trHeight w:val="189"/>
        </w:trPr>
        <w:tc>
          <w:tcPr>
            <w:tcW w:w="7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9"/>
        </w:trPr>
        <w:tc>
          <w:tcPr>
            <w:tcW w:w="7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Milestones recognized through December 31, 2025</w:t>
            </w:r>
          </w:p>
        </w:tc>
        <w:tc>
          <w:tcPr>
            <w:tcW w:w="16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6"/>
                <w:szCs w:val="16"/>
                <w:color w:val="auto"/>
              </w:rPr>
            </w:pPr>
          </w:p>
        </w:tc>
        <w:tc>
          <w:tcPr>
            <w:tcW w:w="16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Milestones that may be recognized in the future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$35.0M</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Centessa</w:t>
      </w:r>
    </w:p>
    <w:p>
      <w:pPr>
        <w:spacing w:after="0" w:line="162" w:lineRule="exact"/>
        <w:rPr>
          <w:sz w:val="20"/>
          <w:szCs w:val="20"/>
          <w:color w:val="auto"/>
        </w:rPr>
      </w:pPr>
    </w:p>
    <w:p>
      <w:pPr>
        <w:ind w:right="40" w:firstLine="659"/>
        <w:spacing w:after="0" w:line="297" w:lineRule="auto"/>
        <w:rPr>
          <w:sz w:val="20"/>
          <w:szCs w:val="20"/>
          <w:color w:val="auto"/>
        </w:rPr>
      </w:pPr>
      <w:r>
        <w:rPr>
          <w:rFonts w:ascii="Times New Roman" w:cs="Times New Roman" w:eastAsia="Times New Roman" w:hAnsi="Times New Roman"/>
          <w:sz w:val="18"/>
          <w:szCs w:val="18"/>
          <w:color w:val="auto"/>
        </w:rPr>
        <w:t>On November 24, 2023, we entered into an exclusive license agreement (as amended,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and the related family of antibodies, for the treatment of autoimmune and inflammatory diseases.</w:t>
      </w:r>
    </w:p>
    <w:p>
      <w:pPr>
        <w:spacing w:after="0" w:line="69" w:lineRule="exact"/>
        <w:rPr>
          <w:sz w:val="20"/>
          <w:szCs w:val="20"/>
          <w:color w:val="auto"/>
        </w:rPr>
      </w:pPr>
    </w:p>
    <w:p>
      <w:pPr>
        <w:ind w:right="80" w:firstLine="659"/>
        <w:spacing w:after="0" w:line="302" w:lineRule="auto"/>
        <w:rPr>
          <w:sz w:val="20"/>
          <w:szCs w:val="20"/>
          <w:color w:val="auto"/>
        </w:rPr>
      </w:pPr>
      <w:r>
        <w:rPr>
          <w:rFonts w:ascii="Times New Roman" w:cs="Times New Roman" w:eastAsia="Times New Roman" w:hAnsi="Times New Roman"/>
          <w:sz w:val="18"/>
          <w:szCs w:val="18"/>
          <w:color w:val="auto"/>
        </w:rPr>
        <w:t>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spacing w:after="0" w:line="65" w:lineRule="exact"/>
        <w:rPr>
          <w:sz w:val="20"/>
          <w:szCs w:val="20"/>
          <w:color w:val="auto"/>
        </w:rPr>
      </w:pPr>
    </w:p>
    <w:p>
      <w:pPr>
        <w:ind w:right="300" w:firstLine="659"/>
        <w:spacing w:after="0" w:line="297" w:lineRule="auto"/>
        <w:rPr>
          <w:sz w:val="20"/>
          <w:szCs w:val="20"/>
          <w:color w:val="auto"/>
        </w:rPr>
      </w:pPr>
      <w:r>
        <w:rPr>
          <w:rFonts w:ascii="Times New Roman" w:cs="Times New Roman" w:eastAsia="Times New Roman" w:hAnsi="Times New Roman"/>
          <w:sz w:val="18"/>
          <w:szCs w:val="18"/>
          <w:color w:val="auto"/>
        </w:rPr>
        <w:t>Under the terms of the Centessa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 December 31, 2025, achievement of the milestone is not probable and, therefore, we have not recognized a liability for the associated $10.0 million contingent consideration.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Sale of Future Royalties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Jemperli Royalty Monetization Agreement</w:t>
      </w:r>
    </w:p>
    <w:p>
      <w:pPr>
        <w:spacing w:after="0" w:line="148" w:lineRule="exact"/>
        <w:rPr>
          <w:sz w:val="20"/>
          <w:szCs w:val="20"/>
          <w:color w:val="auto"/>
        </w:rPr>
      </w:pPr>
    </w:p>
    <w:p>
      <w:pPr>
        <w:ind w:right="360" w:firstLine="659"/>
        <w:spacing w:after="0" w:line="305" w:lineRule="auto"/>
        <w:rPr>
          <w:sz w:val="20"/>
          <w:szCs w:val="20"/>
          <w:color w:val="auto"/>
        </w:rPr>
      </w:pPr>
      <w:r>
        <w:rPr>
          <w:rFonts w:ascii="Times New Roman" w:cs="Times New Roman" w:eastAsia="Times New Roman" w:hAnsi="Times New Roman"/>
          <w:sz w:val="18"/>
          <w:szCs w:val="18"/>
          <w:color w:val="auto"/>
        </w:rPr>
        <w:t>In October 2021, we signed a royalty monetization agreement (“Jemperli Royalty Monetization Agreement”) with Sagard Healthcare Royalty Partners, LP (“Sagard”). Under the terms of the Jemperli Royalty Monetization Agreement, we received $250.0 million in exchange for royalties and milestones payable to us under our GSK collaboration on annual global net sales of Jemperli.</w:t>
      </w:r>
    </w:p>
    <w:p>
      <w:pPr>
        <w:spacing w:after="0" w:line="61" w:lineRule="exact"/>
        <w:rPr>
          <w:sz w:val="20"/>
          <w:szCs w:val="20"/>
          <w:color w:val="auto"/>
        </w:rPr>
      </w:pPr>
    </w:p>
    <w:p>
      <w:pPr>
        <w:ind w:right="60" w:firstLine="659"/>
        <w:spacing w:after="0" w:line="294" w:lineRule="auto"/>
        <w:rPr>
          <w:sz w:val="20"/>
          <w:szCs w:val="20"/>
          <w:color w:val="auto"/>
        </w:rPr>
      </w:pPr>
      <w:r>
        <w:rPr>
          <w:rFonts w:ascii="Times New Roman" w:cs="Times New Roman" w:eastAsia="Times New Roman" w:hAnsi="Times New Roman"/>
          <w:sz w:val="18"/>
          <w:szCs w:val="18"/>
          <w:color w:val="auto"/>
        </w:rPr>
        <w:t>In May 2024, we entered into an amendment to the Jemperli Royalty Monetization Agreement, Amendment No. 1 (the “Jemperli Amendment”) under which we sold additional receivables to Sagard in exchange for $50.0 million. The Jemperli Amendment includes all Jemperli sales, including any product containing Jemperli, whether or not such product constitutes a combination product, and the threshold amounts of aggregate Jemperli royalties and milestones to be received by Sagard under the Jemperli Amendment is either $600.0 million if received by the end of March 31, 2031, or $675.0 million if received thereafter. Once either of these thresholds are met, the Jemperli Royalty Monetization Agreement and the Jemperli Amendment will expire, resulting in us regaining all subsequent Jemperli royalties and milestones. As of December 31, 2025, Sagard has received a total of $216.7 million in royalties and milestones.</w:t>
      </w:r>
    </w:p>
    <w:p>
      <w:pPr>
        <w:spacing w:after="0" w:line="75" w:lineRule="exact"/>
        <w:rPr>
          <w:sz w:val="20"/>
          <w:szCs w:val="20"/>
          <w:color w:val="auto"/>
        </w:rPr>
      </w:pPr>
    </w:p>
    <w:p>
      <w:pPr>
        <w:ind w:right="100" w:firstLine="659"/>
        <w:spacing w:after="0" w:line="294" w:lineRule="auto"/>
        <w:rPr>
          <w:sz w:val="20"/>
          <w:szCs w:val="20"/>
          <w:color w:val="auto"/>
        </w:rPr>
      </w:pPr>
      <w:r>
        <w:rPr>
          <w:rFonts w:ascii="Times New Roman" w:cs="Times New Roman" w:eastAsia="Times New Roman" w:hAnsi="Times New Roman"/>
          <w:sz w:val="18"/>
          <w:szCs w:val="18"/>
          <w:color w:val="auto"/>
        </w:rPr>
        <w:t>The proceeds received from Sagard of $250.0 million and $50.0 million were recorded as a nonrecourse liability, net of transaction costs of $0.4 million and $0.1 million, which will be amortized over the estimated life of the arrangement using the effective interest rate method. The aggregate future estimated payments, less the $299.5 million, net of proceeds, will be recognized as non-cash interest expense over the life of the agreement. Royalty and milestone revenue will be recognized as earned on net sales of Jemperli, and these payments to Sagard will be recorded as a reduction of the liability when paid. As such payments are made to Sagard, the balance of the liability will be effectively repaid over the life of the Jemperli Royalty Monetization Agreement.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3" w:name="page94"/>
    <w:bookmarkEnd w:id="93"/>
    <w:p>
      <w:pPr>
        <w:ind w:right="80" w:firstLine="659"/>
        <w:spacing w:after="0" w:line="294" w:lineRule="auto"/>
        <w:rPr>
          <w:sz w:val="20"/>
          <w:szCs w:val="20"/>
          <w:color w:val="auto"/>
        </w:rPr>
      </w:pPr>
      <w:r>
        <w:rPr>
          <w:rFonts w:ascii="Times New Roman" w:cs="Times New Roman" w:eastAsia="Times New Roman" w:hAnsi="Times New Roman"/>
          <w:sz w:val="18"/>
          <w:szCs w:val="18"/>
          <w:color w:val="auto"/>
        </w:rPr>
        <w:t>We estimate the effective interest rate used to record non-cash interest expense under the Jemperli Royalty Monetization Agreement based on the estimate of future royalty payments to be received by Sagard. As of December 31, 2025, the estimated effective rate under the agreement was 33.1%.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prior estimates, we will prospectively adjust the imputed interest rate and the related amortization of the royalty obligation.</w:t>
      </w:r>
    </w:p>
    <w:p>
      <w:pPr>
        <w:spacing w:after="0" w:line="72" w:lineRule="exact"/>
        <w:rPr>
          <w:sz w:val="20"/>
          <w:szCs w:val="20"/>
          <w:color w:val="auto"/>
        </w:rPr>
      </w:pPr>
    </w:p>
    <w:p>
      <w:pPr>
        <w:jc w:val="both"/>
        <w:ind w:right="200" w:firstLine="659"/>
        <w:spacing w:after="0" w:line="297" w:lineRule="auto"/>
        <w:rPr>
          <w:sz w:val="20"/>
          <w:szCs w:val="20"/>
          <w:color w:val="auto"/>
        </w:rPr>
      </w:pPr>
      <w:r>
        <w:rPr>
          <w:rFonts w:ascii="Times New Roman" w:cs="Times New Roman" w:eastAsia="Times New Roman" w:hAnsi="Times New Roman"/>
          <w:sz w:val="18"/>
          <w:szCs w:val="18"/>
          <w:color w:val="auto"/>
        </w:rPr>
        <w:t>Two sales milestones totaling $125.0 million were recognized during the year ended December 31, 2025, when Jemperli annual sales exceeded both the $750 million and $1.0 billion thresholds. The $75.0 million milestone which was achieved when annual sales exceeded $1.0 billion was retained by the Company, with the remaining $50.0 million paid to Sagard. We recognized two sales milestones for a total of $40.0 million during the year ended December 31, 2024, when Jemperli annual sales exceeded both the $250.0 million and $500.0 million thresholds. No milestones were recognized during the year ended December 31, 2023.</w:t>
      </w:r>
    </w:p>
    <w:p>
      <w:pPr>
        <w:spacing w:after="0" w:line="69" w:lineRule="exact"/>
        <w:rPr>
          <w:sz w:val="20"/>
          <w:szCs w:val="20"/>
          <w:color w:val="auto"/>
        </w:rPr>
      </w:pPr>
    </w:p>
    <w:p>
      <w:pPr>
        <w:ind w:right="40" w:firstLine="659"/>
        <w:spacing w:after="0" w:line="297" w:lineRule="auto"/>
        <w:rPr>
          <w:sz w:val="20"/>
          <w:szCs w:val="20"/>
          <w:color w:val="auto"/>
        </w:rPr>
      </w:pPr>
      <w:r>
        <w:rPr>
          <w:rFonts w:ascii="Times New Roman" w:cs="Times New Roman" w:eastAsia="Times New Roman" w:hAnsi="Times New Roman"/>
          <w:sz w:val="18"/>
          <w:szCs w:val="18"/>
          <w:color w:val="auto"/>
        </w:rPr>
        <w:t>We recognized Jemperli non-cash royalty revenue of approximately $96.0 million, $47.4 million and $13.8 million during the years ended December 31, 2025, 2024 and 2023, respectively and non-cash interest expense of approximately $81.6 million, $49.1 million and $17.1 million during the years ended December 31, 2025, 2024 and 2023, respectively. The interest and amortization of issuance costs is reflected as non-cash interest expense for the sale of future royalties in the Consolidated Statements of Operations.</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for the year ended December 31,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83"/>
        </w:trPr>
        <w:tc>
          <w:tcPr>
            <w:tcW w:w="92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Liability related to sale of future Jemperli royalties and milestones - balance at 12/31/2024</w:t>
            </w: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323,658</w:t>
            </w:r>
          </w:p>
        </w:tc>
      </w:tr>
      <w:tr>
        <w:trPr>
          <w:trHeight w:val="157"/>
        </w:trPr>
        <w:tc>
          <w:tcPr>
            <w:tcW w:w="9240" w:type="dxa"/>
            <w:vAlign w:val="bottom"/>
          </w:tcPr>
          <w:p>
            <w:pPr>
              <w:ind w:left="180"/>
              <w:spacing w:after="0" w:line="157" w:lineRule="exact"/>
              <w:rPr>
                <w:sz w:val="20"/>
                <w:szCs w:val="20"/>
                <w:color w:val="auto"/>
              </w:rPr>
            </w:pPr>
            <w:r>
              <w:rPr>
                <w:rFonts w:ascii="Times New Roman" w:cs="Times New Roman" w:eastAsia="Times New Roman" w:hAnsi="Times New Roman"/>
                <w:sz w:val="18"/>
                <w:szCs w:val="18"/>
                <w:color w:val="auto"/>
              </w:rPr>
              <w:t>Amortization of issuance costs</w:t>
            </w:r>
          </w:p>
        </w:tc>
        <w:tc>
          <w:tcPr>
            <w:tcW w:w="220" w:type="dxa"/>
            <w:vAlign w:val="bottom"/>
          </w:tcPr>
          <w:p>
            <w:pPr>
              <w:spacing w:after="0"/>
              <w:rPr>
                <w:sz w:val="13"/>
                <w:szCs w:val="13"/>
                <w:color w:val="auto"/>
              </w:rPr>
            </w:pPr>
          </w:p>
        </w:tc>
        <w:tc>
          <w:tcPr>
            <w:tcW w:w="1780" w:type="dxa"/>
            <w:vAlign w:val="bottom"/>
          </w:tcPr>
          <w:p>
            <w:pPr>
              <w:jc w:val="right"/>
              <w:ind w:right="53"/>
              <w:spacing w:after="0" w:line="157" w:lineRule="exact"/>
              <w:rPr>
                <w:sz w:val="20"/>
                <w:szCs w:val="20"/>
                <w:color w:val="auto"/>
              </w:rPr>
            </w:pPr>
            <w:r>
              <w:rPr>
                <w:rFonts w:ascii="Times New Roman" w:cs="Times New Roman" w:eastAsia="Times New Roman" w:hAnsi="Times New Roman"/>
                <w:sz w:val="18"/>
                <w:szCs w:val="18"/>
                <w:color w:val="auto"/>
              </w:rPr>
              <w:t>130</w:t>
            </w:r>
          </w:p>
        </w:tc>
      </w:tr>
      <w:tr>
        <w:trPr>
          <w:trHeight w:val="180"/>
        </w:trPr>
        <w:tc>
          <w:tcPr>
            <w:tcW w:w="924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Royalty and milestone payments to Sagard</w:t>
            </w:r>
          </w:p>
        </w:tc>
        <w:tc>
          <w:tcPr>
            <w:tcW w:w="220" w:type="dxa"/>
            <w:vAlign w:val="bottom"/>
          </w:tcPr>
          <w:p>
            <w:pPr>
              <w:spacing w:after="0"/>
              <w:rPr>
                <w:sz w:val="15"/>
                <w:szCs w:val="15"/>
                <w:color w:val="auto"/>
              </w:rPr>
            </w:pPr>
          </w:p>
        </w:tc>
        <w:tc>
          <w:tcPr>
            <w:tcW w:w="17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(152,849)</w:t>
            </w:r>
          </w:p>
        </w:tc>
      </w:tr>
      <w:tr>
        <w:trPr>
          <w:trHeight w:val="229"/>
        </w:trPr>
        <w:tc>
          <w:tcPr>
            <w:tcW w:w="9240" w:type="dxa"/>
            <w:vAlign w:val="bottom"/>
          </w:tcPr>
          <w:p>
            <w:pPr>
              <w:ind w:left="180"/>
              <w:spacing w:after="0" w:line="229" w:lineRule="exact"/>
              <w:rPr>
                <w:sz w:val="20"/>
                <w:szCs w:val="20"/>
                <w:color w:val="auto"/>
              </w:rPr>
            </w:pPr>
            <w:r>
              <w:rPr>
                <w:rFonts w:ascii="Times New Roman" w:cs="Times New Roman" w:eastAsia="Times New Roman" w:hAnsi="Times New Roman"/>
                <w:sz w:val="18"/>
                <w:szCs w:val="18"/>
                <w:color w:val="auto"/>
              </w:rPr>
              <w:t>Non-cash interest expense recognized</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81,624</w:t>
            </w:r>
          </w:p>
        </w:tc>
      </w:tr>
      <w:tr>
        <w:trPr>
          <w:trHeight w:val="223"/>
        </w:trPr>
        <w:tc>
          <w:tcPr>
            <w:tcW w:w="92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Liability related to sale of future royalties and milestones - ending balance</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252,563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200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13" w:lineRule="exact"/>
        <w:rPr>
          <w:sz w:val="20"/>
          <w:szCs w:val="20"/>
          <w:color w:val="auto"/>
        </w:rPr>
      </w:pPr>
    </w:p>
    <w:p>
      <w:pPr>
        <w:ind w:left="180" w:hanging="172"/>
        <w:spacing w:after="0"/>
        <w:tabs>
          <w:tab w:leader="none" w:pos="18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Of the non-cash interest expense recognized, $1.7 million was negative amortization for the year ended December 31, 2025.</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Zejula Royalty Monetization Agreement</w:t>
      </w:r>
    </w:p>
    <w:p>
      <w:pPr>
        <w:spacing w:after="0" w:line="148" w:lineRule="exact"/>
        <w:rPr>
          <w:sz w:val="20"/>
          <w:szCs w:val="20"/>
          <w:color w:val="auto"/>
        </w:rPr>
      </w:pPr>
    </w:p>
    <w:p>
      <w:pPr>
        <w:ind w:right="480" w:firstLine="659"/>
        <w:spacing w:after="0" w:line="313" w:lineRule="auto"/>
        <w:rPr>
          <w:sz w:val="20"/>
          <w:szCs w:val="20"/>
          <w:color w:val="auto"/>
        </w:rPr>
      </w:pPr>
      <w:r>
        <w:rPr>
          <w:rFonts w:ascii="Times New Roman" w:cs="Times New Roman" w:eastAsia="Times New Roman" w:hAnsi="Times New Roman"/>
          <w:sz w:val="18"/>
          <w:szCs w:val="18"/>
          <w:color w:val="auto"/>
        </w:rPr>
        <w:t>In October 2020, in connection with GSK Amendment No. 3, GSK agreed, under the terms of a settlement agreement (the “GSK Settlement Agreement”), to pay us a royalty of 0.5% on all GSK net sales of Zejula starting January 1, 2021.</w:t>
      </w:r>
    </w:p>
    <w:p>
      <w:pPr>
        <w:spacing w:after="0" w:line="68"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In September 2022, we signed a purchase and sale agreement (the “Zejula Royalty Monetization Agreement”) with a wholly owned subsidiary of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proceeds received from DRI of $35.0 million were recorded as a nonrecourse liability, net of transaction costs of $0.2 million, which will be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amortized over the estimated life of the arrangement using the effective interest rate method. Royalty revenue will be recognized as earned on net sales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Zejula, and these royalty payments to DRI will be recorded as a reduction of the liability when paid. The aggregate future estimated payments, less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$34.8 million, of net proceeds, will be recorded as non-cash interest expense over the life of the agreement. As such payments are made to DRI, the balance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liability will be effectively repaid over the life of the Zejula Royalty Monetization Agreement.</w:t>
      </w:r>
    </w:p>
    <w:p>
      <w:pPr>
        <w:spacing w:after="0" w:line="144" w:lineRule="exact"/>
        <w:rPr>
          <w:sz w:val="20"/>
          <w:szCs w:val="20"/>
          <w:color w:val="auto"/>
        </w:rPr>
      </w:pPr>
    </w:p>
    <w:p>
      <w:pPr>
        <w:ind w:right="40" w:firstLine="659"/>
        <w:spacing w:after="0" w:line="302" w:lineRule="auto"/>
        <w:rPr>
          <w:sz w:val="20"/>
          <w:szCs w:val="20"/>
          <w:color w:val="auto"/>
        </w:rPr>
      </w:pPr>
      <w:r>
        <w:rPr>
          <w:rFonts w:ascii="Times New Roman" w:cs="Times New Roman" w:eastAsia="Times New Roman" w:hAnsi="Times New Roman"/>
          <w:sz w:val="18"/>
          <w:szCs w:val="18"/>
          <w:color w:val="auto"/>
        </w:rPr>
        <w:t>We recognized Zejula non-cash royalty revenue of approximately $3.9 million, $3.9 million and $3.4 million during the years ended December 31, 2025, 2024 and 2023, respectively and recognized negative non-cash interest expense of approximately $1.9 million for the year ended December 31, 2025, and non-cash interest expense of $1.0 million during both of the years ended December 31, 2024 and 2023. The interest and amortization of issuance costs is reflected as non-cash interest expense for the sale of future royalties in the Consolidated Statements of Operations.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for the year ended December 31,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83"/>
        </w:trPr>
        <w:tc>
          <w:tcPr>
            <w:tcW w:w="92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Liability related to sale of future Zejula royalties and milestones - balance at 12/31/2024</w:t>
            </w: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29,768</w:t>
            </w:r>
          </w:p>
        </w:tc>
      </w:tr>
      <w:tr>
        <w:trPr>
          <w:trHeight w:val="189"/>
        </w:trPr>
        <w:tc>
          <w:tcPr>
            <w:tcW w:w="92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Amortization of issuance costs</w:t>
            </w:r>
          </w:p>
        </w:tc>
        <w:tc>
          <w:tcPr>
            <w:tcW w:w="220" w:type="dxa"/>
            <w:vAlign w:val="bottom"/>
          </w:tcPr>
          <w:p>
            <w:pPr>
              <w:spacing w:after="0"/>
              <w:rPr>
                <w:sz w:val="16"/>
                <w:szCs w:val="16"/>
                <w:color w:val="auto"/>
              </w:rPr>
            </w:pPr>
          </w:p>
        </w:tc>
        <w:tc>
          <w:tcPr>
            <w:tcW w:w="1780" w:type="dxa"/>
            <w:vAlign w:val="bottom"/>
          </w:tcPr>
          <w:p>
            <w:pPr>
              <w:jc w:val="right"/>
              <w:ind w:right="53"/>
              <w:spacing w:after="0" w:line="189" w:lineRule="exact"/>
              <w:rPr>
                <w:sz w:val="20"/>
                <w:szCs w:val="20"/>
                <w:color w:val="auto"/>
              </w:rPr>
            </w:pPr>
            <w:r>
              <w:rPr>
                <w:rFonts w:ascii="Times New Roman" w:cs="Times New Roman" w:eastAsia="Times New Roman" w:hAnsi="Times New Roman"/>
                <w:sz w:val="18"/>
                <w:szCs w:val="18"/>
                <w:color w:val="auto"/>
              </w:rPr>
              <w:t>28</w:t>
            </w:r>
          </w:p>
        </w:tc>
      </w:tr>
      <w:tr>
        <w:trPr>
          <w:trHeight w:val="189"/>
        </w:trPr>
        <w:tc>
          <w:tcPr>
            <w:tcW w:w="924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Royalty and milestone payments to DRI</w:t>
            </w:r>
          </w:p>
        </w:tc>
        <w:tc>
          <w:tcPr>
            <w:tcW w:w="220" w:type="dxa"/>
            <w:vAlign w:val="bottom"/>
            <w:shd w:val="clear" w:color="auto" w:fill="CFF0FC"/>
          </w:tcPr>
          <w:p>
            <w:pPr>
              <w:spacing w:after="0"/>
              <w:rPr>
                <w:sz w:val="16"/>
                <w:szCs w:val="16"/>
                <w:color w:val="auto"/>
              </w:rPr>
            </w:pPr>
          </w:p>
        </w:tc>
        <w:tc>
          <w:tcPr>
            <w:tcW w:w="17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(3,942)</w:t>
            </w:r>
          </w:p>
        </w:tc>
      </w:tr>
      <w:tr>
        <w:trPr>
          <w:trHeight w:val="189"/>
        </w:trPr>
        <w:tc>
          <w:tcPr>
            <w:tcW w:w="92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Non-cash interest expense recognized</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(1,889)</w:t>
            </w:r>
          </w:p>
        </w:tc>
      </w:tr>
      <w:tr>
        <w:trPr>
          <w:trHeight w:val="223"/>
        </w:trPr>
        <w:tc>
          <w:tcPr>
            <w:tcW w:w="92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Liability related to sale of future royalties and milestones - ending balance</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ind w:right="53"/>
              <w:spacing w:after="0" w:line="182" w:lineRule="exact"/>
              <w:rPr>
                <w:sz w:val="20"/>
                <w:szCs w:val="20"/>
                <w:color w:val="auto"/>
              </w:rPr>
            </w:pPr>
            <w:r>
              <w:rPr>
                <w:rFonts w:ascii="Times New Roman" w:cs="Times New Roman" w:eastAsia="Times New Roman" w:hAnsi="Times New Roman"/>
                <w:sz w:val="18"/>
                <w:szCs w:val="18"/>
                <w:color w:val="auto"/>
              </w:rPr>
              <w:t>23,965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 and Available for Sale Investments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48" w:lineRule="exact"/>
        <w:rPr>
          <w:sz w:val="20"/>
          <w:szCs w:val="20"/>
          <w:color w:val="auto"/>
        </w:rPr>
      </w:pPr>
    </w:p>
    <w:p>
      <w:pPr>
        <w:jc w:val="both"/>
        <w:ind w:right="80" w:firstLine="659"/>
        <w:spacing w:after="0" w:line="305" w:lineRule="auto"/>
        <w:rPr>
          <w:sz w:val="20"/>
          <w:szCs w:val="20"/>
          <w:color w:val="auto"/>
        </w:rPr>
      </w:pPr>
      <w:r>
        <w:rPr>
          <w:rFonts w:ascii="Times New Roman" w:cs="Times New Roman" w:eastAsia="Times New Roman" w:hAnsi="Times New Roman"/>
          <w:sz w:val="18"/>
          <w:szCs w:val="18"/>
          <w:color w:val="auto"/>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61" w:lineRule="exact"/>
        <w:rPr>
          <w:sz w:val="20"/>
          <w:szCs w:val="20"/>
          <w:color w:val="auto"/>
        </w:rPr>
      </w:pPr>
    </w:p>
    <w:p>
      <w:pPr>
        <w:ind w:right="80" w:firstLine="659"/>
        <w:spacing w:after="0" w:line="30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44" w:lineRule="exact"/>
        <w:rPr>
          <w:sz w:val="20"/>
          <w:szCs w:val="20"/>
          <w:color w:val="auto"/>
        </w:rPr>
      </w:pPr>
    </w:p>
    <w:p>
      <w:pPr>
        <w:ind w:right="20" w:firstLine="659"/>
        <w:spacing w:after="0" w:line="305"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activities, therefore requiring an entity to develop its own assumptions.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48" w:lineRule="exact"/>
        <w:rPr>
          <w:sz w:val="20"/>
          <w:szCs w:val="20"/>
          <w:color w:val="auto"/>
        </w:rPr>
      </w:pPr>
    </w:p>
    <w:p>
      <w:pPr>
        <w:ind w:right="20" w:firstLine="659"/>
        <w:spacing w:after="0" w:line="329" w:lineRule="auto"/>
        <w:rPr>
          <w:sz w:val="20"/>
          <w:szCs w:val="20"/>
          <w:color w:val="auto"/>
        </w:rPr>
      </w:pPr>
      <w:r>
        <w:rPr>
          <w:rFonts w:ascii="Times New Roman" w:cs="Times New Roman" w:eastAsia="Times New Roman" w:hAnsi="Times New Roman"/>
          <w:sz w:val="18"/>
          <w:szCs w:val="18"/>
          <w:color w:val="auto"/>
        </w:rPr>
        <w:t>The following table summarizes our assets and liabilities that require fair value measurements on a recurring basis and their respective input levels based on the fair value hierarchy: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 Measurements at End of Period Using:</w:t>
            </w: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Quoted Market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Prices for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260" w:type="dxa"/>
            <w:vAlign w:val="bottom"/>
            <w:tcBorders>
              <w:bottom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40" w:type="dxa"/>
            <w:vAlign w:val="bottom"/>
          </w:tcPr>
          <w:p>
            <w:pPr>
              <w:spacing w:after="0"/>
              <w:rPr>
                <w:sz w:val="15"/>
                <w:szCs w:val="15"/>
                <w:color w:val="auto"/>
              </w:rPr>
            </w:pPr>
          </w:p>
        </w:tc>
        <w:tc>
          <w:tcPr>
            <w:tcW w:w="1260" w:type="dxa"/>
            <w:vAlign w:val="bottom"/>
            <w:tcBorders>
              <w:bottom w:val="single" w:sz="8" w:color="auto"/>
            </w:tcBorders>
            <w:gridSpan w:val="2"/>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42"/>
        </w:trPr>
        <w:tc>
          <w:tcPr>
            <w:tcW w:w="4360" w:type="dxa"/>
            <w:vAlign w:val="bottom"/>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At December 31, 2025</w:t>
            </w: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Money market funds</w:t>
            </w:r>
            <w:r>
              <w:rPr>
                <w:rFonts w:ascii="Times New Roman" w:cs="Times New Roman" w:eastAsia="Times New Roman" w:hAnsi="Times New Roman"/>
                <w:sz w:val="21"/>
                <w:szCs w:val="21"/>
                <w:color w:val="auto"/>
                <w:vertAlign w:val="superscript"/>
              </w:rPr>
              <w:t>(1)</w:t>
            </w:r>
          </w:p>
        </w:tc>
        <w:tc>
          <w:tcPr>
            <w:tcW w:w="162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140,380</w:t>
            </w:r>
          </w:p>
        </w:tc>
        <w:tc>
          <w:tcPr>
            <w:tcW w:w="320" w:type="dxa"/>
            <w:vAlign w:val="bottom"/>
            <w:gridSpan w:val="2"/>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140,380</w:t>
            </w: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Mutual funds</w:t>
            </w:r>
            <w:r>
              <w:rPr>
                <w:rFonts w:ascii="Times New Roman" w:cs="Times New Roman" w:eastAsia="Times New Roman" w:hAnsi="Times New Roman"/>
                <w:sz w:val="21"/>
                <w:szCs w:val="21"/>
                <w:color w:val="auto"/>
                <w:vertAlign w:val="superscript"/>
              </w:rPr>
              <w:t>(1)</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91,359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91,359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U.S. Treasury securities</w:t>
            </w:r>
            <w:r>
              <w:rPr>
                <w:rFonts w:ascii="Times New Roman" w:cs="Times New Roman" w:eastAsia="Times New Roman" w:hAnsi="Times New Roman"/>
                <w:sz w:val="21"/>
                <w:szCs w:val="21"/>
                <w:color w:val="auto"/>
                <w:vertAlign w:val="superscript"/>
              </w:rPr>
              <w:t>(2)</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63,268</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63,268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3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Commercial and corporate obligations</w:t>
            </w:r>
            <w:r>
              <w:rPr>
                <w:rFonts w:ascii="Times New Roman" w:cs="Times New Roman" w:eastAsia="Times New Roman" w:hAnsi="Times New Roman"/>
                <w:sz w:val="22"/>
                <w:szCs w:val="22"/>
                <w:color w:val="auto"/>
                <w:vertAlign w:val="superscript"/>
              </w:rPr>
              <w:t>(2)</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3"/>
              <w:spacing w:after="0" w:line="194" w:lineRule="exact"/>
              <w:rPr>
                <w:sz w:val="20"/>
                <w:szCs w:val="20"/>
                <w:color w:val="auto"/>
              </w:rPr>
            </w:pPr>
            <w:r>
              <w:rPr>
                <w:rFonts w:ascii="Times New Roman" w:cs="Times New Roman" w:eastAsia="Times New Roman" w:hAnsi="Times New Roman"/>
                <w:sz w:val="18"/>
                <w:szCs w:val="18"/>
                <w:color w:val="auto"/>
              </w:rPr>
              <w:t>10,174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3"/>
              <w:spacing w:after="0" w:line="19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
              <w:spacing w:after="0" w:line="194" w:lineRule="exact"/>
              <w:rPr>
                <w:sz w:val="20"/>
                <w:szCs w:val="20"/>
                <w:color w:val="auto"/>
              </w:rPr>
            </w:pPr>
            <w:r>
              <w:rPr>
                <w:rFonts w:ascii="Times New Roman" w:cs="Times New Roman" w:eastAsia="Times New Roman" w:hAnsi="Times New Roman"/>
                <w:sz w:val="18"/>
                <w:szCs w:val="18"/>
                <w:color w:val="auto"/>
              </w:rPr>
              <w:t>10,174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8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436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At December 31, 2024</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Money market funds</w:t>
            </w:r>
            <w:r>
              <w:rPr>
                <w:rFonts w:ascii="Times New Roman" w:cs="Times New Roman" w:eastAsia="Times New Roman" w:hAnsi="Times New Roman"/>
                <w:sz w:val="21"/>
                <w:szCs w:val="21"/>
                <w:color w:val="auto"/>
                <w:vertAlign w:val="superscript"/>
              </w:rPr>
              <w:t>(1)</w:t>
            </w:r>
          </w:p>
        </w:tc>
        <w:tc>
          <w:tcPr>
            <w:tcW w:w="162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104,553</w:t>
            </w:r>
          </w:p>
        </w:tc>
        <w:tc>
          <w:tcPr>
            <w:tcW w:w="320" w:type="dxa"/>
            <w:vAlign w:val="bottom"/>
            <w:gridSpan w:val="2"/>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104,553</w:t>
            </w: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Mutual funds</w:t>
            </w:r>
            <w:r>
              <w:rPr>
                <w:rFonts w:ascii="Times New Roman" w:cs="Times New Roman" w:eastAsia="Times New Roman" w:hAnsi="Times New Roman"/>
                <w:sz w:val="21"/>
                <w:szCs w:val="21"/>
                <w:color w:val="auto"/>
                <w:vertAlign w:val="superscript"/>
              </w:rPr>
              <w:t>(1)</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9,376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9,376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U.S. Treasury securities</w:t>
            </w:r>
            <w:r>
              <w:rPr>
                <w:rFonts w:ascii="Times New Roman" w:cs="Times New Roman" w:eastAsia="Times New Roman" w:hAnsi="Times New Roman"/>
                <w:sz w:val="21"/>
                <w:szCs w:val="21"/>
                <w:color w:val="auto"/>
                <w:vertAlign w:val="superscript"/>
              </w:rPr>
              <w:t>(1)(2)</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284,495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284,495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Agency securities</w:t>
            </w:r>
            <w:r>
              <w:rPr>
                <w:rFonts w:ascii="Times New Roman" w:cs="Times New Roman" w:eastAsia="Times New Roman" w:hAnsi="Times New Roman"/>
                <w:sz w:val="21"/>
                <w:szCs w:val="21"/>
                <w:color w:val="auto"/>
                <w:vertAlign w:val="superscript"/>
              </w:rPr>
              <w:t>(2)</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7,579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7,579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Commercial and corporate obligations</w:t>
            </w:r>
            <w:r>
              <w:rPr>
                <w:rFonts w:ascii="Times New Roman" w:cs="Times New Roman" w:eastAsia="Times New Roman" w:hAnsi="Times New Roman"/>
                <w:sz w:val="24"/>
                <w:szCs w:val="24"/>
                <w:color w:val="auto"/>
                <w:vertAlign w:val="superscript"/>
              </w:rPr>
              <w:t>(2)</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10,652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10,652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1200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120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00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31" w:lineRule="exact"/>
        <w:rPr>
          <w:sz w:val="20"/>
          <w:szCs w:val="20"/>
          <w:color w:val="auto"/>
        </w:rPr>
      </w:pPr>
    </w:p>
    <w:p>
      <w:pPr>
        <w:ind w:left="580" w:hanging="572"/>
        <w:spacing w:after="0"/>
        <w:tabs>
          <w:tab w:leader="none" w:pos="58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Included in cash and cash equivalents in the accompanying consolidated balance sheets.</w:t>
      </w:r>
    </w:p>
    <w:p>
      <w:pPr>
        <w:spacing w:after="0" w:line="88" w:lineRule="exact"/>
        <w:rPr>
          <w:rFonts w:ascii="Times New Roman" w:cs="Times New Roman" w:eastAsia="Times New Roman" w:hAnsi="Times New Roman"/>
          <w:sz w:val="24"/>
          <w:szCs w:val="24"/>
          <w:color w:val="auto"/>
          <w:vertAlign w:val="superscript"/>
        </w:rPr>
      </w:pPr>
    </w:p>
    <w:p>
      <w:pPr>
        <w:ind w:left="580" w:hanging="572"/>
        <w:spacing w:after="0"/>
        <w:tabs>
          <w:tab w:leader="none" w:pos="58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Included in short-term or long-term investments in the accompanying consolidated balance sheets depending on the respective maturity date.</w:t>
      </w:r>
    </w:p>
    <w:p>
      <w:pPr>
        <w:spacing w:after="0" w:line="117" w:lineRule="exact"/>
        <w:rPr>
          <w:sz w:val="20"/>
          <w:szCs w:val="20"/>
          <w:color w:val="auto"/>
        </w:rPr>
      </w:pPr>
    </w:p>
    <w:p>
      <w:pPr>
        <w:ind w:right="300" w:firstLine="659"/>
        <w:spacing w:after="0" w:line="313"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our financial instruments for which it is practicable to estimate that value: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5" w:name="page96"/>
    <w:bookmarkEnd w:id="95"/>
    <w:p>
      <w:pPr>
        <w:ind w:right="100" w:firstLine="659"/>
        <w:spacing w:after="0" w:line="306"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w:t>
      </w:r>
      <w:r>
        <w:rPr>
          <w:rFonts w:ascii="Times New Roman" w:cs="Times New Roman" w:eastAsia="Times New Roman" w:hAnsi="Times New Roman"/>
          <w:sz w:val="18"/>
          <w:szCs w:val="18"/>
          <w:color w:val="auto"/>
        </w:rPr>
        <w:t>For fair values determined by Level 1 inputs, which utilize quoted prices in active markets for identical assets, the level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Other Financial Instruments</w:t>
      </w:r>
    </w:p>
    <w:p>
      <w:pPr>
        <w:spacing w:after="0" w:line="162" w:lineRule="exact"/>
        <w:rPr>
          <w:sz w:val="20"/>
          <w:szCs w:val="20"/>
          <w:color w:val="auto"/>
        </w:rPr>
      </w:pPr>
    </w:p>
    <w:p>
      <w:pPr>
        <w:ind w:right="380" w:firstLine="659"/>
        <w:spacing w:after="0" w:line="313" w:lineRule="auto"/>
        <w:rPr>
          <w:sz w:val="20"/>
          <w:szCs w:val="20"/>
          <w:color w:val="auto"/>
        </w:rPr>
      </w:pPr>
      <w:r>
        <w:rPr>
          <w:rFonts w:ascii="Times New Roman" w:cs="Times New Roman" w:eastAsia="Times New Roman" w:hAnsi="Times New Roman"/>
          <w:sz w:val="18"/>
          <w:szCs w:val="18"/>
          <w:color w:val="auto"/>
        </w:rPr>
        <w:t>The carrying amounts of certain of our financial instruments, including cash and cash equivalents, receivables, accounts payable, and accrued expenses approximate fair value due to their short-term nature.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Available for Sale Investments</w:t>
      </w:r>
    </w:p>
    <w:p>
      <w:pPr>
        <w:spacing w:after="0" w:line="162"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short-term and long-term investments as of December 31, 2025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0"/>
        </w:trPr>
        <w:tc>
          <w:tcPr>
            <w:tcW w:w="4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58"/>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458"/>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9"/>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Commercial and corporate obligations</w:t>
            </w:r>
            <w:r>
              <w:rPr>
                <w:rFonts w:ascii="Times New Roman" w:cs="Times New Roman" w:eastAsia="Times New Roman" w:hAnsi="Times New Roman"/>
                <w:sz w:val="17"/>
                <w:szCs w:val="17"/>
                <w:color w:val="auto"/>
                <w:vertAlign w:val="superscript"/>
              </w:rPr>
              <w:t>(1)</w:t>
            </w:r>
          </w:p>
        </w:tc>
        <w:tc>
          <w:tcPr>
            <w:tcW w:w="146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8"/>
              <w:spacing w:after="0" w:line="149" w:lineRule="exact"/>
              <w:rPr>
                <w:sz w:val="20"/>
                <w:szCs w:val="20"/>
                <w:color w:val="auto"/>
              </w:rPr>
            </w:pPr>
            <w:r>
              <w:rPr>
                <w:rFonts w:ascii="Times New Roman" w:cs="Times New Roman" w:eastAsia="Times New Roman" w:hAnsi="Times New Roman"/>
                <w:sz w:val="17"/>
                <w:szCs w:val="17"/>
                <w:color w:val="auto"/>
              </w:rPr>
              <w:t>10,152</w:t>
            </w:r>
          </w:p>
        </w:tc>
        <w:tc>
          <w:tcPr>
            <w:tcW w:w="14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40"/>
              <w:spacing w:after="0" w:line="149" w:lineRule="exact"/>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ind w:left="80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58"/>
              <w:spacing w:after="0" w:line="149" w:lineRule="exact"/>
              <w:rPr>
                <w:sz w:val="20"/>
                <w:szCs w:val="20"/>
                <w:color w:val="auto"/>
              </w:rPr>
            </w:pPr>
            <w:r>
              <w:rPr>
                <w:rFonts w:ascii="Times New Roman" w:cs="Times New Roman" w:eastAsia="Times New Roman" w:hAnsi="Times New Roman"/>
                <w:sz w:val="17"/>
                <w:szCs w:val="17"/>
                <w:color w:val="auto"/>
              </w:rPr>
              <w:t>10,174</w:t>
            </w:r>
          </w:p>
        </w:tc>
      </w:tr>
      <w:tr>
        <w:trPr>
          <w:trHeight w:val="229"/>
        </w:trPr>
        <w:tc>
          <w:tcPr>
            <w:tcW w:w="436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4"/>
                <w:szCs w:val="24"/>
                <w:color w:val="auto"/>
                <w:vertAlign w:val="superscript"/>
              </w:rPr>
              <w:t>(2)</w:t>
            </w:r>
          </w:p>
        </w:tc>
        <w:tc>
          <w:tcPr>
            <w:tcW w:w="1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63,107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63,268</w:t>
            </w:r>
          </w:p>
        </w:tc>
      </w:tr>
      <w:tr>
        <w:trPr>
          <w:trHeight w:val="203"/>
        </w:trPr>
        <w:tc>
          <w:tcPr>
            <w:tcW w:w="4360" w:type="dxa"/>
            <w:vAlign w:val="bottom"/>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8"/>
              <w:spacing w:after="0" w:line="182" w:lineRule="exact"/>
              <w:rPr>
                <w:sz w:val="20"/>
                <w:szCs w:val="20"/>
                <w:color w:val="auto"/>
              </w:rPr>
            </w:pPr>
            <w:r>
              <w:rPr>
                <w:rFonts w:ascii="Times New Roman" w:cs="Times New Roman" w:eastAsia="Times New Roman" w:hAnsi="Times New Roman"/>
                <w:sz w:val="18"/>
                <w:szCs w:val="18"/>
                <w:color w:val="auto"/>
              </w:rPr>
              <w:t>73,259</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ind w:left="8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8"/>
              <w:spacing w:after="0" w:line="182" w:lineRule="exact"/>
              <w:rPr>
                <w:sz w:val="20"/>
                <w:szCs w:val="20"/>
                <w:color w:val="auto"/>
              </w:rPr>
            </w:pPr>
            <w:r>
              <w:rPr>
                <w:rFonts w:ascii="Times New Roman" w:cs="Times New Roman" w:eastAsia="Times New Roman" w:hAnsi="Times New Roman"/>
                <w:sz w:val="18"/>
                <w:szCs w:val="18"/>
                <w:color w:val="auto"/>
              </w:rPr>
              <w:t>73,442</w:t>
            </w: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200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857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857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18" w:lineRule="exact"/>
        <w:rPr>
          <w:sz w:val="20"/>
          <w:szCs w:val="20"/>
          <w:color w:val="auto"/>
        </w:rPr>
      </w:pPr>
    </w:p>
    <w:p>
      <w:pPr>
        <w:ind w:left="580" w:right="100" w:hanging="572"/>
        <w:spacing w:after="0" w:line="249" w:lineRule="auto"/>
        <w:tabs>
          <w:tab w:leader="none" w:pos="58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outstanding commercial and corporate obligations, $10.2 million have maturity dates of less than one year and $0.0 million have a maturity date of between one to two years as of December 31, 2025.</w:t>
      </w:r>
    </w:p>
    <w:p>
      <w:pPr>
        <w:spacing w:after="0" w:line="106" w:lineRule="exact"/>
        <w:rPr>
          <w:rFonts w:ascii="Times New Roman" w:cs="Times New Roman" w:eastAsia="Times New Roman" w:hAnsi="Times New Roman"/>
          <w:sz w:val="24"/>
          <w:szCs w:val="24"/>
          <w:color w:val="auto"/>
          <w:vertAlign w:val="superscript"/>
        </w:rPr>
      </w:pPr>
    </w:p>
    <w:p>
      <w:pPr>
        <w:ind w:left="580" w:right="560" w:hanging="572"/>
        <w:spacing w:after="0" w:line="249" w:lineRule="auto"/>
        <w:tabs>
          <w:tab w:leader="none" w:pos="58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outstanding U.S. Treasury securities, $63.3 million have maturity dates of less than one year and $0.0 million have a maturity date of between one to two years as of December 31, 2025.</w:t>
      </w:r>
    </w:p>
    <w:p>
      <w:pPr>
        <w:spacing w:after="0" w:line="106" w:lineRule="exact"/>
        <w:rPr>
          <w:sz w:val="20"/>
          <w:szCs w:val="20"/>
          <w:color w:val="auto"/>
        </w:rPr>
      </w:pPr>
    </w:p>
    <w:p>
      <w:pPr>
        <w:ind w:right="100" w:firstLine="656"/>
        <w:spacing w:after="0" w:line="313" w:lineRule="auto"/>
        <w:rPr>
          <w:sz w:val="20"/>
          <w:szCs w:val="20"/>
          <w:color w:val="auto"/>
        </w:rPr>
      </w:pPr>
      <w:r>
        <w:rPr>
          <w:rFonts w:ascii="Times New Roman" w:cs="Times New Roman" w:eastAsia="Times New Roman" w:hAnsi="Times New Roman"/>
          <w:sz w:val="18"/>
          <w:szCs w:val="18"/>
          <w:color w:val="auto"/>
        </w:rPr>
        <w:t>The aggregate market value, cost basis, and gross unrealized gains and losses of available-for-sale investments by security type, classified in cash equivalents, short-term and long-term investments as of December 31, 2024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8"/>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57"/>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67"/>
        </w:trPr>
        <w:tc>
          <w:tcPr>
            <w:tcW w:w="58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7"/>
              <w:spacing w:after="0" w:line="160" w:lineRule="exact"/>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9"/>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19"/>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97"/>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9"/>
        </w:trPr>
        <w:tc>
          <w:tcPr>
            <w:tcW w:w="582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Agency securities</w:t>
            </w:r>
            <w:r>
              <w:rPr>
                <w:rFonts w:ascii="Times New Roman" w:cs="Times New Roman" w:eastAsia="Times New Roman" w:hAnsi="Times New Roman"/>
                <w:sz w:val="17"/>
                <w:szCs w:val="17"/>
                <w:color w:val="auto"/>
                <w:vertAlign w:val="superscript"/>
              </w:rPr>
              <w:t>(1)</w:t>
            </w:r>
          </w:p>
        </w:tc>
        <w:tc>
          <w:tcPr>
            <w:tcW w:w="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37"/>
              <w:spacing w:after="0" w:line="149" w:lineRule="exact"/>
              <w:rPr>
                <w:sz w:val="20"/>
                <w:szCs w:val="20"/>
                <w:color w:val="auto"/>
              </w:rPr>
            </w:pPr>
            <w:r>
              <w:rPr>
                <w:rFonts w:ascii="Times New Roman" w:cs="Times New Roman" w:eastAsia="Times New Roman" w:hAnsi="Times New Roman"/>
                <w:sz w:val="17"/>
                <w:szCs w:val="17"/>
                <w:color w:val="auto"/>
              </w:rPr>
              <w:t>7,587</w:t>
            </w:r>
          </w:p>
        </w:tc>
        <w:tc>
          <w:tcPr>
            <w:tcW w:w="14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9"/>
              <w:spacing w:after="0" w:line="149"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(8)</w:t>
            </w:r>
          </w:p>
        </w:tc>
        <w:tc>
          <w:tcPr>
            <w:tcW w:w="14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57"/>
              <w:spacing w:after="0" w:line="149" w:lineRule="exact"/>
              <w:rPr>
                <w:sz w:val="20"/>
                <w:szCs w:val="20"/>
                <w:color w:val="auto"/>
              </w:rPr>
            </w:pPr>
            <w:r>
              <w:rPr>
                <w:rFonts w:ascii="Times New Roman" w:cs="Times New Roman" w:eastAsia="Times New Roman" w:hAnsi="Times New Roman"/>
                <w:sz w:val="17"/>
                <w:szCs w:val="17"/>
                <w:color w:val="auto"/>
              </w:rPr>
              <w:t>7,579</w:t>
            </w:r>
          </w:p>
        </w:tc>
      </w:tr>
      <w:tr>
        <w:trPr>
          <w:trHeight w:val="189"/>
        </w:trPr>
        <w:tc>
          <w:tcPr>
            <w:tcW w:w="582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Commercial and corporate obligations</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10,642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57"/>
              <w:spacing w:after="0" w:line="189" w:lineRule="exact"/>
              <w:rPr>
                <w:sz w:val="20"/>
                <w:szCs w:val="20"/>
                <w:color w:val="auto"/>
              </w:rPr>
            </w:pPr>
            <w:r>
              <w:rPr>
                <w:rFonts w:ascii="Times New Roman" w:cs="Times New Roman" w:eastAsia="Times New Roman" w:hAnsi="Times New Roman"/>
                <w:sz w:val="18"/>
                <w:szCs w:val="18"/>
                <w:color w:val="auto"/>
              </w:rPr>
              <w:t>10,652</w:t>
            </w:r>
          </w:p>
        </w:tc>
      </w:tr>
      <w:tr>
        <w:trPr>
          <w:trHeight w:val="230"/>
        </w:trPr>
        <w:tc>
          <w:tcPr>
            <w:tcW w:w="582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4"/>
                <w:szCs w:val="24"/>
                <w:color w:val="auto"/>
                <w:vertAlign w:val="superscript"/>
              </w:rPr>
              <w:t>(3)</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283,985</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284,495</w:t>
            </w:r>
          </w:p>
        </w:tc>
      </w:tr>
      <w:tr>
        <w:trPr>
          <w:trHeight w:val="183"/>
        </w:trPr>
        <w:tc>
          <w:tcPr>
            <w:tcW w:w="582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302,214</w:t>
            </w:r>
          </w:p>
        </w:tc>
        <w:tc>
          <w:tcPr>
            <w:tcW w:w="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527</w:t>
            </w:r>
          </w:p>
        </w:tc>
        <w:tc>
          <w:tcPr>
            <w:tcW w:w="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(15)</w:t>
            </w:r>
          </w:p>
        </w:tc>
        <w:tc>
          <w:tcPr>
            <w:tcW w:w="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7"/>
              <w:spacing w:after="0" w:line="182" w:lineRule="exact"/>
              <w:rPr>
                <w:sz w:val="20"/>
                <w:szCs w:val="20"/>
                <w:color w:val="auto"/>
              </w:rPr>
            </w:pPr>
            <w:r>
              <w:rPr>
                <w:rFonts w:ascii="Times New Roman" w:cs="Times New Roman" w:eastAsia="Times New Roman" w:hAnsi="Times New Roman"/>
                <w:sz w:val="18"/>
                <w:szCs w:val="18"/>
                <w:color w:val="auto"/>
              </w:rPr>
              <w:t>302,726</w:t>
            </w: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200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2" w:lineRule="exact"/>
        <w:rPr>
          <w:sz w:val="20"/>
          <w:szCs w:val="20"/>
          <w:color w:val="auto"/>
        </w:rPr>
      </w:pPr>
    </w:p>
    <w:p>
      <w:pPr>
        <w:ind w:left="580" w:right="20" w:hanging="572"/>
        <w:spacing w:after="0" w:line="237" w:lineRule="auto"/>
        <w:tabs>
          <w:tab w:leader="none" w:pos="58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outstanding agency securities, $7.6 million have maturity dates of less than one year and $0.0 million have a maturity date of between one to two years as of December 31, 2024.</w:t>
      </w:r>
    </w:p>
    <w:p>
      <w:pPr>
        <w:spacing w:after="0" w:line="117" w:lineRule="exact"/>
        <w:rPr>
          <w:rFonts w:ascii="Times New Roman" w:cs="Times New Roman" w:eastAsia="Times New Roman" w:hAnsi="Times New Roman"/>
          <w:sz w:val="24"/>
          <w:szCs w:val="24"/>
          <w:color w:val="auto"/>
          <w:vertAlign w:val="superscript"/>
        </w:rPr>
      </w:pPr>
    </w:p>
    <w:p>
      <w:pPr>
        <w:ind w:left="580" w:right="100" w:hanging="572"/>
        <w:spacing w:after="0" w:line="249" w:lineRule="auto"/>
        <w:tabs>
          <w:tab w:leader="none" w:pos="58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outstanding commercial and corporate obligations, $10.7 million have maturity dates of less than one year and $0.0 million have a maturity date of between one to two years as of December 31, 2024.</w:t>
      </w:r>
    </w:p>
    <w:p>
      <w:pPr>
        <w:spacing w:after="0" w:line="106" w:lineRule="exact"/>
        <w:rPr>
          <w:rFonts w:ascii="Times New Roman" w:cs="Times New Roman" w:eastAsia="Times New Roman" w:hAnsi="Times New Roman"/>
          <w:sz w:val="24"/>
          <w:szCs w:val="24"/>
          <w:color w:val="auto"/>
          <w:vertAlign w:val="superscript"/>
        </w:rPr>
      </w:pPr>
    </w:p>
    <w:p>
      <w:pPr>
        <w:ind w:left="580" w:right="380" w:hanging="572"/>
        <w:spacing w:after="0" w:line="249" w:lineRule="auto"/>
        <w:tabs>
          <w:tab w:leader="none" w:pos="58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Of our outstanding U.S. Treasury securities, $249.0 million have maturity dates of less than one year and $35.5 million have a maturity date of between one to two years as of December 31, 2024.</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96" w:name="page97"/>
    <w:bookmarkEnd w:id="96"/>
    <w:p>
      <w:pPr>
        <w:jc w:val="both"/>
        <w:ind w:right="200" w:firstLine="659"/>
        <w:spacing w:after="0" w:line="305" w:lineRule="auto"/>
        <w:rPr>
          <w:sz w:val="20"/>
          <w:szCs w:val="20"/>
          <w:color w:val="auto"/>
        </w:rPr>
      </w:pPr>
      <w:r>
        <w:rPr>
          <w:rFonts w:ascii="Times New Roman" w:cs="Times New Roman" w:eastAsia="Times New Roman" w:hAnsi="Times New Roman"/>
          <w:sz w:val="18"/>
          <w:szCs w:val="18"/>
          <w:color w:val="auto"/>
        </w:rPr>
        <w:t>There were no investments in an unrealized loss position as of December 31, 2025. The following table presents gross unrealized losses and fair values for those investments that were in an unrealized loss position as of December 31, 2024, aggregated by investment category and the length of time that individual securities have been in a continuous loss position: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4"/>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Borders>
              <w:bottom w:val="single" w:sz="8" w:color="auto"/>
            </w:tcBorders>
          </w:tcPr>
          <w:p>
            <w:pPr>
              <w:spacing w:after="0"/>
              <w:rPr>
                <w:sz w:val="12"/>
                <w:szCs w:val="12"/>
                <w:color w:val="auto"/>
              </w:rPr>
            </w:pPr>
          </w:p>
        </w:tc>
      </w:tr>
      <w:tr>
        <w:trPr>
          <w:trHeight w:val="117"/>
        </w:trPr>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r>
      <w:tr>
        <w:trPr>
          <w:trHeight w:val="148"/>
        </w:trPr>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r>
      <w:tr>
        <w:trPr>
          <w:trHeight w:val="187"/>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183"/>
        </w:trPr>
        <w:tc>
          <w:tcPr>
            <w:tcW w:w="43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Agency securities</w:t>
            </w:r>
          </w:p>
        </w:tc>
        <w:tc>
          <w:tcPr>
            <w:tcW w:w="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7,579</w:t>
            </w:r>
          </w:p>
        </w:tc>
        <w:tc>
          <w:tcPr>
            <w:tcW w:w="22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24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6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6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7,579</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r>
      <w:tr>
        <w:trPr>
          <w:trHeight w:val="189"/>
        </w:trPr>
        <w:tc>
          <w:tcPr>
            <w:tcW w:w="43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25,250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6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6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25,250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203"/>
        </w:trPr>
        <w:tc>
          <w:tcPr>
            <w:tcW w:w="4300" w:type="dxa"/>
            <w:vAlign w:val="bottom"/>
            <w:shd w:val="clear" w:color="auto" w:fill="CFF0FC"/>
          </w:tcPr>
          <w:p>
            <w:pPr>
              <w:ind w:left="8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32,829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w:t>
            </w:r>
          </w:p>
        </w:tc>
        <w:tc>
          <w:tcPr>
            <w:tcW w:w="24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6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6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32,829</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420" w:firstLine="659"/>
        <w:spacing w:after="0" w:line="329" w:lineRule="auto"/>
        <w:rPr>
          <w:sz w:val="20"/>
          <w:szCs w:val="20"/>
          <w:color w:val="auto"/>
        </w:rPr>
      </w:pPr>
      <w:r>
        <w:rPr>
          <w:rFonts w:ascii="Times New Roman" w:cs="Times New Roman" w:eastAsia="Times New Roman" w:hAnsi="Times New Roman"/>
          <w:sz w:val="18"/>
          <w:szCs w:val="18"/>
          <w:color w:val="auto"/>
        </w:rPr>
        <w:t>As of December 31, 2025 and 2024, unrealized losses on available-for-sale investments were not material, and accordingly, no allowance for credit losses were recorded.</w:t>
      </w:r>
    </w:p>
    <w:p>
      <w:pPr>
        <w:spacing w:after="0" w:line="144" w:lineRule="exact"/>
        <w:rPr>
          <w:sz w:val="20"/>
          <w:szCs w:val="20"/>
          <w:color w:val="auto"/>
        </w:rPr>
      </w:pPr>
    </w:p>
    <w:p>
      <w:pPr>
        <w:ind w:left="300" w:right="9420" w:hanging="292"/>
        <w:spacing w:after="0" w:line="441" w:lineRule="auto"/>
        <w:tabs>
          <w:tab w:leader="none" w:pos="196"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Common Stock</w:t>
      </w:r>
    </w:p>
    <w:p>
      <w:pPr>
        <w:spacing w:after="0" w:line="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Of the 500,000,000 shares of common stock authorized, 28,018,845 shares were issued and outstanding as of December 31, 2025.</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62" w:lineRule="exact"/>
        <w:rPr>
          <w:sz w:val="20"/>
          <w:szCs w:val="20"/>
          <w:color w:val="auto"/>
        </w:rPr>
      </w:pPr>
    </w:p>
    <w:p>
      <w:pPr>
        <w:ind w:right="20" w:firstLine="659"/>
        <w:spacing w:after="0" w:line="297" w:lineRule="auto"/>
        <w:rPr>
          <w:sz w:val="20"/>
          <w:szCs w:val="20"/>
          <w:color w:val="auto"/>
        </w:rPr>
      </w:pPr>
      <w:r>
        <w:rPr>
          <w:rFonts w:ascii="Times New Roman" w:cs="Times New Roman" w:eastAsia="Times New Roman" w:hAnsi="Times New Roman"/>
          <w:sz w:val="18"/>
          <w:szCs w:val="18"/>
          <w:color w:val="auto"/>
        </w:rPr>
        <w:t>In March 2025, our Board of Directors authorized a stock repurchase program (the “2025 Repurchase Program”) to repurchase up to $75.0 million of our outstanding common stock. In November 2025, our Board of Directors authorized an amendment to the 2025 Repurchase Program, under which an additional $100.0 million of our outstanding common stock may be repurchased. The 2025 Repurchase Program will expire on March 31, 2026.</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repurchase activity through December 31,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62"/>
        </w:trPr>
        <w:tc>
          <w:tcPr>
            <w:tcW w:w="6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value of shares</w:t>
            </w:r>
          </w:p>
        </w:tc>
      </w:tr>
      <w:tr>
        <w:trPr>
          <w:trHeight w:val="149"/>
        </w:trPr>
        <w:tc>
          <w:tcPr>
            <w:tcW w:w="6400" w:type="dxa"/>
            <w:vAlign w:val="bottom"/>
          </w:tcPr>
          <w:p>
            <w:pPr>
              <w:spacing w:after="0"/>
              <w:rPr>
                <w:sz w:val="12"/>
                <w:szCs w:val="12"/>
                <w:color w:val="auto"/>
              </w:rPr>
            </w:pPr>
          </w:p>
        </w:tc>
        <w:tc>
          <w:tcPr>
            <w:tcW w:w="154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ind w:right="296"/>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r>
      <w:tr>
        <w:trPr>
          <w:trHeight w:val="173"/>
        </w:trPr>
        <w:tc>
          <w:tcPr>
            <w:tcW w:w="6400" w:type="dxa"/>
            <w:vAlign w:val="bottom"/>
          </w:tcPr>
          <w:p>
            <w:pPr>
              <w:spacing w:after="0"/>
              <w:rPr>
                <w:sz w:val="15"/>
                <w:szCs w:val="15"/>
                <w:color w:val="auto"/>
              </w:rPr>
            </w:pPr>
          </w:p>
        </w:tc>
        <w:tc>
          <w:tcPr>
            <w:tcW w:w="15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83"/>
        </w:trPr>
        <w:tc>
          <w:tcPr>
            <w:tcW w:w="64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First Quarter 2025</w:t>
            </w:r>
          </w:p>
        </w:tc>
        <w:tc>
          <w:tcPr>
            <w:tcW w:w="154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292,898</w:t>
            </w:r>
          </w:p>
        </w:tc>
        <w:tc>
          <w:tcPr>
            <w:tcW w:w="34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18.35</w:t>
            </w:r>
          </w:p>
        </w:tc>
        <w:tc>
          <w:tcPr>
            <w:tcW w:w="320" w:type="dxa"/>
            <w:vAlign w:val="bottom"/>
            <w:gridSpan w:val="2"/>
            <w:shd w:val="clear" w:color="auto" w:fill="CFF0FC"/>
          </w:tcPr>
          <w:p>
            <w:pPr>
              <w:jc w:val="right"/>
              <w:ind w:right="8"/>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5,375</w:t>
            </w:r>
          </w:p>
        </w:tc>
      </w:tr>
      <w:tr>
        <w:trPr>
          <w:trHeight w:val="189"/>
        </w:trPr>
        <w:tc>
          <w:tcPr>
            <w:tcW w:w="64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Second Quarter 2025</w:t>
            </w:r>
          </w:p>
        </w:tc>
        <w:tc>
          <w:tcPr>
            <w:tcW w:w="154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2,560,938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19.58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50,147</w:t>
            </w:r>
          </w:p>
        </w:tc>
      </w:tr>
      <w:tr>
        <w:trPr>
          <w:trHeight w:val="189"/>
        </w:trPr>
        <w:tc>
          <w:tcPr>
            <w:tcW w:w="64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Third Quarter 2025</w:t>
            </w:r>
          </w:p>
        </w:tc>
        <w:tc>
          <w:tcPr>
            <w:tcW w:w="154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490,228</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19.83</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9,720</w:t>
            </w:r>
          </w:p>
        </w:tc>
      </w:tr>
      <w:tr>
        <w:trPr>
          <w:trHeight w:val="189"/>
        </w:trPr>
        <w:tc>
          <w:tcPr>
            <w:tcW w:w="64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Fourth Quarter 2025</w:t>
            </w:r>
          </w:p>
        </w:tc>
        <w:tc>
          <w:tcPr>
            <w:tcW w:w="154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100,015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33.83</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3,384</w:t>
            </w:r>
          </w:p>
        </w:tc>
      </w:tr>
      <w:tr>
        <w:trPr>
          <w:trHeight w:val="203"/>
        </w:trPr>
        <w:tc>
          <w:tcPr>
            <w:tcW w:w="6400" w:type="dxa"/>
            <w:vAlign w:val="bottom"/>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54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3,444,079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8"/>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68,626</w:t>
            </w:r>
          </w:p>
        </w:tc>
      </w:tr>
      <w:tr>
        <w:trPr>
          <w:trHeight w:val="20"/>
        </w:trPr>
        <w:tc>
          <w:tcPr>
            <w:tcW w:w="64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1028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1028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72" w:lineRule="exact"/>
        <w:rPr>
          <w:sz w:val="20"/>
          <w:szCs w:val="20"/>
          <w:color w:val="auto"/>
        </w:rPr>
      </w:pPr>
    </w:p>
    <w:p>
      <w:pPr>
        <w:ind w:right="160" w:firstLine="659"/>
        <w:spacing w:after="0" w:line="305" w:lineRule="auto"/>
        <w:rPr>
          <w:sz w:val="20"/>
          <w:szCs w:val="20"/>
          <w:color w:val="auto"/>
        </w:rPr>
      </w:pPr>
      <w:r>
        <w:rPr>
          <w:rFonts w:ascii="Times New Roman" w:cs="Times New Roman" w:eastAsia="Times New Roman" w:hAnsi="Times New Roman"/>
          <w:sz w:val="18"/>
          <w:szCs w:val="18"/>
          <w:color w:val="auto"/>
        </w:rPr>
        <w:t>The repurchased common stock was subsequently retired after the repurchase and the par value of the shares was charged to common stock. The excess of the repurchase price over the par value was applied against additional paid in capital. As of December 31, 2025, $106.4 million remained available for future shares of common stock to be repurchased under the 2025 Repurchase Program.</w:t>
      </w:r>
    </w:p>
    <w:p>
      <w:pPr>
        <w:spacing w:after="0" w:line="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Sales Agreement</w:t>
      </w:r>
    </w:p>
    <w:p>
      <w:pPr>
        <w:spacing w:after="0" w:line="148" w:lineRule="exact"/>
        <w:rPr>
          <w:sz w:val="20"/>
          <w:szCs w:val="20"/>
          <w:color w:val="auto"/>
        </w:rPr>
      </w:pPr>
    </w:p>
    <w:p>
      <w:pPr>
        <w:ind w:right="120" w:firstLine="656"/>
        <w:spacing w:after="0" w:line="297" w:lineRule="auto"/>
        <w:rPr>
          <w:sz w:val="20"/>
          <w:szCs w:val="20"/>
          <w:color w:val="auto"/>
        </w:rPr>
      </w:pPr>
      <w:r>
        <w:rPr>
          <w:rFonts w:ascii="Times New Roman" w:cs="Times New Roman" w:eastAsia="Times New Roman" w:hAnsi="Times New Roman"/>
          <w:sz w:val="18"/>
          <w:szCs w:val="18"/>
          <w:color w:val="auto"/>
        </w:rPr>
        <w:t>In November 2024, we entered into an open market sales agreement (the “Open Market Sales Agreement”) with TD Securities (USA) LLC (“TD Cowen”), under which we may offer and sell shares of our common stock, up to an aggregate offering of $100.0 million through TD Cowen as our sales agent. Our prior sales agreement with TD Cowen terminated upon effectiveness of the registration statement on the Form S-3 we filed in connection with the Open Market Sales Agreement. As of December 31, 2025, we had sold no shares under the Open Market Sales Agreement.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48" w:lineRule="exact"/>
        <w:rPr>
          <w:sz w:val="20"/>
          <w:szCs w:val="20"/>
          <w:color w:val="auto"/>
        </w:rPr>
      </w:pPr>
    </w:p>
    <w:p>
      <w:pPr>
        <w:ind w:right="20" w:firstLine="659"/>
        <w:spacing w:after="0" w:line="302" w:lineRule="auto"/>
        <w:rPr>
          <w:sz w:val="20"/>
          <w:szCs w:val="20"/>
          <w:color w:val="auto"/>
        </w:rPr>
      </w:pPr>
      <w:r>
        <w:rPr>
          <w:rFonts w:ascii="Times New Roman" w:cs="Times New Roman" w:eastAsia="Times New Roman" w:hAnsi="Times New Roman"/>
          <w:sz w:val="18"/>
          <w:szCs w:val="18"/>
          <w:color w:val="auto"/>
        </w:rPr>
        <w:t>In August 2024, we entered into an underwriting agreement with TD Securities (USA) LLC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spacing w:after="0" w:line="169" w:lineRule="exact"/>
        <w:rPr>
          <w:sz w:val="20"/>
          <w:szCs w:val="20"/>
          <w:color w:val="auto"/>
        </w:rPr>
      </w:pPr>
    </w:p>
    <w:p>
      <w:pPr>
        <w:ind w:left="300" w:right="8920" w:hanging="292"/>
        <w:spacing w:after="0" w:line="441" w:lineRule="auto"/>
        <w:tabs>
          <w:tab w:leader="none" w:pos="196"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Incentive Plans </w:t>
      </w:r>
      <w:r>
        <w:rPr>
          <w:rFonts w:ascii="Times New Roman" w:cs="Times New Roman" w:eastAsia="Times New Roman" w:hAnsi="Times New Roman"/>
          <w:sz w:val="17"/>
          <w:szCs w:val="17"/>
          <w:b w:val="1"/>
          <w:bCs w:val="1"/>
          <w:i w:val="1"/>
          <w:iCs w:val="1"/>
          <w:color w:val="auto"/>
        </w:rPr>
        <w:t>2017 Equity Incentive Plan</w:t>
      </w:r>
    </w:p>
    <w:p>
      <w:pPr>
        <w:spacing w:after="0" w:line="1" w:lineRule="exact"/>
        <w:rPr>
          <w:sz w:val="20"/>
          <w:szCs w:val="20"/>
          <w:color w:val="auto"/>
        </w:rPr>
      </w:pPr>
    </w:p>
    <w:p>
      <w:pPr>
        <w:ind w:firstLine="659"/>
        <w:spacing w:after="0" w:line="291" w:lineRule="auto"/>
        <w:rPr>
          <w:sz w:val="20"/>
          <w:szCs w:val="20"/>
          <w:color w:val="auto"/>
        </w:rPr>
      </w:pPr>
      <w:r>
        <w:rPr>
          <w:rFonts w:ascii="Times New Roman" w:cs="Times New Roman" w:eastAsia="Times New Roman" w:hAnsi="Times New Roman"/>
          <w:sz w:val="18"/>
          <w:szCs w:val="18"/>
          <w:color w:val="auto"/>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were to be automatically increased each January 1, beginning on January 1, 2018, by 4% of the aggregate number of outstanding shares of our common stock as of the immediately preceding December 31 or such lesser number as determined by our Board of Directors. At our annual stockholder meeting on June 12, 2024, the 2017 Plan was amended, eliminating the automatic annual share increase and the number of shares available for issuance was increased by 2,700,000 shares. At our annual stockholder meeting on June 17, 2025, the 2017 Plan was amended and restated to further increase the number of shares available for issuance by 1,650,000 shares. All future share increases will require stockholder approval. As of December 31, 2025, 2,698,467 shares were available for future issuance.</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2" w:lineRule="exact"/>
        <w:rPr>
          <w:sz w:val="20"/>
          <w:szCs w:val="20"/>
          <w:color w:val="auto"/>
        </w:rPr>
      </w:pPr>
    </w:p>
    <w:p>
      <w:pPr>
        <w:ind w:right="140" w:firstLine="659"/>
        <w:spacing w:after="0" w:line="294" w:lineRule="auto"/>
        <w:rPr>
          <w:sz w:val="20"/>
          <w:szCs w:val="20"/>
          <w:color w:val="auto"/>
        </w:rPr>
      </w:pPr>
      <w:r>
        <w:rPr>
          <w:rFonts w:ascii="Times New Roman" w:cs="Times New Roman" w:eastAsia="Times New Roman" w:hAnsi="Times New Roman"/>
          <w:sz w:val="18"/>
          <w:szCs w:val="18"/>
          <w:color w:val="auto"/>
        </w:rPr>
        <w:t>In January 2017, our Board of Directors and stockholders approved and adopted the 2017 Employee Stock Purchase Plan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Board of Directors determined that due to sufficient shares being available in the ESPP, the number of shares available as of January 1, 2025 would not increase. As of December 31, 2025, 267,193 shares have been issued under the ESPP and 1,831,614 shares were available for future issuance under the ESPP. Total cash received from the ESPP was approximately $1.4 million during the year ended December 31, 2025.</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48" w:lineRule="exact"/>
        <w:rPr>
          <w:sz w:val="20"/>
          <w:szCs w:val="20"/>
          <w:color w:val="auto"/>
        </w:rPr>
      </w:pPr>
    </w:p>
    <w:p>
      <w:pPr>
        <w:ind w:right="40" w:firstLine="659"/>
        <w:spacing w:after="0" w:line="305" w:lineRule="auto"/>
        <w:rPr>
          <w:sz w:val="20"/>
          <w:szCs w:val="20"/>
          <w:color w:val="auto"/>
        </w:rPr>
      </w:pPr>
      <w:r>
        <w:rPr>
          <w:rFonts w:ascii="Times New Roman" w:cs="Times New Roman" w:eastAsia="Times New Roman" w:hAnsi="Times New Roman"/>
          <w:sz w:val="18"/>
          <w:szCs w:val="18"/>
          <w:color w:val="auto"/>
        </w:rPr>
        <w:t>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year ended December 31, 2025 is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44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340" w:type="dxa"/>
            <w:vAlign w:val="bottom"/>
            <w:gridSpan w:val="2"/>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13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4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2"/>
                <w:szCs w:val="12"/>
                <w:color w:val="auto"/>
              </w:rPr>
            </w:pPr>
          </w:p>
        </w:tc>
        <w:tc>
          <w:tcPr>
            <w:tcW w:w="13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83"/>
        </w:trPr>
        <w:tc>
          <w:tcPr>
            <w:tcW w:w="53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1, 2025</w:t>
            </w:r>
          </w:p>
        </w:tc>
        <w:tc>
          <w:tcPr>
            <w:tcW w:w="1440" w:type="dxa"/>
            <w:vAlign w:val="bottom"/>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6,086,289</w:t>
            </w:r>
          </w:p>
        </w:tc>
        <w:tc>
          <w:tcPr>
            <w:tcW w:w="28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25.20</w:t>
            </w:r>
          </w:p>
        </w:tc>
        <w:tc>
          <w:tcPr>
            <w:tcW w:w="1500" w:type="dxa"/>
            <w:vAlign w:val="bottom"/>
            <w:gridSpan w:val="2"/>
            <w:shd w:val="clear" w:color="auto" w:fill="CFF0FC"/>
          </w:tcPr>
          <w:p>
            <w:pPr>
              <w:jc w:val="right"/>
              <w:ind w:right="48"/>
              <w:spacing w:after="0" w:line="182" w:lineRule="exact"/>
              <w:rPr>
                <w:sz w:val="20"/>
                <w:szCs w:val="20"/>
                <w:color w:val="auto"/>
              </w:rPr>
            </w:pPr>
            <w:r>
              <w:rPr>
                <w:rFonts w:ascii="Times New Roman" w:cs="Times New Roman" w:eastAsia="Times New Roman" w:hAnsi="Times New Roman"/>
                <w:sz w:val="18"/>
                <w:szCs w:val="18"/>
                <w:color w:val="auto"/>
              </w:rPr>
              <w:t>7.63</w:t>
            </w:r>
          </w:p>
        </w:tc>
        <w:tc>
          <w:tcPr>
            <w:tcW w:w="32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189"/>
        </w:trPr>
        <w:tc>
          <w:tcPr>
            <w:tcW w:w="5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1,758,243</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Exercises</w:t>
            </w:r>
          </w:p>
        </w:tc>
        <w:tc>
          <w:tcPr>
            <w:tcW w:w="14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(645,562)</w:t>
            </w:r>
          </w:p>
        </w:tc>
        <w:tc>
          <w:tcPr>
            <w:tcW w:w="2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19.95</w:t>
            </w:r>
          </w:p>
        </w:tc>
        <w:tc>
          <w:tcPr>
            <w:tcW w:w="1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Forfeitures and cancellations</w:t>
            </w:r>
          </w:p>
        </w:tc>
        <w:tc>
          <w:tcPr>
            <w:tcW w:w="1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(301,202)</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18.47</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ind w:left="100"/>
              <w:spacing w:after="0" w:line="169" w:lineRule="exact"/>
              <w:rPr>
                <w:sz w:val="20"/>
                <w:szCs w:val="20"/>
                <w:color w:val="auto"/>
              </w:rPr>
            </w:pPr>
            <w:r>
              <w:rPr>
                <w:rFonts w:ascii="Times New Roman" w:cs="Times New Roman" w:eastAsia="Times New Roman" w:hAnsi="Times New Roman"/>
                <w:sz w:val="18"/>
                <w:szCs w:val="18"/>
                <w:color w:val="auto"/>
              </w:rPr>
              <w:t>Outstanding at December 31, 2025</w:t>
            </w:r>
          </w:p>
        </w:tc>
        <w:tc>
          <w:tcPr>
            <w:tcW w:w="1440" w:type="dxa"/>
            <w:vAlign w:val="bottom"/>
            <w:tcBorders>
              <w:bottom w:val="single" w:sz="8" w:color="auto"/>
            </w:tcBorders>
            <w:shd w:val="clear" w:color="auto" w:fill="CFF0FC"/>
          </w:tcPr>
          <w:p>
            <w:pPr>
              <w:jc w:val="right"/>
              <w:ind w:right="56"/>
              <w:spacing w:after="0" w:line="169" w:lineRule="exact"/>
              <w:rPr>
                <w:sz w:val="20"/>
                <w:szCs w:val="20"/>
                <w:color w:val="auto"/>
              </w:rPr>
            </w:pPr>
            <w:r>
              <w:rPr>
                <w:rFonts w:ascii="Times New Roman" w:cs="Times New Roman" w:eastAsia="Times New Roman" w:hAnsi="Times New Roman"/>
                <w:sz w:val="18"/>
                <w:szCs w:val="18"/>
                <w:color w:val="auto"/>
              </w:rPr>
              <w:t>6,897,768</w:t>
            </w:r>
          </w:p>
        </w:tc>
        <w:tc>
          <w:tcPr>
            <w:tcW w:w="280" w:type="dxa"/>
            <w:vAlign w:val="bottom"/>
            <w:tcBorders>
              <w:bottom w:val="single" w:sz="8" w:color="CFF0FC"/>
            </w:tcBorders>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35"/>
              <w:spacing w:after="0" w:line="169" w:lineRule="exact"/>
              <w:rPr>
                <w:sz w:val="20"/>
                <w:szCs w:val="20"/>
                <w:color w:val="auto"/>
              </w:rPr>
            </w:pPr>
            <w:r>
              <w:rPr>
                <w:rFonts w:ascii="Times New Roman" w:cs="Times New Roman" w:eastAsia="Times New Roman" w:hAnsi="Times New Roman"/>
                <w:sz w:val="18"/>
                <w:szCs w:val="18"/>
                <w:color w:val="auto"/>
              </w:rPr>
              <w:t>23.35</w:t>
            </w:r>
          </w:p>
        </w:tc>
        <w:tc>
          <w:tcPr>
            <w:tcW w:w="1500" w:type="dxa"/>
            <w:vAlign w:val="bottom"/>
            <w:tcBorders>
              <w:bottom w:val="single" w:sz="8" w:color="CFF0FC"/>
            </w:tcBorders>
            <w:gridSpan w:val="2"/>
            <w:shd w:val="clear" w:color="auto" w:fill="CFF0FC"/>
          </w:tcPr>
          <w:p>
            <w:pPr>
              <w:jc w:val="right"/>
              <w:ind w:right="48"/>
              <w:spacing w:after="0" w:line="169" w:lineRule="exact"/>
              <w:rPr>
                <w:sz w:val="20"/>
                <w:szCs w:val="20"/>
                <w:color w:val="auto"/>
              </w:rPr>
            </w:pPr>
            <w:r>
              <w:rPr>
                <w:rFonts w:ascii="Times New Roman" w:cs="Times New Roman" w:eastAsia="Times New Roman" w:hAnsi="Times New Roman"/>
                <w:sz w:val="18"/>
                <w:szCs w:val="18"/>
                <w:color w:val="auto"/>
              </w:rPr>
              <w:t>6.93</w:t>
            </w:r>
          </w:p>
        </w:tc>
        <w:tc>
          <w:tcPr>
            <w:tcW w:w="320" w:type="dxa"/>
            <w:vAlign w:val="bottom"/>
            <w:tcBorders>
              <w:bottom w:val="single" w:sz="8" w:color="CFF0FC"/>
            </w:tcBorders>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8"/>
                <w:szCs w:val="18"/>
                <w:color w:val="auto"/>
              </w:rPr>
              <w:t>180,434</w:t>
            </w:r>
          </w:p>
        </w:tc>
        <w:tc>
          <w:tcPr>
            <w:tcW w:w="0" w:type="dxa"/>
            <w:vAlign w:val="bottom"/>
          </w:tcPr>
          <w:p>
            <w:pPr>
              <w:spacing w:after="0"/>
              <w:rPr>
                <w:sz w:val="1"/>
                <w:szCs w:val="1"/>
                <w:color w:val="auto"/>
              </w:rPr>
            </w:pPr>
          </w:p>
        </w:tc>
      </w:tr>
      <w:tr>
        <w:trPr>
          <w:trHeight w:val="215"/>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3,797,111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27.33</w:t>
            </w:r>
          </w:p>
        </w:tc>
        <w:tc>
          <w:tcPr>
            <w:tcW w:w="1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6.09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87,426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-173990</wp:posOffset>
            </wp:positionV>
            <wp:extent cx="9461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-156845</wp:posOffset>
            </wp:positionV>
            <wp:extent cx="946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3" w:lineRule="exact"/>
        <w:rPr>
          <w:sz w:val="20"/>
          <w:szCs w:val="20"/>
          <w:color w:val="auto"/>
        </w:rPr>
      </w:pPr>
    </w:p>
    <w:p>
      <w:pPr>
        <w:ind w:left="5540" w:right="1140" w:hanging="4868"/>
        <w:spacing w:after="0" w:line="579" w:lineRule="auto"/>
        <w:rPr>
          <w:sz w:val="20"/>
          <w:szCs w:val="20"/>
          <w:color w:val="auto"/>
        </w:rPr>
      </w:pPr>
      <w:r>
        <w:rPr>
          <w:rFonts w:ascii="Times New Roman" w:cs="Times New Roman" w:eastAsia="Times New Roman" w:hAnsi="Times New Roman"/>
          <w:sz w:val="18"/>
          <w:szCs w:val="18"/>
          <w:color w:val="auto"/>
        </w:rPr>
        <w:t>Total cash received from the exercise of stock options was approximately $12.9 million during the year ended December 31, 2025.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Time-Based Restricted Stock Units</w:t>
      </w:r>
    </w:p>
    <w:p>
      <w:pPr>
        <w:spacing w:after="0" w:line="148" w:lineRule="exact"/>
        <w:rPr>
          <w:sz w:val="20"/>
          <w:szCs w:val="20"/>
          <w:color w:val="auto"/>
        </w:rPr>
      </w:pPr>
    </w:p>
    <w:p>
      <w:pPr>
        <w:ind w:right="80" w:firstLine="659"/>
        <w:spacing w:after="0" w:line="302" w:lineRule="auto"/>
        <w:rPr>
          <w:sz w:val="20"/>
          <w:szCs w:val="20"/>
          <w:color w:val="auto"/>
        </w:rPr>
      </w:pPr>
      <w:r>
        <w:rPr>
          <w:rFonts w:ascii="Times New Roman" w:cs="Times New Roman" w:eastAsia="Times New Roman" w:hAnsi="Times New Roman"/>
          <w:sz w:val="18"/>
          <w:szCs w:val="18"/>
          <w:color w:val="auto"/>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4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340" w:type="dxa"/>
            <w:vAlign w:val="bottom"/>
            <w:gridSpan w:val="2"/>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3"/>
                <w:szCs w:val="13"/>
                <w:color w:val="auto"/>
              </w:rPr>
            </w:pPr>
          </w:p>
        </w:tc>
        <w:tc>
          <w:tcPr>
            <w:tcW w:w="13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1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4"/>
                <w:szCs w:val="14"/>
                <w:color w:val="auto"/>
              </w:rPr>
            </w:pPr>
          </w:p>
        </w:tc>
        <w:tc>
          <w:tcPr>
            <w:tcW w:w="13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83"/>
        </w:trPr>
        <w:tc>
          <w:tcPr>
            <w:tcW w:w="53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1, 2025</w:t>
            </w:r>
          </w:p>
        </w:tc>
        <w:tc>
          <w:tcPr>
            <w:tcW w:w="1440" w:type="dxa"/>
            <w:vAlign w:val="bottom"/>
            <w:shd w:val="clear" w:color="auto" w:fill="CFF0FC"/>
          </w:tcPr>
          <w:p>
            <w:pPr>
              <w:jc w:val="right"/>
              <w:ind w:right="56"/>
              <w:spacing w:after="0" w:line="182" w:lineRule="exact"/>
              <w:rPr>
                <w:sz w:val="20"/>
                <w:szCs w:val="20"/>
                <w:color w:val="auto"/>
              </w:rPr>
            </w:pPr>
            <w:r>
              <w:rPr>
                <w:rFonts w:ascii="Times New Roman" w:cs="Times New Roman" w:eastAsia="Times New Roman" w:hAnsi="Times New Roman"/>
                <w:sz w:val="18"/>
                <w:szCs w:val="18"/>
                <w:color w:val="auto"/>
              </w:rPr>
              <w:t>1,227,677</w:t>
            </w:r>
          </w:p>
        </w:tc>
        <w:tc>
          <w:tcPr>
            <w:tcW w:w="320" w:type="dxa"/>
            <w:vAlign w:val="bottom"/>
            <w:gridSpan w:val="2"/>
            <w:shd w:val="clear" w:color="auto" w:fill="CFF0FC"/>
          </w:tcPr>
          <w:p>
            <w:pPr>
              <w:jc w:val="right"/>
              <w:ind w:right="8"/>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21.79</w:t>
            </w:r>
          </w:p>
        </w:tc>
        <w:tc>
          <w:tcPr>
            <w:tcW w:w="1500" w:type="dxa"/>
            <w:vAlign w:val="bottom"/>
            <w:gridSpan w:val="2"/>
            <w:shd w:val="clear" w:color="auto" w:fill="CFF0FC"/>
          </w:tcPr>
          <w:p>
            <w:pPr>
              <w:jc w:val="right"/>
              <w:ind w:right="48"/>
              <w:spacing w:after="0" w:line="182" w:lineRule="exact"/>
              <w:rPr>
                <w:sz w:val="20"/>
                <w:szCs w:val="20"/>
                <w:color w:val="auto"/>
              </w:rPr>
            </w:pPr>
            <w:r>
              <w:rPr>
                <w:rFonts w:ascii="Times New Roman" w:cs="Times New Roman" w:eastAsia="Times New Roman" w:hAnsi="Times New Roman"/>
                <w:sz w:val="18"/>
                <w:szCs w:val="18"/>
                <w:color w:val="auto"/>
              </w:rPr>
              <w:t>1.46</w:t>
            </w:r>
          </w:p>
        </w:tc>
        <w:tc>
          <w:tcPr>
            <w:tcW w:w="32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16,254</w:t>
            </w:r>
          </w:p>
        </w:tc>
        <w:tc>
          <w:tcPr>
            <w:tcW w:w="0" w:type="dxa"/>
            <w:vAlign w:val="bottom"/>
          </w:tcPr>
          <w:p>
            <w:pPr>
              <w:spacing w:after="0"/>
              <w:rPr>
                <w:sz w:val="1"/>
                <w:szCs w:val="1"/>
                <w:color w:val="auto"/>
              </w:rPr>
            </w:pPr>
          </w:p>
        </w:tc>
      </w:tr>
      <w:tr>
        <w:trPr>
          <w:trHeight w:val="189"/>
        </w:trPr>
        <w:tc>
          <w:tcPr>
            <w:tcW w:w="5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614,828</w:t>
            </w:r>
          </w:p>
        </w:tc>
        <w:tc>
          <w:tcPr>
            <w:tcW w:w="320" w:type="dxa"/>
            <w:vAlign w:val="bottom"/>
            <w:gridSpan w:val="2"/>
          </w:tcPr>
          <w:p>
            <w:pPr>
              <w:jc w:val="right"/>
              <w:ind w:right="8"/>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Released</w:t>
            </w:r>
          </w:p>
        </w:tc>
        <w:tc>
          <w:tcPr>
            <w:tcW w:w="14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(355,627)</w:t>
            </w:r>
          </w:p>
        </w:tc>
        <w:tc>
          <w:tcPr>
            <w:tcW w:w="320" w:type="dxa"/>
            <w:vAlign w:val="bottom"/>
            <w:gridSpan w:val="2"/>
            <w:shd w:val="clear" w:color="auto" w:fill="CFF0FC"/>
          </w:tcPr>
          <w:p>
            <w:pPr>
              <w:jc w:val="right"/>
              <w:ind w:right="8"/>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21.87</w:t>
            </w:r>
          </w:p>
        </w:tc>
        <w:tc>
          <w:tcPr>
            <w:tcW w:w="1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Forfeitures and cancellations</w:t>
            </w:r>
          </w:p>
        </w:tc>
        <w:tc>
          <w:tcPr>
            <w:tcW w:w="1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(113,673)</w:t>
            </w:r>
          </w:p>
        </w:tc>
        <w:tc>
          <w:tcPr>
            <w:tcW w:w="320" w:type="dxa"/>
            <w:vAlign w:val="bottom"/>
            <w:gridSpan w:val="2"/>
          </w:tcPr>
          <w:p>
            <w:pPr>
              <w:jc w:val="right"/>
              <w:ind w:right="8"/>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Outstanding at December 31, 2025</w:t>
            </w:r>
          </w:p>
        </w:tc>
        <w:tc>
          <w:tcPr>
            <w:tcW w:w="1440" w:type="dxa"/>
            <w:vAlign w:val="bottom"/>
            <w:tcBorders>
              <w:bottom w:val="single" w:sz="8" w:color="auto"/>
            </w:tcBorders>
            <w:shd w:val="clear" w:color="auto" w:fill="CFF0FC"/>
          </w:tcPr>
          <w:p>
            <w:pPr>
              <w:jc w:val="right"/>
              <w:ind w:right="56"/>
              <w:spacing w:after="0" w:line="169" w:lineRule="exact"/>
              <w:rPr>
                <w:sz w:val="20"/>
                <w:szCs w:val="20"/>
                <w:color w:val="auto"/>
              </w:rPr>
            </w:pPr>
            <w:r>
              <w:rPr>
                <w:rFonts w:ascii="Times New Roman" w:cs="Times New Roman" w:eastAsia="Times New Roman" w:hAnsi="Times New Roman"/>
                <w:sz w:val="18"/>
                <w:szCs w:val="18"/>
                <w:color w:val="auto"/>
              </w:rPr>
              <w:t>1,373,205</w:t>
            </w:r>
          </w:p>
        </w:tc>
        <w:tc>
          <w:tcPr>
            <w:tcW w:w="320" w:type="dxa"/>
            <w:vAlign w:val="bottom"/>
            <w:tcBorders>
              <w:bottom w:val="single" w:sz="8" w:color="CFF0FC"/>
            </w:tcBorders>
            <w:gridSpan w:val="2"/>
            <w:shd w:val="clear" w:color="auto" w:fill="CFF0FC"/>
          </w:tcPr>
          <w:p>
            <w:pPr>
              <w:jc w:val="right"/>
              <w:ind w:right="8"/>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35"/>
              <w:spacing w:after="0" w:line="169" w:lineRule="exact"/>
              <w:rPr>
                <w:sz w:val="20"/>
                <w:szCs w:val="20"/>
                <w:color w:val="auto"/>
              </w:rPr>
            </w:pPr>
            <w:r>
              <w:rPr>
                <w:rFonts w:ascii="Times New Roman" w:cs="Times New Roman" w:eastAsia="Times New Roman" w:hAnsi="Times New Roman"/>
                <w:sz w:val="18"/>
                <w:szCs w:val="18"/>
                <w:color w:val="auto"/>
              </w:rPr>
              <w:t>18.95</w:t>
            </w:r>
          </w:p>
        </w:tc>
        <w:tc>
          <w:tcPr>
            <w:tcW w:w="1500" w:type="dxa"/>
            <w:vAlign w:val="bottom"/>
            <w:tcBorders>
              <w:bottom w:val="single" w:sz="8" w:color="CFF0FC"/>
            </w:tcBorders>
            <w:gridSpan w:val="2"/>
            <w:shd w:val="clear" w:color="auto" w:fill="CFF0FC"/>
          </w:tcPr>
          <w:p>
            <w:pPr>
              <w:jc w:val="right"/>
              <w:ind w:right="48"/>
              <w:spacing w:after="0" w:line="169" w:lineRule="exact"/>
              <w:rPr>
                <w:sz w:val="20"/>
                <w:szCs w:val="20"/>
                <w:color w:val="auto"/>
              </w:rPr>
            </w:pPr>
            <w:r>
              <w:rPr>
                <w:rFonts w:ascii="Times New Roman" w:cs="Times New Roman" w:eastAsia="Times New Roman" w:hAnsi="Times New Roman"/>
                <w:sz w:val="18"/>
                <w:szCs w:val="18"/>
                <w:color w:val="auto"/>
              </w:rPr>
              <w:t>1.17</w:t>
            </w:r>
          </w:p>
        </w:tc>
        <w:tc>
          <w:tcPr>
            <w:tcW w:w="320" w:type="dxa"/>
            <w:vAlign w:val="bottom"/>
            <w:tcBorders>
              <w:bottom w:val="single" w:sz="8" w:color="CFF0FC"/>
            </w:tcBorders>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8"/>
                <w:szCs w:val="18"/>
                <w:color w:val="auto"/>
              </w:rPr>
              <w:t>66,573</w:t>
            </w:r>
          </w:p>
        </w:tc>
        <w:tc>
          <w:tcPr>
            <w:tcW w:w="0" w:type="dxa"/>
            <w:vAlign w:val="bottom"/>
          </w:tcPr>
          <w:p>
            <w:pPr>
              <w:spacing w:after="0"/>
              <w:rPr>
                <w:sz w:val="1"/>
                <w:szCs w:val="1"/>
                <w:color w:val="auto"/>
              </w:rPr>
            </w:pPr>
          </w:p>
        </w:tc>
      </w:tr>
      <w:tr>
        <w:trPr>
          <w:trHeight w:val="215"/>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RSU expected to vest at December 31, 2025</w:t>
            </w:r>
          </w:p>
        </w:tc>
        <w:tc>
          <w:tcPr>
            <w:tcW w:w="14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1,373,205</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18.95</w:t>
            </w:r>
          </w:p>
        </w:tc>
        <w:tc>
          <w:tcPr>
            <w:tcW w:w="1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66,573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-173990</wp:posOffset>
            </wp:positionV>
            <wp:extent cx="946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-156845</wp:posOffset>
            </wp:positionV>
            <wp:extent cx="946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62" w:lineRule="exact"/>
        <w:rPr>
          <w:sz w:val="20"/>
          <w:szCs w:val="20"/>
          <w:color w:val="auto"/>
        </w:rPr>
      </w:pPr>
    </w:p>
    <w:p>
      <w:pPr>
        <w:ind w:right="320" w:firstLine="659"/>
        <w:spacing w:after="0" w:line="297" w:lineRule="auto"/>
        <w:rPr>
          <w:sz w:val="20"/>
          <w:szCs w:val="20"/>
          <w:color w:val="auto"/>
        </w:rPr>
      </w:pPr>
      <w:r>
        <w:rPr>
          <w:rFonts w:ascii="Times New Roman" w:cs="Times New Roman" w:eastAsia="Times New Roman" w:hAnsi="Times New Roman"/>
          <w:sz w:val="18"/>
          <w:szCs w:val="18"/>
          <w:color w:val="auto"/>
        </w:rPr>
        <w:t>A Performance Stock Unit (“PSU”) represents one equivalent share of our common stock to be issued after achievement of the performance metrics specified in the grant. The fair value of our PSUs is estimated as of the grant date of July 22, 2024, based upon the expected achievement of the performance metrics specified in the grant and the closing market price of our common stock on the date of grant. The grant date fair value is estimated using a Monte Carlo simulation using the following assumptions: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40" w:type="dxa"/>
            <w:vAlign w:val="bottom"/>
          </w:tcPr>
          <w:p>
            <w:pPr>
              <w:spacing w:after="0"/>
              <w:rPr>
                <w:sz w:val="14"/>
                <w:szCs w:val="14"/>
                <w:color w:val="auto"/>
              </w:rPr>
            </w:pPr>
          </w:p>
        </w:tc>
        <w:tc>
          <w:tcPr>
            <w:tcW w:w="21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46"/>
        </w:trPr>
        <w:tc>
          <w:tcPr>
            <w:tcW w:w="9140" w:type="dxa"/>
            <w:vAlign w:val="bottom"/>
          </w:tcPr>
          <w:p>
            <w:pPr>
              <w:spacing w:after="0"/>
              <w:rPr>
                <w:sz w:val="12"/>
                <w:szCs w:val="12"/>
                <w:color w:val="auto"/>
              </w:rPr>
            </w:pPr>
          </w:p>
        </w:tc>
        <w:tc>
          <w:tcPr>
            <w:tcW w:w="2100" w:type="dxa"/>
            <w:vAlign w:val="bottom"/>
          </w:tcPr>
          <w:p>
            <w:pPr>
              <w:jc w:val="center"/>
              <w:ind w:right="99"/>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2"/>
        </w:trPr>
        <w:tc>
          <w:tcPr>
            <w:tcW w:w="9140" w:type="dxa"/>
            <w:vAlign w:val="bottom"/>
          </w:tcPr>
          <w:p>
            <w:pPr>
              <w:spacing w:after="0"/>
              <w:rPr>
                <w:sz w:val="14"/>
                <w:szCs w:val="14"/>
                <w:color w:val="auto"/>
              </w:rPr>
            </w:pPr>
          </w:p>
        </w:tc>
        <w:tc>
          <w:tcPr>
            <w:tcW w:w="21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2"/>
        </w:trPr>
        <w:tc>
          <w:tcPr>
            <w:tcW w:w="91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Volatility of common stock</w:t>
            </w:r>
          </w:p>
        </w:tc>
        <w:tc>
          <w:tcPr>
            <w:tcW w:w="21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59.0%</w:t>
            </w:r>
          </w:p>
        </w:tc>
      </w:tr>
      <w:tr>
        <w:trPr>
          <w:trHeight w:val="189"/>
        </w:trPr>
        <w:tc>
          <w:tcPr>
            <w:tcW w:w="9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Risk-free interest rate</w:t>
            </w:r>
          </w:p>
        </w:tc>
        <w:tc>
          <w:tcPr>
            <w:tcW w:w="2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w:t>
            </w:r>
          </w:p>
        </w:tc>
      </w:tr>
      <w:tr>
        <w:trPr>
          <w:trHeight w:val="189"/>
        </w:trPr>
        <w:tc>
          <w:tcPr>
            <w:tcW w:w="91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Contract term (in years)</w:t>
            </w:r>
          </w:p>
        </w:tc>
        <w:tc>
          <w:tcPr>
            <w:tcW w:w="2100" w:type="dxa"/>
            <w:vAlign w:val="bottom"/>
            <w:shd w:val="clear" w:color="auto" w:fill="CFF0FC"/>
          </w:tcPr>
          <w:p>
            <w:pPr>
              <w:jc w:val="right"/>
              <w:ind w:right="99"/>
              <w:spacing w:after="0" w:line="189" w:lineRule="exact"/>
              <w:rPr>
                <w:sz w:val="20"/>
                <w:szCs w:val="20"/>
                <w:color w:val="auto"/>
              </w:rPr>
            </w:pPr>
            <w:r>
              <w:rPr>
                <w:rFonts w:ascii="Times New Roman" w:cs="Times New Roman" w:eastAsia="Times New Roman" w:hAnsi="Times New Roman"/>
                <w:sz w:val="18"/>
                <w:szCs w:val="18"/>
                <w:color w:val="auto"/>
              </w:rPr>
              <w:t>3.9</w:t>
            </w:r>
          </w:p>
        </w:tc>
      </w:tr>
    </w:tbl>
    <w:p>
      <w:pPr>
        <w:spacing w:after="0" w:line="292" w:lineRule="exact"/>
        <w:rPr>
          <w:sz w:val="20"/>
          <w:szCs w:val="20"/>
          <w:color w:val="auto"/>
        </w:rPr>
      </w:pPr>
    </w:p>
    <w:p>
      <w:pPr>
        <w:ind w:right="60" w:firstLine="659"/>
        <w:spacing w:after="0" w:line="330" w:lineRule="auto"/>
        <w:rPr>
          <w:sz w:val="20"/>
          <w:szCs w:val="20"/>
          <w:color w:val="auto"/>
        </w:rPr>
      </w:pPr>
      <w:r>
        <w:rPr>
          <w:rFonts w:ascii="Times New Roman" w:cs="Times New Roman" w:eastAsia="Times New Roman" w:hAnsi="Times New Roman"/>
          <w:sz w:val="17"/>
          <w:szCs w:val="17"/>
          <w:color w:val="auto"/>
        </w:rPr>
        <w:t>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 The requisite service period over which the compensation expense will be recognized is July 22, 2024 through July 1, 2028.</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summary of activity with respect to our PSUs: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8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440" w:type="dxa"/>
            <w:vAlign w:val="bottom"/>
            <w:gridSpan w:val="2"/>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3"/>
                <w:szCs w:val="13"/>
                <w:color w:val="auto"/>
              </w:rPr>
            </w:pPr>
          </w:p>
        </w:tc>
        <w:tc>
          <w:tcPr>
            <w:tcW w:w="15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4"/>
                <w:szCs w:val="14"/>
                <w:color w:val="auto"/>
              </w:rPr>
            </w:pPr>
          </w:p>
        </w:tc>
        <w:tc>
          <w:tcPr>
            <w:tcW w:w="1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0" w:type="dxa"/>
            <w:vAlign w:val="bottom"/>
          </w:tcPr>
          <w:p>
            <w:pPr>
              <w:spacing w:after="0"/>
              <w:rPr>
                <w:sz w:val="1"/>
                <w:szCs w:val="1"/>
                <w:color w:val="auto"/>
              </w:rPr>
            </w:pPr>
          </w:p>
        </w:tc>
      </w:tr>
      <w:tr>
        <w:trPr>
          <w:trHeight w:val="183"/>
        </w:trPr>
        <w:tc>
          <w:tcPr>
            <w:tcW w:w="40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1, 2025</w:t>
            </w:r>
          </w:p>
        </w:tc>
        <w:tc>
          <w:tcPr>
            <w:tcW w:w="4040" w:type="dxa"/>
            <w:vAlign w:val="bottom"/>
            <w:gridSpan w:val="2"/>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504,500</w:t>
            </w:r>
          </w:p>
        </w:tc>
        <w:tc>
          <w:tcPr>
            <w:tcW w:w="340" w:type="dxa"/>
            <w:vAlign w:val="bottom"/>
            <w:gridSpan w:val="2"/>
            <w:shd w:val="clear" w:color="auto" w:fill="CFF0FC"/>
          </w:tcPr>
          <w:p>
            <w:pPr>
              <w:jc w:val="right"/>
              <w:ind w:right="28"/>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24.69</w:t>
            </w:r>
          </w:p>
        </w:tc>
        <w:tc>
          <w:tcPr>
            <w:tcW w:w="1600" w:type="dxa"/>
            <w:vAlign w:val="bottom"/>
            <w:gridSpan w:val="2"/>
            <w:shd w:val="clear" w:color="auto" w:fill="CFF0FC"/>
          </w:tcPr>
          <w:p>
            <w:pPr>
              <w:jc w:val="right"/>
              <w:ind w:right="68"/>
              <w:spacing w:after="0" w:line="182" w:lineRule="exact"/>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189"/>
        </w:trPr>
        <w:tc>
          <w:tcPr>
            <w:tcW w:w="4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2560" w:type="dxa"/>
            <w:vAlign w:val="bottom"/>
          </w:tcPr>
          <w:p>
            <w:pPr>
              <w:spacing w:after="0"/>
              <w:rPr>
                <w:sz w:val="16"/>
                <w:szCs w:val="16"/>
                <w:color w:val="auto"/>
              </w:rPr>
            </w:pPr>
          </w:p>
        </w:tc>
        <w:tc>
          <w:tcPr>
            <w:tcW w:w="1480" w:type="dxa"/>
            <w:vAlign w:val="bottom"/>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8"/>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Released</w:t>
            </w:r>
          </w:p>
        </w:tc>
        <w:tc>
          <w:tcPr>
            <w:tcW w:w="256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39"/>
              <w:spacing w:after="0" w:line="189"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8"/>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Forfeitures</w:t>
            </w:r>
          </w:p>
        </w:tc>
        <w:tc>
          <w:tcPr>
            <w:tcW w:w="2560" w:type="dxa"/>
            <w:vAlign w:val="bottom"/>
          </w:tcPr>
          <w:p>
            <w:pPr>
              <w:spacing w:after="0"/>
              <w:rPr>
                <w:sz w:val="16"/>
                <w:szCs w:val="16"/>
                <w:color w:val="auto"/>
              </w:rPr>
            </w:pPr>
          </w:p>
        </w:tc>
        <w:tc>
          <w:tcPr>
            <w:tcW w:w="14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(26,500)</w:t>
            </w:r>
          </w:p>
        </w:tc>
        <w:tc>
          <w:tcPr>
            <w:tcW w:w="340" w:type="dxa"/>
            <w:vAlign w:val="bottom"/>
            <w:gridSpan w:val="2"/>
          </w:tcPr>
          <w:p>
            <w:pPr>
              <w:jc w:val="right"/>
              <w:ind w:right="28"/>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24.69</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Outstanding at December 31, 2025</w:t>
            </w:r>
          </w:p>
        </w:tc>
        <w:tc>
          <w:tcPr>
            <w:tcW w:w="4040" w:type="dxa"/>
            <w:vAlign w:val="bottom"/>
            <w:gridSpan w:val="2"/>
            <w:shd w:val="clear" w:color="auto" w:fill="CFF0FC"/>
          </w:tcPr>
          <w:p>
            <w:pPr>
              <w:jc w:val="right"/>
              <w:ind w:right="39"/>
              <w:spacing w:after="0" w:line="169" w:lineRule="exact"/>
              <w:rPr>
                <w:sz w:val="20"/>
                <w:szCs w:val="20"/>
                <w:color w:val="auto"/>
              </w:rPr>
            </w:pPr>
            <w:r>
              <w:rPr>
                <w:rFonts w:ascii="Times New Roman" w:cs="Times New Roman" w:eastAsia="Times New Roman" w:hAnsi="Times New Roman"/>
                <w:sz w:val="18"/>
                <w:szCs w:val="18"/>
                <w:color w:val="auto"/>
              </w:rPr>
              <w:t>478,000</w:t>
            </w:r>
          </w:p>
        </w:tc>
        <w:tc>
          <w:tcPr>
            <w:tcW w:w="340" w:type="dxa"/>
            <w:vAlign w:val="bottom"/>
            <w:gridSpan w:val="2"/>
            <w:shd w:val="clear" w:color="auto" w:fill="CFF0FC"/>
          </w:tcPr>
          <w:p>
            <w:pPr>
              <w:jc w:val="right"/>
              <w:ind w:right="28"/>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5"/>
              <w:spacing w:after="0" w:line="169" w:lineRule="exact"/>
              <w:rPr>
                <w:sz w:val="20"/>
                <w:szCs w:val="20"/>
                <w:color w:val="auto"/>
              </w:rPr>
            </w:pPr>
            <w:r>
              <w:rPr>
                <w:rFonts w:ascii="Times New Roman" w:cs="Times New Roman" w:eastAsia="Times New Roman" w:hAnsi="Times New Roman"/>
                <w:sz w:val="18"/>
                <w:szCs w:val="18"/>
                <w:color w:val="auto"/>
              </w:rPr>
              <w:t>24.69</w:t>
            </w:r>
          </w:p>
        </w:tc>
        <w:tc>
          <w:tcPr>
            <w:tcW w:w="1600" w:type="dxa"/>
            <w:vAlign w:val="bottom"/>
            <w:gridSpan w:val="2"/>
            <w:shd w:val="clear" w:color="auto" w:fill="CFF0FC"/>
          </w:tcPr>
          <w:p>
            <w:pPr>
              <w:jc w:val="right"/>
              <w:ind w:right="68"/>
              <w:spacing w:after="0" w:line="169" w:lineRule="exact"/>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629"/>
        </w:trPr>
        <w:tc>
          <w:tcPr>
            <w:tcW w:w="4020" w:type="dxa"/>
            <w:vAlign w:val="bottom"/>
            <w:tcBorders>
              <w:top w:val="single" w:sz="8" w:color="CFF0FC"/>
            </w:tcBorders>
          </w:tcPr>
          <w:p>
            <w:pPr>
              <w:spacing w:after="0"/>
              <w:rPr>
                <w:sz w:val="24"/>
                <w:szCs w:val="24"/>
                <w:color w:val="auto"/>
              </w:rPr>
            </w:pPr>
          </w:p>
        </w:tc>
        <w:tc>
          <w:tcPr>
            <w:tcW w:w="2560" w:type="dxa"/>
            <w:vAlign w:val="bottom"/>
            <w:tcBorders>
              <w:top w:val="single" w:sz="8" w:color="CFF0FC"/>
            </w:tcBorders>
          </w:tcPr>
          <w:p>
            <w:pPr>
              <w:jc w:val="right"/>
              <w:ind w:right="770"/>
              <w:spacing w:after="0"/>
              <w:rPr>
                <w:sz w:val="20"/>
                <w:szCs w:val="20"/>
                <w:color w:val="auto"/>
              </w:rPr>
            </w:pPr>
            <w:r>
              <w:rPr>
                <w:rFonts w:ascii="Times New Roman" w:cs="Times New Roman" w:eastAsia="Times New Roman" w:hAnsi="Times New Roman"/>
                <w:sz w:val="18"/>
                <w:szCs w:val="18"/>
                <w:color w:val="auto"/>
              </w:rPr>
              <w:t>97</w:t>
            </w:r>
          </w:p>
        </w:tc>
        <w:tc>
          <w:tcPr>
            <w:tcW w:w="14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5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0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-693420</wp:posOffset>
            </wp:positionV>
            <wp:extent cx="939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-676275</wp:posOffset>
            </wp:positionV>
            <wp:extent cx="939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48" w:lineRule="exact"/>
        <w:rPr>
          <w:sz w:val="20"/>
          <w:szCs w:val="20"/>
          <w:color w:val="auto"/>
        </w:rPr>
      </w:pPr>
    </w:p>
    <w:p>
      <w:pPr>
        <w:ind w:right="240" w:firstLine="659"/>
        <w:spacing w:after="0" w:line="294" w:lineRule="auto"/>
        <w:rPr>
          <w:sz w:val="20"/>
          <w:szCs w:val="20"/>
          <w:color w:val="auto"/>
        </w:rPr>
      </w:pPr>
      <w:r>
        <w:rPr>
          <w:rFonts w:ascii="Times New Roman" w:cs="Times New Roman" w:eastAsia="Times New Roman" w:hAnsi="Times New Roman"/>
          <w:sz w:val="18"/>
          <w:szCs w:val="18"/>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were determined on the date of grant using the Black-Scholes option valuation model with the following weighted-average assumptions:</w:t>
      </w:r>
    </w:p>
    <w:p>
      <w:pPr>
        <w:spacing w:after="0" w:line="7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3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5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82"/>
        </w:trPr>
        <w:tc>
          <w:tcPr>
            <w:tcW w:w="65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Risk-free interest rate</w:t>
            </w:r>
          </w:p>
        </w:tc>
        <w:tc>
          <w:tcPr>
            <w:tcW w:w="8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3.8%</w:t>
            </w:r>
          </w:p>
        </w:tc>
      </w:tr>
      <w:tr>
        <w:trPr>
          <w:trHeight w:val="189"/>
        </w:trPr>
        <w:tc>
          <w:tcPr>
            <w:tcW w:w="6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Expected volatility</w:t>
            </w:r>
          </w:p>
        </w:tc>
        <w:tc>
          <w:tcPr>
            <w:tcW w:w="8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81.8%</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78.4%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85.7%</w:t>
            </w:r>
          </w:p>
        </w:tc>
      </w:tr>
      <w:tr>
        <w:trPr>
          <w:trHeight w:val="189"/>
        </w:trPr>
        <w:tc>
          <w:tcPr>
            <w:tcW w:w="6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Expected dividend yield</w:t>
            </w:r>
          </w:p>
        </w:tc>
        <w:tc>
          <w:tcPr>
            <w:tcW w:w="8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9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93"/>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6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Expected term (in years)</w:t>
            </w:r>
          </w:p>
        </w:tc>
        <w:tc>
          <w:tcPr>
            <w:tcW w:w="820" w:type="dxa"/>
            <w:vAlign w:val="bottom"/>
          </w:tcPr>
          <w:p>
            <w:pPr>
              <w:spacing w:after="0"/>
              <w:rPr>
                <w:sz w:val="16"/>
                <w:szCs w:val="16"/>
                <w:color w:val="auto"/>
              </w:rPr>
            </w:pPr>
          </w:p>
        </w:tc>
        <w:tc>
          <w:tcPr>
            <w:tcW w:w="64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6.35</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93"/>
              <w:spacing w:after="0" w:line="189" w:lineRule="exact"/>
              <w:rPr>
                <w:sz w:val="20"/>
                <w:szCs w:val="20"/>
                <w:color w:val="auto"/>
              </w:rPr>
            </w:pPr>
            <w:r>
              <w:rPr>
                <w:rFonts w:ascii="Times New Roman" w:cs="Times New Roman" w:eastAsia="Times New Roman" w:hAnsi="Times New Roman"/>
                <w:sz w:val="18"/>
                <w:szCs w:val="18"/>
                <w:color w:val="auto"/>
              </w:rPr>
              <w:t>6.28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93"/>
              <w:spacing w:after="0" w:line="189" w:lineRule="exact"/>
              <w:rPr>
                <w:sz w:val="20"/>
                <w:szCs w:val="20"/>
                <w:color w:val="auto"/>
              </w:rPr>
            </w:pPr>
            <w:r>
              <w:rPr>
                <w:rFonts w:ascii="Times New Roman" w:cs="Times New Roman" w:eastAsia="Times New Roman" w:hAnsi="Times New Roman"/>
                <w:sz w:val="18"/>
                <w:szCs w:val="18"/>
                <w:color w:val="auto"/>
              </w:rPr>
              <w:t>5.82</w:t>
            </w:r>
          </w:p>
        </w:tc>
      </w:tr>
      <w:tr>
        <w:trPr>
          <w:trHeight w:val="189"/>
        </w:trPr>
        <w:tc>
          <w:tcPr>
            <w:tcW w:w="6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820" w:type="dxa"/>
            <w:vAlign w:val="bottom"/>
            <w:shd w:val="clear" w:color="auto" w:fill="CFF0FC"/>
          </w:tcPr>
          <w:p>
            <w:pPr>
              <w:jc w:val="right"/>
              <w:ind w:right="662"/>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10.98</w:t>
            </w:r>
          </w:p>
        </w:tc>
        <w:tc>
          <w:tcPr>
            <w:tcW w:w="440" w:type="dxa"/>
            <w:vAlign w:val="bottom"/>
            <w:gridSpan w:val="2"/>
            <w:shd w:val="clear" w:color="auto" w:fill="CFF0FC"/>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93"/>
              <w:spacing w:after="0" w:line="189" w:lineRule="exact"/>
              <w:rPr>
                <w:sz w:val="20"/>
                <w:szCs w:val="20"/>
                <w:color w:val="auto"/>
              </w:rPr>
            </w:pPr>
            <w:r>
              <w:rPr>
                <w:rFonts w:ascii="Times New Roman" w:cs="Times New Roman" w:eastAsia="Times New Roman" w:hAnsi="Times New Roman"/>
                <w:sz w:val="18"/>
                <w:szCs w:val="18"/>
                <w:color w:val="auto"/>
              </w:rPr>
              <w:t>15.54</w:t>
            </w:r>
          </w:p>
        </w:tc>
        <w:tc>
          <w:tcPr>
            <w:tcW w:w="460" w:type="dxa"/>
            <w:vAlign w:val="bottom"/>
            <w:gridSpan w:val="2"/>
            <w:shd w:val="clear" w:color="auto" w:fill="CFF0FC"/>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93"/>
              <w:spacing w:after="0" w:line="189" w:lineRule="exact"/>
              <w:rPr>
                <w:sz w:val="20"/>
                <w:szCs w:val="20"/>
                <w:color w:val="auto"/>
              </w:rPr>
            </w:pPr>
            <w:r>
              <w:rPr>
                <w:rFonts w:ascii="Times New Roman" w:cs="Times New Roman" w:eastAsia="Times New Roman" w:hAnsi="Times New Roman"/>
                <w:sz w:val="18"/>
                <w:szCs w:val="18"/>
                <w:color w:val="auto"/>
              </w:rPr>
              <w:t>16.06</w:t>
            </w:r>
          </w:p>
        </w:tc>
      </w:tr>
    </w:tbl>
    <w:p>
      <w:pPr>
        <w:spacing w:after="0" w:line="238" w:lineRule="exact"/>
        <w:rPr>
          <w:sz w:val="20"/>
          <w:szCs w:val="20"/>
          <w:color w:val="auto"/>
        </w:rPr>
      </w:pPr>
    </w:p>
    <w:p>
      <w:pPr>
        <w:ind w:right="60" w:firstLine="659"/>
        <w:spacing w:after="0" w:line="297" w:lineRule="auto"/>
        <w:rPr>
          <w:sz w:val="20"/>
          <w:szCs w:val="20"/>
          <w:color w:val="auto"/>
        </w:rPr>
      </w:pPr>
      <w:r>
        <w:rPr>
          <w:rFonts w:ascii="Times New Roman" w:cs="Times New Roman" w:eastAsia="Times New Roman" w:hAnsi="Times New Roman"/>
          <w:sz w:val="18"/>
          <w:szCs w:val="18"/>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69" w:lineRule="exact"/>
        <w:rPr>
          <w:sz w:val="20"/>
          <w:szCs w:val="20"/>
          <w:color w:val="auto"/>
        </w:rPr>
      </w:pPr>
    </w:p>
    <w:p>
      <w:pPr>
        <w:ind w:right="500" w:firstLine="659"/>
        <w:spacing w:after="0" w:line="329" w:lineRule="auto"/>
        <w:rPr>
          <w:sz w:val="20"/>
          <w:szCs w:val="20"/>
          <w:color w:val="auto"/>
        </w:rPr>
      </w:pPr>
      <w:r>
        <w:rPr>
          <w:rFonts w:ascii="Times New Roman" w:cs="Times New Roman" w:eastAsia="Times New Roman" w:hAnsi="Times New Roman"/>
          <w:sz w:val="18"/>
          <w:szCs w:val="18"/>
          <w:color w:val="auto"/>
        </w:rPr>
        <w:t>Total non-cash stock-based compensation expense for all stock awards that was recognized in the consolidated statements of operations and comprehensive loss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30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tcPr>
          <w:p>
            <w:pPr>
              <w:jc w:val="right"/>
              <w:ind w:right="11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36"/>
              <w:spacing w:after="0" w:line="150" w:lineRule="exact"/>
              <w:rPr>
                <w:sz w:val="20"/>
                <w:szCs w:val="20"/>
                <w:color w:val="auto"/>
              </w:rPr>
            </w:pPr>
            <w:r>
              <w:rPr>
                <w:rFonts w:ascii="Times New Roman" w:cs="Times New Roman" w:eastAsia="Times New Roman" w:hAnsi="Times New Roman"/>
                <w:sz w:val="17"/>
                <w:szCs w:val="17"/>
                <w:color w:val="auto"/>
              </w:rPr>
              <w:t>17,135</w:t>
            </w:r>
          </w:p>
        </w:tc>
        <w:tc>
          <w:tcPr>
            <w:tcW w:w="360" w:type="dxa"/>
            <w:vAlign w:val="bottom"/>
            <w:gridSpan w:val="2"/>
          </w:tcPr>
          <w:p>
            <w:pPr>
              <w:jc w:val="right"/>
              <w:ind w:right="140"/>
              <w:spacing w:after="0" w:line="150"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40"/>
              <w:spacing w:after="0" w:line="150" w:lineRule="exact"/>
              <w:rPr>
                <w:sz w:val="20"/>
                <w:szCs w:val="20"/>
                <w:color w:val="auto"/>
              </w:rPr>
            </w:pPr>
            <w:r>
              <w:rPr>
                <w:rFonts w:ascii="Times New Roman" w:cs="Times New Roman" w:eastAsia="Times New Roman" w:hAnsi="Times New Roman"/>
                <w:sz w:val="17"/>
                <w:szCs w:val="17"/>
                <w:color w:val="auto"/>
              </w:rPr>
              <w:t>14,823</w:t>
            </w:r>
          </w:p>
        </w:tc>
        <w:tc>
          <w:tcPr>
            <w:tcW w:w="440" w:type="dxa"/>
            <w:vAlign w:val="bottom"/>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w w:val="85"/>
              </w:rPr>
              <w:t>(1)</w:t>
            </w:r>
          </w:p>
        </w:tc>
        <w:tc>
          <w:tcPr>
            <w:tcW w:w="280" w:type="dxa"/>
            <w:vAlign w:val="bottom"/>
          </w:tcPr>
          <w:p>
            <w:pPr>
              <w:jc w:val="right"/>
              <w:ind w:right="93"/>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6"/>
              <w:spacing w:after="0" w:line="150" w:lineRule="exact"/>
              <w:rPr>
                <w:sz w:val="20"/>
                <w:szCs w:val="20"/>
                <w:color w:val="auto"/>
              </w:rPr>
            </w:pPr>
            <w:r>
              <w:rPr>
                <w:rFonts w:ascii="Times New Roman" w:cs="Times New Roman" w:eastAsia="Times New Roman" w:hAnsi="Times New Roman"/>
                <w:sz w:val="17"/>
                <w:szCs w:val="17"/>
                <w:color w:val="auto"/>
              </w:rPr>
              <w:t>10,159</w:t>
            </w:r>
          </w:p>
        </w:tc>
        <w:tc>
          <w:tcPr>
            <w:tcW w:w="32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w w:val="99"/>
              </w:rPr>
              <w:t>(2)</w:t>
            </w:r>
          </w:p>
        </w:tc>
        <w:tc>
          <w:tcPr>
            <w:tcW w:w="0" w:type="dxa"/>
            <w:vAlign w:val="bottom"/>
          </w:tcPr>
          <w:p>
            <w:pPr>
              <w:spacing w:after="0"/>
              <w:rPr>
                <w:sz w:val="1"/>
                <w:szCs w:val="1"/>
                <w:color w:val="auto"/>
              </w:rPr>
            </w:pPr>
          </w:p>
        </w:tc>
      </w:tr>
      <w:tr>
        <w:trPr>
          <w:trHeight w:val="22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18,937</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19,225</w:t>
            </w:r>
          </w:p>
        </w:tc>
        <w:tc>
          <w:tcPr>
            <w:tcW w:w="44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23,046</w:t>
            </w: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36,072</w:t>
            </w:r>
          </w:p>
        </w:tc>
        <w:tc>
          <w:tcPr>
            <w:tcW w:w="36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34,048</w:t>
            </w:r>
          </w:p>
        </w:tc>
        <w:tc>
          <w:tcPr>
            <w:tcW w:w="4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3"/>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FF0FC"/>
            </w:tcBorders>
            <w:shd w:val="clear" w:color="auto" w:fill="CFF0FC"/>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33,205</w:t>
            </w: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200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-25400</wp:posOffset>
            </wp:positionV>
            <wp:extent cx="857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-8255</wp:posOffset>
            </wp:positionV>
            <wp:extent cx="857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1974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1974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-25400</wp:posOffset>
            </wp:positionV>
            <wp:extent cx="1974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-8255</wp:posOffset>
            </wp:positionV>
            <wp:extent cx="19748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165" w:lineRule="exact"/>
        <w:rPr>
          <w:sz w:val="20"/>
          <w:szCs w:val="20"/>
          <w:color w:val="auto"/>
        </w:rPr>
      </w:pPr>
    </w:p>
    <w:p>
      <w:pPr>
        <w:ind w:left="580" w:hanging="572"/>
        <w:spacing w:after="0"/>
        <w:tabs>
          <w:tab w:leader="none" w:pos="580"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$2.6 million related to two year RSU initially issued to our Chief Executive Officer in March 2022 and now fully recognized.</w:t>
      </w:r>
    </w:p>
    <w:p>
      <w:pPr>
        <w:ind w:left="580" w:hanging="572"/>
        <w:spacing w:after="0" w:line="186" w:lineRule="auto"/>
        <w:tabs>
          <w:tab w:leader="none" w:pos="580"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$11.7 million related to two year RSU initially issued to our Chief Executive Officer in March 2022 and now fully recognized.</w:t>
      </w:r>
    </w:p>
    <w:p>
      <w:pPr>
        <w:spacing w:after="0" w:line="90" w:lineRule="exact"/>
        <w:rPr>
          <w:sz w:val="20"/>
          <w:szCs w:val="20"/>
          <w:color w:val="auto"/>
        </w:rPr>
      </w:pPr>
    </w:p>
    <w:p>
      <w:pPr>
        <w:ind w:right="60" w:firstLine="659"/>
        <w:spacing w:after="0" w:line="297" w:lineRule="auto"/>
        <w:rPr>
          <w:sz w:val="20"/>
          <w:szCs w:val="20"/>
          <w:color w:val="auto"/>
        </w:rPr>
      </w:pPr>
      <w:r>
        <w:rPr>
          <w:rFonts w:ascii="Times New Roman" w:cs="Times New Roman" w:eastAsia="Times New Roman" w:hAnsi="Times New Roman"/>
          <w:sz w:val="18"/>
          <w:szCs w:val="18"/>
          <w:color w:val="auto"/>
        </w:rPr>
        <w:t>At December 31, 2025, there was $36.5 million of unrecognized compensation cost related to unvested stock option awards, which is expected to be recognized over a remaining weighted average vesting period of 2.41 years, $17.8 million of unrecognized cost related to unvested RSU awards, which is expected to be recognized over a period of 2.25 years, $7.5 million of unrecognized cost related to unvested PSU awards, which is expected to be recognized over a period of 2.52 years, and $0.4 million of unrecognized compensation cost related to the ESPP, which is expected to be recognized over a remaining weighted-average vesting period of 0.37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 Plan</w:t>
      </w:r>
    </w:p>
    <w:p>
      <w:pPr>
        <w:spacing w:after="0" w:line="162" w:lineRule="exact"/>
        <w:rPr>
          <w:sz w:val="20"/>
          <w:szCs w:val="20"/>
          <w:color w:val="auto"/>
        </w:rPr>
      </w:pPr>
    </w:p>
    <w:p>
      <w:pPr>
        <w:ind w:right="160" w:firstLine="659"/>
        <w:spacing w:after="0" w:line="294" w:lineRule="auto"/>
        <w:rPr>
          <w:sz w:val="20"/>
          <w:szCs w:val="20"/>
          <w:color w:val="auto"/>
        </w:rPr>
      </w:pPr>
      <w:r>
        <w:rPr>
          <w:rFonts w:ascii="Times New Roman" w:cs="Times New Roman" w:eastAsia="Times New Roman" w:hAnsi="Times New Roman"/>
          <w:sz w:val="18"/>
          <w:szCs w:val="18"/>
          <w:color w:val="auto"/>
        </w:rPr>
        <w:t>We have a defined contribution 401(k) plan available to eligible employees. Employee contributions are voluntary and are determined on an individual basis, limited to the maximum amount allowable under U.S. federal tax regulations. We elected to match 100% of an employee’s contributions up to 10% of the employees’ eligible salary with a maximum limit of $23,500 in 2025, 100% of an employee’s contribution up to 10% of the employees’ salary with a maximum limit of $23,000 in 2024, and 100% of an employee’s contribution up to 10% of the employee’s salary with a maximum limit of $22,500 in 2023. For the years ended December 31, 2025, 2024, and 2023, we incurred approximately $2.4 million, $2.2 million, and $1.6 million, respectively of costs related to the 401(k) plan.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00" w:name="page101"/>
    <w:bookmarkEnd w:id="100"/>
    <w:p>
      <w:pPr>
        <w:ind w:left="300" w:right="8420" w:hanging="292"/>
        <w:spacing w:after="0" w:line="417" w:lineRule="auto"/>
        <w:tabs>
          <w:tab w:leader="none" w:pos="28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Operating Leases</w:t>
      </w:r>
    </w:p>
    <w:p>
      <w:pPr>
        <w:jc w:val="center"/>
        <w:ind w:right="-39"/>
        <w:spacing w:after="0"/>
        <w:rPr>
          <w:sz w:val="20"/>
          <w:szCs w:val="20"/>
          <w:color w:val="auto"/>
        </w:rPr>
      </w:pPr>
      <w:r>
        <w:rPr>
          <w:rFonts w:ascii="Times New Roman" w:cs="Times New Roman" w:eastAsia="Times New Roman" w:hAnsi="Times New Roman"/>
          <w:sz w:val="18"/>
          <w:szCs w:val="18"/>
          <w:color w:val="auto"/>
        </w:rPr>
        <w:t>On May 4, 2020, we entered into a lease agreement with Wateridge Property Owner, LP, with respect to facilities in the building at 10770</w:t>
      </w:r>
    </w:p>
    <w:p>
      <w:pPr>
        <w:spacing w:after="0" w:line="36"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on April 30, 2028 with the payment of a termination fee of $3.8 million plus 15-months of operating expenses and real property taxes. The exercise of the lease option is at our sole discretion, which we currently do not anticipate exercising and as such was not recognized as part of the right-of-use asset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December 31, 2025, we have recorded $0.3 million as a security deposit in accordance with the terms of the Lease Agreement.</w:t>
      </w:r>
    </w:p>
    <w:p>
      <w:pPr>
        <w:spacing w:after="0" w:line="74" w:lineRule="exact"/>
        <w:rPr>
          <w:sz w:val="20"/>
          <w:szCs w:val="20"/>
          <w:color w:val="auto"/>
        </w:rPr>
      </w:pPr>
    </w:p>
    <w:p>
      <w:pPr>
        <w:ind w:right="60" w:firstLine="659"/>
        <w:spacing w:after="0" w:line="297" w:lineRule="auto"/>
        <w:rPr>
          <w:sz w:val="20"/>
          <w:szCs w:val="20"/>
          <w:color w:val="auto"/>
        </w:rPr>
      </w:pPr>
      <w:r>
        <w:rPr>
          <w:rFonts w:ascii="Times New Roman" w:cs="Times New Roman" w:eastAsia="Times New Roman" w:hAnsi="Times New Roman"/>
          <w:sz w:val="18"/>
          <w:szCs w:val="18"/>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5.7 years.</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non-cancellable office lease costs are included in our consolidated statements of cash flow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25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Classification on the Cash Flow</w:t>
            </w:r>
          </w:p>
        </w:tc>
        <w:tc>
          <w:tcPr>
            <w:tcW w:w="160" w:type="dxa"/>
            <w:vAlign w:val="bottom"/>
            <w:vMerge w:val="restart"/>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3"/>
        </w:trPr>
        <w:tc>
          <w:tcPr>
            <w:tcW w:w="50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shd w:val="clear" w:color="auto" w:fill="CFF0FC"/>
          </w:tcPr>
          <w:p>
            <w:pPr>
              <w:spacing w:after="0"/>
              <w:rPr>
                <w:sz w:val="15"/>
                <w:szCs w:val="15"/>
                <w:color w:val="auto"/>
              </w:rPr>
            </w:pPr>
          </w:p>
        </w:tc>
        <w:tc>
          <w:tcPr>
            <w:tcW w:w="2900" w:type="dxa"/>
            <w:vAlign w:val="bottom"/>
            <w:gridSpan w:val="3"/>
            <w:shd w:val="clear" w:color="auto" w:fill="CFF0FC"/>
          </w:tcPr>
          <w:p>
            <w:pPr>
              <w:ind w:left="1820"/>
              <w:spacing w:after="0" w:line="182" w:lineRule="exact"/>
              <w:rPr>
                <w:sz w:val="20"/>
                <w:szCs w:val="20"/>
                <w:color w:val="auto"/>
              </w:rPr>
            </w:pPr>
            <w:r>
              <w:rPr>
                <w:rFonts w:ascii="Times New Roman" w:cs="Times New Roman" w:eastAsia="Times New Roman" w:hAnsi="Times New Roman"/>
                <w:sz w:val="18"/>
                <w:szCs w:val="18"/>
                <w:color w:val="auto"/>
              </w:rPr>
              <w:t>Operating  $</w:t>
            </w:r>
          </w:p>
        </w:tc>
        <w:tc>
          <w:tcPr>
            <w:tcW w:w="860" w:type="dxa"/>
            <w:vAlign w:val="bottom"/>
            <w:shd w:val="clear" w:color="auto" w:fill="CFF0FC"/>
          </w:tcPr>
          <w:p>
            <w:pPr>
              <w:jc w:val="right"/>
              <w:ind w:right="59"/>
              <w:spacing w:after="0" w:line="182" w:lineRule="exact"/>
              <w:rPr>
                <w:sz w:val="20"/>
                <w:szCs w:val="20"/>
                <w:color w:val="auto"/>
              </w:rPr>
            </w:pPr>
            <w:r>
              <w:rPr>
                <w:rFonts w:ascii="Times New Roman" w:cs="Times New Roman" w:eastAsia="Times New Roman" w:hAnsi="Times New Roman"/>
                <w:sz w:val="18"/>
                <w:szCs w:val="18"/>
                <w:color w:val="auto"/>
              </w:rPr>
              <w:t>2,478</w:t>
            </w:r>
          </w:p>
        </w:tc>
        <w:tc>
          <w:tcPr>
            <w:tcW w:w="34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2,478</w:t>
            </w:r>
          </w:p>
        </w:tc>
        <w:tc>
          <w:tcPr>
            <w:tcW w:w="34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157"/>
        </w:trPr>
        <w:tc>
          <w:tcPr>
            <w:tcW w:w="50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0"/>
                <w:szCs w:val="20"/>
                <w:color w:val="auto"/>
              </w:rPr>
            </w:pPr>
          </w:p>
        </w:tc>
        <w:tc>
          <w:tcPr>
            <w:tcW w:w="290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Operating</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2,531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2,457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2025, the future minimum annual obligations for the Company’s operating lease liabilities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 (in thousands)</w:t>
            </w:r>
          </w:p>
        </w:tc>
        <w:tc>
          <w:tcPr>
            <w:tcW w:w="7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9"/>
        </w:trPr>
        <w:tc>
          <w:tcPr>
            <w:tcW w:w="92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FF0FC"/>
          </w:tcPr>
          <w:p>
            <w:pPr>
              <w:jc w:val="right"/>
              <w:ind w:right="5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2,607</w:t>
            </w:r>
          </w:p>
        </w:tc>
      </w:tr>
      <w:tr>
        <w:trPr>
          <w:trHeight w:val="189"/>
        </w:trPr>
        <w:tc>
          <w:tcPr>
            <w:tcW w:w="9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16"/>
                <w:szCs w:val="16"/>
                <w:color w:val="auto"/>
              </w:rPr>
            </w:pPr>
          </w:p>
        </w:tc>
        <w:tc>
          <w:tcPr>
            <w:tcW w:w="12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2,685</w:t>
            </w:r>
          </w:p>
        </w:tc>
      </w:tr>
      <w:tr>
        <w:trPr>
          <w:trHeight w:val="189"/>
        </w:trPr>
        <w:tc>
          <w:tcPr>
            <w:tcW w:w="92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2028</w:t>
            </w:r>
          </w:p>
        </w:tc>
        <w:tc>
          <w:tcPr>
            <w:tcW w:w="7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2,766</w:t>
            </w:r>
          </w:p>
        </w:tc>
      </w:tr>
      <w:tr>
        <w:trPr>
          <w:trHeight w:val="189"/>
        </w:trPr>
        <w:tc>
          <w:tcPr>
            <w:tcW w:w="9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2029</w:t>
            </w:r>
          </w:p>
        </w:tc>
        <w:tc>
          <w:tcPr>
            <w:tcW w:w="740" w:type="dxa"/>
            <w:vAlign w:val="bottom"/>
          </w:tcPr>
          <w:p>
            <w:pPr>
              <w:spacing w:after="0"/>
              <w:rPr>
                <w:sz w:val="16"/>
                <w:szCs w:val="16"/>
                <w:color w:val="auto"/>
              </w:rPr>
            </w:pPr>
          </w:p>
        </w:tc>
        <w:tc>
          <w:tcPr>
            <w:tcW w:w="126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2,849</w:t>
            </w:r>
          </w:p>
        </w:tc>
      </w:tr>
      <w:tr>
        <w:trPr>
          <w:trHeight w:val="189"/>
        </w:trPr>
        <w:tc>
          <w:tcPr>
            <w:tcW w:w="92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2030</w:t>
            </w:r>
          </w:p>
        </w:tc>
        <w:tc>
          <w:tcPr>
            <w:tcW w:w="74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2,934</w:t>
            </w:r>
          </w:p>
        </w:tc>
      </w:tr>
      <w:tr>
        <w:trPr>
          <w:trHeight w:val="189"/>
        </w:trPr>
        <w:tc>
          <w:tcPr>
            <w:tcW w:w="9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2,005</w:t>
            </w:r>
          </w:p>
        </w:tc>
      </w:tr>
      <w:tr>
        <w:trPr>
          <w:trHeight w:val="183"/>
        </w:trPr>
        <w:tc>
          <w:tcPr>
            <w:tcW w:w="92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minimum payments required</w:t>
            </w:r>
          </w:p>
        </w:tc>
        <w:tc>
          <w:tcPr>
            <w:tcW w:w="740" w:type="dxa"/>
            <w:vAlign w:val="bottom"/>
            <w:shd w:val="clear" w:color="auto" w:fill="CFF0FC"/>
          </w:tcPr>
          <w:p>
            <w:pPr>
              <w:jc w:val="right"/>
              <w:ind w:right="5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15,846</w:t>
            </w:r>
          </w:p>
        </w:tc>
      </w:tr>
      <w:tr>
        <w:trPr>
          <w:trHeight w:val="189"/>
        </w:trPr>
        <w:tc>
          <w:tcPr>
            <w:tcW w:w="9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(1,734)</w:t>
            </w:r>
          </w:p>
        </w:tc>
      </w:tr>
      <w:tr>
        <w:trPr>
          <w:trHeight w:val="223"/>
        </w:trPr>
        <w:tc>
          <w:tcPr>
            <w:tcW w:w="92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FF0FC"/>
          </w:tcPr>
          <w:p>
            <w:pPr>
              <w:jc w:val="right"/>
              <w:ind w:right="5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14,112</w:t>
            </w:r>
          </w:p>
        </w:tc>
      </w:tr>
    </w:tbl>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48" w:lineRule="exact"/>
        <w:rPr>
          <w:sz w:val="20"/>
          <w:szCs w:val="20"/>
          <w:color w:val="auto"/>
        </w:rPr>
      </w:pPr>
    </w:p>
    <w:p>
      <w:pPr>
        <w:ind w:right="100" w:firstLine="659"/>
        <w:spacing w:after="0" w:line="297" w:lineRule="auto"/>
        <w:rPr>
          <w:sz w:val="20"/>
          <w:szCs w:val="20"/>
          <w:color w:val="auto"/>
        </w:rPr>
      </w:pPr>
      <w:r>
        <w:rPr>
          <w:rFonts w:ascii="Times New Roman" w:cs="Times New Roman" w:eastAsia="Times New Roman" w:hAnsi="Times New Roman"/>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48" w:lineRule="exact"/>
        <w:rPr>
          <w:sz w:val="20"/>
          <w:szCs w:val="20"/>
          <w:color w:val="auto"/>
        </w:rPr>
      </w:pPr>
    </w:p>
    <w:p>
      <w:pPr>
        <w:ind w:right="80" w:firstLine="659"/>
        <w:spacing w:after="0" w:line="294"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 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85" w:lineRule="exact"/>
        <w:rPr>
          <w:sz w:val="20"/>
          <w:szCs w:val="20"/>
          <w:color w:val="auto"/>
        </w:rPr>
      </w:pPr>
    </w:p>
    <w:p>
      <w:pPr>
        <w:ind w:right="40" w:firstLine="659"/>
        <w:spacing w:after="0" w:line="297" w:lineRule="auto"/>
        <w:rPr>
          <w:sz w:val="20"/>
          <w:szCs w:val="20"/>
          <w:color w:val="auto"/>
        </w:rPr>
      </w:pPr>
      <w:r>
        <w:rPr>
          <w:rFonts w:ascii="Times New Roman" w:cs="Times New Roman" w:eastAsia="Times New Roman" w:hAnsi="Times New Roman"/>
          <w:sz w:val="18"/>
          <w:szCs w:val="18"/>
          <w:color w:val="auto"/>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spacing w:after="0" w:line="69" w:lineRule="exact"/>
        <w:rPr>
          <w:sz w:val="20"/>
          <w:szCs w:val="20"/>
          <w:color w:val="auto"/>
        </w:rPr>
      </w:pPr>
    </w:p>
    <w:p>
      <w:pPr>
        <w:jc w:val="both"/>
        <w:ind w:right="240" w:firstLine="659"/>
        <w:spacing w:after="0" w:line="305" w:lineRule="auto"/>
        <w:rPr>
          <w:sz w:val="20"/>
          <w:szCs w:val="20"/>
          <w:color w:val="auto"/>
        </w:rPr>
      </w:pPr>
      <w:r>
        <w:rPr>
          <w:rFonts w:ascii="Times New Roman" w:cs="Times New Roman" w:eastAsia="Times New Roman" w:hAnsi="Times New Roman"/>
          <w:sz w:val="18"/>
          <w:szCs w:val="18"/>
          <w:color w:val="auto"/>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spacing w:after="0" w:line="61" w:lineRule="exact"/>
        <w:rPr>
          <w:sz w:val="20"/>
          <w:szCs w:val="20"/>
          <w:color w:val="auto"/>
        </w:rPr>
      </w:pPr>
    </w:p>
    <w:p>
      <w:pPr>
        <w:ind w:firstLine="659"/>
        <w:spacing w:after="0" w:line="329" w:lineRule="auto"/>
        <w:rPr>
          <w:sz w:val="20"/>
          <w:szCs w:val="20"/>
          <w:color w:val="auto"/>
        </w:rPr>
      </w:pPr>
      <w:r>
        <w:rPr>
          <w:rFonts w:ascii="Times New Roman" w:cs="Times New Roman" w:eastAsia="Times New Roman" w:hAnsi="Times New Roman"/>
          <w:sz w:val="18"/>
          <w:szCs w:val="18"/>
          <w:color w:val="auto"/>
        </w:rPr>
        <w:t>We believe that the fair value of these indemnification obligations is minimal. Accordingly, we have not recognized any liabilities relating to these obligations for any period presented.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162" w:lineRule="exact"/>
        <w:rPr>
          <w:sz w:val="20"/>
          <w:szCs w:val="20"/>
          <w:color w:val="auto"/>
        </w:rPr>
      </w:pPr>
    </w:p>
    <w:p>
      <w:pPr>
        <w:ind w:right="180" w:firstLine="659"/>
        <w:spacing w:after="0" w:line="293" w:lineRule="auto"/>
        <w:rPr>
          <w:sz w:val="20"/>
          <w:szCs w:val="20"/>
          <w:color w:val="auto"/>
        </w:rPr>
      </w:pPr>
      <w:r>
        <w:rPr>
          <w:rFonts w:ascii="Times New Roman" w:cs="Times New Roman" w:eastAsia="Times New Roman" w:hAnsi="Times New Roman"/>
          <w:sz w:val="18"/>
          <w:szCs w:val="18"/>
          <w:color w:val="auto"/>
        </w:rPr>
        <w:t>During fiscal year 2025, in connection with the planned separation of the business, our Chief Executive Officer, who is our CODM, revised the information he regularly reviews in evaluating the allocation of resources and assessing operating performance. As a result of these changes, we updated our segment reporting to reflect two operating segments: Biopharma and Royalty Management. Our Biopharma segment focuses on the development and potential commercialization of innovative immunology therapeutics for autoimmune and inflammatory diseases and our Royalty Management segment manages the financial collaboration for Jemperli from GSK and for imsidolimab from Vanda.</w:t>
      </w:r>
    </w:p>
    <w:p>
      <w:pPr>
        <w:spacing w:after="0" w:line="87" w:lineRule="exact"/>
        <w:rPr>
          <w:sz w:val="20"/>
          <w:szCs w:val="20"/>
          <w:color w:val="auto"/>
        </w:rPr>
      </w:pPr>
    </w:p>
    <w:p>
      <w:pPr>
        <w:jc w:val="both"/>
        <w:ind w:right="120" w:firstLine="659"/>
        <w:spacing w:after="0" w:line="297" w:lineRule="auto"/>
        <w:rPr>
          <w:sz w:val="20"/>
          <w:szCs w:val="20"/>
          <w:color w:val="auto"/>
        </w:rPr>
      </w:pPr>
      <w:r>
        <w:rPr>
          <w:rFonts w:ascii="Times New Roman" w:cs="Times New Roman" w:eastAsia="Times New Roman" w:hAnsi="Times New Roman"/>
          <w:sz w:val="18"/>
          <w:szCs w:val="18"/>
          <w:color w:val="auto"/>
        </w:rPr>
        <w:t>Segment profit or loss is measured as the net loss and is used to monitor results. Our Royalty Management segment revenue consists of non-cash royalties and milestones, and is derived from collaboration agreements. For more information, see Note 4. We do not report identifiable assets by segment as this is not a metric used by our CODM to allocate resources or evaluate performance.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2" w:name="page103"/>
    <w:bookmarkEnd w:id="102"/>
    <w:p>
      <w:pPr>
        <w:ind w:right="580" w:firstLine="659"/>
        <w:spacing w:after="0" w:line="313" w:lineRule="auto"/>
        <w:rPr>
          <w:sz w:val="20"/>
          <w:szCs w:val="20"/>
          <w:color w:val="auto"/>
        </w:rPr>
      </w:pPr>
      <w:r>
        <w:rPr>
          <w:rFonts w:ascii="Times New Roman" w:cs="Times New Roman" w:eastAsia="Times New Roman" w:hAnsi="Times New Roman"/>
          <w:sz w:val="18"/>
          <w:szCs w:val="18"/>
          <w:color w:val="auto"/>
        </w:rPr>
        <w:t>The following tables present our segment information for the year ended December 31, 2025, 2024 and 2023 and is a summary of segment revenue, loss and our significant expenses. Prior periods have been recast to conform to the newly identified segments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Biopharma</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right"/>
              <w:ind w:right="452"/>
              <w:spacing w:after="0" w:line="118" w:lineRule="exact"/>
              <w:rPr>
                <w:sz w:val="20"/>
                <w:szCs w:val="20"/>
                <w:color w:val="auto"/>
              </w:rPr>
            </w:pPr>
            <w:r>
              <w:rPr>
                <w:rFonts w:ascii="Times New Roman" w:cs="Times New Roman" w:eastAsia="Times New Roman" w:hAnsi="Times New Roman"/>
                <w:sz w:val="13"/>
                <w:szCs w:val="13"/>
                <w:b w:val="1"/>
                <w:bCs w:val="1"/>
                <w:color w:val="auto"/>
              </w:rPr>
              <w:t>Royalty</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202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234,603</w:t>
            </w:r>
          </w:p>
        </w:tc>
        <w:tc>
          <w:tcPr>
            <w:tcW w:w="420" w:type="dxa"/>
            <w:vAlign w:val="bottom"/>
            <w:gridSpan w:val="2"/>
            <w:shd w:val="clear" w:color="auto" w:fill="CFF0FC"/>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234,603</w:t>
            </w:r>
          </w:p>
        </w:tc>
        <w:tc>
          <w:tcPr>
            <w:tcW w:w="0" w:type="dxa"/>
            <w:vAlign w:val="bottom"/>
          </w:tcPr>
          <w:p>
            <w:pPr>
              <w:spacing w:after="0"/>
              <w:rPr>
                <w:sz w:val="1"/>
                <w:szCs w:val="1"/>
                <w:color w:val="auto"/>
              </w:rPr>
            </w:pPr>
          </w:p>
        </w:tc>
      </w:tr>
      <w:tr>
        <w:trPr>
          <w:trHeight w:val="183"/>
        </w:trPr>
        <w:tc>
          <w:tcPr>
            <w:tcW w:w="482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Operating expenses:</w:t>
            </w:r>
          </w:p>
        </w:tc>
        <w:tc>
          <w:tcPr>
            <w:tcW w:w="18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External R&amp;D</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Rosnilimab</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42,744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42,744</w:t>
            </w: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ANB033</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20,427</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20,427</w:t>
            </w: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ANB101</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8,138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8,138</w:t>
            </w: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ANB032</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57"/>
        </w:trPr>
        <w:tc>
          <w:tcPr>
            <w:tcW w:w="4820" w:type="dxa"/>
            <w:vAlign w:val="bottom"/>
          </w:tcPr>
          <w:p>
            <w:pPr>
              <w:ind w:left="240"/>
              <w:spacing w:after="0" w:line="157" w:lineRule="exact"/>
              <w:rPr>
                <w:sz w:val="20"/>
                <w:szCs w:val="20"/>
                <w:color w:val="auto"/>
              </w:rPr>
            </w:pPr>
            <w:r>
              <w:rPr>
                <w:rFonts w:ascii="Times New Roman" w:cs="Times New Roman" w:eastAsia="Times New Roman" w:hAnsi="Times New Roman"/>
                <w:sz w:val="18"/>
                <w:szCs w:val="18"/>
                <w:color w:val="auto"/>
              </w:rPr>
              <w:t>Imsidolimab</w:t>
            </w: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52"/>
              <w:spacing w:after="0" w:line="157"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(2,273)</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182"/>
        </w:trPr>
        <w:tc>
          <w:tcPr>
            <w:tcW w:w="482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Preclinical and other unallocated costs</w:t>
            </w: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16,093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16,093</w:t>
            </w:r>
          </w:p>
        </w:tc>
        <w:tc>
          <w:tcPr>
            <w:tcW w:w="0" w:type="dxa"/>
            <w:vAlign w:val="bottom"/>
          </w:tcPr>
          <w:p>
            <w:pPr>
              <w:spacing w:after="0"/>
              <w:rPr>
                <w:sz w:val="1"/>
                <w:szCs w:val="1"/>
                <w:color w:val="auto"/>
              </w:rPr>
            </w:pPr>
          </w:p>
        </w:tc>
      </w:tr>
      <w:tr>
        <w:trPr>
          <w:trHeight w:val="38"/>
        </w:trPr>
        <w:tc>
          <w:tcPr>
            <w:tcW w:w="4820" w:type="dxa"/>
            <w:vAlign w:val="bottom"/>
            <w:vMerge w:val="restart"/>
          </w:tcPr>
          <w:p>
            <w:pPr>
              <w:ind w:left="240"/>
              <w:spacing w:after="0" w:line="202" w:lineRule="exact"/>
              <w:rPr>
                <w:sz w:val="20"/>
                <w:szCs w:val="20"/>
                <w:color w:val="auto"/>
              </w:rPr>
            </w:pPr>
            <w:r>
              <w:rPr>
                <w:rFonts w:ascii="Times New Roman" w:cs="Times New Roman" w:eastAsia="Times New Roman" w:hAnsi="Times New Roman"/>
                <w:sz w:val="17"/>
                <w:szCs w:val="17"/>
                <w:color w:val="auto"/>
              </w:rPr>
              <w:t>Total External R&amp;D</w:t>
            </w:r>
            <w:r>
              <w:rPr>
                <w:rFonts w:ascii="Times New Roman" w:cs="Times New Roman" w:eastAsia="Times New Roman" w:hAnsi="Times New Roman"/>
                <w:sz w:val="23"/>
                <w:szCs w:val="23"/>
                <w:color w:val="auto"/>
                <w:vertAlign w:val="superscript"/>
              </w:rPr>
              <w:t>(1)</w:t>
            </w:r>
          </w:p>
        </w:tc>
        <w:tc>
          <w:tcPr>
            <w:tcW w:w="1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482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6"/>
                <w:szCs w:val="16"/>
                <w:color w:val="auto"/>
              </w:rPr>
              <w:t>87,450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(2,273)</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1"/>
              <w:spacing w:after="0" w:line="144" w:lineRule="exact"/>
              <w:rPr>
                <w:sz w:val="20"/>
                <w:szCs w:val="20"/>
                <w:color w:val="auto"/>
              </w:rPr>
            </w:pPr>
            <w:r>
              <w:rPr>
                <w:rFonts w:ascii="Times New Roman" w:cs="Times New Roman" w:eastAsia="Times New Roman" w:hAnsi="Times New Roman"/>
                <w:sz w:val="16"/>
                <w:szCs w:val="16"/>
                <w:color w:val="auto"/>
              </w:rPr>
              <w:t>85,177</w:t>
            </w:r>
          </w:p>
        </w:tc>
        <w:tc>
          <w:tcPr>
            <w:tcW w:w="0" w:type="dxa"/>
            <w:vAlign w:val="bottom"/>
          </w:tcPr>
          <w:p>
            <w:pPr>
              <w:spacing w:after="0"/>
              <w:rPr>
                <w:sz w:val="1"/>
                <w:szCs w:val="1"/>
                <w:color w:val="auto"/>
              </w:rPr>
            </w:pPr>
          </w:p>
        </w:tc>
      </w:tr>
      <w:tr>
        <w:trPr>
          <w:trHeight w:val="38"/>
        </w:trPr>
        <w:tc>
          <w:tcPr>
            <w:tcW w:w="4820" w:type="dxa"/>
            <w:vAlign w:val="bottom"/>
            <w:vMerge w:val="restart"/>
          </w:tcPr>
          <w:p>
            <w:pPr>
              <w:ind w:left="240"/>
              <w:spacing w:after="0" w:line="241" w:lineRule="exact"/>
              <w:rPr>
                <w:sz w:val="20"/>
                <w:szCs w:val="20"/>
                <w:color w:val="auto"/>
              </w:rPr>
            </w:pPr>
            <w:r>
              <w:rPr>
                <w:rFonts w:ascii="Times New Roman" w:cs="Times New Roman" w:eastAsia="Times New Roman" w:hAnsi="Times New Roman"/>
                <w:sz w:val="18"/>
                <w:szCs w:val="18"/>
                <w:color w:val="auto"/>
              </w:rPr>
              <w:t>Total Internal R&amp;D</w:t>
            </w:r>
            <w:r>
              <w:rPr>
                <w:rFonts w:ascii="Times New Roman" w:cs="Times New Roman" w:eastAsia="Times New Roman" w:hAnsi="Times New Roman"/>
                <w:sz w:val="24"/>
                <w:szCs w:val="24"/>
                <w:color w:val="auto"/>
                <w:vertAlign w:val="superscript"/>
              </w:rPr>
              <w:t>(2)</w:t>
            </w:r>
          </w:p>
        </w:tc>
        <w:tc>
          <w:tcPr>
            <w:tcW w:w="1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82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52,164</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(1,371)</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50,793</w:t>
            </w:r>
          </w:p>
        </w:tc>
        <w:tc>
          <w:tcPr>
            <w:tcW w:w="0" w:type="dxa"/>
            <w:vAlign w:val="bottom"/>
          </w:tcPr>
          <w:p>
            <w:pPr>
              <w:spacing w:after="0"/>
              <w:rPr>
                <w:sz w:val="1"/>
                <w:szCs w:val="1"/>
                <w:color w:val="auto"/>
              </w:rPr>
            </w:pPr>
          </w:p>
        </w:tc>
      </w:tr>
      <w:tr>
        <w:trPr>
          <w:trHeight w:val="183"/>
        </w:trPr>
        <w:tc>
          <w:tcPr>
            <w:tcW w:w="482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Total R&amp;D</w:t>
            </w: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139,614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(3,644)</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135,970</w:t>
            </w:r>
          </w:p>
        </w:tc>
        <w:tc>
          <w:tcPr>
            <w:tcW w:w="0" w:type="dxa"/>
            <w:vAlign w:val="bottom"/>
          </w:tcPr>
          <w:p>
            <w:pPr>
              <w:spacing w:after="0"/>
              <w:rPr>
                <w:sz w:val="1"/>
                <w:szCs w:val="1"/>
                <w:color w:val="auto"/>
              </w:rPr>
            </w:pPr>
          </w:p>
        </w:tc>
      </w:tr>
      <w:tr>
        <w:trPr>
          <w:trHeight w:val="338"/>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External G&amp;A</w:t>
            </w:r>
            <w:r>
              <w:rPr>
                <w:rFonts w:ascii="Times New Roman" w:cs="Times New Roman" w:eastAsia="Times New Roman" w:hAnsi="Times New Roman"/>
                <w:sz w:val="24"/>
                <w:szCs w:val="24"/>
                <w:color w:val="auto"/>
                <w:vertAlign w:val="superscript"/>
              </w:rPr>
              <w:t>(3)</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13,932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4,012</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17,944</w:t>
            </w: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line="229" w:lineRule="exact"/>
              <w:rPr>
                <w:sz w:val="20"/>
                <w:szCs w:val="20"/>
                <w:color w:val="auto"/>
              </w:rPr>
            </w:pPr>
            <w:r>
              <w:rPr>
                <w:rFonts w:ascii="Times New Roman" w:cs="Times New Roman" w:eastAsia="Times New Roman" w:hAnsi="Times New Roman"/>
                <w:sz w:val="18"/>
                <w:szCs w:val="18"/>
                <w:color w:val="auto"/>
              </w:rPr>
              <w:t>Internal G&amp;A</w:t>
            </w:r>
            <w:r>
              <w:rPr>
                <w:rFonts w:ascii="Times New Roman" w:cs="Times New Roman" w:eastAsia="Times New Roman" w:hAnsi="Times New Roman"/>
                <w:sz w:val="24"/>
                <w:szCs w:val="24"/>
                <w:color w:val="auto"/>
                <w:vertAlign w:val="superscript"/>
              </w:rPr>
              <w:t>(1)</w:t>
            </w:r>
          </w:p>
        </w:tc>
        <w:tc>
          <w:tcPr>
            <w:tcW w:w="1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25,460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7,333</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32,793</w:t>
            </w:r>
          </w:p>
        </w:tc>
        <w:tc>
          <w:tcPr>
            <w:tcW w:w="0" w:type="dxa"/>
            <w:vAlign w:val="bottom"/>
          </w:tcPr>
          <w:p>
            <w:pPr>
              <w:spacing w:after="0"/>
              <w:rPr>
                <w:sz w:val="1"/>
                <w:szCs w:val="1"/>
                <w:color w:val="auto"/>
              </w:rPr>
            </w:pPr>
          </w:p>
        </w:tc>
      </w:tr>
      <w:tr>
        <w:trPr>
          <w:trHeight w:val="183"/>
        </w:trPr>
        <w:tc>
          <w:tcPr>
            <w:tcW w:w="482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Total G&amp;A</w:t>
            </w: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39,392</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11,345</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50,737</w:t>
            </w:r>
          </w:p>
        </w:tc>
        <w:tc>
          <w:tcPr>
            <w:tcW w:w="0" w:type="dxa"/>
            <w:vAlign w:val="bottom"/>
          </w:tcPr>
          <w:p>
            <w:pPr>
              <w:spacing w:after="0"/>
              <w:rPr>
                <w:sz w:val="1"/>
                <w:szCs w:val="1"/>
                <w:color w:val="auto"/>
              </w:rPr>
            </w:pPr>
          </w:p>
        </w:tc>
      </w:tr>
      <w:tr>
        <w:trPr>
          <w:trHeight w:val="183"/>
        </w:trPr>
        <w:tc>
          <w:tcPr>
            <w:tcW w:w="4820" w:type="dxa"/>
            <w:vAlign w:val="bottom"/>
            <w:tcBorders>
              <w:bottom w:val="single" w:sz="8" w:color="CFF0FC"/>
            </w:tcBorders>
            <w:shd w:val="clear" w:color="auto" w:fill="CFF0FC"/>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operating expenses</w:t>
            </w:r>
          </w:p>
        </w:tc>
        <w:tc>
          <w:tcPr>
            <w:tcW w:w="18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179,006</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7,701</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186,707</w:t>
            </w:r>
          </w:p>
        </w:tc>
        <w:tc>
          <w:tcPr>
            <w:tcW w:w="0" w:type="dxa"/>
            <w:vAlign w:val="bottom"/>
          </w:tcPr>
          <w:p>
            <w:pPr>
              <w:spacing w:after="0"/>
              <w:rPr>
                <w:sz w:val="1"/>
                <w:szCs w:val="1"/>
                <w:color w:val="auto"/>
              </w:rPr>
            </w:pPr>
          </w:p>
        </w:tc>
      </w:tr>
      <w:tr>
        <w:trPr>
          <w:trHeight w:val="183"/>
        </w:trPr>
        <w:tc>
          <w:tcPr>
            <w:tcW w:w="482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(Loss) income from operations</w:t>
            </w: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(179,006)</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226,902</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47,896</w:t>
            </w:r>
          </w:p>
        </w:tc>
        <w:tc>
          <w:tcPr>
            <w:tcW w:w="0" w:type="dxa"/>
            <w:vAlign w:val="bottom"/>
          </w:tcPr>
          <w:p>
            <w:pPr>
              <w:spacing w:after="0"/>
              <w:rPr>
                <w:sz w:val="1"/>
                <w:szCs w:val="1"/>
                <w:color w:val="auto"/>
              </w:rPr>
            </w:pPr>
          </w:p>
        </w:tc>
      </w:tr>
      <w:tr>
        <w:trPr>
          <w:trHeight w:val="183"/>
        </w:trPr>
        <w:tc>
          <w:tcPr>
            <w:tcW w:w="482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12,942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557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13,499</w:t>
            </w: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Non-cash interest expense</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(79,893)</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(79,893)</w:t>
            </w: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Other (expense) income, net</w:t>
            </w:r>
          </w:p>
        </w:tc>
        <w:tc>
          <w:tcPr>
            <w:tcW w:w="1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5,453</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183"/>
        </w:trPr>
        <w:tc>
          <w:tcPr>
            <w:tcW w:w="4820" w:type="dxa"/>
            <w:vAlign w:val="bottom"/>
            <w:tcBorders>
              <w:bottom w:val="single" w:sz="8" w:color="CFF0FC"/>
            </w:tcBorders>
            <w:shd w:val="clear" w:color="auto" w:fill="CFF0FC"/>
          </w:tcPr>
          <w:p>
            <w:pPr>
              <w:ind w:left="240"/>
              <w:spacing w:after="0" w:line="182"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18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12,919</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(73,883)</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(60,964)</w:t>
            </w: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(Loss) income before income taxes</w:t>
            </w:r>
          </w:p>
        </w:tc>
        <w:tc>
          <w:tcPr>
            <w:tcW w:w="18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(166,087)</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153,019</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(13,068)</w:t>
            </w:r>
          </w:p>
        </w:tc>
        <w:tc>
          <w:tcPr>
            <w:tcW w:w="0" w:type="dxa"/>
            <w:vAlign w:val="bottom"/>
          </w:tcPr>
          <w:p>
            <w:pPr>
              <w:spacing w:after="0"/>
              <w:rPr>
                <w:sz w:val="1"/>
                <w:szCs w:val="1"/>
                <w:color w:val="auto"/>
              </w:rPr>
            </w:pPr>
          </w:p>
        </w:tc>
      </w:tr>
      <w:tr>
        <w:trPr>
          <w:trHeight w:val="182"/>
        </w:trPr>
        <w:tc>
          <w:tcPr>
            <w:tcW w:w="482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Provision for income taxes</w:t>
            </w: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shd w:val="clear" w:color="auto" w:fill="CFF0FC"/>
          </w:tcPr>
          <w:p>
            <w:pPr>
              <w:ind w:left="240"/>
              <w:spacing w:after="0" w:line="182" w:lineRule="exact"/>
              <w:rPr>
                <w:sz w:val="20"/>
                <w:szCs w:val="20"/>
                <w:color w:val="auto"/>
              </w:rPr>
            </w:pPr>
            <w:r>
              <w:rPr>
                <w:rFonts w:ascii="Times New Roman" w:cs="Times New Roman" w:eastAsia="Times New Roman" w:hAnsi="Times New Roman"/>
                <w:sz w:val="18"/>
                <w:szCs w:val="18"/>
                <w:color w:val="auto"/>
              </w:rPr>
              <w:t>Segment net (loss) income</w:t>
            </w:r>
          </w:p>
        </w:tc>
        <w:tc>
          <w:tcPr>
            <w:tcW w:w="1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(166,087)</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152,855</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(13,232)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1200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-3256915</wp:posOffset>
            </wp:positionV>
            <wp:extent cx="1028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-3256915</wp:posOffset>
            </wp:positionV>
            <wp:extent cx="939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-2407920</wp:posOffset>
            </wp:positionV>
            <wp:extent cx="7132320"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-2150745</wp:posOffset>
            </wp:positionV>
            <wp:extent cx="7132320"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-1285240</wp:posOffset>
            </wp:positionV>
            <wp:extent cx="1028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-1285240</wp:posOffset>
            </wp:positionV>
            <wp:extent cx="939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-539750</wp:posOffset>
            </wp:positionV>
            <wp:extent cx="1028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-539750</wp:posOffset>
            </wp:positionV>
            <wp:extent cx="939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-281940</wp:posOffset>
            </wp:positionV>
            <wp:extent cx="1028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-281940</wp:posOffset>
            </wp:positionV>
            <wp:extent cx="939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1028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1028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939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939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10" w:lineRule="exact"/>
        <w:rPr>
          <w:sz w:val="20"/>
          <w:szCs w:val="20"/>
          <w:color w:val="auto"/>
        </w:rPr>
      </w:pPr>
    </w:p>
    <w:p>
      <w:pPr>
        <w:ind w:left="580" w:right="220" w:hanging="572"/>
        <w:spacing w:after="0" w:line="217" w:lineRule="auto"/>
        <w:tabs>
          <w:tab w:leader="none" w:pos="58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External R&amp;D consists of costs associated with our research and development activities, including drug discovery efforts, preclinical and clinical development of our programs, manufacturing, and allocated facility-related costs.</w:t>
      </w:r>
    </w:p>
    <w:p>
      <w:pPr>
        <w:ind w:left="580" w:hanging="572"/>
        <w:spacing w:after="0" w:line="211" w:lineRule="auto"/>
        <w:tabs>
          <w:tab w:leader="none" w:pos="58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Internal R&amp;D and G&amp;A consist of salaries and wages, stock-based compensation, recruiting and other employee benefits.</w:t>
      </w:r>
    </w:p>
    <w:p>
      <w:pPr>
        <w:spacing w:after="0" w:line="29" w:lineRule="exact"/>
        <w:rPr>
          <w:rFonts w:ascii="Times New Roman" w:cs="Times New Roman" w:eastAsia="Times New Roman" w:hAnsi="Times New Roman"/>
          <w:sz w:val="24"/>
          <w:szCs w:val="24"/>
          <w:color w:val="auto"/>
          <w:vertAlign w:val="superscript"/>
        </w:rPr>
      </w:pPr>
    </w:p>
    <w:p>
      <w:pPr>
        <w:ind w:left="580" w:right="100" w:hanging="572"/>
        <w:spacing w:after="0" w:line="213" w:lineRule="auto"/>
        <w:tabs>
          <w:tab w:leader="none" w:pos="58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External G&amp;A consists of general and administrative expenses including transaction costs, legal services, insurance, professional fees for auditing, tax, and market research, and allocated facility-related costs not otherwise included in research and development expenses.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Biopharma</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right"/>
              <w:ind w:right="452"/>
              <w:spacing w:after="0" w:line="131" w:lineRule="exact"/>
              <w:rPr>
                <w:sz w:val="20"/>
                <w:szCs w:val="20"/>
                <w:color w:val="auto"/>
              </w:rPr>
            </w:pPr>
            <w:r>
              <w:rPr>
                <w:rFonts w:ascii="Times New Roman" w:cs="Times New Roman" w:eastAsia="Times New Roman" w:hAnsi="Times New Roman"/>
                <w:sz w:val="14"/>
                <w:szCs w:val="14"/>
                <w:b w:val="1"/>
                <w:bCs w:val="1"/>
                <w:color w:val="auto"/>
              </w:rPr>
              <w:t>Royalty</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92"/>
              <w:spacing w:after="0" w:line="160"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202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91,280</w:t>
            </w:r>
          </w:p>
        </w:tc>
        <w:tc>
          <w:tcPr>
            <w:tcW w:w="420" w:type="dxa"/>
            <w:vAlign w:val="bottom"/>
            <w:gridSpan w:val="2"/>
            <w:shd w:val="clear" w:color="auto" w:fill="CFF0FC"/>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91,280</w:t>
            </w:r>
          </w:p>
        </w:tc>
        <w:tc>
          <w:tcPr>
            <w:tcW w:w="0" w:type="dxa"/>
            <w:vAlign w:val="bottom"/>
          </w:tcPr>
          <w:p>
            <w:pPr>
              <w:spacing w:after="0"/>
              <w:rPr>
                <w:sz w:val="1"/>
                <w:szCs w:val="1"/>
                <w:color w:val="auto"/>
              </w:rPr>
            </w:pPr>
          </w:p>
        </w:tc>
      </w:tr>
      <w:tr>
        <w:trPr>
          <w:trHeight w:val="183"/>
        </w:trPr>
        <w:tc>
          <w:tcPr>
            <w:tcW w:w="482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Operating expenses:</w:t>
            </w:r>
          </w:p>
        </w:tc>
        <w:tc>
          <w:tcPr>
            <w:tcW w:w="18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External R&amp;D</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Rosnilimab</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53,422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53,422</w:t>
            </w: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ANB032</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26,084</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26,084</w:t>
            </w: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ANB033</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12,460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12,460</w:t>
            </w: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ANB101</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3,367</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157"/>
        </w:trPr>
        <w:tc>
          <w:tcPr>
            <w:tcW w:w="4820" w:type="dxa"/>
            <w:vAlign w:val="bottom"/>
          </w:tcPr>
          <w:p>
            <w:pPr>
              <w:ind w:left="360"/>
              <w:spacing w:after="0" w:line="157" w:lineRule="exact"/>
              <w:rPr>
                <w:sz w:val="20"/>
                <w:szCs w:val="20"/>
                <w:color w:val="auto"/>
              </w:rPr>
            </w:pPr>
            <w:r>
              <w:rPr>
                <w:rFonts w:ascii="Times New Roman" w:cs="Times New Roman" w:eastAsia="Times New Roman" w:hAnsi="Times New Roman"/>
                <w:sz w:val="18"/>
                <w:szCs w:val="18"/>
                <w:color w:val="auto"/>
              </w:rPr>
              <w:t>Imsidolimab</w:t>
            </w: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52"/>
              <w:spacing w:after="0" w:line="157"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32"/>
              <w:spacing w:after="0" w:line="157" w:lineRule="exact"/>
              <w:rPr>
                <w:sz w:val="20"/>
                <w:szCs w:val="20"/>
                <w:color w:val="auto"/>
              </w:rPr>
            </w:pPr>
            <w:r>
              <w:rPr>
                <w:rFonts w:ascii="Times New Roman" w:cs="Times New Roman" w:eastAsia="Times New Roman" w:hAnsi="Times New Roman"/>
                <w:sz w:val="18"/>
                <w:szCs w:val="18"/>
                <w:color w:val="auto"/>
              </w:rPr>
              <w:t>8,284</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1"/>
              <w:spacing w:after="0" w:line="157" w:lineRule="exact"/>
              <w:rPr>
                <w:sz w:val="20"/>
                <w:szCs w:val="20"/>
                <w:color w:val="auto"/>
              </w:rPr>
            </w:pPr>
            <w:r>
              <w:rPr>
                <w:rFonts w:ascii="Times New Roman" w:cs="Times New Roman" w:eastAsia="Times New Roman" w:hAnsi="Times New Roman"/>
                <w:sz w:val="18"/>
                <w:szCs w:val="18"/>
                <w:color w:val="auto"/>
              </w:rPr>
              <w:t>8,284</w:t>
            </w:r>
          </w:p>
        </w:tc>
        <w:tc>
          <w:tcPr>
            <w:tcW w:w="0" w:type="dxa"/>
            <w:vAlign w:val="bottom"/>
          </w:tcPr>
          <w:p>
            <w:pPr>
              <w:spacing w:after="0"/>
              <w:rPr>
                <w:sz w:val="1"/>
                <w:szCs w:val="1"/>
                <w:color w:val="auto"/>
              </w:rPr>
            </w:pPr>
          </w:p>
        </w:tc>
      </w:tr>
      <w:tr>
        <w:trPr>
          <w:trHeight w:val="182"/>
        </w:trPr>
        <w:tc>
          <w:tcPr>
            <w:tcW w:w="482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Preclinical and other unallocated costs</w:t>
            </w: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14,350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14,350</w:t>
            </w:r>
          </w:p>
        </w:tc>
        <w:tc>
          <w:tcPr>
            <w:tcW w:w="0" w:type="dxa"/>
            <w:vAlign w:val="bottom"/>
          </w:tcPr>
          <w:p>
            <w:pPr>
              <w:spacing w:after="0"/>
              <w:rPr>
                <w:sz w:val="1"/>
                <w:szCs w:val="1"/>
                <w:color w:val="auto"/>
              </w:rPr>
            </w:pPr>
          </w:p>
        </w:tc>
      </w:tr>
      <w:tr>
        <w:trPr>
          <w:trHeight w:val="38"/>
        </w:trPr>
        <w:tc>
          <w:tcPr>
            <w:tcW w:w="4820" w:type="dxa"/>
            <w:vAlign w:val="bottom"/>
            <w:vMerge w:val="restart"/>
          </w:tcPr>
          <w:p>
            <w:pPr>
              <w:ind w:left="240"/>
              <w:spacing w:after="0" w:line="202" w:lineRule="exact"/>
              <w:rPr>
                <w:sz w:val="20"/>
                <w:szCs w:val="20"/>
                <w:color w:val="auto"/>
              </w:rPr>
            </w:pPr>
            <w:r>
              <w:rPr>
                <w:rFonts w:ascii="Times New Roman" w:cs="Times New Roman" w:eastAsia="Times New Roman" w:hAnsi="Times New Roman"/>
                <w:sz w:val="17"/>
                <w:szCs w:val="17"/>
                <w:color w:val="auto"/>
              </w:rPr>
              <w:t>Total External R&amp;D</w:t>
            </w:r>
            <w:r>
              <w:rPr>
                <w:rFonts w:ascii="Times New Roman" w:cs="Times New Roman" w:eastAsia="Times New Roman" w:hAnsi="Times New Roman"/>
                <w:sz w:val="23"/>
                <w:szCs w:val="23"/>
                <w:color w:val="auto"/>
                <w:vertAlign w:val="superscript"/>
              </w:rPr>
              <w:t>(1)</w:t>
            </w:r>
          </w:p>
        </w:tc>
        <w:tc>
          <w:tcPr>
            <w:tcW w:w="1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482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6"/>
                <w:szCs w:val="16"/>
                <w:color w:val="auto"/>
              </w:rPr>
              <w:t>109,683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6"/>
                <w:szCs w:val="16"/>
                <w:color w:val="auto"/>
              </w:rPr>
              <w:t>8,284</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1"/>
              <w:spacing w:after="0" w:line="144" w:lineRule="exact"/>
              <w:rPr>
                <w:sz w:val="20"/>
                <w:szCs w:val="20"/>
                <w:color w:val="auto"/>
              </w:rPr>
            </w:pPr>
            <w:r>
              <w:rPr>
                <w:rFonts w:ascii="Times New Roman" w:cs="Times New Roman" w:eastAsia="Times New Roman" w:hAnsi="Times New Roman"/>
                <w:sz w:val="16"/>
                <w:szCs w:val="16"/>
                <w:color w:val="auto"/>
              </w:rPr>
              <w:t>117,967</w:t>
            </w:r>
          </w:p>
        </w:tc>
        <w:tc>
          <w:tcPr>
            <w:tcW w:w="0" w:type="dxa"/>
            <w:vAlign w:val="bottom"/>
          </w:tcPr>
          <w:p>
            <w:pPr>
              <w:spacing w:after="0"/>
              <w:rPr>
                <w:sz w:val="1"/>
                <w:szCs w:val="1"/>
                <w:color w:val="auto"/>
              </w:rPr>
            </w:pPr>
          </w:p>
        </w:tc>
      </w:tr>
      <w:tr>
        <w:trPr>
          <w:trHeight w:val="38"/>
        </w:trPr>
        <w:tc>
          <w:tcPr>
            <w:tcW w:w="4820" w:type="dxa"/>
            <w:vAlign w:val="bottom"/>
            <w:vMerge w:val="restart"/>
          </w:tcPr>
          <w:p>
            <w:pPr>
              <w:ind w:left="240"/>
              <w:spacing w:after="0" w:line="241" w:lineRule="exact"/>
              <w:rPr>
                <w:sz w:val="20"/>
                <w:szCs w:val="20"/>
                <w:color w:val="auto"/>
              </w:rPr>
            </w:pPr>
            <w:r>
              <w:rPr>
                <w:rFonts w:ascii="Times New Roman" w:cs="Times New Roman" w:eastAsia="Times New Roman" w:hAnsi="Times New Roman"/>
                <w:sz w:val="18"/>
                <w:szCs w:val="18"/>
                <w:color w:val="auto"/>
              </w:rPr>
              <w:t>Total Internal R&amp;D</w:t>
            </w:r>
            <w:r>
              <w:rPr>
                <w:rFonts w:ascii="Times New Roman" w:cs="Times New Roman" w:eastAsia="Times New Roman" w:hAnsi="Times New Roman"/>
                <w:sz w:val="24"/>
                <w:szCs w:val="24"/>
                <w:color w:val="auto"/>
                <w:vertAlign w:val="superscript"/>
              </w:rPr>
              <w:t>(2)</w:t>
            </w:r>
          </w:p>
        </w:tc>
        <w:tc>
          <w:tcPr>
            <w:tcW w:w="1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82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42,662</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3,211</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45,873</w:t>
            </w:r>
          </w:p>
        </w:tc>
        <w:tc>
          <w:tcPr>
            <w:tcW w:w="0" w:type="dxa"/>
            <w:vAlign w:val="bottom"/>
          </w:tcPr>
          <w:p>
            <w:pPr>
              <w:spacing w:after="0"/>
              <w:rPr>
                <w:sz w:val="1"/>
                <w:szCs w:val="1"/>
                <w:color w:val="auto"/>
              </w:rPr>
            </w:pPr>
          </w:p>
        </w:tc>
      </w:tr>
      <w:tr>
        <w:trPr>
          <w:trHeight w:val="183"/>
        </w:trPr>
        <w:tc>
          <w:tcPr>
            <w:tcW w:w="482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R&amp;D</w:t>
            </w: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152,345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11,495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163,840</w:t>
            </w:r>
          </w:p>
        </w:tc>
        <w:tc>
          <w:tcPr>
            <w:tcW w:w="0" w:type="dxa"/>
            <w:vAlign w:val="bottom"/>
          </w:tcPr>
          <w:p>
            <w:pPr>
              <w:spacing w:after="0"/>
              <w:rPr>
                <w:sz w:val="1"/>
                <w:szCs w:val="1"/>
                <w:color w:val="auto"/>
              </w:rPr>
            </w:pPr>
          </w:p>
        </w:tc>
      </w:tr>
      <w:tr>
        <w:trPr>
          <w:trHeight w:val="338"/>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External G&amp;A</w:t>
            </w:r>
            <w:r>
              <w:rPr>
                <w:rFonts w:ascii="Times New Roman" w:cs="Times New Roman" w:eastAsia="Times New Roman" w:hAnsi="Times New Roman"/>
                <w:sz w:val="24"/>
                <w:szCs w:val="24"/>
                <w:color w:val="auto"/>
                <w:vertAlign w:val="superscript"/>
              </w:rPr>
              <w:t>(3)</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6,806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3,227</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10,033</w:t>
            </w: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line="229" w:lineRule="exact"/>
              <w:rPr>
                <w:sz w:val="20"/>
                <w:szCs w:val="20"/>
                <w:color w:val="auto"/>
              </w:rPr>
            </w:pPr>
            <w:r>
              <w:rPr>
                <w:rFonts w:ascii="Times New Roman" w:cs="Times New Roman" w:eastAsia="Times New Roman" w:hAnsi="Times New Roman"/>
                <w:sz w:val="18"/>
                <w:szCs w:val="18"/>
                <w:color w:val="auto"/>
              </w:rPr>
              <w:t>Internal G&amp;A</w:t>
            </w:r>
            <w:r>
              <w:rPr>
                <w:rFonts w:ascii="Times New Roman" w:cs="Times New Roman" w:eastAsia="Times New Roman" w:hAnsi="Times New Roman"/>
                <w:sz w:val="24"/>
                <w:szCs w:val="24"/>
                <w:color w:val="auto"/>
                <w:vertAlign w:val="superscript"/>
              </w:rPr>
              <w:t>(1)</w:t>
            </w:r>
          </w:p>
        </w:tc>
        <w:tc>
          <w:tcPr>
            <w:tcW w:w="1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21,950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10,406</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32,356</w:t>
            </w:r>
          </w:p>
        </w:tc>
        <w:tc>
          <w:tcPr>
            <w:tcW w:w="0" w:type="dxa"/>
            <w:vAlign w:val="bottom"/>
          </w:tcPr>
          <w:p>
            <w:pPr>
              <w:spacing w:after="0"/>
              <w:rPr>
                <w:sz w:val="1"/>
                <w:szCs w:val="1"/>
                <w:color w:val="auto"/>
              </w:rPr>
            </w:pPr>
          </w:p>
        </w:tc>
      </w:tr>
      <w:tr>
        <w:trPr>
          <w:trHeight w:val="183"/>
        </w:trPr>
        <w:tc>
          <w:tcPr>
            <w:tcW w:w="482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G&amp;A</w:t>
            </w: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28,756</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13,633</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42,389</w:t>
            </w:r>
          </w:p>
        </w:tc>
        <w:tc>
          <w:tcPr>
            <w:tcW w:w="0" w:type="dxa"/>
            <w:vAlign w:val="bottom"/>
          </w:tcPr>
          <w:p>
            <w:pPr>
              <w:spacing w:after="0"/>
              <w:rPr>
                <w:sz w:val="1"/>
                <w:szCs w:val="1"/>
                <w:color w:val="auto"/>
              </w:rPr>
            </w:pPr>
          </w:p>
        </w:tc>
      </w:tr>
      <w:tr>
        <w:trPr>
          <w:trHeight w:val="183"/>
        </w:trPr>
        <w:tc>
          <w:tcPr>
            <w:tcW w:w="4820" w:type="dxa"/>
            <w:vAlign w:val="bottom"/>
            <w:tcBorders>
              <w:bottom w:val="single" w:sz="8" w:color="CFF0FC"/>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operating expenses</w:t>
            </w:r>
          </w:p>
        </w:tc>
        <w:tc>
          <w:tcPr>
            <w:tcW w:w="18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181,101</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25,128</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206,229</w:t>
            </w:r>
          </w:p>
        </w:tc>
        <w:tc>
          <w:tcPr>
            <w:tcW w:w="0" w:type="dxa"/>
            <w:vAlign w:val="bottom"/>
          </w:tcPr>
          <w:p>
            <w:pPr>
              <w:spacing w:after="0"/>
              <w:rPr>
                <w:sz w:val="1"/>
                <w:szCs w:val="1"/>
                <w:color w:val="auto"/>
              </w:rPr>
            </w:pPr>
          </w:p>
        </w:tc>
      </w:tr>
      <w:tr>
        <w:trPr>
          <w:trHeight w:val="183"/>
        </w:trPr>
        <w:tc>
          <w:tcPr>
            <w:tcW w:w="482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(Loss) income from operations</w:t>
            </w: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(181,101)</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66,152</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(114,949)</w:t>
            </w:r>
          </w:p>
        </w:tc>
        <w:tc>
          <w:tcPr>
            <w:tcW w:w="0" w:type="dxa"/>
            <w:vAlign w:val="bottom"/>
          </w:tcPr>
          <w:p>
            <w:pPr>
              <w:spacing w:after="0"/>
              <w:rPr>
                <w:sz w:val="1"/>
                <w:szCs w:val="1"/>
                <w:color w:val="auto"/>
              </w:rPr>
            </w:pPr>
          </w:p>
        </w:tc>
      </w:tr>
      <w:tr>
        <w:trPr>
          <w:trHeight w:val="183"/>
        </w:trPr>
        <w:tc>
          <w:tcPr>
            <w:tcW w:w="482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17,382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2,412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19,794</w:t>
            </w: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Non-cash interest expense</w:t>
            </w:r>
          </w:p>
        </w:tc>
        <w:tc>
          <w:tcPr>
            <w:tcW w:w="1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(50,087)</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(50,087)</w:t>
            </w:r>
          </w:p>
        </w:tc>
        <w:tc>
          <w:tcPr>
            <w:tcW w:w="0" w:type="dxa"/>
            <w:vAlign w:val="bottom"/>
          </w:tcPr>
          <w:p>
            <w:pPr>
              <w:spacing w:after="0"/>
              <w:rPr>
                <w:sz w:val="1"/>
                <w:szCs w:val="1"/>
                <w:color w:val="auto"/>
              </w:rPr>
            </w:pPr>
          </w:p>
        </w:tc>
      </w:tr>
      <w:tr>
        <w:trPr>
          <w:trHeight w:val="189"/>
        </w:trPr>
        <w:tc>
          <w:tcPr>
            <w:tcW w:w="48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Other income, net</w:t>
            </w:r>
          </w:p>
        </w:tc>
        <w:tc>
          <w:tcPr>
            <w:tcW w:w="1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83"/>
        </w:trPr>
        <w:tc>
          <w:tcPr>
            <w:tcW w:w="4820" w:type="dxa"/>
            <w:vAlign w:val="bottom"/>
            <w:tcBorders>
              <w:bottom w:val="single" w:sz="8" w:color="CFF0FC"/>
            </w:tcBorders>
            <w:shd w:val="clear" w:color="auto" w:fill="CFF0FC"/>
          </w:tcPr>
          <w:p>
            <w:pPr>
              <w:ind w:left="240"/>
              <w:spacing w:after="0" w:line="182"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18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17,396</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(47,675)</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(30,279)</w:t>
            </w: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(Loss) income before income taxes</w:t>
            </w:r>
          </w:p>
        </w:tc>
        <w:tc>
          <w:tcPr>
            <w:tcW w:w="18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(163,705)</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18,477</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(145,228)</w:t>
            </w:r>
          </w:p>
        </w:tc>
        <w:tc>
          <w:tcPr>
            <w:tcW w:w="0" w:type="dxa"/>
            <w:vAlign w:val="bottom"/>
          </w:tcPr>
          <w:p>
            <w:pPr>
              <w:spacing w:after="0"/>
              <w:rPr>
                <w:sz w:val="1"/>
                <w:szCs w:val="1"/>
                <w:color w:val="auto"/>
              </w:rPr>
            </w:pPr>
          </w:p>
        </w:tc>
      </w:tr>
      <w:tr>
        <w:trPr>
          <w:trHeight w:val="183"/>
        </w:trPr>
        <w:tc>
          <w:tcPr>
            <w:tcW w:w="482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Provision for income taxes</w:t>
            </w:r>
          </w:p>
        </w:tc>
        <w:tc>
          <w:tcPr>
            <w:tcW w:w="1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2"/>
        </w:trPr>
        <w:tc>
          <w:tcPr>
            <w:tcW w:w="4820" w:type="dxa"/>
            <w:vAlign w:val="bottom"/>
            <w:tcBorders>
              <w:bottom w:val="single" w:sz="8" w:color="CFF0FC"/>
            </w:tcBorders>
            <w:shd w:val="clear" w:color="auto" w:fill="CFF0FC"/>
          </w:tcPr>
          <w:p>
            <w:pPr>
              <w:ind w:left="240"/>
              <w:spacing w:after="0" w:line="182" w:lineRule="exact"/>
              <w:rPr>
                <w:sz w:val="20"/>
                <w:szCs w:val="20"/>
                <w:color w:val="auto"/>
              </w:rPr>
            </w:pPr>
            <w:r>
              <w:rPr>
                <w:rFonts w:ascii="Times New Roman" w:cs="Times New Roman" w:eastAsia="Times New Roman" w:hAnsi="Times New Roman"/>
                <w:sz w:val="18"/>
                <w:szCs w:val="18"/>
                <w:color w:val="auto"/>
              </w:rPr>
              <w:t>Segment net (loss) income</w:t>
            </w:r>
          </w:p>
        </w:tc>
        <w:tc>
          <w:tcPr>
            <w:tcW w:w="1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(163,705)</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18,474</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(145,231)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1200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-3256915</wp:posOffset>
            </wp:positionV>
            <wp:extent cx="1028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-3256915</wp:posOffset>
            </wp:positionV>
            <wp:extent cx="939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-2407920</wp:posOffset>
            </wp:positionV>
            <wp:extent cx="7132320"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-2150745</wp:posOffset>
            </wp:positionV>
            <wp:extent cx="7132320"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-1285240</wp:posOffset>
            </wp:positionV>
            <wp:extent cx="1028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-1285240</wp:posOffset>
            </wp:positionV>
            <wp:extent cx="939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-539115</wp:posOffset>
            </wp:positionV>
            <wp:extent cx="1028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-539115</wp:posOffset>
            </wp:positionV>
            <wp:extent cx="939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-281940</wp:posOffset>
            </wp:positionV>
            <wp:extent cx="1028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-281940</wp:posOffset>
            </wp:positionV>
            <wp:extent cx="939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0" w:lineRule="exact"/>
        <w:rPr>
          <w:sz w:val="20"/>
          <w:szCs w:val="20"/>
          <w:color w:val="auto"/>
        </w:rPr>
      </w:pPr>
    </w:p>
    <w:p>
      <w:pPr>
        <w:ind w:left="580" w:right="220" w:hanging="572"/>
        <w:spacing w:after="0" w:line="223" w:lineRule="auto"/>
        <w:tabs>
          <w:tab w:leader="none" w:pos="580" w:val="left"/>
        </w:tabs>
        <w:numPr>
          <w:ilvl w:val="0"/>
          <w:numId w:val="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External R&amp;D consists of costs associated with our research and development activities, including drug discovery efforts, preclinical and clinical development of our programs, manufacturing, and allocated facility-related costs.</w:t>
      </w:r>
    </w:p>
    <w:p>
      <w:pPr>
        <w:spacing w:after="0" w:line="1" w:lineRule="exact"/>
        <w:rPr>
          <w:rFonts w:ascii="Times New Roman" w:cs="Times New Roman" w:eastAsia="Times New Roman" w:hAnsi="Times New Roman"/>
          <w:sz w:val="24"/>
          <w:szCs w:val="24"/>
          <w:color w:val="auto"/>
          <w:vertAlign w:val="superscript"/>
        </w:rPr>
      </w:pPr>
    </w:p>
    <w:p>
      <w:pPr>
        <w:ind w:left="580" w:hanging="572"/>
        <w:spacing w:after="0" w:line="211" w:lineRule="auto"/>
        <w:tabs>
          <w:tab w:leader="none" w:pos="580" w:val="left"/>
        </w:tabs>
        <w:numPr>
          <w:ilvl w:val="0"/>
          <w:numId w:val="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Internal R&amp;D and G&amp;A consist of salaries and wages, stock-based compensation, recruiting and other employee benefits.</w:t>
      </w:r>
    </w:p>
    <w:p>
      <w:pPr>
        <w:spacing w:after="0" w:line="29" w:lineRule="exact"/>
        <w:rPr>
          <w:rFonts w:ascii="Times New Roman" w:cs="Times New Roman" w:eastAsia="Times New Roman" w:hAnsi="Times New Roman"/>
          <w:sz w:val="24"/>
          <w:szCs w:val="24"/>
          <w:color w:val="auto"/>
          <w:vertAlign w:val="superscript"/>
        </w:rPr>
      </w:pPr>
    </w:p>
    <w:p>
      <w:pPr>
        <w:ind w:left="580" w:right="100" w:hanging="572"/>
        <w:spacing w:after="0" w:line="207" w:lineRule="auto"/>
        <w:tabs>
          <w:tab w:leader="none" w:pos="580" w:val="left"/>
        </w:tabs>
        <w:numPr>
          <w:ilvl w:val="0"/>
          <w:numId w:val="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External G&amp;A consists of general and administrative expenses including transaction costs, legal services, insurance, professional fees for auditing, tax, and market research, and allocated facility-related costs not otherwise included in research and development expenses.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0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Biopharma</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right"/>
              <w:ind w:right="452"/>
              <w:spacing w:after="0" w:line="131" w:lineRule="exact"/>
              <w:rPr>
                <w:sz w:val="20"/>
                <w:szCs w:val="20"/>
                <w:color w:val="auto"/>
              </w:rPr>
            </w:pPr>
            <w:r>
              <w:rPr>
                <w:rFonts w:ascii="Times New Roman" w:cs="Times New Roman" w:eastAsia="Times New Roman" w:hAnsi="Times New Roman"/>
                <w:sz w:val="14"/>
                <w:szCs w:val="14"/>
                <w:b w:val="1"/>
                <w:bCs w:val="1"/>
                <w:color w:val="auto"/>
              </w:rPr>
              <w:t>Royalty</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92"/>
              <w:spacing w:after="0" w:line="160"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0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Collaboration revenue</w:t>
            </w:r>
          </w:p>
        </w:tc>
        <w:tc>
          <w:tcPr>
            <w:tcW w:w="176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17,157</w:t>
            </w:r>
          </w:p>
        </w:tc>
        <w:tc>
          <w:tcPr>
            <w:tcW w:w="420" w:type="dxa"/>
            <w:vAlign w:val="bottom"/>
            <w:gridSpan w:val="2"/>
            <w:shd w:val="clear" w:color="auto" w:fill="CFF0FC"/>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17,157</w:t>
            </w:r>
          </w:p>
        </w:tc>
        <w:tc>
          <w:tcPr>
            <w:tcW w:w="0" w:type="dxa"/>
            <w:vAlign w:val="bottom"/>
          </w:tcPr>
          <w:p>
            <w:pPr>
              <w:spacing w:after="0"/>
              <w:rPr>
                <w:sz w:val="1"/>
                <w:szCs w:val="1"/>
                <w:color w:val="auto"/>
              </w:rPr>
            </w:pPr>
          </w:p>
        </w:tc>
      </w:tr>
      <w:tr>
        <w:trPr>
          <w:trHeight w:val="183"/>
        </w:trPr>
        <w:tc>
          <w:tcPr>
            <w:tcW w:w="508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8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External R&amp;D</w:t>
            </w:r>
          </w:p>
        </w:tc>
        <w:tc>
          <w:tcPr>
            <w:tcW w:w="1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Rosnilimab</w:t>
            </w: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25,010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25,010</w:t>
            </w:r>
          </w:p>
        </w:tc>
        <w:tc>
          <w:tcPr>
            <w:tcW w:w="0" w:type="dxa"/>
            <w:vAlign w:val="bottom"/>
          </w:tcPr>
          <w:p>
            <w:pPr>
              <w:spacing w:after="0"/>
              <w:rPr>
                <w:sz w:val="1"/>
                <w:szCs w:val="1"/>
                <w:color w:val="auto"/>
              </w:rPr>
            </w:pPr>
          </w:p>
        </w:tc>
      </w:tr>
      <w:tr>
        <w:trPr>
          <w:trHeight w:val="189"/>
        </w:trPr>
        <w:tc>
          <w:tcPr>
            <w:tcW w:w="508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ANB032</w:t>
            </w:r>
          </w:p>
        </w:tc>
        <w:tc>
          <w:tcPr>
            <w:tcW w:w="1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17,197</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17,197</w:t>
            </w:r>
          </w:p>
        </w:tc>
        <w:tc>
          <w:tcPr>
            <w:tcW w:w="0" w:type="dxa"/>
            <w:vAlign w:val="bottom"/>
          </w:tcPr>
          <w:p>
            <w:pPr>
              <w:spacing w:after="0"/>
              <w:rPr>
                <w:sz w:val="1"/>
                <w:szCs w:val="1"/>
                <w:color w:val="auto"/>
              </w:rPr>
            </w:pPr>
          </w:p>
        </w:tc>
      </w:tr>
      <w:tr>
        <w:trPr>
          <w:trHeight w:val="189"/>
        </w:trPr>
        <w:tc>
          <w:tcPr>
            <w:tcW w:w="50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ANB033</w:t>
            </w: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11,520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11,520</w:t>
            </w:r>
          </w:p>
        </w:tc>
        <w:tc>
          <w:tcPr>
            <w:tcW w:w="0" w:type="dxa"/>
            <w:vAlign w:val="bottom"/>
          </w:tcPr>
          <w:p>
            <w:pPr>
              <w:spacing w:after="0"/>
              <w:rPr>
                <w:sz w:val="1"/>
                <w:szCs w:val="1"/>
                <w:color w:val="auto"/>
              </w:rPr>
            </w:pPr>
          </w:p>
        </w:tc>
      </w:tr>
      <w:tr>
        <w:trPr>
          <w:trHeight w:val="189"/>
        </w:trPr>
        <w:tc>
          <w:tcPr>
            <w:tcW w:w="508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Imsidolimab</w:t>
            </w:r>
          </w:p>
        </w:tc>
        <w:tc>
          <w:tcPr>
            <w:tcW w:w="1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31,769</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31,769</w:t>
            </w:r>
          </w:p>
        </w:tc>
        <w:tc>
          <w:tcPr>
            <w:tcW w:w="0" w:type="dxa"/>
            <w:vAlign w:val="bottom"/>
          </w:tcPr>
          <w:p>
            <w:pPr>
              <w:spacing w:after="0"/>
              <w:rPr>
                <w:sz w:val="1"/>
                <w:szCs w:val="1"/>
                <w:color w:val="auto"/>
              </w:rPr>
            </w:pPr>
          </w:p>
        </w:tc>
      </w:tr>
      <w:tr>
        <w:trPr>
          <w:trHeight w:val="151"/>
        </w:trPr>
        <w:tc>
          <w:tcPr>
            <w:tcW w:w="508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Preclinical and other unallocated costs</w:t>
            </w:r>
          </w:p>
        </w:tc>
        <w:tc>
          <w:tcPr>
            <w:tcW w:w="1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52"/>
              <w:spacing w:after="0" w:line="150" w:lineRule="exact"/>
              <w:rPr>
                <w:sz w:val="20"/>
                <w:szCs w:val="20"/>
                <w:color w:val="auto"/>
              </w:rPr>
            </w:pPr>
            <w:r>
              <w:rPr>
                <w:rFonts w:ascii="Times New Roman" w:cs="Times New Roman" w:eastAsia="Times New Roman" w:hAnsi="Times New Roman"/>
                <w:sz w:val="17"/>
                <w:szCs w:val="17"/>
                <w:color w:val="auto"/>
              </w:rPr>
              <w:t>14,526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32"/>
              <w:spacing w:after="0" w:line="150"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2"/>
              <w:spacing w:after="0" w:line="150" w:lineRule="exact"/>
              <w:rPr>
                <w:sz w:val="20"/>
                <w:szCs w:val="20"/>
                <w:color w:val="auto"/>
              </w:rPr>
            </w:pPr>
            <w:r>
              <w:rPr>
                <w:rFonts w:ascii="Times New Roman" w:cs="Times New Roman" w:eastAsia="Times New Roman" w:hAnsi="Times New Roman"/>
                <w:sz w:val="17"/>
                <w:szCs w:val="17"/>
                <w:color w:val="auto"/>
              </w:rPr>
              <w:t>14,526</w:t>
            </w:r>
          </w:p>
        </w:tc>
        <w:tc>
          <w:tcPr>
            <w:tcW w:w="0" w:type="dxa"/>
            <w:vAlign w:val="bottom"/>
          </w:tcPr>
          <w:p>
            <w:pPr>
              <w:spacing w:after="0"/>
              <w:rPr>
                <w:sz w:val="1"/>
                <w:szCs w:val="1"/>
                <w:color w:val="auto"/>
              </w:rPr>
            </w:pPr>
          </w:p>
        </w:tc>
      </w:tr>
      <w:tr>
        <w:trPr>
          <w:trHeight w:val="38"/>
        </w:trPr>
        <w:tc>
          <w:tcPr>
            <w:tcW w:w="5080" w:type="dxa"/>
            <w:vAlign w:val="bottom"/>
            <w:vMerge w:val="restart"/>
          </w:tcPr>
          <w:p>
            <w:pPr>
              <w:ind w:left="240"/>
              <w:spacing w:after="0" w:line="202" w:lineRule="exact"/>
              <w:rPr>
                <w:sz w:val="20"/>
                <w:szCs w:val="20"/>
                <w:color w:val="auto"/>
              </w:rPr>
            </w:pPr>
            <w:r>
              <w:rPr>
                <w:rFonts w:ascii="Times New Roman" w:cs="Times New Roman" w:eastAsia="Times New Roman" w:hAnsi="Times New Roman"/>
                <w:sz w:val="17"/>
                <w:szCs w:val="17"/>
                <w:color w:val="auto"/>
              </w:rPr>
              <w:t>Total External R&amp;D</w:t>
            </w:r>
            <w:r>
              <w:rPr>
                <w:rFonts w:ascii="Times New Roman" w:cs="Times New Roman" w:eastAsia="Times New Roman" w:hAnsi="Times New Roman"/>
                <w:sz w:val="23"/>
                <w:szCs w:val="23"/>
                <w:color w:val="auto"/>
                <w:vertAlign w:val="superscript"/>
              </w:rPr>
              <w:t>(1)</w:t>
            </w:r>
          </w:p>
        </w:tc>
        <w:tc>
          <w:tcPr>
            <w:tcW w:w="1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508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ind w:right="52"/>
              <w:spacing w:after="0" w:line="144" w:lineRule="exact"/>
              <w:rPr>
                <w:sz w:val="20"/>
                <w:szCs w:val="20"/>
                <w:color w:val="auto"/>
              </w:rPr>
            </w:pPr>
            <w:r>
              <w:rPr>
                <w:rFonts w:ascii="Times New Roman" w:cs="Times New Roman" w:eastAsia="Times New Roman" w:hAnsi="Times New Roman"/>
                <w:sz w:val="16"/>
                <w:szCs w:val="16"/>
                <w:color w:val="auto"/>
              </w:rPr>
              <w:t>68,253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6"/>
                <w:szCs w:val="16"/>
                <w:color w:val="auto"/>
              </w:rPr>
              <w:t>31,769</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6"/>
                <w:szCs w:val="16"/>
                <w:color w:val="auto"/>
              </w:rPr>
              <w:t>100,022</w:t>
            </w:r>
          </w:p>
        </w:tc>
        <w:tc>
          <w:tcPr>
            <w:tcW w:w="0" w:type="dxa"/>
            <w:vAlign w:val="bottom"/>
          </w:tcPr>
          <w:p>
            <w:pPr>
              <w:spacing w:after="0"/>
              <w:rPr>
                <w:sz w:val="1"/>
                <w:szCs w:val="1"/>
                <w:color w:val="auto"/>
              </w:rPr>
            </w:pPr>
          </w:p>
        </w:tc>
      </w:tr>
      <w:tr>
        <w:trPr>
          <w:trHeight w:val="38"/>
        </w:trPr>
        <w:tc>
          <w:tcPr>
            <w:tcW w:w="5080" w:type="dxa"/>
            <w:vAlign w:val="bottom"/>
            <w:vMerge w:val="restart"/>
          </w:tcPr>
          <w:p>
            <w:pPr>
              <w:ind w:left="240"/>
              <w:spacing w:after="0" w:line="241" w:lineRule="exact"/>
              <w:rPr>
                <w:sz w:val="20"/>
                <w:szCs w:val="20"/>
                <w:color w:val="auto"/>
              </w:rPr>
            </w:pPr>
            <w:r>
              <w:rPr>
                <w:rFonts w:ascii="Times New Roman" w:cs="Times New Roman" w:eastAsia="Times New Roman" w:hAnsi="Times New Roman"/>
                <w:sz w:val="18"/>
                <w:szCs w:val="18"/>
                <w:color w:val="auto"/>
              </w:rPr>
              <w:t>Total Internal R&amp;D</w:t>
            </w:r>
            <w:r>
              <w:rPr>
                <w:rFonts w:ascii="Times New Roman" w:cs="Times New Roman" w:eastAsia="Times New Roman" w:hAnsi="Times New Roman"/>
                <w:sz w:val="24"/>
                <w:szCs w:val="24"/>
                <w:color w:val="auto"/>
                <w:vertAlign w:val="superscript"/>
              </w:rPr>
              <w:t>(2)</w:t>
            </w:r>
          </w:p>
        </w:tc>
        <w:tc>
          <w:tcPr>
            <w:tcW w:w="1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08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22,002</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10,259</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32,261</w:t>
            </w:r>
          </w:p>
        </w:tc>
        <w:tc>
          <w:tcPr>
            <w:tcW w:w="0" w:type="dxa"/>
            <w:vAlign w:val="bottom"/>
          </w:tcPr>
          <w:p>
            <w:pPr>
              <w:spacing w:after="0"/>
              <w:rPr>
                <w:sz w:val="1"/>
                <w:szCs w:val="1"/>
                <w:color w:val="auto"/>
              </w:rPr>
            </w:pPr>
          </w:p>
        </w:tc>
      </w:tr>
      <w:tr>
        <w:trPr>
          <w:trHeight w:val="183"/>
        </w:trPr>
        <w:tc>
          <w:tcPr>
            <w:tcW w:w="5080" w:type="dxa"/>
            <w:vAlign w:val="bottom"/>
            <w:tcBorders>
              <w:bottom w:val="single" w:sz="8" w:color="CFF0FC"/>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R&amp;D</w:t>
            </w:r>
          </w:p>
        </w:tc>
        <w:tc>
          <w:tcPr>
            <w:tcW w:w="15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90,255</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42,028</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132,283</w:t>
            </w:r>
          </w:p>
        </w:tc>
        <w:tc>
          <w:tcPr>
            <w:tcW w:w="0" w:type="dxa"/>
            <w:vAlign w:val="bottom"/>
          </w:tcPr>
          <w:p>
            <w:pPr>
              <w:spacing w:after="0"/>
              <w:rPr>
                <w:sz w:val="1"/>
                <w:szCs w:val="1"/>
                <w:color w:val="auto"/>
              </w:rPr>
            </w:pPr>
          </w:p>
        </w:tc>
      </w:tr>
      <w:tr>
        <w:trPr>
          <w:trHeight w:val="183"/>
        </w:trPr>
        <w:tc>
          <w:tcPr>
            <w:tcW w:w="508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7,339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7,339</w:t>
            </w:r>
          </w:p>
        </w:tc>
        <w:tc>
          <w:tcPr>
            <w:tcW w:w="0" w:type="dxa"/>
            <w:vAlign w:val="bottom"/>
          </w:tcPr>
          <w:p>
            <w:pPr>
              <w:spacing w:after="0"/>
              <w:rPr>
                <w:sz w:val="1"/>
                <w:szCs w:val="1"/>
                <w:color w:val="auto"/>
              </w:rPr>
            </w:pPr>
          </w:p>
        </w:tc>
      </w:tr>
      <w:tr>
        <w:trPr>
          <w:trHeight w:val="338"/>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External G&amp;A</w:t>
            </w:r>
            <w:r>
              <w:rPr>
                <w:rFonts w:ascii="Times New Roman" w:cs="Times New Roman" w:eastAsia="Times New Roman" w:hAnsi="Times New Roman"/>
                <w:sz w:val="24"/>
                <w:szCs w:val="24"/>
                <w:color w:val="auto"/>
                <w:vertAlign w:val="superscript"/>
              </w:rPr>
              <w:t>(3)</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4,126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4,168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8,294</w:t>
            </w:r>
          </w:p>
        </w:tc>
        <w:tc>
          <w:tcPr>
            <w:tcW w:w="0" w:type="dxa"/>
            <w:vAlign w:val="bottom"/>
          </w:tcPr>
          <w:p>
            <w:pPr>
              <w:spacing w:after="0"/>
              <w:rPr>
                <w:sz w:val="1"/>
                <w:szCs w:val="1"/>
                <w:color w:val="auto"/>
              </w:rPr>
            </w:pPr>
          </w:p>
        </w:tc>
      </w:tr>
      <w:tr>
        <w:trPr>
          <w:trHeight w:val="230"/>
        </w:trPr>
        <w:tc>
          <w:tcPr>
            <w:tcW w:w="5080" w:type="dxa"/>
            <w:vAlign w:val="bottom"/>
          </w:tcPr>
          <w:p>
            <w:pPr>
              <w:ind w:left="240"/>
              <w:spacing w:after="0" w:line="229" w:lineRule="exact"/>
              <w:rPr>
                <w:sz w:val="20"/>
                <w:szCs w:val="20"/>
                <w:color w:val="auto"/>
              </w:rPr>
            </w:pPr>
            <w:r>
              <w:rPr>
                <w:rFonts w:ascii="Times New Roman" w:cs="Times New Roman" w:eastAsia="Times New Roman" w:hAnsi="Times New Roman"/>
                <w:sz w:val="18"/>
                <w:szCs w:val="18"/>
                <w:color w:val="auto"/>
              </w:rPr>
              <w:t>Internal G&amp;A</w:t>
            </w:r>
            <w:r>
              <w:rPr>
                <w:rFonts w:ascii="Times New Roman" w:cs="Times New Roman" w:eastAsia="Times New Roman" w:hAnsi="Times New Roman"/>
                <w:sz w:val="24"/>
                <w:szCs w:val="24"/>
                <w:color w:val="auto"/>
                <w:vertAlign w:val="superscript"/>
              </w:rPr>
              <w:t>(1)</w:t>
            </w:r>
          </w:p>
        </w:tc>
        <w:tc>
          <w:tcPr>
            <w:tcW w:w="1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16,741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16,911</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33,652</w:t>
            </w:r>
          </w:p>
        </w:tc>
        <w:tc>
          <w:tcPr>
            <w:tcW w:w="0" w:type="dxa"/>
            <w:vAlign w:val="bottom"/>
          </w:tcPr>
          <w:p>
            <w:pPr>
              <w:spacing w:after="0"/>
              <w:rPr>
                <w:sz w:val="1"/>
                <w:szCs w:val="1"/>
                <w:color w:val="auto"/>
              </w:rPr>
            </w:pPr>
          </w:p>
        </w:tc>
      </w:tr>
      <w:tr>
        <w:trPr>
          <w:trHeight w:val="183"/>
        </w:trPr>
        <w:tc>
          <w:tcPr>
            <w:tcW w:w="5080" w:type="dxa"/>
            <w:vAlign w:val="bottom"/>
          </w:tcPr>
          <w:p>
            <w:pPr>
              <w:ind w:left="360"/>
              <w:spacing w:after="0" w:line="182" w:lineRule="exact"/>
              <w:rPr>
                <w:sz w:val="20"/>
                <w:szCs w:val="20"/>
                <w:color w:val="auto"/>
              </w:rPr>
            </w:pPr>
            <w:r>
              <w:rPr>
                <w:rFonts w:ascii="Times New Roman" w:cs="Times New Roman" w:eastAsia="Times New Roman" w:hAnsi="Times New Roman"/>
                <w:sz w:val="18"/>
                <w:szCs w:val="18"/>
                <w:color w:val="auto"/>
              </w:rPr>
              <w:t>Total G&amp;A</w:t>
            </w:r>
          </w:p>
        </w:tc>
        <w:tc>
          <w:tcPr>
            <w:tcW w:w="1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20,867</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21,079</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41,946</w:t>
            </w:r>
          </w:p>
        </w:tc>
        <w:tc>
          <w:tcPr>
            <w:tcW w:w="0" w:type="dxa"/>
            <w:vAlign w:val="bottom"/>
          </w:tcPr>
          <w:p>
            <w:pPr>
              <w:spacing w:after="0"/>
              <w:rPr>
                <w:sz w:val="1"/>
                <w:szCs w:val="1"/>
                <w:color w:val="auto"/>
              </w:rPr>
            </w:pPr>
          </w:p>
        </w:tc>
      </w:tr>
      <w:tr>
        <w:trPr>
          <w:trHeight w:val="183"/>
        </w:trPr>
        <w:tc>
          <w:tcPr>
            <w:tcW w:w="5080" w:type="dxa"/>
            <w:vAlign w:val="bottom"/>
            <w:tcBorders>
              <w:bottom w:val="single" w:sz="8" w:color="CFF0FC"/>
            </w:tcBorders>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operating expenses</w:t>
            </w:r>
          </w:p>
        </w:tc>
        <w:tc>
          <w:tcPr>
            <w:tcW w:w="15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118,461</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63,107</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181,568</w:t>
            </w:r>
          </w:p>
        </w:tc>
        <w:tc>
          <w:tcPr>
            <w:tcW w:w="0" w:type="dxa"/>
            <w:vAlign w:val="bottom"/>
          </w:tcPr>
          <w:p>
            <w:pPr>
              <w:spacing w:after="0"/>
              <w:rPr>
                <w:sz w:val="1"/>
                <w:szCs w:val="1"/>
                <w:color w:val="auto"/>
              </w:rPr>
            </w:pPr>
          </w:p>
        </w:tc>
      </w:tr>
      <w:tr>
        <w:trPr>
          <w:trHeight w:val="183"/>
        </w:trPr>
        <w:tc>
          <w:tcPr>
            <w:tcW w:w="508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Loss from operations</w:t>
            </w:r>
          </w:p>
        </w:tc>
        <w:tc>
          <w:tcPr>
            <w:tcW w:w="1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(118,461)</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(45,950)</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(164,411)</w:t>
            </w:r>
          </w:p>
        </w:tc>
        <w:tc>
          <w:tcPr>
            <w:tcW w:w="0" w:type="dxa"/>
            <w:vAlign w:val="bottom"/>
          </w:tcPr>
          <w:p>
            <w:pPr>
              <w:spacing w:after="0"/>
              <w:rPr>
                <w:sz w:val="1"/>
                <w:szCs w:val="1"/>
                <w:color w:val="auto"/>
              </w:rPr>
            </w:pPr>
          </w:p>
        </w:tc>
      </w:tr>
      <w:tr>
        <w:trPr>
          <w:trHeight w:val="182"/>
        </w:trPr>
        <w:tc>
          <w:tcPr>
            <w:tcW w:w="50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12,313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6,560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18,873</w:t>
            </w:r>
          </w:p>
        </w:tc>
        <w:tc>
          <w:tcPr>
            <w:tcW w:w="0" w:type="dxa"/>
            <w:vAlign w:val="bottom"/>
          </w:tcPr>
          <w:p>
            <w:pPr>
              <w:spacing w:after="0"/>
              <w:rPr>
                <w:sz w:val="1"/>
                <w:szCs w:val="1"/>
                <w:color w:val="auto"/>
              </w:rPr>
            </w:pPr>
          </w:p>
        </w:tc>
      </w:tr>
      <w:tr>
        <w:trPr>
          <w:trHeight w:val="189"/>
        </w:trPr>
        <w:tc>
          <w:tcPr>
            <w:tcW w:w="5080" w:type="dxa"/>
            <w:vAlign w:val="bottom"/>
            <w:shd w:val="clear" w:color="auto" w:fill="CFF0FC"/>
          </w:tcPr>
          <w:p>
            <w:pPr>
              <w:ind w:left="240"/>
              <w:spacing w:after="0" w:line="189" w:lineRule="exact"/>
              <w:rPr>
                <w:sz w:val="20"/>
                <w:szCs w:val="20"/>
                <w:color w:val="auto"/>
              </w:rPr>
            </w:pPr>
            <w:r>
              <w:rPr>
                <w:rFonts w:ascii="Times New Roman" w:cs="Times New Roman" w:eastAsia="Times New Roman" w:hAnsi="Times New Roman"/>
                <w:sz w:val="18"/>
                <w:szCs w:val="18"/>
                <w:color w:val="auto"/>
              </w:rPr>
              <w:t>Non-cash interest expense</w:t>
            </w:r>
          </w:p>
        </w:tc>
        <w:tc>
          <w:tcPr>
            <w:tcW w:w="1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5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(18,083)</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(18,083)</w:t>
            </w:r>
          </w:p>
        </w:tc>
        <w:tc>
          <w:tcPr>
            <w:tcW w:w="0" w:type="dxa"/>
            <w:vAlign w:val="bottom"/>
          </w:tcPr>
          <w:p>
            <w:pPr>
              <w:spacing w:after="0"/>
              <w:rPr>
                <w:sz w:val="1"/>
                <w:szCs w:val="1"/>
                <w:color w:val="auto"/>
              </w:rPr>
            </w:pPr>
          </w:p>
        </w:tc>
      </w:tr>
      <w:tr>
        <w:trPr>
          <w:trHeight w:val="189"/>
        </w:trPr>
        <w:tc>
          <w:tcPr>
            <w:tcW w:w="50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Other expense, net</w:t>
            </w:r>
          </w:p>
        </w:tc>
        <w:tc>
          <w:tcPr>
            <w:tcW w:w="1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5080" w:type="dxa"/>
            <w:vAlign w:val="bottom"/>
            <w:tcBorders>
              <w:bottom w:val="single" w:sz="8" w:color="CFF0FC"/>
            </w:tcBorders>
            <w:shd w:val="clear" w:color="auto" w:fill="CFF0FC"/>
          </w:tcPr>
          <w:p>
            <w:pPr>
              <w:ind w:left="240"/>
              <w:spacing w:after="0" w:line="182"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15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12,311</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(11,523)</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8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Loss before income taxes</w:t>
            </w:r>
          </w:p>
        </w:tc>
        <w:tc>
          <w:tcPr>
            <w:tcW w:w="15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(106,150)</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(57,473)</w:t>
            </w: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(163,623)</w:t>
            </w:r>
          </w:p>
        </w:tc>
        <w:tc>
          <w:tcPr>
            <w:tcW w:w="0" w:type="dxa"/>
            <w:vAlign w:val="bottom"/>
          </w:tcPr>
          <w:p>
            <w:pPr>
              <w:spacing w:after="0"/>
              <w:rPr>
                <w:sz w:val="1"/>
                <w:szCs w:val="1"/>
                <w:color w:val="auto"/>
              </w:rPr>
            </w:pPr>
          </w:p>
        </w:tc>
      </w:tr>
      <w:tr>
        <w:trPr>
          <w:trHeight w:val="183"/>
        </w:trPr>
        <w:tc>
          <w:tcPr>
            <w:tcW w:w="508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Benefit for income taxes</w:t>
            </w:r>
          </w:p>
        </w:tc>
        <w:tc>
          <w:tcPr>
            <w:tcW w:w="1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2"/>
        </w:trPr>
        <w:tc>
          <w:tcPr>
            <w:tcW w:w="5080" w:type="dxa"/>
            <w:vAlign w:val="bottom"/>
            <w:tcBorders>
              <w:bottom w:val="single" w:sz="8" w:color="CFF0FC"/>
            </w:tcBorders>
            <w:shd w:val="clear" w:color="auto" w:fill="CFF0FC"/>
          </w:tcPr>
          <w:p>
            <w:pPr>
              <w:ind w:left="240"/>
              <w:spacing w:after="0" w:line="182" w:lineRule="exact"/>
              <w:rPr>
                <w:sz w:val="20"/>
                <w:szCs w:val="20"/>
                <w:color w:val="auto"/>
              </w:rPr>
            </w:pPr>
            <w:r>
              <w:rPr>
                <w:rFonts w:ascii="Times New Roman" w:cs="Times New Roman" w:eastAsia="Times New Roman" w:hAnsi="Times New Roman"/>
                <w:sz w:val="18"/>
                <w:szCs w:val="18"/>
                <w:color w:val="auto"/>
              </w:rPr>
              <w:t>Segment net loss</w:t>
            </w:r>
          </w:p>
        </w:tc>
        <w:tc>
          <w:tcPr>
            <w:tcW w:w="15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(106,150)</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(57,469)</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(163,619)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1200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-3265170</wp:posOffset>
            </wp:positionV>
            <wp:extent cx="1028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-3265170</wp:posOffset>
            </wp:positionV>
            <wp:extent cx="939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-2408555</wp:posOffset>
            </wp:positionV>
            <wp:extent cx="7132320"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-2031365</wp:posOffset>
            </wp:positionV>
            <wp:extent cx="1028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-2031365</wp:posOffset>
            </wp:positionV>
            <wp:extent cx="939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-1285240</wp:posOffset>
            </wp:positionV>
            <wp:extent cx="1028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-1285240</wp:posOffset>
            </wp:positionV>
            <wp:extent cx="939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-539115</wp:posOffset>
            </wp:positionV>
            <wp:extent cx="102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-539115</wp:posOffset>
            </wp:positionV>
            <wp:extent cx="939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-281940</wp:posOffset>
            </wp:positionV>
            <wp:extent cx="1028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-281940</wp:posOffset>
            </wp:positionV>
            <wp:extent cx="939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1028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1028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939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939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10" w:lineRule="exact"/>
        <w:rPr>
          <w:sz w:val="20"/>
          <w:szCs w:val="20"/>
          <w:color w:val="auto"/>
        </w:rPr>
      </w:pPr>
    </w:p>
    <w:p>
      <w:pPr>
        <w:ind w:left="580" w:right="220" w:hanging="572"/>
        <w:spacing w:after="0" w:line="223" w:lineRule="auto"/>
        <w:tabs>
          <w:tab w:leader="none" w:pos="580"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External R&amp;D consists of costs associated with our research and development activities, including drug discovery efforts, preclinical and clinical development of our programs, manufacturing, and allocated facility-related costs.</w:t>
      </w:r>
    </w:p>
    <w:p>
      <w:pPr>
        <w:spacing w:after="0" w:line="1" w:lineRule="exact"/>
        <w:rPr>
          <w:rFonts w:ascii="Times New Roman" w:cs="Times New Roman" w:eastAsia="Times New Roman" w:hAnsi="Times New Roman"/>
          <w:sz w:val="24"/>
          <w:szCs w:val="24"/>
          <w:color w:val="auto"/>
          <w:vertAlign w:val="superscript"/>
        </w:rPr>
      </w:pPr>
    </w:p>
    <w:p>
      <w:pPr>
        <w:ind w:left="580" w:hanging="572"/>
        <w:spacing w:after="0" w:line="211" w:lineRule="auto"/>
        <w:tabs>
          <w:tab w:leader="none" w:pos="580"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Internal R&amp;D and G&amp;A consist of salaries and wages, stock-based compensation, recruiting and other employee benefits.</w:t>
      </w:r>
    </w:p>
    <w:p>
      <w:pPr>
        <w:spacing w:after="0" w:line="29" w:lineRule="exact"/>
        <w:rPr>
          <w:rFonts w:ascii="Times New Roman" w:cs="Times New Roman" w:eastAsia="Times New Roman" w:hAnsi="Times New Roman"/>
          <w:sz w:val="24"/>
          <w:szCs w:val="24"/>
          <w:color w:val="auto"/>
          <w:vertAlign w:val="superscript"/>
        </w:rPr>
      </w:pPr>
    </w:p>
    <w:p>
      <w:pPr>
        <w:ind w:left="580" w:right="100" w:hanging="572"/>
        <w:spacing w:after="0" w:line="207" w:lineRule="auto"/>
        <w:tabs>
          <w:tab w:leader="none" w:pos="580"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External G&amp;A consists of general and administrative expenses including transaction costs, legal services, insurance, professional fees for auditing, tax, and market research, and allocated facility-related costs not otherwise included in research and development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loss before income tax provision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3"/>
        </w:trPr>
        <w:tc>
          <w:tcPr>
            <w:tcW w:w="48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U.S.</w:t>
            </w:r>
          </w:p>
        </w:tc>
        <w:tc>
          <w:tcPr>
            <w:tcW w:w="2100" w:type="dxa"/>
            <w:vAlign w:val="bottom"/>
            <w:gridSpan w:val="2"/>
            <w:shd w:val="clear" w:color="auto" w:fill="CFF0FC"/>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(13,068)</w:t>
            </w:r>
          </w:p>
        </w:tc>
        <w:tc>
          <w:tcPr>
            <w:tcW w:w="460" w:type="dxa"/>
            <w:vAlign w:val="bottom"/>
            <w:gridSpan w:val="2"/>
            <w:shd w:val="clear" w:color="auto" w:fill="CFF0FC"/>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(145,367)</w:t>
            </w:r>
          </w:p>
        </w:tc>
        <w:tc>
          <w:tcPr>
            <w:tcW w:w="140" w:type="dxa"/>
            <w:vAlign w:val="bottom"/>
            <w:tcBorders>
              <w:right w:val="single" w:sz="8" w:color="CFF0FC"/>
            </w:tcBorders>
            <w:shd w:val="clear" w:color="auto" w:fill="CFF0FC"/>
          </w:tcPr>
          <w:p>
            <w:pPr>
              <w:spacing w:after="0"/>
              <w:rPr>
                <w:sz w:val="15"/>
                <w:szCs w:val="15"/>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(163,580)</w:t>
            </w:r>
          </w:p>
        </w:tc>
        <w:tc>
          <w:tcPr>
            <w:tcW w:w="0" w:type="dxa"/>
            <w:vAlign w:val="bottom"/>
          </w:tcPr>
          <w:p>
            <w:pPr>
              <w:spacing w:after="0"/>
              <w:rPr>
                <w:sz w:val="1"/>
                <w:szCs w:val="1"/>
                <w:color w:val="auto"/>
              </w:rPr>
            </w:pPr>
          </w:p>
        </w:tc>
      </w:tr>
      <w:tr>
        <w:trPr>
          <w:trHeight w:val="189"/>
        </w:trPr>
        <w:tc>
          <w:tcPr>
            <w:tcW w:w="48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Foreign</w:t>
            </w:r>
          </w:p>
        </w:tc>
        <w:tc>
          <w:tcPr>
            <w:tcW w:w="1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Consolidated net loss before income taxes</w:t>
            </w:r>
          </w:p>
        </w:tc>
        <w:tc>
          <w:tcPr>
            <w:tcW w:w="2100" w:type="dxa"/>
            <w:vAlign w:val="bottom"/>
            <w:gridSpan w:val="2"/>
            <w:shd w:val="clear" w:color="auto" w:fill="CFF0FC"/>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(13,068)</w:t>
            </w:r>
          </w:p>
        </w:tc>
        <w:tc>
          <w:tcPr>
            <w:tcW w:w="460" w:type="dxa"/>
            <w:vAlign w:val="bottom"/>
            <w:gridSpan w:val="2"/>
            <w:shd w:val="clear" w:color="auto" w:fill="CFF0FC"/>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(145,228)</w:t>
            </w: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(163,623)</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72" w:lineRule="exact"/>
        <w:rPr>
          <w:sz w:val="20"/>
          <w:szCs w:val="20"/>
          <w:color w:val="auto"/>
        </w:rPr>
      </w:pPr>
    </w:p>
    <w:p>
      <w:pPr>
        <w:ind w:right="200" w:firstLine="659"/>
        <w:spacing w:after="0" w:line="329" w:lineRule="auto"/>
        <w:rPr>
          <w:sz w:val="20"/>
          <w:szCs w:val="20"/>
          <w:color w:val="auto"/>
        </w:rPr>
      </w:pPr>
      <w:r>
        <w:rPr>
          <w:rFonts w:ascii="Times New Roman" w:cs="Times New Roman" w:eastAsia="Times New Roman" w:hAnsi="Times New Roman"/>
          <w:sz w:val="18"/>
          <w:szCs w:val="18"/>
          <w:color w:val="auto"/>
        </w:rPr>
        <w:t>For the years ended December 31, 2025, 2024 and 2023, we recognized current state income tax provision of $164,000, income tax provision of $3,000, and income tax benefit of $4,000 respectively.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05" w:name="page106"/>
    <w:bookmarkEnd w:id="105"/>
    <w:p>
      <w:pPr>
        <w:ind w:right="440" w:firstLine="659"/>
        <w:spacing w:after="0" w:line="313" w:lineRule="auto"/>
        <w:rPr>
          <w:sz w:val="20"/>
          <w:szCs w:val="20"/>
          <w:color w:val="auto"/>
        </w:rPr>
      </w:pPr>
      <w:r>
        <w:rPr>
          <w:rFonts w:ascii="Times New Roman" w:cs="Times New Roman" w:eastAsia="Times New Roman" w:hAnsi="Times New Roman"/>
          <w:sz w:val="18"/>
          <w:szCs w:val="18"/>
          <w:color w:val="auto"/>
        </w:rPr>
        <w:t>Income taxes paid, net of refunds received, for the year ended December 31, 2025 were $78,000 and were paid to Pennsylvania, New Jersey, Texas, and to the City of Philadelphia.</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3"/>
        </w:trPr>
        <w:tc>
          <w:tcPr>
            <w:tcW w:w="57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Deferred Tax Assets:</w:t>
            </w:r>
          </w:p>
        </w:tc>
        <w:tc>
          <w:tcPr>
            <w:tcW w:w="19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Net operating loss carryforwards</w:t>
            </w:r>
          </w:p>
        </w:tc>
        <w:tc>
          <w:tcPr>
            <w:tcW w:w="2340" w:type="dxa"/>
            <w:vAlign w:val="bottom"/>
            <w:gridSpan w:val="2"/>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74,889</w:t>
            </w:r>
          </w:p>
        </w:tc>
        <w:tc>
          <w:tcPr>
            <w:tcW w:w="620" w:type="dxa"/>
            <w:vAlign w:val="bottom"/>
            <w:gridSpan w:val="2"/>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70,724</w:t>
            </w:r>
          </w:p>
        </w:tc>
        <w:tc>
          <w:tcPr>
            <w:tcW w:w="0" w:type="dxa"/>
            <w:vAlign w:val="bottom"/>
          </w:tcPr>
          <w:p>
            <w:pPr>
              <w:spacing w:after="0"/>
              <w:rPr>
                <w:sz w:val="1"/>
                <w:szCs w:val="1"/>
                <w:color w:val="auto"/>
              </w:rPr>
            </w:pPr>
          </w:p>
        </w:tc>
      </w:tr>
      <w:tr>
        <w:trPr>
          <w:trHeight w:val="189"/>
        </w:trPr>
        <w:tc>
          <w:tcPr>
            <w:tcW w:w="576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Capitalized R&amp;D</w:t>
            </w:r>
          </w:p>
        </w:tc>
        <w:tc>
          <w:tcPr>
            <w:tcW w:w="19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47,187</w:t>
            </w: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61,029</w:t>
            </w:r>
          </w:p>
        </w:tc>
        <w:tc>
          <w:tcPr>
            <w:tcW w:w="0" w:type="dxa"/>
            <w:vAlign w:val="bottom"/>
          </w:tcPr>
          <w:p>
            <w:pPr>
              <w:spacing w:after="0"/>
              <w:rPr>
                <w:sz w:val="1"/>
                <w:szCs w:val="1"/>
                <w:color w:val="auto"/>
              </w:rPr>
            </w:pPr>
          </w:p>
        </w:tc>
      </w:tr>
      <w:tr>
        <w:trPr>
          <w:trHeight w:val="189"/>
        </w:trPr>
        <w:tc>
          <w:tcPr>
            <w:tcW w:w="57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Interest</w:t>
            </w:r>
          </w:p>
        </w:tc>
        <w:tc>
          <w:tcPr>
            <w:tcW w:w="1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33,781</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9,602</w:t>
            </w:r>
          </w:p>
        </w:tc>
        <w:tc>
          <w:tcPr>
            <w:tcW w:w="0" w:type="dxa"/>
            <w:vAlign w:val="bottom"/>
          </w:tcPr>
          <w:p>
            <w:pPr>
              <w:spacing w:after="0"/>
              <w:rPr>
                <w:sz w:val="1"/>
                <w:szCs w:val="1"/>
                <w:color w:val="auto"/>
              </w:rPr>
            </w:pPr>
          </w:p>
        </w:tc>
      </w:tr>
      <w:tr>
        <w:trPr>
          <w:trHeight w:val="189"/>
        </w:trPr>
        <w:tc>
          <w:tcPr>
            <w:tcW w:w="576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Research and development credits</w:t>
            </w:r>
          </w:p>
        </w:tc>
        <w:tc>
          <w:tcPr>
            <w:tcW w:w="19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32,698</w:t>
            </w: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26,102</w:t>
            </w:r>
          </w:p>
        </w:tc>
        <w:tc>
          <w:tcPr>
            <w:tcW w:w="0" w:type="dxa"/>
            <w:vAlign w:val="bottom"/>
          </w:tcPr>
          <w:p>
            <w:pPr>
              <w:spacing w:after="0"/>
              <w:rPr>
                <w:sz w:val="1"/>
                <w:szCs w:val="1"/>
                <w:color w:val="auto"/>
              </w:rPr>
            </w:pPr>
          </w:p>
        </w:tc>
      </w:tr>
      <w:tr>
        <w:trPr>
          <w:trHeight w:val="189"/>
        </w:trPr>
        <w:tc>
          <w:tcPr>
            <w:tcW w:w="57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Equity compensation</w:t>
            </w:r>
          </w:p>
        </w:tc>
        <w:tc>
          <w:tcPr>
            <w:tcW w:w="1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14,812</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189"/>
        </w:trPr>
        <w:tc>
          <w:tcPr>
            <w:tcW w:w="5760" w:type="dxa"/>
            <w:vAlign w:val="bottom"/>
            <w:tcBorders>
              <w:bottom w:val="single" w:sz="8" w:color="CFF0FC"/>
            </w:tcBorders>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net</w:t>
            </w:r>
          </w:p>
        </w:tc>
        <w:tc>
          <w:tcPr>
            <w:tcW w:w="19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11,863</w:t>
            </w:r>
          </w:p>
        </w:tc>
        <w:tc>
          <w:tcPr>
            <w:tcW w:w="18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13,075</w:t>
            </w:r>
          </w:p>
        </w:tc>
        <w:tc>
          <w:tcPr>
            <w:tcW w:w="0" w:type="dxa"/>
            <w:vAlign w:val="bottom"/>
          </w:tcPr>
          <w:p>
            <w:pPr>
              <w:spacing w:after="0"/>
              <w:rPr>
                <w:sz w:val="1"/>
                <w:szCs w:val="1"/>
                <w:color w:val="auto"/>
              </w:rPr>
            </w:pPr>
          </w:p>
        </w:tc>
      </w:tr>
      <w:tr>
        <w:trPr>
          <w:trHeight w:val="183"/>
        </w:trPr>
        <w:tc>
          <w:tcPr>
            <w:tcW w:w="576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color w:val="auto"/>
              </w:rPr>
              <w:t>Total deferred tax assets</w:t>
            </w:r>
          </w:p>
        </w:tc>
        <w:tc>
          <w:tcPr>
            <w:tcW w:w="1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215,230</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193,532</w:t>
            </w:r>
          </w:p>
        </w:tc>
        <w:tc>
          <w:tcPr>
            <w:tcW w:w="0" w:type="dxa"/>
            <w:vAlign w:val="bottom"/>
          </w:tcPr>
          <w:p>
            <w:pPr>
              <w:spacing w:after="0"/>
              <w:rPr>
                <w:sz w:val="1"/>
                <w:szCs w:val="1"/>
                <w:color w:val="auto"/>
              </w:rPr>
            </w:pPr>
          </w:p>
        </w:tc>
      </w:tr>
      <w:tr>
        <w:trPr>
          <w:trHeight w:val="183"/>
        </w:trPr>
        <w:tc>
          <w:tcPr>
            <w:tcW w:w="57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Deferred Tax Liabilities:</w:t>
            </w:r>
          </w:p>
        </w:tc>
        <w:tc>
          <w:tcPr>
            <w:tcW w:w="19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6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Royalty monetization</w:t>
            </w:r>
          </w:p>
        </w:tc>
        <w:tc>
          <w:tcPr>
            <w:tcW w:w="1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(19,670)</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189"/>
        </w:trPr>
        <w:tc>
          <w:tcPr>
            <w:tcW w:w="5760" w:type="dxa"/>
            <w:vAlign w:val="bottom"/>
            <w:tcBorders>
              <w:bottom w:val="single" w:sz="8" w:color="CFF0FC"/>
            </w:tcBorders>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net</w:t>
            </w:r>
          </w:p>
        </w:tc>
        <w:tc>
          <w:tcPr>
            <w:tcW w:w="19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(2,922)</w:t>
            </w:r>
          </w:p>
        </w:tc>
        <w:tc>
          <w:tcPr>
            <w:tcW w:w="18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183"/>
        </w:trPr>
        <w:tc>
          <w:tcPr>
            <w:tcW w:w="5760" w:type="dxa"/>
            <w:vAlign w:val="bottom"/>
          </w:tcPr>
          <w:p>
            <w:pPr>
              <w:ind w:left="280"/>
              <w:spacing w:after="0" w:line="182"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1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(22,592)</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(6,347)</w:t>
            </w:r>
          </w:p>
        </w:tc>
        <w:tc>
          <w:tcPr>
            <w:tcW w:w="0" w:type="dxa"/>
            <w:vAlign w:val="bottom"/>
          </w:tcPr>
          <w:p>
            <w:pPr>
              <w:spacing w:after="0"/>
              <w:rPr>
                <w:sz w:val="1"/>
                <w:szCs w:val="1"/>
                <w:color w:val="auto"/>
              </w:rPr>
            </w:pPr>
          </w:p>
        </w:tc>
      </w:tr>
      <w:tr>
        <w:trPr>
          <w:trHeight w:val="183"/>
        </w:trPr>
        <w:tc>
          <w:tcPr>
            <w:tcW w:w="5760" w:type="dxa"/>
            <w:vAlign w:val="bottom"/>
            <w:shd w:val="clear" w:color="auto" w:fill="CFF0FC"/>
          </w:tcPr>
          <w:p>
            <w:pPr>
              <w:ind w:left="280"/>
              <w:spacing w:after="0" w:line="182" w:lineRule="exact"/>
              <w:rPr>
                <w:sz w:val="20"/>
                <w:szCs w:val="20"/>
                <w:color w:val="auto"/>
              </w:rPr>
            </w:pPr>
            <w:r>
              <w:rPr>
                <w:rFonts w:ascii="Times New Roman" w:cs="Times New Roman" w:eastAsia="Times New Roman" w:hAnsi="Times New Roman"/>
                <w:sz w:val="18"/>
                <w:szCs w:val="18"/>
                <w:color w:val="auto"/>
              </w:rPr>
              <w:t>Net deferred tax assets</w:t>
            </w:r>
          </w:p>
        </w:tc>
        <w:tc>
          <w:tcPr>
            <w:tcW w:w="19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192,638</w:t>
            </w: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187,185</w:t>
            </w:r>
          </w:p>
        </w:tc>
        <w:tc>
          <w:tcPr>
            <w:tcW w:w="0" w:type="dxa"/>
            <w:vAlign w:val="bottom"/>
          </w:tcPr>
          <w:p>
            <w:pPr>
              <w:spacing w:after="0"/>
              <w:rPr>
                <w:sz w:val="1"/>
                <w:szCs w:val="1"/>
                <w:color w:val="auto"/>
              </w:rPr>
            </w:pPr>
          </w:p>
        </w:tc>
      </w:tr>
      <w:tr>
        <w:trPr>
          <w:trHeight w:val="189"/>
        </w:trPr>
        <w:tc>
          <w:tcPr>
            <w:tcW w:w="576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Less: valuation allowance</w:t>
            </w:r>
          </w:p>
        </w:tc>
        <w:tc>
          <w:tcPr>
            <w:tcW w:w="1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(192,638)</w:t>
            </w: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(187,185)</w:t>
            </w: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420"/>
              <w:spacing w:after="0" w:line="182" w:lineRule="exact"/>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9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3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-1028065</wp:posOffset>
            </wp:positionV>
            <wp:extent cx="1111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-530860</wp:posOffset>
            </wp:positionV>
            <wp:extent cx="1111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recorded a full valuation allowance against our net deferred tax assets due to the uncertainty surrounding the realization of such assets.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determined it more likely than not that the deferred tax assets are not realizable due to our historical loss position.</w:t>
      </w:r>
    </w:p>
    <w:p>
      <w:pPr>
        <w:spacing w:after="0" w:line="144" w:lineRule="exact"/>
        <w:rPr>
          <w:sz w:val="20"/>
          <w:szCs w:val="20"/>
          <w:color w:val="auto"/>
        </w:rPr>
      </w:pPr>
    </w:p>
    <w:p>
      <w:pPr>
        <w:ind w:right="100" w:firstLine="659"/>
        <w:spacing w:after="0" w:line="294" w:lineRule="auto"/>
        <w:rPr>
          <w:sz w:val="20"/>
          <w:szCs w:val="20"/>
          <w:color w:val="auto"/>
        </w:rPr>
      </w:pPr>
      <w:r>
        <w:rPr>
          <w:rFonts w:ascii="Times New Roman" w:cs="Times New Roman" w:eastAsia="Times New Roman" w:hAnsi="Times New Roman"/>
          <w:sz w:val="18"/>
          <w:szCs w:val="18"/>
          <w:color w:val="auto"/>
        </w:rPr>
        <w:t>As of December 31, 2025, we had federal and state net operating loss carryforwards (“NOLs”), of $323.5 million and $69.8 million, respectively. The federal and state NOLs generated prior to 2018 will begin to expire in 2031 and 2028, respectively, unless previously utilized. The federal NOL includes $284.9 million of net operating losses generated in 2018 and after. Federal net operating losses generated in 2018 and after carryover indefinitely and may generally be used to offset up to 80% of future taxable income. As of December 31, 2025, we had federal and state research tax credit carryforwards of approximately $24.0 million and $21.1 million, respectively. The federal research tax credit carryforwards will begin to expire in 2041 and the state research tax credits will begin to expire in 2039.</w:t>
      </w:r>
    </w:p>
    <w:p>
      <w:pPr>
        <w:spacing w:after="0" w:line="85" w:lineRule="exact"/>
        <w:rPr>
          <w:sz w:val="20"/>
          <w:szCs w:val="20"/>
          <w:color w:val="auto"/>
        </w:rPr>
      </w:pPr>
    </w:p>
    <w:p>
      <w:pPr>
        <w:ind w:right="100" w:firstLine="659"/>
        <w:spacing w:after="0" w:line="293" w:lineRule="auto"/>
        <w:rPr>
          <w:sz w:val="20"/>
          <w:szCs w:val="20"/>
          <w:color w:val="auto"/>
        </w:rPr>
      </w:pPr>
      <w:r>
        <w:rPr>
          <w:rFonts w:ascii="Times New Roman" w:cs="Times New Roman" w:eastAsia="Times New Roman" w:hAnsi="Times New Roman"/>
          <w:sz w:val="18"/>
          <w:szCs w:val="18"/>
          <w:color w:val="auto"/>
        </w:rPr>
        <w:t>The above NOL carryforward and the federal and state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w:t>
      </w:r>
    </w:p>
    <w:p>
      <w:pPr>
        <w:spacing w:after="0" w:line="87" w:lineRule="exact"/>
        <w:rPr>
          <w:sz w:val="20"/>
          <w:szCs w:val="20"/>
          <w:color w:val="auto"/>
        </w:rPr>
      </w:pPr>
    </w:p>
    <w:p>
      <w:pPr>
        <w:ind w:right="140" w:firstLine="659"/>
        <w:spacing w:after="0" w:line="297" w:lineRule="auto"/>
        <w:rPr>
          <w:sz w:val="20"/>
          <w:szCs w:val="20"/>
          <w:color w:val="auto"/>
        </w:rPr>
      </w:pPr>
      <w:r>
        <w:rPr>
          <w:rFonts w:ascii="Times New Roman" w:cs="Times New Roman" w:eastAsia="Times New Roman" w:hAnsi="Times New Roman"/>
          <w:sz w:val="18"/>
          <w:szCs w:val="18"/>
          <w:color w:val="auto"/>
        </w:rPr>
        <w:t>We experienced ownership changes as defined by Section 382 of the Code during 2007, 2017 and 2021. As a result, as of December 31, 2025, there are $154.1 million of federal NOLs available to offset taxable income in future years without Section 382 limitation, while $169.4 million of federal NOLs are subject to annual limitations over future periods. State NOL and credit carryforwards may be similarly limited.</w:t>
      </w:r>
    </w:p>
    <w:p>
      <w:pPr>
        <w:spacing w:after="0" w:line="82" w:lineRule="exact"/>
        <w:rPr>
          <w:sz w:val="20"/>
          <w:szCs w:val="20"/>
          <w:color w:val="auto"/>
        </w:rPr>
      </w:pPr>
    </w:p>
    <w:p>
      <w:pPr>
        <w:ind w:right="200" w:firstLine="659"/>
        <w:spacing w:after="0" w:line="297" w:lineRule="auto"/>
        <w:rPr>
          <w:sz w:val="20"/>
          <w:szCs w:val="20"/>
          <w:color w:val="auto"/>
        </w:rPr>
      </w:pPr>
      <w:r>
        <w:rPr>
          <w:rFonts w:ascii="Times New Roman" w:cs="Times New Roman" w:eastAsia="Times New Roman" w:hAnsi="Times New Roman"/>
          <w:sz w:val="18"/>
          <w:szCs w:val="18"/>
          <w:color w:val="auto"/>
        </w:rPr>
        <w:t>Our use of federal and state NOLs and research credits could be further limited if we experience one or more ownership changes subsequent to December 31, 2025. If a change in ownership occurs, NOLs and tax credit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our effective tax rates.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6" w:name="page107"/>
    <w:bookmarkEnd w:id="106"/>
    <w:p>
      <w:pPr>
        <w:ind w:right="20" w:firstLine="659"/>
        <w:spacing w:after="0" w:line="313" w:lineRule="auto"/>
        <w:rPr>
          <w:sz w:val="20"/>
          <w:szCs w:val="20"/>
          <w:color w:val="auto"/>
        </w:rPr>
      </w:pPr>
      <w:r>
        <w:rPr>
          <w:rFonts w:ascii="Times New Roman" w:cs="Times New Roman" w:eastAsia="Times New Roman" w:hAnsi="Times New Roman"/>
          <w:sz w:val="18"/>
          <w:szCs w:val="18"/>
          <w:color w:val="auto"/>
        </w:rPr>
        <w:t>Upon adoption of ASU 2023-09, Improvements to Income Tax Disclosures, the reconciliation of taxes at the federal statutory rate to our provision for (benefit from) income taxes for the year ended December 31, 2025 was as follows (in thousands, except for percentages):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taxes at statutory rates</w:t>
            </w:r>
          </w:p>
        </w:tc>
        <w:tc>
          <w:tcPr>
            <w:tcW w:w="4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20" w:type="dxa"/>
            <w:vAlign w:val="bottom"/>
            <w:vMerge w:val="continue"/>
          </w:tcPr>
          <w:p>
            <w:pPr>
              <w:spacing w:after="0"/>
              <w:rPr>
                <w:sz w:val="12"/>
                <w:szCs w:val="12"/>
                <w:color w:val="auto"/>
              </w:rPr>
            </w:pPr>
          </w:p>
        </w:tc>
        <w:tc>
          <w:tcPr>
            <w:tcW w:w="40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(2,743)</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21.00%</w:t>
            </w:r>
          </w:p>
        </w:tc>
        <w:tc>
          <w:tcPr>
            <w:tcW w:w="0" w:type="dxa"/>
            <w:vAlign w:val="bottom"/>
          </w:tcPr>
          <w:p>
            <w:pPr>
              <w:spacing w:after="0"/>
              <w:rPr>
                <w:sz w:val="1"/>
                <w:szCs w:val="1"/>
                <w:color w:val="auto"/>
              </w:rPr>
            </w:pPr>
          </w:p>
        </w:tc>
      </w:tr>
      <w:tr>
        <w:trPr>
          <w:trHeight w:val="230"/>
        </w:trPr>
        <w:tc>
          <w:tcPr>
            <w:tcW w:w="762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State income tax, net of federal benefit</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189"/>
        </w:trPr>
        <w:tc>
          <w:tcPr>
            <w:tcW w:w="7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Foreign tax effects</w:t>
            </w:r>
          </w:p>
        </w:tc>
        <w:tc>
          <w:tcPr>
            <w:tcW w:w="4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Australia</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20" w:type="dxa"/>
            <w:vAlign w:val="bottom"/>
            <w:shd w:val="clear" w:color="auto" w:fill="CFF0FC"/>
          </w:tcPr>
          <w:p>
            <w:pPr>
              <w:ind w:left="280"/>
              <w:spacing w:after="0" w:line="189" w:lineRule="exact"/>
              <w:rPr>
                <w:sz w:val="20"/>
                <w:szCs w:val="20"/>
                <w:color w:val="auto"/>
              </w:rPr>
            </w:pPr>
            <w:r>
              <w:rPr>
                <w:rFonts w:ascii="Times New Roman" w:cs="Times New Roman" w:eastAsia="Times New Roman" w:hAnsi="Times New Roman"/>
                <w:sz w:val="18"/>
                <w:szCs w:val="18"/>
                <w:color w:val="auto"/>
              </w:rPr>
              <w:t>Valuation allowance</w:t>
            </w:r>
          </w:p>
        </w:tc>
        <w:tc>
          <w:tcPr>
            <w:tcW w:w="4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(939)</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189"/>
        </w:trPr>
        <w:tc>
          <w:tcPr>
            <w:tcW w:w="762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Deferred tax write-off</w:t>
            </w:r>
          </w:p>
        </w:tc>
        <w:tc>
          <w:tcPr>
            <w:tcW w:w="40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189"/>
        </w:trPr>
        <w:tc>
          <w:tcPr>
            <w:tcW w:w="7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Tax Credits</w:t>
            </w:r>
          </w:p>
        </w:tc>
        <w:tc>
          <w:tcPr>
            <w:tcW w:w="4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R&amp;D credits</w:t>
            </w:r>
          </w:p>
        </w:tc>
        <w:tc>
          <w:tcPr>
            <w:tcW w:w="40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(5,379)</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41.17%</w:t>
            </w:r>
          </w:p>
        </w:tc>
        <w:tc>
          <w:tcPr>
            <w:tcW w:w="0" w:type="dxa"/>
            <w:vAlign w:val="bottom"/>
          </w:tcPr>
          <w:p>
            <w:pPr>
              <w:spacing w:after="0"/>
              <w:rPr>
                <w:sz w:val="1"/>
                <w:szCs w:val="1"/>
                <w:color w:val="auto"/>
              </w:rPr>
            </w:pPr>
          </w:p>
        </w:tc>
      </w:tr>
      <w:tr>
        <w:trPr>
          <w:trHeight w:val="189"/>
        </w:trPr>
        <w:tc>
          <w:tcPr>
            <w:tcW w:w="7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Change in valuation allowance</w:t>
            </w:r>
          </w:p>
        </w:tc>
        <w:tc>
          <w:tcPr>
            <w:tcW w:w="4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4,371</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189"/>
        </w:trPr>
        <w:tc>
          <w:tcPr>
            <w:tcW w:w="7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Nontaxable or nondeductible items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2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189"/>
        </w:trPr>
        <w:tc>
          <w:tcPr>
            <w:tcW w:w="76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Equity compensation</w:t>
            </w:r>
          </w:p>
        </w:tc>
        <w:tc>
          <w:tcPr>
            <w:tcW w:w="40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189"/>
        </w:trPr>
        <w:tc>
          <w:tcPr>
            <w:tcW w:w="762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Executive compensation</w:t>
            </w:r>
          </w:p>
        </w:tc>
        <w:tc>
          <w:tcPr>
            <w:tcW w:w="4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2,202</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189"/>
        </w:trPr>
        <w:tc>
          <w:tcPr>
            <w:tcW w:w="7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6"/>
                <w:szCs w:val="16"/>
                <w:color w:val="auto"/>
              </w:rPr>
            </w:pPr>
          </w:p>
        </w:tc>
        <w:tc>
          <w:tcPr>
            <w:tcW w:w="12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189"/>
        </w:trPr>
        <w:tc>
          <w:tcPr>
            <w:tcW w:w="762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Change in unrecognized tax benefits</w:t>
            </w:r>
          </w:p>
        </w:tc>
        <w:tc>
          <w:tcPr>
            <w:tcW w:w="4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1,654</w:t>
            </w:r>
          </w:p>
        </w:tc>
        <w:tc>
          <w:tcPr>
            <w:tcW w:w="1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183"/>
        </w:trPr>
        <w:tc>
          <w:tcPr>
            <w:tcW w:w="76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tcPr>
          <w:p>
            <w:pPr>
              <w:jc w:val="right"/>
              <w:ind w:right="216"/>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1200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7" w:lineRule="exact"/>
        <w:rPr>
          <w:sz w:val="20"/>
          <w:szCs w:val="20"/>
          <w:color w:val="auto"/>
        </w:rPr>
      </w:pPr>
    </w:p>
    <w:p>
      <w:pPr>
        <w:ind w:left="580" w:hanging="572"/>
        <w:spacing w:after="0"/>
        <w:tabs>
          <w:tab w:leader="none" w:pos="580" w:val="left"/>
        </w:tabs>
        <w:numPr>
          <w:ilvl w:val="0"/>
          <w:numId w:val="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State taxes in California made up the majority (greater than 50%) of the tax effect in this category.</w:t>
      </w:r>
    </w:p>
    <w:p>
      <w:pPr>
        <w:spacing w:after="0" w:line="90" w:lineRule="exact"/>
        <w:rPr>
          <w:sz w:val="20"/>
          <w:szCs w:val="20"/>
          <w:color w:val="auto"/>
        </w:rPr>
      </w:pPr>
    </w:p>
    <w:p>
      <w:pPr>
        <w:ind w:right="60" w:firstLine="659"/>
        <w:spacing w:after="0" w:line="329" w:lineRule="auto"/>
        <w:rPr>
          <w:sz w:val="20"/>
          <w:szCs w:val="20"/>
          <w:color w:val="auto"/>
        </w:rPr>
      </w:pPr>
      <w:r>
        <w:rPr>
          <w:rFonts w:ascii="Times New Roman" w:cs="Times New Roman" w:eastAsia="Times New Roman" w:hAnsi="Times New Roman"/>
          <w:sz w:val="18"/>
          <w:szCs w:val="18"/>
          <w:color w:val="auto"/>
        </w:rPr>
        <w:t>The reconciliation of taxes at the federal statutory rate to our provision for (benefit from) income taxes for the years December 31, 2024 and 2023 in accordance with the guidance prior to the adoption of ASU 2023-09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88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3"/>
        </w:trPr>
        <w:tc>
          <w:tcPr>
            <w:tcW w:w="58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Expected income tax benefit at federal statutory tax rate</w:t>
            </w:r>
          </w:p>
        </w:tc>
        <w:tc>
          <w:tcPr>
            <w:tcW w:w="2220" w:type="dxa"/>
            <w:vAlign w:val="bottom"/>
            <w:gridSpan w:val="2"/>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(30,498)</w:t>
            </w:r>
          </w:p>
        </w:tc>
        <w:tc>
          <w:tcPr>
            <w:tcW w:w="540" w:type="dxa"/>
            <w:vAlign w:val="bottom"/>
            <w:gridSpan w:val="2"/>
            <w:shd w:val="clear" w:color="auto" w:fill="CFF0FC"/>
          </w:tcPr>
          <w:p>
            <w:pPr>
              <w:jc w:val="right"/>
              <w:ind w:right="2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(34,361)</w:t>
            </w:r>
          </w:p>
        </w:tc>
        <w:tc>
          <w:tcPr>
            <w:tcW w:w="0" w:type="dxa"/>
            <w:vAlign w:val="bottom"/>
          </w:tcPr>
          <w:p>
            <w:pPr>
              <w:spacing w:after="0"/>
              <w:rPr>
                <w:sz w:val="1"/>
                <w:szCs w:val="1"/>
                <w:color w:val="auto"/>
              </w:rPr>
            </w:pPr>
          </w:p>
        </w:tc>
      </w:tr>
      <w:tr>
        <w:trPr>
          <w:trHeight w:val="189"/>
        </w:trPr>
        <w:tc>
          <w:tcPr>
            <w:tcW w:w="5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State income taxes, net of federal benefit</w:t>
            </w: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(1,699)</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189"/>
        </w:trPr>
        <w:tc>
          <w:tcPr>
            <w:tcW w:w="58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Permanent items</w:t>
            </w:r>
          </w:p>
        </w:tc>
        <w:tc>
          <w:tcPr>
            <w:tcW w:w="18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89"/>
        </w:trPr>
        <w:tc>
          <w:tcPr>
            <w:tcW w:w="5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Equity compensation</w:t>
            </w: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804</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189"/>
        </w:trPr>
        <w:tc>
          <w:tcPr>
            <w:tcW w:w="58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Non-deductible compensation</w:t>
            </w:r>
          </w:p>
        </w:tc>
        <w:tc>
          <w:tcPr>
            <w:tcW w:w="18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2,188</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189"/>
        </w:trPr>
        <w:tc>
          <w:tcPr>
            <w:tcW w:w="5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Research credits</w:t>
            </w: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(7,057)</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(6,213)</w:t>
            </w:r>
          </w:p>
        </w:tc>
        <w:tc>
          <w:tcPr>
            <w:tcW w:w="0" w:type="dxa"/>
            <w:vAlign w:val="bottom"/>
          </w:tcPr>
          <w:p>
            <w:pPr>
              <w:spacing w:after="0"/>
              <w:rPr>
                <w:sz w:val="1"/>
                <w:szCs w:val="1"/>
                <w:color w:val="auto"/>
              </w:rPr>
            </w:pPr>
          </w:p>
        </w:tc>
      </w:tr>
      <w:tr>
        <w:trPr>
          <w:trHeight w:val="189"/>
        </w:trPr>
        <w:tc>
          <w:tcPr>
            <w:tcW w:w="58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8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89"/>
        </w:trPr>
        <w:tc>
          <w:tcPr>
            <w:tcW w:w="58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Change in the valuation allowance</w:t>
            </w:r>
          </w:p>
        </w:tc>
        <w:tc>
          <w:tcPr>
            <w:tcW w:w="1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36,148</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35,784</w:t>
            </w:r>
          </w:p>
        </w:tc>
        <w:tc>
          <w:tcPr>
            <w:tcW w:w="0" w:type="dxa"/>
            <w:vAlign w:val="bottom"/>
          </w:tcPr>
          <w:p>
            <w:pPr>
              <w:spacing w:after="0"/>
              <w:rPr>
                <w:sz w:val="1"/>
                <w:szCs w:val="1"/>
                <w:color w:val="auto"/>
              </w:rPr>
            </w:pPr>
          </w:p>
        </w:tc>
      </w:tr>
      <w:tr>
        <w:trPr>
          <w:trHeight w:val="203"/>
        </w:trPr>
        <w:tc>
          <w:tcPr>
            <w:tcW w:w="588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Income tax expense (benefit)</w:t>
            </w:r>
          </w:p>
        </w:tc>
        <w:tc>
          <w:tcPr>
            <w:tcW w:w="18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w:t>
            </w:r>
          </w:p>
        </w:tc>
        <w:tc>
          <w:tcPr>
            <w:tcW w:w="540" w:type="dxa"/>
            <w:vAlign w:val="bottom"/>
            <w:gridSpan w:val="2"/>
            <w:shd w:val="clear" w:color="auto" w:fill="CFF0FC"/>
          </w:tcPr>
          <w:p>
            <w:pPr>
              <w:jc w:val="right"/>
              <w:ind w:right="2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72" w:lineRule="exact"/>
        <w:rPr>
          <w:sz w:val="20"/>
          <w:szCs w:val="20"/>
          <w:color w:val="auto"/>
        </w:rPr>
      </w:pPr>
    </w:p>
    <w:p>
      <w:pPr>
        <w:ind w:right="40" w:firstLine="659"/>
        <w:spacing w:after="0" w:line="297" w:lineRule="auto"/>
        <w:rPr>
          <w:sz w:val="20"/>
          <w:szCs w:val="20"/>
          <w:color w:val="auto"/>
        </w:rPr>
      </w:pPr>
      <w:r>
        <w:rPr>
          <w:rFonts w:ascii="Times New Roman" w:cs="Times New Roman" w:eastAsia="Times New Roman" w:hAnsi="Times New Roman"/>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As of December 31, 2025 and 2024,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3"/>
        </w:trPr>
        <w:tc>
          <w:tcPr>
            <w:tcW w:w="7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at the beginning of the year</w:t>
            </w:r>
          </w:p>
        </w:tc>
        <w:tc>
          <w:tcPr>
            <w:tcW w:w="360" w:type="dxa"/>
            <w:vAlign w:val="bottom"/>
            <w:shd w:val="clear" w:color="auto" w:fill="CFF0FC"/>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6,911</w:t>
            </w:r>
          </w:p>
        </w:tc>
        <w:tc>
          <w:tcPr>
            <w:tcW w:w="540" w:type="dxa"/>
            <w:vAlign w:val="bottom"/>
            <w:gridSpan w:val="2"/>
            <w:shd w:val="clear" w:color="auto" w:fill="CFF0FC"/>
          </w:tcPr>
          <w:p>
            <w:pPr>
              <w:jc w:val="right"/>
              <w:ind w:right="2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5,016</w:t>
            </w: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3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9"/>
        </w:trPr>
        <w:tc>
          <w:tcPr>
            <w:tcW w:w="77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1,810</w:t>
            </w:r>
          </w:p>
        </w:tc>
        <w:tc>
          <w:tcPr>
            <w:tcW w:w="1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183"/>
        </w:trPr>
        <w:tc>
          <w:tcPr>
            <w:tcW w:w="77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the end of the year</w:t>
            </w:r>
          </w:p>
        </w:tc>
        <w:tc>
          <w:tcPr>
            <w:tcW w:w="360" w:type="dxa"/>
            <w:vAlign w:val="bottom"/>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8,719</w:t>
            </w:r>
          </w:p>
        </w:tc>
        <w:tc>
          <w:tcPr>
            <w:tcW w:w="540" w:type="dxa"/>
            <w:vAlign w:val="bottom"/>
            <w:gridSpan w:val="2"/>
          </w:tcPr>
          <w:p>
            <w:pPr>
              <w:jc w:val="right"/>
              <w:ind w:right="2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6,911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-153670</wp:posOffset>
            </wp:positionV>
            <wp:extent cx="1111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72" w:lineRule="exact"/>
        <w:rPr>
          <w:sz w:val="20"/>
          <w:szCs w:val="20"/>
          <w:color w:val="auto"/>
        </w:rPr>
      </w:pPr>
    </w:p>
    <w:p>
      <w:pPr>
        <w:ind w:right="540" w:firstLine="659"/>
        <w:spacing w:after="0" w:line="313" w:lineRule="auto"/>
        <w:rPr>
          <w:sz w:val="20"/>
          <w:szCs w:val="20"/>
          <w:color w:val="auto"/>
        </w:rPr>
      </w:pPr>
      <w:r>
        <w:rPr>
          <w:rFonts w:ascii="Times New Roman" w:cs="Times New Roman" w:eastAsia="Times New Roman" w:hAnsi="Times New Roman"/>
          <w:sz w:val="18"/>
          <w:szCs w:val="18"/>
          <w:color w:val="auto"/>
        </w:rPr>
        <w:t>If recognized, these amounts would not affect our effective tax rate, since they would be offset by an equal corresponding adjustment in the deferred tax asset valuation allowance.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7" w:name="page108"/>
    <w:bookmarkEnd w:id="107"/>
    <w:p>
      <w:pPr>
        <w:ind w:right="320" w:firstLine="659"/>
        <w:spacing w:after="0" w:line="313"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 matters in the provision for income taxes. As of December 31, 2025 and 2024, there were no interest or penalties on uncertain tax benefits.</w:t>
      </w:r>
    </w:p>
    <w:p>
      <w:pPr>
        <w:spacing w:after="0" w:line="68" w:lineRule="exact"/>
        <w:rPr>
          <w:sz w:val="20"/>
          <w:szCs w:val="20"/>
          <w:color w:val="auto"/>
        </w:rPr>
      </w:pPr>
    </w:p>
    <w:p>
      <w:pPr>
        <w:ind w:right="240" w:firstLine="659"/>
        <w:spacing w:after="0" w:line="305" w:lineRule="auto"/>
        <w:rPr>
          <w:sz w:val="20"/>
          <w:szCs w:val="20"/>
          <w:color w:val="auto"/>
        </w:rPr>
      </w:pPr>
      <w:r>
        <w:rPr>
          <w:rFonts w:ascii="Times New Roman" w:cs="Times New Roman" w:eastAsia="Times New Roman" w:hAnsi="Times New Roman"/>
          <w:sz w:val="18"/>
          <w:szCs w:val="18"/>
          <w:color w:val="auto"/>
        </w:rPr>
        <w:t>We file income tax returns in the United States, California and various U.S. state jurisdictions. Due to our losses incurred, we are essentially subject to income tax examination by tax authorities from inception to date. Our Australian subsidiary was dissolved and the final Australian income tax return filed for the year ended December 31, 2024.</w:t>
      </w:r>
    </w:p>
    <w:p>
      <w:pPr>
        <w:spacing w:after="0" w:line="61" w:lineRule="exact"/>
        <w:rPr>
          <w:sz w:val="20"/>
          <w:szCs w:val="20"/>
          <w:color w:val="auto"/>
        </w:rPr>
      </w:pPr>
    </w:p>
    <w:p>
      <w:pPr>
        <w:jc w:val="both"/>
        <w:ind w:right="360" w:firstLine="659"/>
        <w:spacing w:after="0" w:line="305" w:lineRule="auto"/>
        <w:rPr>
          <w:sz w:val="20"/>
          <w:szCs w:val="20"/>
          <w:color w:val="auto"/>
        </w:rPr>
      </w:pPr>
      <w:r>
        <w:rPr>
          <w:rFonts w:ascii="Times New Roman" w:cs="Times New Roman" w:eastAsia="Times New Roman" w:hAnsi="Times New Roman"/>
          <w:sz w:val="18"/>
          <w:szCs w:val="18"/>
          <w:color w:val="auto"/>
        </w:rPr>
        <w:t>The One Big Beautiful Bill Act of 2025 ("OBBBA") was signed into law on July 4, 2025. The OBBBA makes changes to the U.S. corporate income tax including immediate expensing of domestic research and development costs while foreign expenditures will continue to be capitalized and amortized over 15 years and modifications to the timing of the deduction for interest expense.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40" w:firstLine="656"/>
        <w:spacing w:after="0" w:line="292" w:lineRule="auto"/>
        <w:rPr>
          <w:sz w:val="20"/>
          <w:szCs w:val="20"/>
          <w:color w:val="auto"/>
        </w:rPr>
      </w:pPr>
      <w:r>
        <w:rPr>
          <w:rFonts w:ascii="Times New Roman" w:cs="Times New Roman" w:eastAsia="Times New Roman" w:hAnsi="Times New Roman"/>
          <w:sz w:val="18"/>
          <w:szCs w:val="18"/>
          <w:color w:val="auto"/>
        </w:rPr>
        <w:t>As of December 31, 2025, our management, with the participation of our principal executive officer and principal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disclosures. Based on this evaluation, our principal executive officer and principal financial officer concluded that, as of December 31, 2025, the design and operation of our disclosure controls and procedures were effective at a reasonable assurance level.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62" w:lineRule="exact"/>
        <w:rPr>
          <w:sz w:val="20"/>
          <w:szCs w:val="20"/>
          <w:color w:val="auto"/>
        </w:rPr>
      </w:pPr>
    </w:p>
    <w:p>
      <w:pPr>
        <w:ind w:firstLine="656"/>
        <w:spacing w:after="0" w:line="29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 Management assessed the effectiveness of our internal control over financial reporting as of December 31, 2025. In making this assessment, management used the criteria set forth by the Committee of Sponsoring Organizations of the Treadway Commission (COSO) in Internal Control—Integrated Framework issued in 2013. Based upon the assessments, management has concluded that as of December 31, 2025 our internal control over financial reporting was effective to provide reasonable assurance regarding the reliability of financial reporting and the preparation of financial statements in accordance with GAAP.</w:t>
      </w:r>
    </w:p>
    <w:p>
      <w:pPr>
        <w:spacing w:after="0" w:line="72" w:lineRule="exact"/>
        <w:rPr>
          <w:sz w:val="20"/>
          <w:szCs w:val="20"/>
          <w:color w:val="auto"/>
        </w:rPr>
      </w:pPr>
    </w:p>
    <w:p>
      <w:pPr>
        <w:ind w:right="60" w:firstLine="656"/>
        <w:spacing w:after="0" w:line="305"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on internal control over financial reporting issued by our independent registered accounting firm. Our auditors will not be required to formally opine on the effectiveness of our internal control over financial reporting pursuant to Section 404(b) of the Sarbanes-Oxley Act of 2002 until we are no longer a smaller reporting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40" w:firstLine="659"/>
        <w:spacing w:after="0" w:line="30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quarter ended December 31, 2025 that have materially affected, or are reasonably likely to materially affect, our internal control over financial reporting.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48" w:lineRule="exact"/>
        <w:rPr>
          <w:sz w:val="20"/>
          <w:szCs w:val="20"/>
          <w:color w:val="auto"/>
        </w:rPr>
      </w:pPr>
    </w:p>
    <w:p>
      <w:pPr>
        <w:ind w:right="120" w:firstLine="659"/>
        <w:spacing w:after="0" w:line="305" w:lineRule="auto"/>
        <w:rPr>
          <w:sz w:val="20"/>
          <w:szCs w:val="20"/>
          <w:color w:val="auto"/>
        </w:rPr>
      </w:pPr>
      <w:r>
        <w:rPr>
          <w:rFonts w:ascii="Times New Roman" w:cs="Times New Roman" w:eastAsia="Times New Roman" w:hAnsi="Times New Roman"/>
          <w:sz w:val="18"/>
          <w:szCs w:val="18"/>
          <w:color w:val="auto"/>
        </w:rPr>
        <w:t>Internal control over financial reporting may not prevent or detect all errors and all fraud.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48" w:lineRule="exact"/>
        <w:rPr>
          <w:sz w:val="20"/>
          <w:szCs w:val="20"/>
          <w:color w:val="auto"/>
        </w:rPr>
      </w:pPr>
    </w:p>
    <w:p>
      <w:pPr>
        <w:ind w:firstLine="656"/>
        <w:spacing w:after="0" w:line="329" w:lineRule="auto"/>
        <w:rPr>
          <w:sz w:val="20"/>
          <w:szCs w:val="20"/>
          <w:color w:val="auto"/>
        </w:rPr>
      </w:pPr>
      <w:r>
        <w:rPr>
          <w:rFonts w:ascii="Times New Roman" w:cs="Times New Roman" w:eastAsia="Times New Roman" w:hAnsi="Times New Roman"/>
          <w:sz w:val="18"/>
          <w:szCs w:val="18"/>
          <w:color w:val="auto"/>
        </w:rPr>
        <w:t>During the quarter ended December 31, 2025, none of the Company’s directors or officers adopted or terminated any “Rule 10b5-1 trading arrangements” or any “non-Rule 10b5-1 trading arrangement,” as each term is defined in Item 408 of Regulation 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995" w:right="91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that applies to all of our</w:t>
      </w:r>
    </w:p>
    <w:p>
      <w:pPr>
        <w:spacing w:after="0" w:line="36"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personnel, including directors, officers, employees, and other covered persons. The Insider Trading Policy also provides that the Company will not transact in its own securities unless in compliance with U.S. federal and state securities laws. We believe that our Insider Trading Policy is reasonably designed to promote compliance with insider trading laws, rules and regulations, and listing standards applicable to the Company. A copy of the Insider Trading Policy is filed as Exhibit 19.1 to this Annual Report.</w:t>
      </w:r>
    </w:p>
    <w:p>
      <w:pPr>
        <w:spacing w:after="0" w:line="82" w:lineRule="exact"/>
        <w:rPr>
          <w:sz w:val="20"/>
          <w:szCs w:val="20"/>
          <w:color w:val="auto"/>
        </w:rPr>
      </w:pPr>
    </w:p>
    <w:p>
      <w:pPr>
        <w:ind w:right="60" w:firstLine="659"/>
        <w:spacing w:after="0" w:line="297"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herein by reference to the sections titled “Information about our Executive Officers,” “Election of Class II Directors,” “Corporate Governance Standards and Director Independence”, “Insider Trading Policy” and “Security Ownership of Certain Beneficial Owners and Management” in our Definitive Proxy Statement with respect to our 2026 Annual Meeting of Stockholders to be filed with the SEC within 120 days after the end of the fiscal year covered by this Annual Report on Form 10-K.</w:t>
      </w:r>
    </w:p>
    <w:p>
      <w:pPr>
        <w:spacing w:after="0" w:line="69" w:lineRule="exact"/>
        <w:rPr>
          <w:sz w:val="20"/>
          <w:szCs w:val="20"/>
          <w:color w:val="auto"/>
        </w:rPr>
      </w:pPr>
    </w:p>
    <w:p>
      <w:pPr>
        <w:ind w:right="140" w:firstLine="659"/>
        <w:spacing w:after="0" w:line="305" w:lineRule="auto"/>
        <w:rPr>
          <w:sz w:val="20"/>
          <w:szCs w:val="20"/>
          <w:color w:val="auto"/>
        </w:rPr>
      </w:pPr>
      <w:r>
        <w:rPr>
          <w:rFonts w:ascii="Times New Roman" w:cs="Times New Roman" w:eastAsia="Times New Roman" w:hAnsi="Times New Roman"/>
          <w:sz w:val="18"/>
          <w:szCs w:val="18"/>
          <w:color w:val="auto"/>
        </w:rPr>
        <w:t>With regard to the information required by this item regarding compliance with Section 16(a) of the Exchange Act, we will provide disclosure of delinquent Section 16(a) reports, if any, in our Proxy Statement related to the 2026 Annual Meeting of Stockholders, and such disclosure, if any, is incorporated herein by 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40" w:firstLine="659"/>
        <w:spacing w:after="0" w:line="250"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the section titled “Executive Compensation,” “Election of Class II Directors,” and “Corporate Governance Standards and Director Independence” in our Definitive Proxy Statement with respect to our 2026 Annual Meeting of Stockholders to be filed with the SEC within 120 days after the end of the fiscal year covered by this Annual Report on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firstLine="659"/>
        <w:spacing w:after="0" w:line="258"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the section titled “Security Ownership of Certain Beneficial Owners and Management” and “Equity Compensation Plan Information” in our Definitive Proxy Statement with respect to our 2026 Annual Meeting of Stockholders to be filed with the SEC within 120 days after the end of the fiscal year covered by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140" w:firstLine="659"/>
        <w:spacing w:after="0" w:line="258"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the section titled “Certain Relationships and Related Party Transactions” and “Corporate Governance Standards and Director Independence” in our Definitive Proxy Statement with respect to our 2026 Annual Meeting of Stockholders to be filed with the SEC within 120 days after the end of the fiscal year covered by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San Diego, CA, Auditor Firm ID: 185.</w:t>
      </w:r>
    </w:p>
    <w:p>
      <w:pPr>
        <w:spacing w:after="0" w:line="104" w:lineRule="exact"/>
        <w:rPr>
          <w:sz w:val="20"/>
          <w:szCs w:val="20"/>
          <w:color w:val="auto"/>
        </w:rPr>
      </w:pPr>
    </w:p>
    <w:p>
      <w:pPr>
        <w:ind w:right="260" w:firstLine="659"/>
        <w:spacing w:after="0" w:line="250"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the section titled “Ratification of Independent Registered Public Accounting Firm” in our Definitive Proxy Statement with respect to our 2026 Annual Meeting of Stockholders to be filed with the SEC within 120 days after the end of the fiscal year covered by this Annual Report on Form 10-K.</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Consolidated Financial Statement Schedules</w:t>
      </w:r>
    </w:p>
    <w:p>
      <w:pPr>
        <w:spacing w:after="0" w:line="162" w:lineRule="exact"/>
        <w:rPr>
          <w:sz w:val="20"/>
          <w:szCs w:val="20"/>
          <w:color w:val="auto"/>
        </w:rPr>
      </w:pPr>
    </w:p>
    <w:p>
      <w:pPr>
        <w:ind w:left="380" w:hanging="372"/>
        <w:spacing w:after="0"/>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44" w:lineRule="exact"/>
        <w:rPr>
          <w:rFonts w:ascii="Times New Roman" w:cs="Times New Roman" w:eastAsia="Times New Roman" w:hAnsi="Times New Roman"/>
          <w:sz w:val="18"/>
          <w:szCs w:val="18"/>
          <w:color w:val="auto"/>
        </w:rPr>
      </w:pPr>
    </w:p>
    <w:p>
      <w:pPr>
        <w:ind w:left="1040" w:hanging="373"/>
        <w:spacing w:after="0"/>
        <w:tabs>
          <w:tab w:leader="none" w:pos="10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See Index to Consolidated Financial Statements under Part II, Item 8 herein.</w:t>
      </w:r>
    </w:p>
    <w:p>
      <w:pPr>
        <w:spacing w:after="0" w:line="144" w:lineRule="exact"/>
        <w:rPr>
          <w:sz w:val="20"/>
          <w:szCs w:val="20"/>
          <w:color w:val="auto"/>
        </w:rPr>
      </w:pPr>
    </w:p>
    <w:p>
      <w:pPr>
        <w:ind w:left="1040" w:hanging="373"/>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Schedules</w:t>
      </w:r>
    </w:p>
    <w:p>
      <w:pPr>
        <w:spacing w:after="0" w:line="144" w:lineRule="exact"/>
        <w:rPr>
          <w:sz w:val="20"/>
          <w:szCs w:val="20"/>
          <w:color w:val="auto"/>
        </w:rPr>
      </w:pPr>
    </w:p>
    <w:p>
      <w:pPr>
        <w:ind w:right="280" w:firstLine="1318"/>
        <w:spacing w:after="0" w:line="329" w:lineRule="auto"/>
        <w:rPr>
          <w:sz w:val="20"/>
          <w:szCs w:val="20"/>
          <w:color w:val="auto"/>
        </w:rPr>
      </w:pPr>
      <w:r>
        <w:rPr>
          <w:rFonts w:ascii="Times New Roman" w:cs="Times New Roman" w:eastAsia="Times New Roman" w:hAnsi="Times New Roman"/>
          <w:sz w:val="18"/>
          <w:szCs w:val="18"/>
          <w:color w:val="auto"/>
        </w:rPr>
        <w:t>No consolidated financial statement schedules are provided because the information called for is not required or is shown either in the consolidated financial statements or notes thereto.</w:t>
      </w:r>
    </w:p>
    <w:p>
      <w:pPr>
        <w:spacing w:after="0" w:line="40" w:lineRule="exact"/>
        <w:rPr>
          <w:sz w:val="20"/>
          <w:szCs w:val="20"/>
          <w:color w:val="auto"/>
        </w:rPr>
      </w:pPr>
    </w:p>
    <w:p>
      <w:pPr>
        <w:ind w:left="1040" w:hanging="373"/>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60" w:type="dxa"/>
            <w:vAlign w:val="bottom"/>
            <w:gridSpan w:val="33"/>
            <w:vMerge w:val="restart"/>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10"/>
                <w:szCs w:val="10"/>
                <w:color w:val="auto"/>
              </w:rPr>
            </w:pPr>
          </w:p>
        </w:tc>
        <w:tc>
          <w:tcPr>
            <w:tcW w:w="12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0" w:type="dxa"/>
            <w:vAlign w:val="bottom"/>
          </w:tcPr>
          <w:p>
            <w:pPr>
              <w:spacing w:after="0"/>
              <w:rPr>
                <w:sz w:val="10"/>
                <w:szCs w:val="10"/>
                <w:color w:val="auto"/>
              </w:rPr>
            </w:pPr>
          </w:p>
        </w:tc>
        <w:tc>
          <w:tcPr>
            <w:tcW w:w="11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20" w:type="dxa"/>
            <w:vAlign w:val="bottom"/>
          </w:tcPr>
          <w:p>
            <w:pPr>
              <w:jc w:val="center"/>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60" w:type="dxa"/>
            <w:vAlign w:val="bottom"/>
            <w:gridSpan w:val="33"/>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62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55"/>
        </w:trPr>
        <w:tc>
          <w:tcPr>
            <w:tcW w:w="10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3"/>
                <w:szCs w:val="13"/>
                <w:color w:val="auto"/>
              </w:rPr>
            </w:pPr>
          </w:p>
        </w:tc>
        <w:tc>
          <w:tcPr>
            <w:tcW w:w="4000" w:type="dxa"/>
            <w:vAlign w:val="bottom"/>
            <w:tcBorders>
              <w:top w:val="single" w:sz="8" w:color="auto"/>
              <w:bottom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Amended and Restated Certificate of Incorporation, as</w:t>
              </w:r>
            </w:hyperlink>
          </w:p>
        </w:tc>
        <w:tc>
          <w:tcPr>
            <w:tcW w:w="120" w:type="dxa"/>
            <w:vAlign w:val="bottom"/>
          </w:tcPr>
          <w:p>
            <w:pPr>
              <w:spacing w:after="0"/>
              <w:rPr>
                <w:sz w:val="13"/>
                <w:szCs w:val="13"/>
                <w:color w:val="auto"/>
              </w:rPr>
            </w:pPr>
          </w:p>
        </w:tc>
        <w:tc>
          <w:tcPr>
            <w:tcW w:w="80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7"/>
              </w:rPr>
              <w:t>10-Q</w:t>
            </w:r>
          </w:p>
        </w:tc>
        <w:tc>
          <w:tcPr>
            <w:tcW w:w="140" w:type="dxa"/>
            <w:vAlign w:val="bottom"/>
          </w:tcPr>
          <w:p>
            <w:pPr>
              <w:spacing w:after="0"/>
              <w:rPr>
                <w:sz w:val="13"/>
                <w:szCs w:val="13"/>
                <w:color w:val="auto"/>
              </w:rPr>
            </w:pPr>
          </w:p>
        </w:tc>
        <w:tc>
          <w:tcPr>
            <w:tcW w:w="12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001-37985</w:t>
            </w:r>
          </w:p>
        </w:tc>
        <w:tc>
          <w:tcPr>
            <w:tcW w:w="60" w:type="dxa"/>
            <w:vAlign w:val="bottom"/>
          </w:tcPr>
          <w:p>
            <w:pPr>
              <w:spacing w:after="0"/>
              <w:rPr>
                <w:sz w:val="13"/>
                <w:szCs w:val="13"/>
                <w:color w:val="auto"/>
              </w:rPr>
            </w:pPr>
          </w:p>
        </w:tc>
        <w:tc>
          <w:tcPr>
            <w:tcW w:w="94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10.26</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center"/>
              <w:ind w:right="32"/>
              <w:spacing w:after="0" w:line="156" w:lineRule="exact"/>
              <w:rPr>
                <w:sz w:val="20"/>
                <w:szCs w:val="20"/>
                <w:color w:val="auto"/>
              </w:rPr>
            </w:pPr>
            <w:r>
              <w:rPr>
                <w:rFonts w:ascii="Times New Roman" w:cs="Times New Roman" w:eastAsia="Times New Roman" w:hAnsi="Times New Roman"/>
                <w:sz w:val="18"/>
                <w:szCs w:val="18"/>
                <w:color w:val="auto"/>
                <w:w w:val="99"/>
              </w:rPr>
              <w:t>August 7, 2023</w:t>
            </w:r>
          </w:p>
        </w:tc>
        <w:tc>
          <w:tcPr>
            <w:tcW w:w="1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4"/>
                <w:szCs w:val="14"/>
                <w:color w:val="auto"/>
              </w:rPr>
            </w:pPr>
          </w:p>
        </w:tc>
        <w:tc>
          <w:tcPr>
            <w:tcW w:w="136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currently in effect.</w:t>
              </w:r>
            </w:hyperlink>
          </w:p>
        </w:tc>
        <w:tc>
          <w:tcPr>
            <w:tcW w:w="20" w:type="dxa"/>
            <w:vAlign w:val="bottom"/>
            <w:tcBorders>
              <w:bottom w:val="single" w:sz="8" w:color="0000EE"/>
            </w:tcBorders>
          </w:tcPr>
          <w:p>
            <w:pPr>
              <w:spacing w:after="0"/>
              <w:rPr>
                <w:sz w:val="14"/>
                <w:szCs w:val="14"/>
                <w:color w:val="auto"/>
              </w:rPr>
            </w:pPr>
          </w:p>
        </w:tc>
        <w:tc>
          <w:tcPr>
            <w:tcW w:w="2620" w:type="dxa"/>
            <w:vAlign w:val="bottom"/>
            <w:gridSpan w:val="29"/>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rPr>
              <w:t>February 10, 2023</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40"/>
          </w:tcPr>
          <w:p>
            <w:pPr>
              <w:spacing w:after="0" w:line="169"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Restated Bylaws, as currently in effect.</w:t>
              </w:r>
            </w:hyperlink>
          </w:p>
        </w:tc>
        <w:tc>
          <w:tcPr>
            <w:tcW w:w="8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4"/>
                <w:szCs w:val="14"/>
                <w:color w:val="auto"/>
              </w:rPr>
            </w:pPr>
          </w:p>
        </w:tc>
        <w:tc>
          <w:tcPr>
            <w:tcW w:w="2620" w:type="dxa"/>
            <w:vAlign w:val="bottom"/>
            <w:tcBorders>
              <w:top w:val="single" w:sz="8" w:color="0000FF"/>
              <w:bottom w:val="single" w:sz="8" w:color="0000FF"/>
            </w:tcBorders>
            <w:gridSpan w:val="21"/>
          </w:tcPr>
          <w:p>
            <w:pPr>
              <w:spacing w:after="0" w:line="169" w:lineRule="exact"/>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Form of Common Stock Certificate.</w:t>
              </w:r>
            </w:hyperlink>
          </w:p>
        </w:tc>
        <w:tc>
          <w:tcPr>
            <w:tcW w:w="220" w:type="dxa"/>
            <w:vAlign w:val="bottom"/>
            <w:tcBorders>
              <w:top w:val="single" w:sz="8" w:color="0000FF"/>
            </w:tcBorders>
            <w:gridSpan w:val="2"/>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S-1</w:t>
            </w:r>
          </w:p>
        </w:tc>
        <w:tc>
          <w:tcPr>
            <w:tcW w:w="1360" w:type="dxa"/>
            <w:vAlign w:val="bottom"/>
            <w:gridSpan w:val="2"/>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8"/>
              </w:rPr>
              <w:t>333-206849</w:t>
            </w:r>
          </w:p>
        </w:tc>
        <w:tc>
          <w:tcPr>
            <w:tcW w:w="10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32"/>
              <w:spacing w:after="0" w:line="169" w:lineRule="exact"/>
              <w:rPr>
                <w:sz w:val="20"/>
                <w:szCs w:val="20"/>
                <w:color w:val="auto"/>
              </w:rPr>
            </w:pPr>
            <w:r>
              <w:rPr>
                <w:rFonts w:ascii="Times New Roman" w:cs="Times New Roman" w:eastAsia="Times New Roman" w:hAnsi="Times New Roman"/>
                <w:sz w:val="18"/>
                <w:szCs w:val="18"/>
                <w:color w:val="auto"/>
              </w:rPr>
              <w:t>December 23, 2015</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4"/>
                <w:szCs w:val="14"/>
                <w:color w:val="auto"/>
              </w:rPr>
            </w:pPr>
          </w:p>
        </w:tc>
        <w:tc>
          <w:tcPr>
            <w:tcW w:w="384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Description of the Registrant’s Securities Registered</w:t>
              </w:r>
            </w:hyperlink>
          </w:p>
        </w:tc>
        <w:tc>
          <w:tcPr>
            <w:tcW w:w="280" w:type="dxa"/>
            <w:vAlign w:val="bottom"/>
            <w:gridSpan w:val="7"/>
          </w:tcPr>
          <w:p>
            <w:pPr>
              <w:spacing w:after="0"/>
              <w:rPr>
                <w:sz w:val="14"/>
                <w:szCs w:val="14"/>
                <w:color w:val="auto"/>
              </w:rPr>
            </w:pPr>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2"/>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32"/>
              <w:spacing w:after="0" w:line="169" w:lineRule="exact"/>
              <w:rPr>
                <w:sz w:val="20"/>
                <w:szCs w:val="20"/>
                <w:color w:val="auto"/>
              </w:rPr>
            </w:pPr>
            <w:r>
              <w:rPr>
                <w:rFonts w:ascii="Times New Roman" w:cs="Times New Roman" w:eastAsia="Times New Roman" w:hAnsi="Times New Roman"/>
                <w:sz w:val="18"/>
                <w:szCs w:val="18"/>
                <w:color w:val="auto"/>
              </w:rPr>
              <w:t>March 2, 2020</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40"/>
          </w:tcPr>
          <w:p>
            <w:pPr>
              <w:spacing w:after="0" w:line="169"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Pursuant to Section 12 of the Securities Exchange Act</w:t>
              </w:r>
            </w:hyperlink>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80" w:type="dxa"/>
            <w:vAlign w:val="bottom"/>
            <w:tcBorders>
              <w:top w:val="single" w:sz="8" w:color="0000FF"/>
            </w:tcBorders>
            <w:gridSpan w:val="38"/>
          </w:tcPr>
          <w:p>
            <w:pPr>
              <w:spacing w:after="0" w:line="169"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of 1934</w:t>
              </w:r>
            </w:hyperlink>
          </w:p>
        </w:tc>
        <w:tc>
          <w:tcPr>
            <w:tcW w:w="14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4"/>
                <w:szCs w:val="14"/>
                <w:color w:val="auto"/>
              </w:rPr>
            </w:pPr>
          </w:p>
        </w:tc>
        <w:tc>
          <w:tcPr>
            <w:tcW w:w="560" w:type="dxa"/>
            <w:vAlign w:val="bottom"/>
            <w:tcBorders>
              <w:top w:val="single" w:sz="8" w:color="0000FF"/>
            </w:tcBorders>
          </w:tcPr>
          <w:p>
            <w:pPr>
              <w:spacing w:after="0" w:line="169" w:lineRule="exact"/>
              <w:rPr>
                <w:rFonts w:ascii="Times New Roman" w:cs="Times New Roman" w:eastAsia="Times New Roman" w:hAnsi="Times New Roman"/>
                <w:sz w:val="18"/>
                <w:szCs w:val="18"/>
                <w:color w:val="0000FF"/>
                <w:w w:val="92"/>
              </w:rPr>
            </w:pPr>
            <w:hyperlink r:id="rId302">
              <w:r>
                <w:rPr>
                  <w:rFonts w:ascii="Times New Roman" w:cs="Times New Roman" w:eastAsia="Times New Roman" w:hAnsi="Times New Roman"/>
                  <w:sz w:val="18"/>
                  <w:szCs w:val="18"/>
                  <w:color w:val="0000FF"/>
                  <w:w w:val="92"/>
                </w:rPr>
                <w:t>Form of</w:t>
              </w:r>
            </w:hyperlink>
          </w:p>
        </w:tc>
        <w:tc>
          <w:tcPr>
            <w:tcW w:w="20" w:type="dxa"/>
            <w:vAlign w:val="bottom"/>
            <w:tcBorders>
              <w:top w:val="single" w:sz="8" w:color="0000EE"/>
            </w:tcBorders>
          </w:tcPr>
          <w:p>
            <w:pPr>
              <w:spacing w:after="0"/>
              <w:rPr>
                <w:sz w:val="14"/>
                <w:szCs w:val="14"/>
                <w:color w:val="auto"/>
              </w:rPr>
            </w:pPr>
          </w:p>
        </w:tc>
        <w:tc>
          <w:tcPr>
            <w:tcW w:w="3540" w:type="dxa"/>
            <w:vAlign w:val="bottom"/>
            <w:gridSpan w:val="38"/>
          </w:tcPr>
          <w:p>
            <w:pPr>
              <w:jc w:val="center"/>
              <w:ind w:right="1800"/>
              <w:spacing w:after="0" w:line="169" w:lineRule="exact"/>
              <w:rPr>
                <w:rFonts w:ascii="Times New Roman" w:cs="Times New Roman" w:eastAsia="Times New Roman" w:hAnsi="Times New Roman"/>
                <w:sz w:val="18"/>
                <w:szCs w:val="18"/>
                <w:color w:val="0000FF"/>
                <w:w w:val="99"/>
              </w:rPr>
            </w:pPr>
            <w:hyperlink r:id="rId302">
              <w:r>
                <w:rPr>
                  <w:rFonts w:ascii="Times New Roman" w:cs="Times New Roman" w:eastAsia="Times New Roman" w:hAnsi="Times New Roman"/>
                  <w:sz w:val="18"/>
                  <w:szCs w:val="18"/>
                  <w:color w:val="0000FF"/>
                  <w:w w:val="99"/>
                </w:rPr>
                <w:t>Indemnity Agreement.</w:t>
              </w:r>
            </w:hyperlink>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S-1</w:t>
            </w:r>
          </w:p>
        </w:tc>
        <w:tc>
          <w:tcPr>
            <w:tcW w:w="1360" w:type="dxa"/>
            <w:vAlign w:val="bottom"/>
            <w:gridSpan w:val="2"/>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8"/>
              </w:rPr>
              <w:t>333-206849</w:t>
            </w:r>
          </w:p>
        </w:tc>
        <w:tc>
          <w:tcPr>
            <w:tcW w:w="10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32"/>
              <w:spacing w:after="0" w:line="169" w:lineRule="exact"/>
              <w:rPr>
                <w:sz w:val="20"/>
                <w:szCs w:val="20"/>
                <w:color w:val="auto"/>
              </w:rPr>
            </w:pPr>
            <w:r>
              <w:rPr>
                <w:rFonts w:ascii="Times New Roman" w:cs="Times New Roman" w:eastAsia="Times New Roman" w:hAnsi="Times New Roman"/>
                <w:sz w:val="18"/>
                <w:szCs w:val="18"/>
                <w:color w:val="auto"/>
                <w:w w:val="98"/>
              </w:rPr>
              <w:t>September 9, 2015</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S-1</w:t>
            </w:r>
          </w:p>
        </w:tc>
        <w:tc>
          <w:tcPr>
            <w:tcW w:w="1360" w:type="dxa"/>
            <w:vAlign w:val="bottom"/>
            <w:gridSpan w:val="2"/>
            <w:vMerge w:val="restart"/>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8"/>
              </w:rPr>
              <w:t>333-206849</w:t>
            </w:r>
          </w:p>
        </w:tc>
        <w:tc>
          <w:tcPr>
            <w:tcW w:w="1000" w:type="dxa"/>
            <w:vAlign w:val="bottom"/>
            <w:gridSpan w:val="2"/>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vMerge w:val="restart"/>
          </w:tcPr>
          <w:p>
            <w:pPr>
              <w:jc w:val="center"/>
              <w:ind w:right="32"/>
              <w:spacing w:after="0" w:line="189" w:lineRule="exact"/>
              <w:rPr>
                <w:sz w:val="20"/>
                <w:szCs w:val="20"/>
                <w:color w:val="auto"/>
              </w:rPr>
            </w:pPr>
            <w:r>
              <w:rPr>
                <w:rFonts w:ascii="Times New Roman" w:cs="Times New Roman" w:eastAsia="Times New Roman" w:hAnsi="Times New Roman"/>
                <w:sz w:val="18"/>
                <w:szCs w:val="18"/>
                <w:color w:val="auto"/>
                <w:w w:val="98"/>
              </w:rPr>
              <w:t>January 17, 2017</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40"/>
          </w:tcPr>
          <w:p>
            <w:pPr>
              <w:spacing w:after="0" w:line="169"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Amended and Restated 2006 Equity Incentive Plan</w:t>
              </w:r>
            </w:hyperlink>
          </w:p>
        </w:tc>
        <w:tc>
          <w:tcPr>
            <w:tcW w:w="8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4"/>
                <w:szCs w:val="14"/>
                <w:color w:val="auto"/>
              </w:rPr>
            </w:pPr>
          </w:p>
        </w:tc>
        <w:tc>
          <w:tcPr>
            <w:tcW w:w="374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and forms of award agreements.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rPr>
              <w:t>June 17, 2025</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40"/>
          </w:tcPr>
          <w:p>
            <w:pPr>
              <w:spacing w:after="0" w:line="169"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Amended and Restated 2017 Equity Incentive Plan.</w:t>
              </w:r>
            </w:hyperlink>
          </w:p>
        </w:tc>
        <w:tc>
          <w:tcPr>
            <w:tcW w:w="8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4"/>
                <w:szCs w:val="14"/>
                <w:color w:val="auto"/>
              </w:rPr>
            </w:pPr>
          </w:p>
        </w:tc>
        <w:tc>
          <w:tcPr>
            <w:tcW w:w="376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2017 Employee Stock Purchase Plan, and forms of</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S-1</w:t>
            </w:r>
          </w:p>
        </w:tc>
        <w:tc>
          <w:tcPr>
            <w:tcW w:w="1360" w:type="dxa"/>
            <w:vAlign w:val="bottom"/>
            <w:gridSpan w:val="2"/>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8"/>
              </w:rPr>
              <w:t>333-206849</w:t>
            </w:r>
          </w:p>
        </w:tc>
        <w:tc>
          <w:tcPr>
            <w:tcW w:w="10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32"/>
              <w:spacing w:after="0" w:line="169" w:lineRule="exact"/>
              <w:rPr>
                <w:sz w:val="20"/>
                <w:szCs w:val="20"/>
                <w:color w:val="auto"/>
              </w:rPr>
            </w:pPr>
            <w:r>
              <w:rPr>
                <w:rFonts w:ascii="Times New Roman" w:cs="Times New Roman" w:eastAsia="Times New Roman" w:hAnsi="Times New Roman"/>
                <w:sz w:val="18"/>
                <w:szCs w:val="18"/>
                <w:color w:val="auto"/>
                <w:w w:val="98"/>
              </w:rPr>
              <w:t>January 17, 2017</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305">
              <w:r>
                <w:rPr>
                  <w:rFonts w:ascii="Times New Roman" w:cs="Times New Roman" w:eastAsia="Times New Roman" w:hAnsi="Times New Roman"/>
                  <w:sz w:val="18"/>
                  <w:szCs w:val="18"/>
                  <w:color w:val="0000FF"/>
                  <w:w w:val="99"/>
                </w:rPr>
                <w:t>award agreements.</w:t>
              </w:r>
            </w:hyperlink>
          </w:p>
        </w:tc>
        <w:tc>
          <w:tcPr>
            <w:tcW w:w="20" w:type="dxa"/>
            <w:vAlign w:val="bottom"/>
            <w:tcBorders>
              <w:top w:val="single" w:sz="8" w:color="0000FF"/>
              <w:bottom w:val="single" w:sz="8" w:color="0000EE"/>
            </w:tcBorders>
          </w:tcPr>
          <w:p>
            <w:pPr>
              <w:spacing w:after="0"/>
              <w:rPr>
                <w:sz w:val="14"/>
                <w:szCs w:val="14"/>
                <w:color w:val="auto"/>
              </w:rPr>
            </w:pPr>
          </w:p>
        </w:tc>
        <w:tc>
          <w:tcPr>
            <w:tcW w:w="2340" w:type="dxa"/>
            <w:vAlign w:val="bottom"/>
            <w:tcBorders>
              <w:top w:val="single" w:sz="8" w:color="0000FF"/>
            </w:tcBorders>
            <w:gridSpan w:val="18"/>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4"/>
                <w:szCs w:val="14"/>
                <w:color w:val="auto"/>
              </w:rPr>
            </w:pPr>
          </w:p>
        </w:tc>
        <w:tc>
          <w:tcPr>
            <w:tcW w:w="1380" w:type="dxa"/>
            <w:vAlign w:val="bottom"/>
            <w:gridSpan w:val="10"/>
          </w:tcPr>
          <w:p>
            <w:pPr>
              <w:spacing w:after="0" w:line="169"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Collaboration and</w:t>
              </w:r>
            </w:hyperlink>
          </w:p>
        </w:tc>
        <w:tc>
          <w:tcPr>
            <w:tcW w:w="2740" w:type="dxa"/>
            <w:vAlign w:val="bottom"/>
            <w:gridSpan w:val="30"/>
          </w:tcPr>
          <w:p>
            <w:pPr>
              <w:spacing w:after="0" w:line="169"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Exclusive License Agreement,</w:t>
              </w:r>
            </w:hyperlink>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S-1</w:t>
            </w:r>
          </w:p>
        </w:tc>
        <w:tc>
          <w:tcPr>
            <w:tcW w:w="1360" w:type="dxa"/>
            <w:vAlign w:val="bottom"/>
            <w:gridSpan w:val="2"/>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8"/>
              </w:rPr>
              <w:t>333-206849</w:t>
            </w:r>
          </w:p>
        </w:tc>
        <w:tc>
          <w:tcPr>
            <w:tcW w:w="10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32"/>
              <w:spacing w:after="0" w:line="169" w:lineRule="exact"/>
              <w:rPr>
                <w:sz w:val="20"/>
                <w:szCs w:val="20"/>
                <w:color w:val="auto"/>
              </w:rPr>
            </w:pPr>
            <w:r>
              <w:rPr>
                <w:rFonts w:ascii="Times New Roman" w:cs="Times New Roman" w:eastAsia="Times New Roman" w:hAnsi="Times New Roman"/>
                <w:sz w:val="18"/>
                <w:szCs w:val="18"/>
                <w:color w:val="auto"/>
              </w:rPr>
              <w:t>May 10, 2016</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w w:val="94"/>
              </w:rPr>
            </w:pPr>
            <w:hyperlink r:id="rId306">
              <w:r>
                <w:rPr>
                  <w:rFonts w:ascii="Times New Roman" w:cs="Times New Roman" w:eastAsia="Times New Roman" w:hAnsi="Times New Roman"/>
                  <w:sz w:val="18"/>
                  <w:szCs w:val="18"/>
                  <w:color w:val="0000FF"/>
                  <w:w w:val="94"/>
                </w:rPr>
                <w:t>dated March 10, 2014, by and among the Registrant,</w:t>
              </w:r>
            </w:hyperlink>
          </w:p>
        </w:tc>
        <w:tc>
          <w:tcPr>
            <w:tcW w:w="1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4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TESARO, Inc. and TESARO Development, Ltd., as</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amended.</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4"/>
                <w:szCs w:val="14"/>
                <w:color w:val="auto"/>
              </w:rPr>
            </w:pPr>
          </w:p>
        </w:tc>
        <w:tc>
          <w:tcPr>
            <w:tcW w:w="7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0"/>
              </w:rPr>
            </w:pPr>
            <w:hyperlink r:id="rId307">
              <w:r>
                <w:rPr>
                  <w:rFonts w:ascii="Times New Roman" w:cs="Times New Roman" w:eastAsia="Times New Roman" w:hAnsi="Times New Roman"/>
                  <w:sz w:val="18"/>
                  <w:szCs w:val="18"/>
                  <w:color w:val="0000FF"/>
                  <w:w w:val="90"/>
                </w:rPr>
                <w:t>Wateridge</w:t>
              </w:r>
            </w:hyperlink>
          </w:p>
        </w:tc>
        <w:tc>
          <w:tcPr>
            <w:tcW w:w="1420" w:type="dxa"/>
            <w:vAlign w:val="bottom"/>
            <w:tcBorders>
              <w:bottom w:val="single" w:sz="8" w:color="0000FF"/>
            </w:tcBorders>
            <w:gridSpan w:val="15"/>
          </w:tcPr>
          <w:p>
            <w:pPr>
              <w:jc w:val="center"/>
              <w:ind w:left="10"/>
              <w:spacing w:after="0" w:line="169"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Lease Agreement.</w:t>
              </w:r>
            </w:hyperlink>
          </w:p>
        </w:tc>
        <w:tc>
          <w:tcPr>
            <w:tcW w:w="2000" w:type="dxa"/>
            <w:vAlign w:val="bottom"/>
            <w:gridSpan w:val="22"/>
          </w:tcPr>
          <w:p>
            <w:pPr>
              <w:spacing w:after="0"/>
              <w:rPr>
                <w:sz w:val="14"/>
                <w:szCs w:val="14"/>
                <w:color w:val="auto"/>
              </w:rPr>
            </w:pPr>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32"/>
              <w:spacing w:after="0" w:line="169" w:lineRule="exact"/>
              <w:rPr>
                <w:sz w:val="20"/>
                <w:szCs w:val="20"/>
                <w:color w:val="auto"/>
              </w:rPr>
            </w:pPr>
            <w:r>
              <w:rPr>
                <w:rFonts w:ascii="Times New Roman" w:cs="Times New Roman" w:eastAsia="Times New Roman" w:hAnsi="Times New Roman"/>
                <w:sz w:val="18"/>
                <w:szCs w:val="18"/>
                <w:color w:val="auto"/>
                <w:w w:val="98"/>
              </w:rPr>
              <w:t>May 6, 2020</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4"/>
                <w:szCs w:val="14"/>
                <w:color w:val="auto"/>
              </w:rPr>
            </w:pPr>
          </w:p>
        </w:tc>
        <w:tc>
          <w:tcPr>
            <w:tcW w:w="358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Amended and Restated Employment Agreement,</w:t>
              </w:r>
            </w:hyperlink>
          </w:p>
        </w:tc>
        <w:tc>
          <w:tcPr>
            <w:tcW w:w="540" w:type="dxa"/>
            <w:vAlign w:val="bottom"/>
            <w:gridSpan w:val="14"/>
          </w:tcPr>
          <w:p>
            <w:pPr>
              <w:spacing w:after="0"/>
              <w:rPr>
                <w:sz w:val="14"/>
                <w:szCs w:val="14"/>
                <w:color w:val="auto"/>
              </w:rPr>
            </w:pPr>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32"/>
              <w:spacing w:after="0" w:line="169" w:lineRule="exact"/>
              <w:rPr>
                <w:sz w:val="20"/>
                <w:szCs w:val="20"/>
                <w:color w:val="auto"/>
              </w:rPr>
            </w:pPr>
            <w:r>
              <w:rPr>
                <w:rFonts w:ascii="Times New Roman" w:cs="Times New Roman" w:eastAsia="Times New Roman" w:hAnsi="Times New Roman"/>
                <w:sz w:val="18"/>
                <w:szCs w:val="18"/>
                <w:color w:val="auto"/>
              </w:rPr>
              <w:t>May 11, 2023</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40"/>
          </w:tcPr>
          <w:p>
            <w:pPr>
              <w:spacing w:after="0" w:line="169"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effective May 8, 2023, by and between the Registrant</w:t>
              </w:r>
            </w:hyperlink>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308">
              <w:r>
                <w:rPr>
                  <w:rFonts w:ascii="Times New Roman" w:cs="Times New Roman" w:eastAsia="Times New Roman" w:hAnsi="Times New Roman"/>
                  <w:sz w:val="18"/>
                  <w:szCs w:val="18"/>
                  <w:color w:val="0000FF"/>
                  <w:w w:val="99"/>
                </w:rPr>
                <w:t>and Eric Loumeau</w:t>
              </w:r>
            </w:hyperlink>
          </w:p>
        </w:tc>
        <w:tc>
          <w:tcPr>
            <w:tcW w:w="20" w:type="dxa"/>
            <w:vAlign w:val="bottom"/>
            <w:tcBorders>
              <w:top w:val="single" w:sz="8" w:color="0000FF"/>
              <w:bottom w:val="single" w:sz="8" w:color="0000EE"/>
            </w:tcBorders>
          </w:tcPr>
          <w:p>
            <w:pPr>
              <w:spacing w:after="0"/>
              <w:rPr>
                <w:sz w:val="14"/>
                <w:szCs w:val="14"/>
                <w:color w:val="auto"/>
              </w:rPr>
            </w:pPr>
          </w:p>
        </w:tc>
        <w:tc>
          <w:tcPr>
            <w:tcW w:w="258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rPr>
              <w:t>April 29, 2022</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40"/>
          </w:tcPr>
          <w:p>
            <w:pPr>
              <w:spacing w:after="0" w:line="169"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Amended and Restated Employment Agreement,</w:t>
              </w:r>
            </w:hyperlink>
          </w:p>
        </w:tc>
        <w:tc>
          <w:tcPr>
            <w:tcW w:w="8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tcBorders>
              <w:top w:val="single" w:sz="8" w:color="0000FF"/>
              <w:bottom w:val="single" w:sz="8" w:color="0000FF"/>
            </w:tcBorders>
            <w:gridSpan w:val="26"/>
          </w:tcPr>
          <w:p>
            <w:pPr>
              <w:spacing w:after="0" w:line="169" w:lineRule="exact"/>
              <w:rPr>
                <w:rFonts w:ascii="Times New Roman" w:cs="Times New Roman" w:eastAsia="Times New Roman" w:hAnsi="Times New Roman"/>
                <w:sz w:val="18"/>
                <w:szCs w:val="18"/>
                <w:color w:val="0000FF"/>
                <w:w w:val="95"/>
              </w:rPr>
            </w:pPr>
            <w:hyperlink r:id="rId309">
              <w:r>
                <w:rPr>
                  <w:rFonts w:ascii="Times New Roman" w:cs="Times New Roman" w:eastAsia="Times New Roman" w:hAnsi="Times New Roman"/>
                  <w:sz w:val="18"/>
                  <w:szCs w:val="18"/>
                  <w:color w:val="0000FF"/>
                  <w:w w:val="95"/>
                </w:rPr>
                <w:t>effective April 25, 2022, by and between Registrant</w:t>
              </w:r>
            </w:hyperlink>
          </w:p>
        </w:tc>
        <w:tc>
          <w:tcPr>
            <w:tcW w:w="200" w:type="dxa"/>
            <w:vAlign w:val="bottom"/>
            <w:tcBorders>
              <w:bottom w:val="single" w:sz="8" w:color="0000FF"/>
            </w:tcBorders>
            <w:gridSpan w:val="5"/>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4"/>
                <w:szCs w:val="14"/>
                <w:color w:val="auto"/>
              </w:rPr>
            </w:pPr>
          </w:p>
        </w:tc>
        <w:tc>
          <w:tcPr>
            <w:tcW w:w="114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309">
              <w:r>
                <w:rPr>
                  <w:rFonts w:ascii="Times New Roman" w:cs="Times New Roman" w:eastAsia="Times New Roman" w:hAnsi="Times New Roman"/>
                  <w:sz w:val="18"/>
                  <w:szCs w:val="18"/>
                  <w:color w:val="0000FF"/>
                  <w:w w:val="99"/>
                </w:rPr>
                <w:t>and Paul Lizzul</w:t>
              </w:r>
            </w:hyperlink>
          </w:p>
        </w:tc>
        <w:tc>
          <w:tcPr>
            <w:tcW w:w="20" w:type="dxa"/>
            <w:vAlign w:val="bottom"/>
            <w:tcBorders>
              <w:bottom w:val="single" w:sz="8" w:color="0000EE"/>
            </w:tcBorders>
          </w:tcPr>
          <w:p>
            <w:pPr>
              <w:spacing w:after="0"/>
              <w:rPr>
                <w:sz w:val="14"/>
                <w:szCs w:val="14"/>
                <w:color w:val="auto"/>
              </w:rPr>
            </w:pPr>
          </w:p>
        </w:tc>
        <w:tc>
          <w:tcPr>
            <w:tcW w:w="2620" w:type="dxa"/>
            <w:vAlign w:val="bottom"/>
            <w:gridSpan w:val="24"/>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rPr>
              <w:t>February 25, 2021</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40"/>
          </w:tcPr>
          <w:p>
            <w:pPr>
              <w:spacing w:after="0" w:line="169"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Amendment No. 3 to the Collaboration and Exclusive</w:t>
              </w:r>
            </w:hyperlink>
          </w:p>
        </w:tc>
        <w:tc>
          <w:tcPr>
            <w:tcW w:w="8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14"/>
                <w:szCs w:val="14"/>
                <w:color w:val="auto"/>
              </w:rPr>
            </w:pPr>
          </w:p>
        </w:tc>
        <w:tc>
          <w:tcPr>
            <w:tcW w:w="142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License Agreement</w:t>
              </w:r>
            </w:hyperlink>
          </w:p>
        </w:tc>
        <w:tc>
          <w:tcPr>
            <w:tcW w:w="20" w:type="dxa"/>
            <w:vAlign w:val="bottom"/>
            <w:tcBorders>
              <w:top w:val="single" w:sz="8" w:color="0000FF"/>
              <w:bottom w:val="single" w:sz="8" w:color="0000EE"/>
            </w:tcBorders>
          </w:tcPr>
          <w:p>
            <w:pPr>
              <w:spacing w:after="0"/>
              <w:rPr>
                <w:sz w:val="14"/>
                <w:szCs w:val="14"/>
                <w:color w:val="auto"/>
              </w:rPr>
            </w:pPr>
          </w:p>
        </w:tc>
        <w:tc>
          <w:tcPr>
            <w:tcW w:w="2520" w:type="dxa"/>
            <w:vAlign w:val="bottom"/>
            <w:tcBorders>
              <w:top w:val="single" w:sz="8" w:color="0000FF"/>
            </w:tcBorders>
            <w:gridSpan w:val="25"/>
          </w:tcPr>
          <w:p>
            <w:pPr>
              <w:spacing w:after="0"/>
              <w:rPr>
                <w:sz w:val="14"/>
                <w:szCs w:val="14"/>
                <w:color w:val="auto"/>
              </w:rPr>
            </w:pPr>
          </w:p>
        </w:tc>
        <w:tc>
          <w:tcPr>
            <w:tcW w:w="160" w:type="dxa"/>
            <w:vAlign w:val="bottom"/>
            <w:gridSpan w:val="3"/>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rPr>
              <w:t>February 25, 2021</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40"/>
          </w:tcPr>
          <w:p>
            <w:pPr>
              <w:spacing w:after="0" w:line="169"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Confidential Settlement and Modification Agreement</w:t>
              </w:r>
            </w:hyperlink>
          </w:p>
        </w:tc>
        <w:tc>
          <w:tcPr>
            <w:tcW w:w="8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0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dated as of October 23, 2020</w:t>
              </w:r>
            </w:hyperlink>
          </w:p>
        </w:tc>
        <w:tc>
          <w:tcPr>
            <w:tcW w:w="20" w:type="dxa"/>
            <w:vAlign w:val="bottom"/>
          </w:tcPr>
          <w:p>
            <w:pPr>
              <w:spacing w:after="0"/>
              <w:rPr>
                <w:sz w:val="14"/>
                <w:szCs w:val="14"/>
                <w:color w:val="auto"/>
              </w:rPr>
            </w:pPr>
          </w:p>
        </w:tc>
        <w:tc>
          <w:tcPr>
            <w:tcW w:w="200" w:type="dxa"/>
            <w:vAlign w:val="bottom"/>
            <w:gridSpan w:val="5"/>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14"/>
                <w:szCs w:val="14"/>
                <w:color w:val="auto"/>
              </w:rPr>
            </w:pPr>
          </w:p>
        </w:tc>
        <w:tc>
          <w:tcPr>
            <w:tcW w:w="20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First Amendment to Lease</w:t>
              </w:r>
            </w:hyperlink>
          </w:p>
        </w:tc>
        <w:tc>
          <w:tcPr>
            <w:tcW w:w="20" w:type="dxa"/>
            <w:vAlign w:val="bottom"/>
            <w:tcBorders>
              <w:top w:val="single" w:sz="8" w:color="0000EE"/>
            </w:tcBorders>
          </w:tcPr>
          <w:p>
            <w:pPr>
              <w:spacing w:after="0"/>
              <w:rPr>
                <w:sz w:val="14"/>
                <w:szCs w:val="14"/>
                <w:color w:val="auto"/>
              </w:rPr>
            </w:pPr>
          </w:p>
        </w:tc>
        <w:tc>
          <w:tcPr>
            <w:tcW w:w="2020" w:type="dxa"/>
            <w:vAlign w:val="bottom"/>
            <w:gridSpan w:val="23"/>
          </w:tcPr>
          <w:p>
            <w:pPr>
              <w:jc w:val="right"/>
              <w:ind w:right="1360"/>
              <w:spacing w:after="0" w:line="169" w:lineRule="exact"/>
              <w:rPr>
                <w:rFonts w:ascii="Times New Roman" w:cs="Times New Roman" w:eastAsia="Times New Roman" w:hAnsi="Times New Roman"/>
                <w:sz w:val="18"/>
                <w:szCs w:val="18"/>
                <w:color w:val="0000FF"/>
                <w:w w:val="79"/>
              </w:rPr>
            </w:pPr>
            <w:hyperlink r:id="rId312">
              <w:r>
                <w:rPr>
                  <w:rFonts w:ascii="Times New Roman" w:cs="Times New Roman" w:eastAsia="Times New Roman" w:hAnsi="Times New Roman"/>
                  <w:sz w:val="18"/>
                  <w:szCs w:val="18"/>
                  <w:color w:val="0000FF"/>
                  <w:w w:val="79"/>
                </w:rPr>
                <w:t>Agreement</w:t>
              </w:r>
            </w:hyperlink>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32"/>
              <w:spacing w:after="0" w:line="169" w:lineRule="exact"/>
              <w:rPr>
                <w:sz w:val="20"/>
                <w:szCs w:val="20"/>
                <w:color w:val="auto"/>
              </w:rPr>
            </w:pPr>
            <w:r>
              <w:rPr>
                <w:rFonts w:ascii="Times New Roman" w:cs="Times New Roman" w:eastAsia="Times New Roman" w:hAnsi="Times New Roman"/>
                <w:sz w:val="18"/>
                <w:szCs w:val="18"/>
                <w:color w:val="auto"/>
                <w:w w:val="99"/>
              </w:rPr>
              <w:t>August 9, 2021</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14"/>
                <w:szCs w:val="14"/>
                <w:color w:val="auto"/>
              </w:rPr>
            </w:pPr>
          </w:p>
        </w:tc>
        <w:tc>
          <w:tcPr>
            <w:tcW w:w="27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Royalty Purchase Agreement, dated</w:t>
              </w:r>
            </w:hyperlink>
          </w:p>
        </w:tc>
        <w:tc>
          <w:tcPr>
            <w:tcW w:w="1360" w:type="dxa"/>
            <w:vAlign w:val="bottom"/>
            <w:gridSpan w:val="18"/>
          </w:tcPr>
          <w:p>
            <w:pPr>
              <w:spacing w:after="0" w:line="169"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October 25, 2021,</w:t>
              </w:r>
            </w:hyperlink>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gridSpan w:val="2"/>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32"/>
              <w:spacing w:after="0" w:line="169" w:lineRule="exact"/>
              <w:rPr>
                <w:sz w:val="20"/>
                <w:szCs w:val="20"/>
                <w:color w:val="auto"/>
              </w:rPr>
            </w:pPr>
            <w:r>
              <w:rPr>
                <w:rFonts w:ascii="Times New Roman" w:cs="Times New Roman" w:eastAsia="Times New Roman" w:hAnsi="Times New Roman"/>
                <w:sz w:val="18"/>
                <w:szCs w:val="18"/>
                <w:color w:val="auto"/>
              </w:rPr>
              <w:t>December 1, 2021</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0" w:type="dxa"/>
            <w:vAlign w:val="bottom"/>
            <w:tcBorders>
              <w:top w:val="single" w:sz="8" w:color="0000FF"/>
            </w:tcBorders>
            <w:gridSpan w:val="39"/>
          </w:tcPr>
          <w:p>
            <w:pPr>
              <w:spacing w:after="0" w:line="169"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by and between the Registrant and Sagard Healthcare</w:t>
              </w:r>
            </w:hyperlink>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Royalty Partners, LP</w:t>
              </w:r>
            </w:hyperlink>
          </w:p>
        </w:tc>
        <w:tc>
          <w:tcPr>
            <w:tcW w:w="20" w:type="dxa"/>
            <w:vAlign w:val="bottom"/>
            <w:tcBorders>
              <w:top w:val="single" w:sz="8" w:color="0000FF"/>
              <w:bottom w:val="single" w:sz="8" w:color="0000EE"/>
            </w:tcBorders>
          </w:tcPr>
          <w:p>
            <w:pPr>
              <w:spacing w:after="0"/>
              <w:rPr>
                <w:sz w:val="14"/>
                <w:szCs w:val="14"/>
                <w:color w:val="auto"/>
              </w:rPr>
            </w:pPr>
          </w:p>
        </w:tc>
        <w:tc>
          <w:tcPr>
            <w:tcW w:w="2380" w:type="dxa"/>
            <w:vAlign w:val="bottom"/>
            <w:tcBorders>
              <w:top w:val="single" w:sz="8" w:color="0000FF"/>
            </w:tcBorders>
            <w:gridSpan w:val="21"/>
          </w:tcPr>
          <w:p>
            <w:pPr>
              <w:spacing w:after="0"/>
              <w:rPr>
                <w:sz w:val="14"/>
                <w:szCs w:val="14"/>
                <w:color w:val="auto"/>
              </w:rPr>
            </w:pPr>
          </w:p>
        </w:tc>
        <w:tc>
          <w:tcPr>
            <w:tcW w:w="200" w:type="dxa"/>
            <w:vAlign w:val="bottom"/>
            <w:gridSpan w:val="5"/>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14"/>
                <w:szCs w:val="14"/>
                <w:color w:val="auto"/>
              </w:rPr>
            </w:pPr>
          </w:p>
        </w:tc>
        <w:tc>
          <w:tcPr>
            <w:tcW w:w="1540" w:type="dxa"/>
            <w:vAlign w:val="bottom"/>
            <w:gridSpan w:val="14"/>
          </w:tcPr>
          <w:p>
            <w:pPr>
              <w:spacing w:after="0" w:line="169" w:lineRule="exact"/>
              <w:rPr>
                <w:rFonts w:ascii="Times New Roman" w:cs="Times New Roman" w:eastAsia="Times New Roman" w:hAnsi="Times New Roman"/>
                <w:sz w:val="18"/>
                <w:szCs w:val="18"/>
                <w:color w:val="0000FF"/>
                <w:w w:val="99"/>
              </w:rPr>
            </w:pPr>
            <w:hyperlink r:id="rId314">
              <w:r>
                <w:rPr>
                  <w:rFonts w:ascii="Times New Roman" w:cs="Times New Roman" w:eastAsia="Times New Roman" w:hAnsi="Times New Roman"/>
                  <w:sz w:val="18"/>
                  <w:szCs w:val="18"/>
                  <w:color w:val="0000FF"/>
                  <w:w w:val="99"/>
                </w:rPr>
                <w:t>Amendment No. 4 to</w:t>
              </w:r>
            </w:hyperlink>
          </w:p>
        </w:tc>
        <w:tc>
          <w:tcPr>
            <w:tcW w:w="2580" w:type="dxa"/>
            <w:vAlign w:val="bottom"/>
            <w:gridSpan w:val="26"/>
          </w:tcPr>
          <w:p>
            <w:pPr>
              <w:ind w:left="40"/>
              <w:spacing w:after="0" w:line="169"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Tesaro AnaptysBio</w:t>
              </w:r>
            </w:hyperlink>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2"/>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32"/>
              <w:spacing w:after="0" w:line="169" w:lineRule="exact"/>
              <w:rPr>
                <w:sz w:val="20"/>
                <w:szCs w:val="20"/>
                <w:color w:val="auto"/>
              </w:rPr>
            </w:pPr>
            <w:r>
              <w:rPr>
                <w:rFonts w:ascii="Times New Roman" w:cs="Times New Roman" w:eastAsia="Times New Roman" w:hAnsi="Times New Roman"/>
                <w:sz w:val="18"/>
                <w:szCs w:val="18"/>
                <w:color w:val="auto"/>
              </w:rPr>
              <w:t>March 7, 2022</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314">
              <w:r>
                <w:rPr>
                  <w:rFonts w:ascii="Times New Roman" w:cs="Times New Roman" w:eastAsia="Times New Roman" w:hAnsi="Times New Roman"/>
                  <w:sz w:val="18"/>
                  <w:szCs w:val="18"/>
                  <w:color w:val="0000FF"/>
                  <w:w w:val="98"/>
                </w:rPr>
                <w:t>Collaboration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2000" w:type="dxa"/>
            <w:vAlign w:val="bottom"/>
            <w:tcBorders>
              <w:top w:val="single" w:sz="8" w:color="0000FF"/>
            </w:tcBorders>
            <w:gridSpan w:val="19"/>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15"/>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14"/>
                <w:szCs w:val="14"/>
                <w:color w:val="auto"/>
              </w:rPr>
            </w:pPr>
          </w:p>
        </w:tc>
        <w:tc>
          <w:tcPr>
            <w:tcW w:w="1020" w:type="dxa"/>
            <w:vAlign w:val="bottom"/>
            <w:gridSpan w:val="5"/>
          </w:tcPr>
          <w:p>
            <w:pPr>
              <w:spacing w:after="0" w:line="169" w:lineRule="exact"/>
              <w:rPr>
                <w:rFonts w:ascii="Times New Roman" w:cs="Times New Roman" w:eastAsia="Times New Roman" w:hAnsi="Times New Roman"/>
                <w:sz w:val="18"/>
                <w:szCs w:val="18"/>
                <w:color w:val="0000FF"/>
                <w:w w:val="99"/>
              </w:rPr>
            </w:pPr>
            <w:hyperlink r:id="rId315">
              <w:r>
                <w:rPr>
                  <w:rFonts w:ascii="Times New Roman" w:cs="Times New Roman" w:eastAsia="Times New Roman" w:hAnsi="Times New Roman"/>
                  <w:sz w:val="18"/>
                  <w:szCs w:val="18"/>
                  <w:color w:val="0000FF"/>
                  <w:w w:val="99"/>
                </w:rPr>
                <w:t>Amended and</w:t>
              </w:r>
            </w:hyperlink>
          </w:p>
        </w:tc>
        <w:tc>
          <w:tcPr>
            <w:tcW w:w="3100" w:type="dxa"/>
            <w:vAlign w:val="bottom"/>
            <w:gridSpan w:val="35"/>
          </w:tcPr>
          <w:p>
            <w:pPr>
              <w:ind w:left="40"/>
              <w:spacing w:after="0" w:line="169"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Restated Employment Agreement,</w:t>
              </w:r>
            </w:hyperlink>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32"/>
              <w:spacing w:after="0" w:line="169" w:lineRule="exact"/>
              <w:rPr>
                <w:sz w:val="20"/>
                <w:szCs w:val="20"/>
                <w:color w:val="auto"/>
              </w:rPr>
            </w:pPr>
            <w:r>
              <w:rPr>
                <w:rFonts w:ascii="Times New Roman" w:cs="Times New Roman" w:eastAsia="Times New Roman" w:hAnsi="Times New Roman"/>
                <w:sz w:val="18"/>
                <w:szCs w:val="18"/>
                <w:color w:val="auto"/>
                <w:w w:val="99"/>
              </w:rPr>
              <w:t>November 2, 2023</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effective August 4, 2023, by and between the</w:t>
              </w:r>
            </w:hyperlink>
          </w:p>
        </w:tc>
        <w:tc>
          <w:tcPr>
            <w:tcW w:w="540" w:type="dxa"/>
            <w:vAlign w:val="bottom"/>
            <w:gridSpan w:val="14"/>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Registrant and Daniel Faga</w:t>
              </w:r>
            </w:hyperlink>
          </w:p>
        </w:tc>
        <w:tc>
          <w:tcPr>
            <w:tcW w:w="800" w:type="dxa"/>
            <w:vAlign w:val="bottom"/>
            <w:gridSpan w:val="15"/>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7"/>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3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10"/>
                <w:szCs w:val="10"/>
                <w:color w:val="auto"/>
              </w:rPr>
            </w:pPr>
          </w:p>
        </w:tc>
        <w:tc>
          <w:tcPr>
            <w:tcW w:w="12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0" w:type="dxa"/>
            <w:vAlign w:val="bottom"/>
          </w:tcPr>
          <w:p>
            <w:pPr>
              <w:spacing w:after="0"/>
              <w:rPr>
                <w:sz w:val="10"/>
                <w:szCs w:val="10"/>
                <w:color w:val="auto"/>
              </w:rPr>
            </w:pPr>
          </w:p>
        </w:tc>
        <w:tc>
          <w:tcPr>
            <w:tcW w:w="11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0" w:type="dxa"/>
            <w:vAlign w:val="bottom"/>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gridSpan w:val="36"/>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60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56"/>
        </w:trPr>
        <w:tc>
          <w:tcPr>
            <w:tcW w:w="10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3"/>
                <w:szCs w:val="13"/>
                <w:color w:val="auto"/>
              </w:rPr>
            </w:pPr>
          </w:p>
        </w:tc>
        <w:tc>
          <w:tcPr>
            <w:tcW w:w="3980" w:type="dxa"/>
            <w:vAlign w:val="bottom"/>
            <w:tcBorders>
              <w:top w:val="single" w:sz="8" w:color="auto"/>
            </w:tcBorders>
            <w:gridSpan w:val="38"/>
          </w:tcPr>
          <w:p>
            <w:pPr>
              <w:spacing w:after="0" w:line="15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Purchase and Sale Agreement, dated September 9,</w:t>
              </w:r>
            </w:hyperlink>
          </w:p>
        </w:tc>
        <w:tc>
          <w:tcPr>
            <w:tcW w:w="140" w:type="dxa"/>
            <w:vAlign w:val="bottom"/>
          </w:tcPr>
          <w:p>
            <w:pPr>
              <w:spacing w:after="0"/>
              <w:rPr>
                <w:sz w:val="13"/>
                <w:szCs w:val="13"/>
                <w:color w:val="auto"/>
              </w:rPr>
            </w:pPr>
          </w:p>
        </w:tc>
        <w:tc>
          <w:tcPr>
            <w:tcW w:w="80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7"/>
              </w:rPr>
              <w:t>10-Q</w:t>
            </w:r>
          </w:p>
        </w:tc>
        <w:tc>
          <w:tcPr>
            <w:tcW w:w="140" w:type="dxa"/>
            <w:vAlign w:val="bottom"/>
          </w:tcPr>
          <w:p>
            <w:pPr>
              <w:spacing w:after="0"/>
              <w:rPr>
                <w:sz w:val="13"/>
                <w:szCs w:val="13"/>
                <w:color w:val="auto"/>
              </w:rPr>
            </w:pPr>
          </w:p>
        </w:tc>
        <w:tc>
          <w:tcPr>
            <w:tcW w:w="12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001-37985</w:t>
            </w:r>
          </w:p>
        </w:tc>
        <w:tc>
          <w:tcPr>
            <w:tcW w:w="60" w:type="dxa"/>
            <w:vAlign w:val="bottom"/>
          </w:tcPr>
          <w:p>
            <w:pPr>
              <w:spacing w:after="0"/>
              <w:rPr>
                <w:sz w:val="13"/>
                <w:szCs w:val="13"/>
                <w:color w:val="auto"/>
              </w:rPr>
            </w:pPr>
          </w:p>
        </w:tc>
        <w:tc>
          <w:tcPr>
            <w:tcW w:w="94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10.23</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53"/>
              <w:spacing w:after="0" w:line="156" w:lineRule="exact"/>
              <w:rPr>
                <w:sz w:val="20"/>
                <w:szCs w:val="20"/>
                <w:color w:val="auto"/>
              </w:rPr>
            </w:pPr>
            <w:r>
              <w:rPr>
                <w:rFonts w:ascii="Times New Roman" w:cs="Times New Roman" w:eastAsia="Times New Roman" w:hAnsi="Times New Roman"/>
                <w:sz w:val="18"/>
                <w:szCs w:val="18"/>
                <w:color w:val="auto"/>
                <w:w w:val="99"/>
              </w:rPr>
              <w:t>November 8, 2022</w:t>
            </w:r>
          </w:p>
        </w:tc>
        <w:tc>
          <w:tcPr>
            <w:tcW w:w="1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8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2022, by and between the Registrant and DRI</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Healthcare Acquisitions L.P.</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14"/>
                <w:szCs w:val="14"/>
                <w:color w:val="auto"/>
              </w:rPr>
            </w:pPr>
          </w:p>
        </w:tc>
        <w:tc>
          <w:tcPr>
            <w:tcW w:w="208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License Agreement, dated</w:t>
              </w:r>
            </w:hyperlink>
          </w:p>
        </w:tc>
        <w:tc>
          <w:tcPr>
            <w:tcW w:w="20" w:type="dxa"/>
            <w:vAlign w:val="bottom"/>
            <w:tcBorders>
              <w:top w:val="single" w:sz="8" w:color="0000EE"/>
            </w:tcBorders>
          </w:tcPr>
          <w:p>
            <w:pPr>
              <w:spacing w:after="0"/>
              <w:rPr>
                <w:sz w:val="14"/>
                <w:szCs w:val="14"/>
                <w:color w:val="auto"/>
              </w:rPr>
            </w:pPr>
          </w:p>
        </w:tc>
        <w:tc>
          <w:tcPr>
            <w:tcW w:w="2020" w:type="dxa"/>
            <w:vAlign w:val="bottom"/>
            <w:gridSpan w:val="30"/>
          </w:tcPr>
          <w:p>
            <w:pPr>
              <w:spacing w:after="0" w:line="169" w:lineRule="exact"/>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November 24, 2023, by and</w:t>
              </w:r>
            </w:hyperlink>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2"/>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center"/>
              <w:ind w:right="53"/>
              <w:spacing w:after="0" w:line="169" w:lineRule="exact"/>
              <w:rPr>
                <w:sz w:val="20"/>
                <w:szCs w:val="20"/>
                <w:color w:val="auto"/>
              </w:rPr>
            </w:pPr>
            <w:r>
              <w:rPr>
                <w:rFonts w:ascii="Times New Roman" w:cs="Times New Roman" w:eastAsia="Times New Roman" w:hAnsi="Times New Roman"/>
                <w:sz w:val="18"/>
                <w:szCs w:val="18"/>
                <w:color w:val="auto"/>
                <w:w w:val="99"/>
              </w:rPr>
              <w:t>March 11, 2024</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80" w:type="dxa"/>
            <w:vAlign w:val="bottom"/>
            <w:tcBorders>
              <w:top w:val="single" w:sz="8" w:color="0000FF"/>
            </w:tcBorders>
            <w:gridSpan w:val="38"/>
          </w:tcPr>
          <w:p>
            <w:pPr>
              <w:spacing w:after="0" w:line="169"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between the Registrant and Centessa Pharmaceuticals</w:t>
              </w:r>
            </w:hyperlink>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(UK) Limited</w:t>
              </w:r>
            </w:hyperlink>
          </w:p>
        </w:tc>
        <w:tc>
          <w:tcPr>
            <w:tcW w:w="20" w:type="dxa"/>
            <w:vAlign w:val="bottom"/>
            <w:tcBorders>
              <w:top w:val="single" w:sz="8" w:color="0000FF"/>
              <w:bottom w:val="single" w:sz="8" w:color="0000EE"/>
            </w:tcBorders>
          </w:tcPr>
          <w:p>
            <w:pPr>
              <w:spacing w:after="0"/>
              <w:rPr>
                <w:sz w:val="14"/>
                <w:szCs w:val="14"/>
                <w:color w:val="auto"/>
              </w:rPr>
            </w:pPr>
          </w:p>
        </w:tc>
        <w:tc>
          <w:tcPr>
            <w:tcW w:w="2900" w:type="dxa"/>
            <w:vAlign w:val="bottom"/>
            <w:tcBorders>
              <w:top w:val="single" w:sz="8" w:color="0000FF"/>
            </w:tcBorders>
            <w:gridSpan w:val="33"/>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14"/>
                <w:szCs w:val="14"/>
                <w:color w:val="auto"/>
              </w:rPr>
            </w:pPr>
          </w:p>
        </w:tc>
        <w:tc>
          <w:tcPr>
            <w:tcW w:w="1040" w:type="dxa"/>
            <w:vAlign w:val="bottom"/>
            <w:gridSpan w:val="3"/>
          </w:tcPr>
          <w:p>
            <w:pPr>
              <w:spacing w:after="0" w:line="169"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Amendment</w:t>
              </w:r>
            </w:hyperlink>
          </w:p>
        </w:tc>
        <w:tc>
          <w:tcPr>
            <w:tcW w:w="3080" w:type="dxa"/>
            <w:vAlign w:val="bottom"/>
            <w:gridSpan w:val="36"/>
          </w:tcPr>
          <w:p>
            <w:pPr>
              <w:spacing w:after="0" w:line="169"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No. 5 to Tesaro AnaptysBio</w:t>
              </w:r>
            </w:hyperlink>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2"/>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center"/>
              <w:ind w:right="53"/>
              <w:spacing w:after="0" w:line="169" w:lineRule="exact"/>
              <w:rPr>
                <w:sz w:val="20"/>
                <w:szCs w:val="20"/>
                <w:color w:val="auto"/>
              </w:rPr>
            </w:pPr>
            <w:r>
              <w:rPr>
                <w:rFonts w:ascii="Times New Roman" w:cs="Times New Roman" w:eastAsia="Times New Roman" w:hAnsi="Times New Roman"/>
                <w:sz w:val="18"/>
                <w:szCs w:val="18"/>
                <w:color w:val="auto"/>
                <w:w w:val="99"/>
              </w:rPr>
              <w:t>March 11, 2024</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320">
              <w:r>
                <w:rPr>
                  <w:rFonts w:ascii="Times New Roman" w:cs="Times New Roman" w:eastAsia="Times New Roman" w:hAnsi="Times New Roman"/>
                  <w:sz w:val="18"/>
                  <w:szCs w:val="18"/>
                  <w:color w:val="0000FF"/>
                  <w:w w:val="98"/>
                </w:rPr>
                <w:t>Collaboration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2020" w:type="dxa"/>
            <w:vAlign w:val="bottom"/>
            <w:tcBorders>
              <w:top w:val="single" w:sz="8" w:color="0000FF"/>
            </w:tcBorders>
            <w:gridSpan w:val="15"/>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14"/>
                <w:szCs w:val="14"/>
                <w:color w:val="auto"/>
              </w:rPr>
            </w:pPr>
          </w:p>
        </w:tc>
        <w:tc>
          <w:tcPr>
            <w:tcW w:w="1020" w:type="dxa"/>
            <w:vAlign w:val="bottom"/>
            <w:gridSpan w:val="2"/>
          </w:tcPr>
          <w:p>
            <w:pPr>
              <w:spacing w:after="0" w:line="169"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Amendment</w:t>
              </w:r>
            </w:hyperlink>
          </w:p>
        </w:tc>
        <w:tc>
          <w:tcPr>
            <w:tcW w:w="3100" w:type="dxa"/>
            <w:vAlign w:val="bottom"/>
            <w:gridSpan w:val="37"/>
          </w:tcPr>
          <w:p>
            <w:pPr>
              <w:spacing w:after="0" w:line="169"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No. 1 to License Agreement, dated April</w:t>
              </w:r>
            </w:hyperlink>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center"/>
              <w:ind w:right="53"/>
              <w:spacing w:after="0" w:line="169" w:lineRule="exact"/>
              <w:rPr>
                <w:sz w:val="20"/>
                <w:szCs w:val="20"/>
                <w:color w:val="auto"/>
              </w:rPr>
            </w:pPr>
            <w:r>
              <w:rPr>
                <w:rFonts w:ascii="Times New Roman" w:cs="Times New Roman" w:eastAsia="Times New Roman" w:hAnsi="Times New Roman"/>
                <w:sz w:val="18"/>
                <w:szCs w:val="18"/>
                <w:color w:val="auto"/>
                <w:w w:val="98"/>
              </w:rPr>
              <w:t>May 9, 2024</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6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9, 2024, by and between the Registrant and Centessa</w:t>
              </w:r>
            </w:hyperlink>
          </w:p>
        </w:tc>
        <w:tc>
          <w:tcPr>
            <w:tcW w:w="16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14"/>
                <w:szCs w:val="14"/>
                <w:color w:val="auto"/>
              </w:rPr>
            </w:pPr>
          </w:p>
        </w:tc>
        <w:tc>
          <w:tcPr>
            <w:tcW w:w="388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Pharmaceuticals (UK) Limited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vMerge w:val="restart"/>
          </w:tcPr>
          <w:p>
            <w:pPr>
              <w:jc w:val="center"/>
              <w:ind w:right="53"/>
              <w:spacing w:after="0"/>
              <w:rPr>
                <w:sz w:val="20"/>
                <w:szCs w:val="20"/>
                <w:color w:val="auto"/>
              </w:rPr>
            </w:pPr>
            <w:r>
              <w:rPr>
                <w:rFonts w:ascii="Times New Roman" w:cs="Times New Roman" w:eastAsia="Times New Roman" w:hAnsi="Times New Roman"/>
                <w:sz w:val="18"/>
                <w:szCs w:val="18"/>
                <w:color w:val="auto"/>
                <w:w w:val="99"/>
              </w:rPr>
              <w:t>August 5, 2024</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39"/>
          </w:tcPr>
          <w:p>
            <w:pPr>
              <w:spacing w:after="0" w:line="169"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Agreement and Amendment No. 1 to the Royalty</w:t>
              </w:r>
            </w:hyperlink>
          </w:p>
        </w:tc>
        <w:tc>
          <w:tcPr>
            <w:tcW w:w="8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Purchase Agreement, dated May 8, 2024 by and</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between the Registrant and Sagard Healthcare</w:t>
              </w:r>
            </w:hyperlink>
          </w:p>
        </w:tc>
        <w:tc>
          <w:tcPr>
            <w:tcW w:w="600" w:type="dxa"/>
            <w:vAlign w:val="bottom"/>
            <w:gridSpan w:val="16"/>
          </w:tcPr>
          <w:p>
            <w:pPr>
              <w:jc w:val="right"/>
              <w:ind w:right="160"/>
              <w:spacing w:after="0" w:line="169" w:lineRule="exact"/>
              <w:rPr>
                <w:rFonts w:ascii="Times New Roman" w:cs="Times New Roman" w:eastAsia="Times New Roman" w:hAnsi="Times New Roman"/>
                <w:sz w:val="18"/>
                <w:szCs w:val="18"/>
                <w:color w:val="0000FF"/>
                <w:w w:val="71"/>
              </w:rPr>
            </w:pPr>
            <w:hyperlink r:id="rId322">
              <w:r>
                <w:rPr>
                  <w:rFonts w:ascii="Times New Roman" w:cs="Times New Roman" w:eastAsia="Times New Roman" w:hAnsi="Times New Roman"/>
                  <w:sz w:val="18"/>
                  <w:szCs w:val="18"/>
                  <w:color w:val="0000FF"/>
                  <w:w w:val="71"/>
                </w:rPr>
                <w:t>Partners</w:t>
              </w:r>
            </w:hyperlink>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Funding Borrower SPE 2, LP</w:t>
              </w:r>
            </w:hyperlink>
          </w:p>
        </w:tc>
        <w:tc>
          <w:tcPr>
            <w:tcW w:w="60" w:type="dxa"/>
            <w:vAlign w:val="bottom"/>
            <w:tcBorders>
              <w:top w:val="single" w:sz="8" w:color="0000FF"/>
              <w:bottom w:val="single" w:sz="8" w:color="0000EE"/>
            </w:tcBorders>
          </w:tcPr>
          <w:p>
            <w:pPr>
              <w:spacing w:after="0"/>
              <w:rPr>
                <w:sz w:val="14"/>
                <w:szCs w:val="14"/>
                <w:color w:val="auto"/>
              </w:rPr>
            </w:pPr>
          </w:p>
        </w:tc>
        <w:tc>
          <w:tcPr>
            <w:tcW w:w="1760" w:type="dxa"/>
            <w:vAlign w:val="bottom"/>
            <w:tcBorders>
              <w:top w:val="single" w:sz="8" w:color="0000FF"/>
            </w:tcBorders>
            <w:gridSpan w:val="26"/>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136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333-283001</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vMerge w:val="restart"/>
          </w:tcPr>
          <w:p>
            <w:pPr>
              <w:jc w:val="center"/>
              <w:ind w:right="53"/>
              <w:spacing w:after="0"/>
              <w:rPr>
                <w:sz w:val="20"/>
                <w:szCs w:val="20"/>
                <w:color w:val="auto"/>
              </w:rPr>
            </w:pPr>
            <w:r>
              <w:rPr>
                <w:rFonts w:ascii="Times New Roman" w:cs="Times New Roman" w:eastAsia="Times New Roman" w:hAnsi="Times New Roman"/>
                <w:sz w:val="18"/>
                <w:szCs w:val="18"/>
                <w:color w:val="auto"/>
                <w:w w:val="99"/>
              </w:rPr>
              <w:t>November 5, 2024</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Sales Agreement, dated November 5, 2024, by and</w:t>
              </w:r>
            </w:hyperlink>
          </w:p>
        </w:tc>
        <w:tc>
          <w:tcPr>
            <w:tcW w:w="400" w:type="dxa"/>
            <w:vAlign w:val="bottom"/>
            <w:gridSpan w:val="11"/>
          </w:tcPr>
          <w:p>
            <w:pPr>
              <w:spacing w:after="0"/>
              <w:rPr>
                <w:sz w:val="14"/>
                <w:szCs w:val="14"/>
                <w:color w:val="auto"/>
              </w:rPr>
            </w:pPr>
          </w:p>
        </w:tc>
        <w:tc>
          <w:tcPr>
            <w:tcW w:w="8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14"/>
                <w:szCs w:val="14"/>
                <w:color w:val="auto"/>
              </w:rPr>
            </w:pPr>
          </w:p>
        </w:tc>
        <w:tc>
          <w:tcPr>
            <w:tcW w:w="4120" w:type="dxa"/>
            <w:vAlign w:val="bottom"/>
            <w:gridSpan w:val="39"/>
          </w:tcPr>
          <w:p>
            <w:pPr>
              <w:spacing w:after="0" w:line="169"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between the Registrant and TD Securities (USA) LLC</w:t>
              </w:r>
            </w:hyperlink>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vMerge w:val="restart"/>
          </w:tcPr>
          <w:p>
            <w:pPr>
              <w:jc w:val="center"/>
              <w:ind w:right="53"/>
              <w:spacing w:after="0"/>
              <w:rPr>
                <w:sz w:val="20"/>
                <w:szCs w:val="20"/>
                <w:color w:val="auto"/>
              </w:rPr>
            </w:pPr>
            <w:r>
              <w:rPr>
                <w:rFonts w:ascii="Times New Roman" w:cs="Times New Roman" w:eastAsia="Times New Roman" w:hAnsi="Times New Roman"/>
                <w:sz w:val="18"/>
                <w:szCs w:val="18"/>
                <w:color w:val="auto"/>
              </w:rPr>
              <w:t>February 27, 2025</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92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Amended and Restated Employment Agreement,</w:t>
              </w:r>
            </w:hyperlink>
          </w:p>
        </w:tc>
        <w:tc>
          <w:tcPr>
            <w:tcW w:w="200" w:type="dxa"/>
            <w:vAlign w:val="bottom"/>
            <w:gridSpan w:val="4"/>
          </w:tcPr>
          <w:p>
            <w:pPr>
              <w:spacing w:after="0"/>
              <w:rPr>
                <w:sz w:val="14"/>
                <w:szCs w:val="14"/>
                <w:color w:val="auto"/>
              </w:rPr>
            </w:pPr>
          </w:p>
        </w:tc>
        <w:tc>
          <w:tcPr>
            <w:tcW w:w="8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effective April 25, 2022, by and between the</w:t>
              </w:r>
            </w:hyperlink>
          </w:p>
        </w:tc>
        <w:tc>
          <w:tcPr>
            <w:tcW w:w="12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5"/>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6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Registrant and Dennis Mulroy</w:t>
              </w:r>
            </w:hyperlink>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5"/>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5"/>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14"/>
                <w:szCs w:val="14"/>
                <w:color w:val="auto"/>
              </w:rPr>
            </w:pPr>
          </w:p>
        </w:tc>
        <w:tc>
          <w:tcPr>
            <w:tcW w:w="22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w w:val="98"/>
              </w:rPr>
            </w:pPr>
            <w:hyperlink r:id="rId325">
              <w:r>
                <w:rPr>
                  <w:rFonts w:ascii="Times New Roman" w:cs="Times New Roman" w:eastAsia="Times New Roman" w:hAnsi="Times New Roman"/>
                  <w:sz w:val="18"/>
                  <w:szCs w:val="18"/>
                  <w:color w:val="0000FF"/>
                  <w:w w:val="98"/>
                </w:rPr>
                <w:t>Exclusive License Agreement,</w:t>
              </w:r>
            </w:hyperlink>
          </w:p>
        </w:tc>
        <w:tc>
          <w:tcPr>
            <w:tcW w:w="1900" w:type="dxa"/>
            <w:vAlign w:val="bottom"/>
            <w:gridSpan w:val="27"/>
          </w:tcPr>
          <w:p>
            <w:pPr>
              <w:jc w:val="right"/>
              <w:ind w:right="140"/>
              <w:spacing w:after="0" w:line="169"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dated January 31, 2025,</w:t>
              </w:r>
            </w:hyperlink>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360" w:type="dxa"/>
            <w:vAlign w:val="bottom"/>
            <w:gridSpan w:val="2"/>
          </w:tcPr>
          <w:p>
            <w:pPr>
              <w:jc w:val="center"/>
              <w:ind w:left="50"/>
              <w:spacing w:after="0" w:line="169" w:lineRule="exact"/>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center"/>
              <w:ind w:right="53"/>
              <w:spacing w:after="0" w:line="169" w:lineRule="exact"/>
              <w:rPr>
                <w:sz w:val="20"/>
                <w:szCs w:val="20"/>
                <w:color w:val="auto"/>
              </w:rPr>
            </w:pPr>
            <w:r>
              <w:rPr>
                <w:rFonts w:ascii="Times New Roman" w:cs="Times New Roman" w:eastAsia="Times New Roman" w:hAnsi="Times New Roman"/>
                <w:sz w:val="18"/>
                <w:szCs w:val="18"/>
                <w:color w:val="auto"/>
                <w:w w:val="98"/>
              </w:rPr>
              <w:t>May 5, 2025</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80" w:type="dxa"/>
            <w:vAlign w:val="bottom"/>
            <w:tcBorders>
              <w:top w:val="single" w:sz="8" w:color="0000FF"/>
            </w:tcBorders>
            <w:gridSpan w:val="38"/>
          </w:tcPr>
          <w:p>
            <w:pPr>
              <w:spacing w:after="0" w:line="169"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by and between the Company and Vanda</w:t>
              </w:r>
            </w:hyperlink>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4"/>
                <w:szCs w:val="14"/>
                <w:color w:val="auto"/>
              </w:rPr>
            </w:pPr>
          </w:p>
        </w:tc>
        <w:tc>
          <w:tcPr>
            <w:tcW w:w="302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Pharmaceuticals Inc.</w:t>
              </w:r>
            </w:hyperlink>
          </w:p>
        </w:tc>
        <w:tc>
          <w:tcPr>
            <w:tcW w:w="4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5"/>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5"/>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vMerge w:val="restart"/>
          </w:tcPr>
          <w:p>
            <w:pPr>
              <w:jc w:val="center"/>
              <w:ind w:right="53"/>
              <w:spacing w:after="0"/>
              <w:rPr>
                <w:sz w:val="20"/>
                <w:szCs w:val="20"/>
                <w:color w:val="auto"/>
              </w:rPr>
            </w:pPr>
            <w:r>
              <w:rPr>
                <w:rFonts w:ascii="Times New Roman" w:cs="Times New Roman" w:eastAsia="Times New Roman" w:hAnsi="Times New Roman"/>
                <w:sz w:val="18"/>
                <w:szCs w:val="18"/>
                <w:color w:val="auto"/>
              </w:rPr>
              <w:t>February 27, 2025</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39"/>
          </w:tcPr>
          <w:p>
            <w:pPr>
              <w:spacing w:after="0" w:line="169"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Insider Trading Policy</w:t>
              </w:r>
            </w:hyperlink>
          </w:p>
        </w:tc>
        <w:tc>
          <w:tcPr>
            <w:tcW w:w="8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Borders>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9"/>
              </w:rPr>
              <w:t>Subsidiaries of the Registrant</w:t>
            </w:r>
          </w:p>
        </w:tc>
        <w:tc>
          <w:tcPr>
            <w:tcW w:w="20" w:type="dxa"/>
            <w:vAlign w:val="bottom"/>
            <w:tcBorders>
              <w:bottom w:val="single" w:sz="8" w:color="0000EE"/>
            </w:tcBorders>
          </w:tcPr>
          <w:p>
            <w:pPr>
              <w:spacing w:after="0"/>
              <w:rPr>
                <w:sz w:val="14"/>
                <w:szCs w:val="14"/>
                <w:color w:val="auto"/>
              </w:rPr>
            </w:pPr>
          </w:p>
        </w:tc>
        <w:tc>
          <w:tcPr>
            <w:tcW w:w="1960" w:type="dxa"/>
            <w:vAlign w:val="bottom"/>
            <w:gridSpan w:val="28"/>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4"/>
                <w:szCs w:val="14"/>
                <w:color w:val="auto"/>
              </w:rPr>
            </w:pPr>
          </w:p>
        </w:tc>
        <w:tc>
          <w:tcPr>
            <w:tcW w:w="2160" w:type="dxa"/>
            <w:vAlign w:val="bottom"/>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Consent of KPMG LLP, an</w:t>
            </w:r>
          </w:p>
        </w:tc>
        <w:tc>
          <w:tcPr>
            <w:tcW w:w="1960" w:type="dxa"/>
            <w:vAlign w:val="bottom"/>
            <w:gridSpan w:val="28"/>
          </w:tcPr>
          <w:p>
            <w:pPr>
              <w:jc w:val="center"/>
              <w:ind w:right="460"/>
              <w:spacing w:after="0" w:line="169" w:lineRule="exact"/>
              <w:rPr>
                <w:sz w:val="20"/>
                <w:szCs w:val="20"/>
                <w:color w:val="auto"/>
              </w:rPr>
            </w:pPr>
            <w:r>
              <w:rPr>
                <w:rFonts w:ascii="Times New Roman" w:cs="Times New Roman" w:eastAsia="Times New Roman" w:hAnsi="Times New Roman"/>
                <w:sz w:val="18"/>
                <w:szCs w:val="18"/>
                <w:color w:val="0000FF"/>
                <w:w w:val="91"/>
              </w:rPr>
              <w:t>independent registered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4"/>
                <w:szCs w:val="14"/>
                <w:color w:val="auto"/>
              </w:rPr>
            </w:pPr>
          </w:p>
        </w:tc>
        <w:tc>
          <w:tcPr>
            <w:tcW w:w="3700" w:type="dxa"/>
            <w:vAlign w:val="bottom"/>
            <w:tcBorders>
              <w:top w:val="single" w:sz="8" w:color="0000FF"/>
            </w:tcBorders>
            <w:gridSpan w:val="27"/>
          </w:tcPr>
          <w:p>
            <w:pPr>
              <w:spacing w:after="0" w:line="169" w:lineRule="exact"/>
              <w:rPr>
                <w:sz w:val="20"/>
                <w:szCs w:val="20"/>
                <w:color w:val="auto"/>
              </w:rPr>
            </w:pPr>
            <w:r>
              <w:rPr>
                <w:rFonts w:ascii="Times New Roman" w:cs="Times New Roman" w:eastAsia="Times New Roman" w:hAnsi="Times New Roman"/>
                <w:sz w:val="18"/>
                <w:szCs w:val="18"/>
                <w:color w:val="0000FF"/>
              </w:rPr>
              <w:t>public accounting firm.</w:t>
            </w: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5"/>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Power of Attorney</w:t>
            </w:r>
          </w:p>
        </w:tc>
        <w:tc>
          <w:tcPr>
            <w:tcW w:w="5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5"/>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FF"/>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39"/>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Principal Executive Officer, pursuant</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00" w:type="dxa"/>
            <w:vAlign w:val="bottom"/>
            <w:tcBorders>
              <w:top w:val="single" w:sz="8" w:color="0000FF"/>
            </w:tcBorders>
            <w:gridSpan w:val="34"/>
          </w:tcPr>
          <w:p>
            <w:pPr>
              <w:spacing w:after="0" w:line="169" w:lineRule="exact"/>
              <w:rPr>
                <w:sz w:val="20"/>
                <w:szCs w:val="20"/>
                <w:color w:val="auto"/>
              </w:rPr>
            </w:pPr>
            <w:r>
              <w:rPr>
                <w:rFonts w:ascii="Times New Roman" w:cs="Times New Roman" w:eastAsia="Times New Roman" w:hAnsi="Times New Roman"/>
                <w:sz w:val="18"/>
                <w:szCs w:val="18"/>
                <w:color w:val="0000FF"/>
              </w:rPr>
              <w:t>to Rule 13a-14(a)/15d-14(a), as adopted pursuant to</w:t>
            </w:r>
          </w:p>
        </w:tc>
        <w:tc>
          <w:tcPr>
            <w:tcW w:w="220" w:type="dxa"/>
            <w:vAlign w:val="bottom"/>
            <w:gridSpan w:val="5"/>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28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7"/>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39"/>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Principal Financial Officer, pursuant</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60" w:type="dxa"/>
            <w:vAlign w:val="bottom"/>
            <w:tcBorders>
              <w:top w:val="single" w:sz="8" w:color="0000FF"/>
            </w:tcBorders>
            <w:gridSpan w:val="32"/>
          </w:tcPr>
          <w:p>
            <w:pPr>
              <w:spacing w:after="0" w:line="169" w:lineRule="exact"/>
              <w:rPr>
                <w:sz w:val="20"/>
                <w:szCs w:val="20"/>
                <w:color w:val="auto"/>
              </w:rPr>
            </w:pPr>
            <w:r>
              <w:rPr>
                <w:rFonts w:ascii="Times New Roman" w:cs="Times New Roman" w:eastAsia="Times New Roman" w:hAnsi="Times New Roman"/>
                <w:sz w:val="18"/>
                <w:szCs w:val="18"/>
                <w:color w:val="0000FF"/>
              </w:rPr>
              <w:t>to Rule 13a-14(a)/15d-14(a), as adopted pursuant to</w:t>
            </w:r>
          </w:p>
        </w:tc>
        <w:tc>
          <w:tcPr>
            <w:tcW w:w="260" w:type="dxa"/>
            <w:vAlign w:val="bottom"/>
            <w:gridSpan w:val="7"/>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28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8"/>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4"/>
                <w:szCs w:val="14"/>
                <w:color w:val="auto"/>
              </w:rPr>
            </w:pPr>
          </w:p>
        </w:tc>
        <w:tc>
          <w:tcPr>
            <w:tcW w:w="3500" w:type="dxa"/>
            <w:vAlign w:val="bottom"/>
            <w:gridSpan w:val="22"/>
          </w:tcPr>
          <w:p>
            <w:pPr>
              <w:spacing w:after="0" w:line="169" w:lineRule="exact"/>
              <w:rPr>
                <w:sz w:val="20"/>
                <w:szCs w:val="20"/>
                <w:color w:val="auto"/>
              </w:rPr>
            </w:pPr>
            <w:r>
              <w:rPr>
                <w:rFonts w:ascii="Times New Roman" w:cs="Times New Roman" w:eastAsia="Times New Roman" w:hAnsi="Times New Roman"/>
                <w:sz w:val="18"/>
                <w:szCs w:val="18"/>
                <w:color w:val="0000FF"/>
                <w:w w:val="96"/>
              </w:rPr>
              <w:t>Certification of Chief Executive Officer, pursuant</w:t>
            </w:r>
          </w:p>
        </w:tc>
        <w:tc>
          <w:tcPr>
            <w:tcW w:w="620" w:type="dxa"/>
            <w:vAlign w:val="bottom"/>
            <w:gridSpan w:val="17"/>
          </w:tcPr>
          <w:p>
            <w:pPr>
              <w:ind w:left="140"/>
              <w:spacing w:after="0" w:line="169" w:lineRule="exact"/>
              <w:rPr>
                <w:sz w:val="20"/>
                <w:szCs w:val="20"/>
                <w:color w:val="auto"/>
              </w:rPr>
            </w:pPr>
            <w:r>
              <w:rPr>
                <w:rFonts w:ascii="Times New Roman" w:cs="Times New Roman" w:eastAsia="Times New Roman" w:hAnsi="Times New Roman"/>
                <w:sz w:val="18"/>
                <w:szCs w:val="18"/>
                <w:color w:val="0000FF"/>
              </w:rPr>
              <w:t>to</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40" w:type="dxa"/>
            <w:vAlign w:val="bottom"/>
            <w:tcBorders>
              <w:top w:val="single" w:sz="8" w:color="0000FF"/>
            </w:tcBorders>
            <w:gridSpan w:val="31"/>
          </w:tcPr>
          <w:p>
            <w:pPr>
              <w:spacing w:after="0" w:line="169" w:lineRule="exact"/>
              <w:rPr>
                <w:sz w:val="20"/>
                <w:szCs w:val="20"/>
                <w:color w:val="auto"/>
              </w:rPr>
            </w:pPr>
            <w:r>
              <w:rPr>
                <w:rFonts w:ascii="Times New Roman" w:cs="Times New Roman" w:eastAsia="Times New Roman" w:hAnsi="Times New Roman"/>
                <w:sz w:val="18"/>
                <w:szCs w:val="18"/>
                <w:color w:val="0000FF"/>
              </w:rPr>
              <w:t>18 U.S.C. Section 1350, as adopted pursuant to</w:t>
            </w:r>
          </w:p>
        </w:tc>
        <w:tc>
          <w:tcPr>
            <w:tcW w:w="280" w:type="dxa"/>
            <w:vAlign w:val="bottom"/>
            <w:gridSpan w:val="8"/>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4"/>
                <w:szCs w:val="14"/>
                <w:color w:val="auto"/>
              </w:rPr>
            </w:pPr>
          </w:p>
        </w:tc>
        <w:tc>
          <w:tcPr>
            <w:tcW w:w="3460" w:type="dxa"/>
            <w:vAlign w:val="bottom"/>
            <w:tcBorders>
              <w:top w:val="single" w:sz="8" w:color="0000FF"/>
              <w:bottom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20" w:type="dxa"/>
            <w:vAlign w:val="bottom"/>
            <w:gridSpan w:val="8"/>
          </w:tcPr>
          <w:p>
            <w:pPr>
              <w:spacing w:after="0"/>
              <w:rPr>
                <w:sz w:val="14"/>
                <w:szCs w:val="14"/>
                <w:color w:val="auto"/>
              </w:rPr>
            </w:pPr>
          </w:p>
        </w:tc>
        <w:tc>
          <w:tcPr>
            <w:tcW w:w="300" w:type="dxa"/>
            <w:vAlign w:val="bottom"/>
            <w:gridSpan w:val="9"/>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500" w:type="dxa"/>
            <w:vAlign w:val="bottom"/>
            <w:gridSpan w:val="22"/>
          </w:tcPr>
          <w:p>
            <w:pPr>
              <w:spacing w:after="0" w:line="169" w:lineRule="exact"/>
              <w:rPr>
                <w:sz w:val="20"/>
                <w:szCs w:val="20"/>
                <w:color w:val="auto"/>
              </w:rPr>
            </w:pPr>
            <w:r>
              <w:rPr>
                <w:rFonts w:ascii="Times New Roman" w:cs="Times New Roman" w:eastAsia="Times New Roman" w:hAnsi="Times New Roman"/>
                <w:sz w:val="18"/>
                <w:szCs w:val="18"/>
                <w:color w:val="0000FF"/>
                <w:w w:val="98"/>
              </w:rPr>
              <w:t>Certification of Chief Financial Officer, pursuant</w:t>
            </w:r>
          </w:p>
        </w:tc>
        <w:tc>
          <w:tcPr>
            <w:tcW w:w="620" w:type="dxa"/>
            <w:vAlign w:val="bottom"/>
            <w:gridSpan w:val="17"/>
          </w:tcPr>
          <w:p>
            <w:pPr>
              <w:jc w:val="right"/>
              <w:ind w:right="160"/>
              <w:spacing w:after="0" w:line="169" w:lineRule="exact"/>
              <w:rPr>
                <w:sz w:val="20"/>
                <w:szCs w:val="20"/>
                <w:color w:val="auto"/>
              </w:rPr>
            </w:pPr>
            <w:r>
              <w:rPr>
                <w:rFonts w:ascii="Times New Roman" w:cs="Times New Roman" w:eastAsia="Times New Roman" w:hAnsi="Times New Roman"/>
                <w:sz w:val="18"/>
                <w:szCs w:val="18"/>
                <w:color w:val="0000FF"/>
              </w:rPr>
              <w:t>to 18</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80" w:type="dxa"/>
            <w:vAlign w:val="bottom"/>
            <w:tcBorders>
              <w:top w:val="single" w:sz="8" w:color="0000FF"/>
            </w:tcBorders>
            <w:gridSpan w:val="38"/>
          </w:tcPr>
          <w:p>
            <w:pPr>
              <w:spacing w:after="0" w:line="169" w:lineRule="exact"/>
              <w:rPr>
                <w:sz w:val="20"/>
                <w:szCs w:val="20"/>
                <w:color w:val="auto"/>
              </w:rPr>
            </w:pPr>
            <w:r>
              <w:rPr>
                <w:rFonts w:ascii="Times New Roman" w:cs="Times New Roman" w:eastAsia="Times New Roman" w:hAnsi="Times New Roman"/>
                <w:sz w:val="18"/>
                <w:szCs w:val="18"/>
                <w:color w:val="0000FF"/>
              </w:rPr>
              <w:t>U.S.C. Section 1350, as adopted pursuant to Section</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4"/>
                <w:szCs w:val="14"/>
                <w:color w:val="auto"/>
              </w:rPr>
            </w:pPr>
          </w:p>
        </w:tc>
        <w:tc>
          <w:tcPr>
            <w:tcW w:w="3820" w:type="dxa"/>
            <w:vAlign w:val="bottom"/>
            <w:tcBorders>
              <w:top w:val="single" w:sz="8" w:color="0000FF"/>
            </w:tcBorders>
            <w:gridSpan w:val="30"/>
          </w:tcPr>
          <w:p>
            <w:pPr>
              <w:spacing w:after="0" w:line="169"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300" w:type="dxa"/>
            <w:vAlign w:val="bottom"/>
            <w:gridSpan w:val="9"/>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6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001-37985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vMerge w:val="restart"/>
          </w:tcPr>
          <w:p>
            <w:pPr>
              <w:jc w:val="center"/>
              <w:ind w:right="53"/>
              <w:spacing w:after="0"/>
              <w:rPr>
                <w:sz w:val="20"/>
                <w:szCs w:val="20"/>
                <w:color w:val="auto"/>
              </w:rPr>
            </w:pPr>
            <w:r>
              <w:rPr>
                <w:rFonts w:ascii="Times New Roman" w:cs="Times New Roman" w:eastAsia="Times New Roman" w:hAnsi="Times New Roman"/>
                <w:sz w:val="18"/>
                <w:szCs w:val="18"/>
                <w:color w:val="auto"/>
                <w:w w:val="99"/>
              </w:rPr>
              <w:t>March 11, 2024</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Compensation Recovery Policy</w:t>
              </w:r>
            </w:hyperlink>
            <w:r>
              <w:rPr>
                <w:rFonts w:ascii="Times New Roman" w:cs="Times New Roman" w:eastAsia="Times New Roman" w:hAnsi="Times New Roman"/>
                <w:sz w:val="18"/>
                <w:szCs w:val="18"/>
                <w:color w:val="000000"/>
              </w:rPr>
              <w:t>.</w:t>
            </w:r>
          </w:p>
        </w:tc>
        <w:tc>
          <w:tcPr>
            <w:tcW w:w="1240" w:type="dxa"/>
            <w:vAlign w:val="bottom"/>
            <w:gridSpan w:val="24"/>
          </w:tcPr>
          <w:p>
            <w:pPr>
              <w:spacing w:after="0"/>
              <w:rPr>
                <w:sz w:val="14"/>
                <w:szCs w:val="14"/>
                <w:color w:val="auto"/>
              </w:rPr>
            </w:pPr>
          </w:p>
        </w:tc>
        <w:tc>
          <w:tcPr>
            <w:tcW w:w="80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14"/>
                <w:szCs w:val="14"/>
                <w:color w:val="auto"/>
              </w:rPr>
            </w:pPr>
          </w:p>
        </w:tc>
        <w:tc>
          <w:tcPr>
            <w:tcW w:w="2280" w:type="dxa"/>
            <w:vAlign w:val="bottom"/>
            <w:tcBorders>
              <w:top w:val="single" w:sz="8" w:color="0000FF"/>
            </w:tcBorders>
            <w:gridSpan w:val="13"/>
          </w:tcPr>
          <w:p>
            <w:pPr>
              <w:spacing w:after="0" w:line="164" w:lineRule="exact"/>
              <w:rPr>
                <w:sz w:val="20"/>
                <w:szCs w:val="20"/>
                <w:color w:val="auto"/>
              </w:rPr>
            </w:pPr>
            <w:r>
              <w:rPr>
                <w:rFonts w:ascii="Times New Roman" w:cs="Times New Roman" w:eastAsia="Times New Roman" w:hAnsi="Times New Roman"/>
                <w:sz w:val="18"/>
                <w:szCs w:val="18"/>
                <w:color w:val="auto"/>
                <w:w w:val="94"/>
              </w:rPr>
              <w:t>Inline XBRL Instance Document</w:t>
            </w:r>
          </w:p>
        </w:tc>
        <w:tc>
          <w:tcPr>
            <w:tcW w:w="20" w:type="dxa"/>
            <w:vAlign w:val="bottom"/>
            <w:tcBorders>
              <w:top w:val="single" w:sz="8" w:color="0000EE"/>
            </w:tcBorders>
          </w:tcPr>
          <w:p>
            <w:pPr>
              <w:spacing w:after="0"/>
              <w:rPr>
                <w:sz w:val="14"/>
                <w:szCs w:val="14"/>
                <w:color w:val="auto"/>
              </w:rPr>
            </w:pPr>
          </w:p>
        </w:tc>
        <w:tc>
          <w:tcPr>
            <w:tcW w:w="1820" w:type="dxa"/>
            <w:vAlign w:val="bottom"/>
            <w:gridSpan w:val="25"/>
          </w:tcPr>
          <w:p>
            <w:pPr>
              <w:jc w:val="center"/>
              <w:ind w:right="580"/>
              <w:spacing w:after="0" w:line="164" w:lineRule="exact"/>
              <w:rPr>
                <w:sz w:val="20"/>
                <w:szCs w:val="20"/>
                <w:color w:val="auto"/>
              </w:rPr>
            </w:pPr>
            <w:r>
              <w:rPr>
                <w:rFonts w:ascii="Times New Roman" w:cs="Times New Roman" w:eastAsia="Times New Roman" w:hAnsi="Times New Roman"/>
                <w:sz w:val="18"/>
                <w:szCs w:val="18"/>
                <w:color w:val="auto"/>
                <w:w w:val="99"/>
              </w:rPr>
              <w:t>- the instance</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auto"/>
              </w:rPr>
              <w:t>XBRL document.</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6"/>
                <w:szCs w:val="16"/>
                <w:color w:val="auto"/>
              </w:rPr>
            </w:pPr>
          </w:p>
        </w:tc>
        <w:tc>
          <w:tcPr>
            <w:tcW w:w="412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Schema With</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160" w:right="6260" w:hanging="1152"/>
        <w:spacing w:after="0" w:line="233" w:lineRule="auto"/>
        <w:tabs>
          <w:tab w:leader="none" w:pos="1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 Executive compensation plan or agreement.</w:t>
      </w:r>
    </w:p>
    <w:p>
      <w:pPr>
        <w:spacing w:after="0" w:line="36" w:lineRule="exact"/>
        <w:rPr>
          <w:sz w:val="20"/>
          <w:szCs w:val="20"/>
          <w:color w:val="auto"/>
        </w:rPr>
      </w:pPr>
    </w:p>
    <w:p>
      <w:pPr>
        <w:ind w:left="240" w:hanging="232"/>
        <w:spacing w:after="0"/>
        <w:tabs>
          <w:tab w:leader="none" w:pos="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Exchange Act or otherwise subject to the liability of that section, nor shall it be</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incorporated by reference into any filing under the Securities Act or the Exchange Act.</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Registrant has omitted and filed separately with the SEC portions of the exhibit pursuant to a confidential treatment request under Rule 406 promulgated</w:t>
      </w:r>
    </w:p>
    <w:p>
      <w:pPr>
        <w:spacing w:after="0" w:line="6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w:t>
      </w:r>
    </w:p>
    <w:p>
      <w:pPr>
        <w:spacing w:after="0" w:line="36" w:lineRule="exact"/>
        <w:rPr>
          <w:rFonts w:ascii="Times New Roman" w:cs="Times New Roman" w:eastAsia="Times New Roman" w:hAnsi="Times New Roman"/>
          <w:sz w:val="18"/>
          <w:szCs w:val="18"/>
          <w:color w:val="auto"/>
        </w:rPr>
      </w:pPr>
    </w:p>
    <w:p>
      <w:pPr>
        <w:ind w:righ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portions of this exhibit have been omitted by means of marking such portions with asterisks because the Registrant has determined that the information is not material and is the type that the Registrant treats as private or confidential.</w:t>
      </w:r>
    </w:p>
    <w:p>
      <w:pPr>
        <w:spacing w:after="0" w:line="1" w:lineRule="exact"/>
        <w:rPr>
          <w:rFonts w:ascii="Times New Roman" w:cs="Times New Roman" w:eastAsia="Times New Roman" w:hAnsi="Times New Roman"/>
          <w:sz w:val="18"/>
          <w:szCs w:val="18"/>
          <w:color w:val="auto"/>
        </w:rPr>
      </w:pPr>
    </w:p>
    <w:p>
      <w:pPr>
        <w:ind w:righ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Exhibits and schedules to this agreement have been omitted pursuant to the rules of the SEC. The Registrant will submit copies of such exhibits and schedules to the SEC upon request.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83" w:right="4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80" w:firstLine="659"/>
        <w:spacing w:after="0" w:line="33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1"/>
          <w:szCs w:val="21"/>
          <w:b w:val="1"/>
          <w:bCs w:val="1"/>
          <w:color w:val="auto"/>
        </w:rPr>
        <w: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March 3, 2026</w:t>
      </w:r>
    </w:p>
    <w:p>
      <w:pPr>
        <w:spacing w:after="0" w:line="18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37" w:lineRule="exact"/>
        <w:rPr>
          <w:sz w:val="20"/>
          <w:szCs w:val="20"/>
          <w:color w:val="auto"/>
        </w:rPr>
      </w:pPr>
    </w:p>
    <w:tbl>
      <w:tblPr>
        <w:tblLayout w:type="fixed"/>
        <w:tblInd w:w="568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Daniel Faga</w:t>
            </w:r>
          </w:p>
        </w:tc>
      </w:tr>
      <w:tr>
        <w:trPr>
          <w:trHeight w:val="243"/>
        </w:trPr>
        <w:tc>
          <w:tcPr>
            <w:tcW w:w="520" w:type="dxa"/>
            <w:vAlign w:val="bottom"/>
          </w:tcPr>
          <w:p>
            <w:pPr>
              <w:spacing w:after="0"/>
              <w:rPr>
                <w:sz w:val="21"/>
                <w:szCs w:val="21"/>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Daniel Faga</w:t>
            </w:r>
          </w:p>
        </w:tc>
      </w:tr>
      <w:tr>
        <w:trPr>
          <w:trHeight w:val="310"/>
        </w:trPr>
        <w:tc>
          <w:tcPr>
            <w:tcW w:w="5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right="20" w:firstLine="659"/>
        <w:spacing w:after="0" w:line="294"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Daniel Faga and Eric Loumeau,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75" w:lineRule="exact"/>
        <w:rPr>
          <w:sz w:val="20"/>
          <w:szCs w:val="20"/>
          <w:color w:val="auto"/>
        </w:rPr>
      </w:pPr>
    </w:p>
    <w:p>
      <w:pPr>
        <w:ind w:right="100" w:firstLine="659"/>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40" w:type="dxa"/>
            <w:vAlign w:val="bottom"/>
          </w:tcPr>
          <w:p>
            <w:pPr>
              <w:spacing w:after="0"/>
              <w:rPr>
                <w:sz w:val="16"/>
                <w:szCs w:val="16"/>
                <w:color w:val="auto"/>
              </w:rPr>
            </w:pP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2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7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Daniel Faga</w:t>
            </w:r>
          </w:p>
        </w:tc>
        <w:tc>
          <w:tcPr>
            <w:tcW w:w="3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Daniel Faga</w:t>
            </w:r>
          </w:p>
        </w:tc>
        <w:tc>
          <w:tcPr>
            <w:tcW w:w="3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3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333"/>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Dennis Mulroy</w:t>
            </w:r>
          </w:p>
        </w:tc>
        <w:tc>
          <w:tcPr>
            <w:tcW w:w="3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Dennis Mulroy</w:t>
            </w:r>
          </w:p>
        </w:tc>
        <w:tc>
          <w:tcPr>
            <w:tcW w:w="3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c>
          <w:tcPr>
            <w:tcW w:w="3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333"/>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Dennis Fenton</w:t>
            </w:r>
          </w:p>
        </w:tc>
        <w:tc>
          <w:tcPr>
            <w:tcW w:w="3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151"/>
        </w:trPr>
        <w:tc>
          <w:tcPr>
            <w:tcW w:w="428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color w:val="auto"/>
              </w:rPr>
              <w:t>Dennis Fenton, Ph.D.</w:t>
            </w:r>
          </w:p>
        </w:tc>
        <w:tc>
          <w:tcPr>
            <w:tcW w:w="3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Rita Jain</w:t>
            </w:r>
          </w:p>
        </w:tc>
        <w:tc>
          <w:tcPr>
            <w:tcW w:w="3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151"/>
        </w:trPr>
        <w:tc>
          <w:tcPr>
            <w:tcW w:w="428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color w:val="auto"/>
              </w:rPr>
              <w:t>Rita Jain, M.D</w:t>
            </w:r>
          </w:p>
        </w:tc>
        <w:tc>
          <w:tcPr>
            <w:tcW w:w="3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Magda Marquet</w:t>
            </w:r>
          </w:p>
        </w:tc>
        <w:tc>
          <w:tcPr>
            <w:tcW w:w="3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151"/>
        </w:trPr>
        <w:tc>
          <w:tcPr>
            <w:tcW w:w="428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color w:val="auto"/>
              </w:rPr>
              <w:t>Magda Marquet, Ph.D.</w:t>
            </w:r>
          </w:p>
        </w:tc>
        <w:tc>
          <w:tcPr>
            <w:tcW w:w="3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Oleg Nodelman</w:t>
            </w:r>
          </w:p>
        </w:tc>
        <w:tc>
          <w:tcPr>
            <w:tcW w:w="3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151"/>
        </w:trPr>
        <w:tc>
          <w:tcPr>
            <w:tcW w:w="428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color w:val="auto"/>
              </w:rPr>
              <w:t>Oleg Nodelman</w:t>
            </w:r>
          </w:p>
        </w:tc>
        <w:tc>
          <w:tcPr>
            <w:tcW w:w="3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/s/John Orwin</w:t>
            </w:r>
          </w:p>
        </w:tc>
        <w:tc>
          <w:tcPr>
            <w:tcW w:w="3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151"/>
        </w:trPr>
        <w:tc>
          <w:tcPr>
            <w:tcW w:w="428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color w:val="auto"/>
              </w:rPr>
              <w:t>John Orwin</w:t>
            </w:r>
          </w:p>
        </w:tc>
        <w:tc>
          <w:tcPr>
            <w:tcW w:w="3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Hollings Renton</w:t>
            </w:r>
          </w:p>
        </w:tc>
        <w:tc>
          <w:tcPr>
            <w:tcW w:w="3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151"/>
        </w:trPr>
        <w:tc>
          <w:tcPr>
            <w:tcW w:w="428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color w:val="auto"/>
              </w:rPr>
              <w:t>Hollings Renton</w:t>
            </w:r>
          </w:p>
        </w:tc>
        <w:tc>
          <w:tcPr>
            <w:tcW w:w="3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Schmid</w:t>
            </w:r>
          </w:p>
        </w:tc>
        <w:tc>
          <w:tcPr>
            <w:tcW w:w="3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151"/>
        </w:trPr>
        <w:tc>
          <w:tcPr>
            <w:tcW w:w="428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color w:val="auto"/>
              </w:rPr>
              <w:t>John Schmid</w:t>
            </w:r>
          </w:p>
        </w:tc>
        <w:tc>
          <w:tcPr>
            <w:tcW w:w="3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 Anthony Ware</w:t>
            </w:r>
          </w:p>
        </w:tc>
        <w:tc>
          <w:tcPr>
            <w:tcW w:w="3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 Anthony Ware, M.D.</w:t>
            </w:r>
          </w:p>
        </w:tc>
        <w:tc>
          <w:tcPr>
            <w:tcW w:w="3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603"/>
        </w:trPr>
        <w:tc>
          <w:tcPr>
            <w:tcW w:w="4280" w:type="dxa"/>
            <w:vAlign w:val="bottom"/>
          </w:tcPr>
          <w:p>
            <w:pPr>
              <w:spacing w:after="0"/>
              <w:rPr>
                <w:sz w:val="24"/>
                <w:szCs w:val="24"/>
                <w:color w:val="auto"/>
              </w:rPr>
            </w:pPr>
          </w:p>
        </w:tc>
        <w:tc>
          <w:tcPr>
            <w:tcW w:w="4480" w:type="dxa"/>
            <w:vAlign w:val="bottom"/>
            <w:gridSpan w:val="2"/>
          </w:tcPr>
          <w:p>
            <w:pPr>
              <w:jc w:val="right"/>
              <w:ind w:right="2911"/>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85"/>
        </w:trPr>
        <w:tc>
          <w:tcPr>
            <w:tcW w:w="4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4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567"/>
        </w:trPr>
        <w:tc>
          <w:tcPr>
            <w:tcW w:w="6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Name of Subsidiary</w:t>
            </w:r>
          </w:p>
        </w:tc>
        <w:tc>
          <w:tcPr>
            <w:tcW w:w="1220" w:type="dxa"/>
            <w:vAlign w:val="bottom"/>
          </w:tcPr>
          <w:p>
            <w:pPr>
              <w:spacing w:after="0"/>
              <w:rPr>
                <w:sz w:val="24"/>
                <w:szCs w:val="24"/>
                <w:color w:val="auto"/>
              </w:rPr>
            </w:pPr>
          </w:p>
        </w:tc>
        <w:tc>
          <w:tcPr>
            <w:tcW w:w="8440" w:type="dxa"/>
            <w:vAlign w:val="bottom"/>
            <w:gridSpan w:val="3"/>
          </w:tcPr>
          <w:p>
            <w:pPr>
              <w:ind w:left="288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20"/>
        </w:trPr>
        <w:tc>
          <w:tcPr>
            <w:tcW w:w="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90"/>
        </w:trPr>
        <w:tc>
          <w:tcPr>
            <w:tcW w:w="6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AnaptysBio Pty Ltd</w:t>
            </w:r>
          </w:p>
        </w:tc>
        <w:tc>
          <w:tcPr>
            <w:tcW w:w="1220" w:type="dxa"/>
            <w:vAlign w:val="bottom"/>
          </w:tcPr>
          <w:p>
            <w:pPr>
              <w:spacing w:after="0"/>
              <w:rPr>
                <w:sz w:val="24"/>
                <w:szCs w:val="24"/>
                <w:color w:val="auto"/>
              </w:rPr>
            </w:pPr>
          </w:p>
        </w:tc>
        <w:tc>
          <w:tcPr>
            <w:tcW w:w="8440" w:type="dxa"/>
            <w:vAlign w:val="bottom"/>
            <w:gridSpan w:val="3"/>
          </w:tcPr>
          <w:p>
            <w:pPr>
              <w:ind w:left="2880"/>
              <w:spacing w:after="0"/>
              <w:rPr>
                <w:sz w:val="20"/>
                <w:szCs w:val="20"/>
                <w:color w:val="auto"/>
              </w:rPr>
            </w:pPr>
            <w:r>
              <w:rPr>
                <w:rFonts w:ascii="Times New Roman" w:cs="Times New Roman" w:eastAsia="Times New Roman" w:hAnsi="Times New Roman"/>
                <w:sz w:val="18"/>
                <w:szCs w:val="18"/>
                <w:color w:val="auto"/>
              </w:rPr>
              <w:t>Australia</w:t>
            </w:r>
          </w:p>
        </w:tc>
      </w:tr>
      <w:tr>
        <w:trPr>
          <w:trHeight w:val="1141"/>
        </w:trPr>
        <w:tc>
          <w:tcPr>
            <w:tcW w:w="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70" w:lineRule="exact"/>
        <w:rPr>
          <w:sz w:val="20"/>
          <w:szCs w:val="20"/>
          <w:color w:val="auto"/>
        </w:rPr>
      </w:pPr>
    </w:p>
    <w:p>
      <w:pPr>
        <w:jc w:val="both"/>
        <w:ind w:right="320"/>
        <w:spacing w:after="0" w:line="29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333-215741, 333-223446, 333-229927, 333-236805, 333-253504, 333-263332, 333-270175, 333-277823, 333-281246, and 333-289301) on Form S-8 and in the registration statement (No. 333-283001) on Form S-3 of our report dated March 3, 2026, with respect to the consolidated financial statements of AnaptysBio, Inc.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Faga, certify that:</w:t>
      </w:r>
    </w:p>
    <w:p>
      <w:pPr>
        <w:spacing w:after="0" w:line="104" w:lineRule="exact"/>
        <w:rPr>
          <w:sz w:val="20"/>
          <w:szCs w:val="20"/>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AnaptysBio, Inc.;</w:t>
      </w:r>
    </w:p>
    <w:p>
      <w:pPr>
        <w:spacing w:after="0" w:line="117" w:lineRule="exact"/>
        <w:rPr>
          <w:rFonts w:ascii="Times New Roman" w:cs="Times New Roman" w:eastAsia="Times New Roman" w:hAnsi="Times New Roman"/>
          <w:sz w:val="18"/>
          <w:szCs w:val="18"/>
          <w:color w:val="auto"/>
        </w:rPr>
      </w:pPr>
    </w:p>
    <w:p>
      <w:pPr>
        <w:jc w:val="both"/>
        <w:ind w:left="380" w:right="360" w:hanging="372"/>
        <w:spacing w:after="0" w:line="250"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380" w:right="320" w:hanging="372"/>
        <w:spacing w:after="0" w:line="266"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380" w:right="340" w:hanging="372"/>
        <w:spacing w:after="0" w:line="258"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760" w:right="240" w:hanging="378"/>
        <w:spacing w:after="0" w:line="258" w:lineRule="auto"/>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760" w:right="560" w:hanging="378"/>
        <w:spacing w:after="0" w:line="258" w:lineRule="auto"/>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760" w:right="720" w:hanging="378"/>
        <w:spacing w:after="0" w:line="296" w:lineRule="auto"/>
        <w:tabs>
          <w:tab w:leader="none" w:pos="76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7"/>
          <w:szCs w:val="17"/>
          <w:color w:val="auto"/>
        </w:rPr>
      </w:pPr>
    </w:p>
    <w:p>
      <w:pPr>
        <w:ind w:left="760" w:right="220" w:hanging="378"/>
        <w:spacing w:after="0" w:line="250" w:lineRule="auto"/>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380" w:right="220" w:hanging="372"/>
        <w:spacing w:after="0" w:line="266"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2026</w:t>
      </w:r>
    </w:p>
    <w:p>
      <w:pPr>
        <w:spacing w:after="0" w:line="19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5">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ind w:left="4560"/>
        <w:spacing w:after="0" w:line="237" w:lineRule="auto"/>
        <w:rPr>
          <w:sz w:val="20"/>
          <w:szCs w:val="20"/>
          <w:color w:val="auto"/>
        </w:rPr>
      </w:pPr>
      <w:r>
        <w:rPr>
          <w:rFonts w:ascii="Times New Roman" w:cs="Times New Roman" w:eastAsia="Times New Roman" w:hAnsi="Times New Roman"/>
          <w:sz w:val="18"/>
          <w:szCs w:val="18"/>
          <w:color w:val="auto"/>
        </w:rPr>
        <w:t>Daniel Faga</w:t>
      </w:r>
    </w:p>
    <w:p>
      <w:pPr>
        <w:ind w:left="4560"/>
        <w:spacing w:after="0" w:line="219"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456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Mulroy, certify that:</w:t>
      </w:r>
    </w:p>
    <w:p>
      <w:pPr>
        <w:spacing w:after="0" w:line="104" w:lineRule="exact"/>
        <w:rPr>
          <w:sz w:val="20"/>
          <w:szCs w:val="20"/>
          <w:color w:val="auto"/>
        </w:rPr>
      </w:pPr>
    </w:p>
    <w:p>
      <w:pPr>
        <w:ind w:left="380" w:hanging="372"/>
        <w:spacing w:after="0"/>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AnaptysBio, Inc.;</w:t>
      </w:r>
    </w:p>
    <w:p>
      <w:pPr>
        <w:spacing w:after="0" w:line="117" w:lineRule="exact"/>
        <w:rPr>
          <w:rFonts w:ascii="Times New Roman" w:cs="Times New Roman" w:eastAsia="Times New Roman" w:hAnsi="Times New Roman"/>
          <w:sz w:val="18"/>
          <w:szCs w:val="18"/>
          <w:color w:val="auto"/>
        </w:rPr>
      </w:pPr>
    </w:p>
    <w:p>
      <w:pPr>
        <w:jc w:val="both"/>
        <w:ind w:left="380" w:right="360" w:hanging="372"/>
        <w:spacing w:after="0" w:line="250"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380" w:right="320" w:hanging="372"/>
        <w:spacing w:after="0" w:line="266"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380" w:right="340" w:hanging="372"/>
        <w:spacing w:after="0" w:line="258"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760" w:right="240" w:hanging="378"/>
        <w:spacing w:after="0" w:line="258" w:lineRule="auto"/>
        <w:tabs>
          <w:tab w:leader="none" w:pos="7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760" w:right="560" w:hanging="378"/>
        <w:spacing w:after="0" w:line="258" w:lineRule="auto"/>
        <w:tabs>
          <w:tab w:leader="none" w:pos="7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760" w:right="720" w:hanging="378"/>
        <w:spacing w:after="0" w:line="296" w:lineRule="auto"/>
        <w:tabs>
          <w:tab w:leader="none" w:pos="76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7"/>
          <w:szCs w:val="17"/>
          <w:color w:val="auto"/>
        </w:rPr>
      </w:pPr>
    </w:p>
    <w:p>
      <w:pPr>
        <w:ind w:left="760" w:right="220" w:hanging="378"/>
        <w:spacing w:after="0" w:line="250" w:lineRule="auto"/>
        <w:tabs>
          <w:tab w:leader="none" w:pos="7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380" w:right="220" w:hanging="372"/>
        <w:spacing w:after="0" w:line="266"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2026</w:t>
      </w:r>
    </w:p>
    <w:p>
      <w:pPr>
        <w:spacing w:after="0" w:line="19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7">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ind w:left="4560"/>
        <w:spacing w:after="0" w:line="237" w:lineRule="auto"/>
        <w:rPr>
          <w:sz w:val="20"/>
          <w:szCs w:val="20"/>
          <w:color w:val="auto"/>
        </w:rPr>
      </w:pPr>
      <w:r>
        <w:rPr>
          <w:rFonts w:ascii="Times New Roman" w:cs="Times New Roman" w:eastAsia="Times New Roman" w:hAnsi="Times New Roman"/>
          <w:sz w:val="18"/>
          <w:szCs w:val="18"/>
          <w:color w:val="auto"/>
        </w:rPr>
        <w:t>Dennis Mulroy</w:t>
      </w:r>
    </w:p>
    <w:p>
      <w:pPr>
        <w:ind w:left="4560"/>
        <w:spacing w:after="0" w:line="21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45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Faga, Chief Executive Officer of AnaptysBio, Inc. (Company), do hereby certify, pursuant to 18 U.S.C. Section 1350, as adopted pursuant to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158" w:lineRule="exact"/>
        <w:rPr>
          <w:sz w:val="20"/>
          <w:szCs w:val="20"/>
          <w:color w:val="auto"/>
        </w:rPr>
      </w:pPr>
    </w:p>
    <w:p>
      <w:pPr>
        <w:ind w:left="760" w:right="640" w:hanging="378"/>
        <w:spacing w:after="0" w:line="313"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2025 (the “Report”), as filed with the Securities and Exchange Commission, fully complies with the requirements of Section 13(a) or 15(d) of the Securities Exchange Act of 1934; and</w:t>
      </w:r>
    </w:p>
    <w:p>
      <w:pPr>
        <w:spacing w:after="0" w:line="67" w:lineRule="exact"/>
        <w:rPr>
          <w:rFonts w:ascii="Times New Roman" w:cs="Times New Roman" w:eastAsia="Times New Roman" w:hAnsi="Times New Roman"/>
          <w:sz w:val="18"/>
          <w:szCs w:val="18"/>
          <w:color w:val="auto"/>
        </w:rPr>
      </w:pPr>
    </w:p>
    <w:p>
      <w:pPr>
        <w:ind w:left="760" w:right="100" w:hanging="378"/>
        <w:spacing w:after="0" w:line="313"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2026</w:t>
      </w:r>
    </w:p>
    <w:p>
      <w:pPr>
        <w:spacing w:after="0" w:line="32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Daniel Faga</w:t>
      </w:r>
    </w:p>
    <w:p>
      <w:pPr>
        <w:spacing w:after="0" w:line="4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1043305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Mulroy, Chief Financial Officer of AnaptysBio, Inc. (Company), do hereby certify, pursuant to 18 U.S.C. Section 1350, as adopted pursuant to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158" w:lineRule="exact"/>
        <w:rPr>
          <w:sz w:val="20"/>
          <w:szCs w:val="20"/>
          <w:color w:val="auto"/>
        </w:rPr>
      </w:pPr>
    </w:p>
    <w:p>
      <w:pPr>
        <w:ind w:left="760" w:right="640" w:hanging="378"/>
        <w:spacing w:after="0" w:line="313"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2025 (the “Report”), as filed with the Securities and Exchange Commission, fully complies with the requirements of Section 13(a) or 15(d) of the Securities Exchange Act of 1934; and</w:t>
      </w:r>
    </w:p>
    <w:p>
      <w:pPr>
        <w:spacing w:after="0" w:line="67" w:lineRule="exact"/>
        <w:rPr>
          <w:rFonts w:ascii="Times New Roman" w:cs="Times New Roman" w:eastAsia="Times New Roman" w:hAnsi="Times New Roman"/>
          <w:sz w:val="18"/>
          <w:szCs w:val="18"/>
          <w:color w:val="auto"/>
        </w:rPr>
      </w:pPr>
    </w:p>
    <w:p>
      <w:pPr>
        <w:ind w:left="760" w:right="100" w:hanging="378"/>
        <w:spacing w:after="0" w:line="313"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2026</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Dennis Mulroy</w:t>
      </w:r>
    </w:p>
    <w:p>
      <w:pPr>
        <w:spacing w:after="0" w:line="4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5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120" w:name="page121"/>
    <w:bookmarkEnd w:id="1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1)"/>
      <w:numFmt w:val="upperLetter"/>
      <w:start w:val="2"/>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1."/>
      <w:numFmt w:val="decimal"/>
      <w:start w:val="4"/>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606"/>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7"/>
    </w:lvl>
  </w:abstractNum>
  <w:abstractNum w:abstractNumId="47">
    <w:nsid w:val="649BB77C"/>
    <w:multiLevelType w:val="hybridMultilevel"/>
    <w:lvl w:ilvl="0">
      <w:lvlJc w:val="left"/>
      <w:lvlText w:val="%1."/>
      <w:numFmt w:val="decimal"/>
      <w:start w:val="8"/>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decimal"/>
      <w:start w:val="10"/>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lowerLetter"/>
      <w:start w:val="1"/>
    </w:lvl>
    <w:lvl w:ilvl="1">
      <w:lvlJc w:val="left"/>
      <w:lvlText w:val="%2."/>
      <w:numFmt w:val="decimal"/>
      <w:start w:val="1"/>
    </w:lvl>
  </w:abstractNum>
  <w:abstractNum w:abstractNumId="55">
    <w:nsid w:val="15B5AF5C"/>
    <w:multiLevelType w:val="hybridMultilevel"/>
    <w:lvl w:ilvl="0">
      <w:lvlJc w:val="left"/>
      <w:lvlText w:val="%1."/>
      <w:numFmt w:val="decimal"/>
      <w:start w:val="2"/>
    </w:lvl>
  </w:abstractNum>
  <w:abstractNum w:abstractNumId="56">
    <w:nsid w:val="741226BB"/>
    <w:multiLevelType w:val="hybridMultilevel"/>
    <w:lvl w:ilvl="0">
      <w:lvlJc w:val="left"/>
      <w:lvlText w:val="%1."/>
      <w:numFmt w:val="decimal"/>
      <w:start w:val="3"/>
    </w:lvl>
  </w:abstractNum>
  <w:abstractNum w:abstractNumId="57">
    <w:nsid w:val="D34B6A8"/>
    <w:multiLevelType w:val="hybridMultilevel"/>
    <w:lvl w:ilvl="0">
      <w:lvlJc w:val="left"/>
      <w:lvlText w:val="%1"/>
      <w:numFmt w:val="decimal"/>
      <w:start w:val="104"/>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
      <w:numFmt w:val="bullet"/>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28" Type="http://schemas.openxmlformats.org/officeDocument/2006/relationships/image" Target="media/image293.png"/><Relationship Id="rId329" Type="http://schemas.openxmlformats.org/officeDocument/2006/relationships/image" Target="media/image294.png"/><Relationship Id="rId330" Type="http://schemas.openxmlformats.org/officeDocument/2006/relationships/image" Target="media/image295.png"/><Relationship Id="rId331" Type="http://schemas.openxmlformats.org/officeDocument/2006/relationships/image" Target="media/image296.png"/><Relationship Id="rId332" Type="http://schemas.openxmlformats.org/officeDocument/2006/relationships/image" Target="media/image297.png"/><Relationship Id="rId333" Type="http://schemas.openxmlformats.org/officeDocument/2006/relationships/image" Target="media/image298.png"/><Relationship Id="rId334" Type="http://schemas.openxmlformats.org/officeDocument/2006/relationships/image" Target="media/image299.png"/><Relationship Id="rId335" Type="http://schemas.openxmlformats.org/officeDocument/2006/relationships/image" Target="media/image300.png"/><Relationship Id="rId336" Type="http://schemas.openxmlformats.org/officeDocument/2006/relationships/image" Target="media/image301.png"/><Relationship Id="rId337" Type="http://schemas.openxmlformats.org/officeDocument/2006/relationships/image" Target="media/image302.png"/><Relationship Id="rId338" Type="http://schemas.openxmlformats.org/officeDocument/2006/relationships/image" Target="media/image303.png"/><Relationship Id="rId339" Type="http://schemas.openxmlformats.org/officeDocument/2006/relationships/image" Target="media/image304.png"/><Relationship Id="rId340" Type="http://schemas.openxmlformats.org/officeDocument/2006/relationships/image" Target="media/image305.png"/><Relationship Id="rId341" Type="http://schemas.openxmlformats.org/officeDocument/2006/relationships/image" Target="media/image306.png"/><Relationship Id="rId342" Type="http://schemas.openxmlformats.org/officeDocument/2006/relationships/image" Target="media/image307.png"/><Relationship Id="rId298" Type="http://schemas.openxmlformats.org/officeDocument/2006/relationships/hyperlink" Target="https://www.sec.gov/Archives/edgar/data/1370053/000137005323000049/anaptysbioinc-derestated.htm" TargetMode="External"/><Relationship Id="rId299" Type="http://schemas.openxmlformats.org/officeDocument/2006/relationships/hyperlink" Target="https://www.sec.gov/Archives/edgar/data/1370053/000137005323000013/anaptysbio-secondamended.htm" TargetMode="External"/><Relationship Id="rId300" Type="http://schemas.openxmlformats.org/officeDocument/2006/relationships/hyperlink" Target="https://www.sec.gov/Archives/edgar/data/1370053/000119312515412604/d942137dex41.htm" TargetMode="External"/><Relationship Id="rId301" Type="http://schemas.openxmlformats.org/officeDocument/2006/relationships/hyperlink" Target="https://www.sec.gov/Archives/edgar/data/1370053/000137005320000009/anaptys-10xkfy2019xexh.htm" TargetMode="External"/><Relationship Id="rId302" Type="http://schemas.openxmlformats.org/officeDocument/2006/relationships/hyperlink" Target="https://www.sec.gov/Archives/edgar/data/1370053/000119312515315918/d942137dex101.htm" TargetMode="External"/><Relationship Id="rId303" Type="http://schemas.openxmlformats.org/officeDocument/2006/relationships/hyperlink" Target="https://www.sec.gov/Archives/edgar/data/1370053/000119312517010405/d320192dex102.htm" TargetMode="External"/><Relationship Id="rId304" Type="http://schemas.openxmlformats.org/officeDocument/2006/relationships/hyperlink" Target="https://www.sec.gov/Archives/edgar/data/1370053/000137005325000055/anab-a_r2017eipasadopted.htm" TargetMode="External"/><Relationship Id="rId305" Type="http://schemas.openxmlformats.org/officeDocument/2006/relationships/hyperlink" Target="https://www.sec.gov/Archives/edgar/data/1370053/000119312517010405/d320192dex104.htm" TargetMode="External"/><Relationship Id="rId306" Type="http://schemas.openxmlformats.org/officeDocument/2006/relationships/hyperlink" Target="https://www.sec.gov/Archives/edgar/data/1370053/000119312516585556/d942137dex1010.htm" TargetMode="External"/><Relationship Id="rId307" Type="http://schemas.openxmlformats.org/officeDocument/2006/relationships/hyperlink" Target="https://www.sec.gov/Archives/edgar/data/1370053/000137005320000026/wateridgelease.htm" TargetMode="External"/><Relationship Id="rId308" Type="http://schemas.openxmlformats.org/officeDocument/2006/relationships/hyperlink" Target="https://www.sec.gov/Archives/edgar/data/1370053/000137005323000040/loumeauthirdamemployment.htm" TargetMode="External"/><Relationship Id="rId309" Type="http://schemas.openxmlformats.org/officeDocument/2006/relationships/hyperlink" Target="https://www.sec.gov/Archives/edgar/data/1370053/000137005322000024/lizzulamendedandrestated.htm" TargetMode="External"/><Relationship Id="rId310" Type="http://schemas.openxmlformats.org/officeDocument/2006/relationships/hyperlink" Target="https://www.sec.gov/Archives/edgar/data/1370053/000137005321000019/amendmentno3tocollaboratio.htm" TargetMode="External"/><Relationship Id="rId311" Type="http://schemas.openxmlformats.org/officeDocument/2006/relationships/hyperlink" Target="https://www.sec.gov/Archives/edgar/data/1370053/000137005321000019/anab-confidentialsettlemen.htm" TargetMode="External"/><Relationship Id="rId312" Type="http://schemas.openxmlformats.org/officeDocument/2006/relationships/hyperlink" Target="https://www.sec.gov/Archives/edgar/data/1370053/000137005321000056/anaptysbio-firstamendmentx.htm" TargetMode="External"/><Relationship Id="rId313" Type="http://schemas.openxmlformats.org/officeDocument/2006/relationships/hyperlink" Target="https://www.sec.gov/Archives/edgar/data/1370053/000137005321000079/royaltypurchaseagreement.htm" TargetMode="External"/><Relationship Id="rId314" Type="http://schemas.openxmlformats.org/officeDocument/2006/relationships/hyperlink" Target="https://www.sec.gov/Archives/edgar/data/1370053/000137005322000009/amendmentno4totesaroanapty.htm" TargetMode="External"/><Relationship Id="rId315" Type="http://schemas.openxmlformats.org/officeDocument/2006/relationships/hyperlink" Target="https://www.sec.gov/Archives/edgar/data/1370053/000137005323000065/anaptsysbio-amendedandre.htm" TargetMode="External"/><Relationship Id="rId318" Type="http://schemas.openxmlformats.org/officeDocument/2006/relationships/hyperlink" Target="https://www.sec.gov/Archives/edgar/data/1370053/000137005322000066/zejularoyaltypurchaseagr.htm" TargetMode="External"/><Relationship Id="rId319" Type="http://schemas.openxmlformats.org/officeDocument/2006/relationships/hyperlink" Target="https://www.sec.gov/Archives/edgar/data/1370053/000137005324000011/centessalicenseagreement.htm" TargetMode="External"/><Relationship Id="rId320" Type="http://schemas.openxmlformats.org/officeDocument/2006/relationships/hyperlink" Target="https://www.sec.gov/Archives/edgar/data/1370053/000137005324000011/tesaroamd5tolicenseagree.htm" TargetMode="External"/><Relationship Id="rId321" Type="http://schemas.openxmlformats.org/officeDocument/2006/relationships/hyperlink" Target="https://www.sec.gov/Archives/edgar/data/1370053/000137005324000027/anaptysbio-centessaxxame.htm" TargetMode="External"/><Relationship Id="rId322" Type="http://schemas.openxmlformats.org/officeDocument/2006/relationships/hyperlink" Target="https://www.sec.gov/Archives/edgar/data/1370053/000137005324000041/redactedsagard-anaptysbiof.htm" TargetMode="External"/><Relationship Id="rId323" Type="http://schemas.openxmlformats.org/officeDocument/2006/relationships/hyperlink" Target="https://www.sec.gov/Archives/edgar/data/1370053/000137005324000056/anab-atmsalesagreementtdco.htm" TargetMode="External"/><Relationship Id="rId324" Type="http://schemas.openxmlformats.org/officeDocument/2006/relationships/hyperlink" Target="https://www.sec.gov/Archives/edgar/data/1370053/000137005325000024/mulroyamendedandrestated.htm" TargetMode="External"/><Relationship Id="rId325" Type="http://schemas.openxmlformats.org/officeDocument/2006/relationships/hyperlink" Target="https://www.sec.gov/Archives/edgar/data/1370053/000137005325000046/vandalicenseagreement-re.htm" TargetMode="External"/><Relationship Id="rId326" Type="http://schemas.openxmlformats.org/officeDocument/2006/relationships/hyperlink" Target="https://www.sec.gov/Archives/edgar/data/1370053/000137005325000024/anaptysbioinsidertradingpo.htm" TargetMode="External"/><Relationship Id="rId327" Type="http://schemas.openxmlformats.org/officeDocument/2006/relationships/hyperlink" Target="https://www.sec.gov/Archives/edgar/data/1370053/000137005324000011/clawbackpolicyapprove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2026-03-03T15:50:44Z</dcterms:created>
  <dcterms:modified xsi:type="dcterms:W3CDTF">2026-03-03T15:50:44Z</dcterms:modified>
</cp:coreProperties>
</file>