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5.jpeg" ContentType="image/jpeg"/>
  <Override PartName="/word/media/image1.jpeg" ContentType="image/jpeg"/>
  <Override PartName="/word/media/image2.jpeg" ContentType="image/jpeg"/>
  <Override PartName="/word/media/image3.jpeg" ContentType="image/jpeg"/>
  <Override PartName="/word/media/image4.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pStyle w:val="TextBody"/>
        <w:spacing w:before="0" w:after="0"/>
        <w:jc w:val="center"/>
        <w:rPr/>
      </w:pPr>
      <w:r>
        <w:rPr/>
      </w:r>
    </w:p>
    <w:p>
      <w:pPr>
        <w:pStyle w:val="TextBody"/>
        <w:spacing w:before="0" w:after="0"/>
        <w:jc w:val="center"/>
        <w:rPr/>
      </w:pPr>
      <w:r>
        <w:rPr/>
      </w:r>
    </w:p>
    <w:tbl>
      <w:tblPr>
        <w:tblW w:w="1695"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bottom w:val="single" w:sz="12"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12"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12"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12"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72" w:type="dxa"/>
            <w:gridSpan w:val="3"/>
            <w:tcBorders>
              <w:bottom w:val="single" w:sz="12"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jc w:val="center"/>
        <w:rPr/>
      </w:pPr>
      <w:r>
        <w:rPr/>
      </w:r>
    </w:p>
    <w:p>
      <w:pPr>
        <w:pStyle w:val="TextBody"/>
        <w:spacing w:lineRule="auto" w:line="240" w:before="0" w:after="0"/>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spacing w:lineRule="auto" w:line="240"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tbl>
      <w:tblPr>
        <w:tblW w:w="1695"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bottom w:val="single" w:sz="12"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12"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12"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12"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72" w:type="dxa"/>
            <w:gridSpan w:val="3"/>
            <w:tcBorders>
              <w:bottom w:val="single" w:sz="12"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120"/>
        <w:jc w:val="center"/>
        <w:rPr/>
      </w:pPr>
      <w:r>
        <w:rPr/>
      </w:r>
    </w:p>
    <w:p>
      <w:pPr>
        <w:pStyle w:val="TextBody"/>
        <w:spacing w:lineRule="auto" w:line="240" w:before="0" w:after="240"/>
        <w:jc w:val="center"/>
        <w:rPr>
          <w:rFonts w:ascii="Times New Roman;sans-serif" w:hAnsi="Times New Roman;sans-serif"/>
          <w:b/>
          <w:color w:val="000000"/>
          <w:sz w:val="32"/>
        </w:rPr>
      </w:pPr>
      <w:r>
        <w:rPr>
          <w:rFonts w:ascii="Times New Roman;sans-serif" w:hAnsi="Times New Roman;sans-serif"/>
          <w:b/>
          <w:color w:val="000000"/>
          <w:sz w:val="32"/>
        </w:rPr>
        <w:t>SCHEDULE 14A</w: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 xml:space="preserve">Proxy Statement Pursuant to Section 14(a) of the </w:t>
      </w:r>
    </w:p>
    <w:p>
      <w:pPr>
        <w:pStyle w:val="TextBody"/>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Securities Exchange Act of 1934 (Amendment No.)</w:t>
      </w:r>
    </w:p>
    <w:tbl>
      <w:tblPr>
        <w:tblW w:w="1695"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bottom w:val="single" w:sz="12"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12"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12"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12"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72" w:type="dxa"/>
            <w:gridSpan w:val="3"/>
            <w:tcBorders>
              <w:bottom w:val="single" w:sz="12"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bl>
      <w:tblPr>
        <w:tblW w:w="6131" w:type="dxa"/>
        <w:jc w:val="left"/>
        <w:tblInd w:w="0" w:type="dxa"/>
        <w:tblCellMar>
          <w:top w:w="28" w:type="dxa"/>
          <w:left w:w="28" w:type="dxa"/>
          <w:bottom w:w="28" w:type="dxa"/>
          <w:right w:w="28" w:type="dxa"/>
        </w:tblCellMar>
      </w:tblPr>
      <w:tblGrid>
        <w:gridCol w:w="717"/>
        <w:gridCol w:w="630"/>
        <w:gridCol w:w="632"/>
        <w:gridCol w:w="115"/>
        <w:gridCol w:w="115"/>
        <w:gridCol w:w="115"/>
        <w:gridCol w:w="1144"/>
        <w:gridCol w:w="1144"/>
        <w:gridCol w:w="1147"/>
        <w:gridCol w:w="109"/>
        <w:gridCol w:w="109"/>
        <w:gridCol w:w="154"/>
      </w:tblGrid>
      <w:tr>
        <w:trPr/>
        <w:tc>
          <w:tcPr>
            <w:tcW w:w="717" w:type="dxa"/>
            <w:tcBorders/>
            <w:shd w:fill="auto" w:val="clear"/>
            <w:vAlign w:val="center"/>
          </w:tcPr>
          <w:p>
            <w:pPr>
              <w:pStyle w:val="TableContents"/>
              <w:spacing w:before="0" w:after="283"/>
              <w:rPr>
                <w:sz w:val="4"/>
                <w:szCs w:val="4"/>
              </w:rPr>
            </w:pPr>
            <w:r>
              <w:rPr>
                <w:sz w:val="4"/>
                <w:szCs w:val="4"/>
              </w:rPr>
            </w:r>
          </w:p>
        </w:tc>
        <w:tc>
          <w:tcPr>
            <w:tcW w:w="630" w:type="dxa"/>
            <w:tcBorders/>
            <w:shd w:fill="auto" w:val="clear"/>
            <w:vAlign w:val="center"/>
          </w:tcPr>
          <w:p>
            <w:pPr>
              <w:pStyle w:val="TableContents"/>
              <w:spacing w:before="0" w:after="283"/>
              <w:rPr>
                <w:sz w:val="4"/>
                <w:szCs w:val="4"/>
              </w:rPr>
            </w:pPr>
            <w:r>
              <w:rPr>
                <w:sz w:val="4"/>
                <w:szCs w:val="4"/>
              </w:rPr>
            </w:r>
          </w:p>
        </w:tc>
        <w:tc>
          <w:tcPr>
            <w:tcW w:w="632"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44" w:type="dxa"/>
            <w:tcBorders/>
            <w:shd w:fill="auto" w:val="clear"/>
            <w:vAlign w:val="center"/>
          </w:tcPr>
          <w:p>
            <w:pPr>
              <w:pStyle w:val="TableContents"/>
              <w:spacing w:before="0" w:after="283"/>
              <w:rPr>
                <w:sz w:val="4"/>
                <w:szCs w:val="4"/>
              </w:rPr>
            </w:pPr>
            <w:r>
              <w:rPr>
                <w:sz w:val="4"/>
                <w:szCs w:val="4"/>
              </w:rPr>
            </w:r>
          </w:p>
        </w:tc>
        <w:tc>
          <w:tcPr>
            <w:tcW w:w="1144" w:type="dxa"/>
            <w:tcBorders/>
            <w:shd w:fill="auto" w:val="clear"/>
            <w:vAlign w:val="center"/>
          </w:tcPr>
          <w:p>
            <w:pPr>
              <w:pStyle w:val="TableContents"/>
              <w:spacing w:before="0" w:after="283"/>
              <w:rPr>
                <w:sz w:val="4"/>
                <w:szCs w:val="4"/>
              </w:rPr>
            </w:pPr>
            <w:r>
              <w:rPr>
                <w:sz w:val="4"/>
                <w:szCs w:val="4"/>
              </w:rPr>
            </w:r>
          </w:p>
        </w:tc>
        <w:tc>
          <w:tcPr>
            <w:tcW w:w="114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97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by the Registrant</w:t>
            </w:r>
          </w:p>
        </w:tc>
        <w:tc>
          <w:tcPr>
            <w:tcW w:w="345" w:type="dxa"/>
            <w:gridSpan w:val="3"/>
            <w:tcBorders/>
            <w:shd w:fill="auto" w:val="clear"/>
            <w:tcMar>
              <w:top w:w="0" w:type="dxa"/>
              <w:left w:w="0" w:type="dxa"/>
              <w:bottom w:w="0" w:type="dxa"/>
              <w:right w:w="0" w:type="dxa"/>
            </w:tcMar>
            <w:vAlign w:val="center"/>
          </w:tcPr>
          <w:p>
            <w:pPr>
              <w:pStyle w:val="TableContents"/>
              <w:spacing w:lineRule="auto" w:line="240" w:before="240" w:after="283"/>
              <w:jc w:val="left"/>
              <w:rPr/>
            </w:pPr>
            <w:r>
              <w:rPr>
                <w:rFonts w:ascii="Wingdings;sans-serif" w:hAnsi="Wingdings;sans-serif"/>
                <w:b w:val="false"/>
                <w:color w:val="000000"/>
                <w:sz w:val="20"/>
              </w:rPr>
              <w:t>x</w:t>
            </w:r>
            <w:r>
              <w:rPr>
                <w:color w:val="000000"/>
              </w:rPr>
              <w:t xml:space="preserve">  </w:t>
            </w:r>
          </w:p>
        </w:tc>
        <w:tc>
          <w:tcPr>
            <w:tcW w:w="343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Filed by a Party other than the Registrant</w:t>
            </w:r>
          </w:p>
        </w:tc>
        <w:tc>
          <w:tcPr>
            <w:tcW w:w="37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r>
    </w:tbl>
    <w:p>
      <w:pPr>
        <w:pStyle w:val="TextBody"/>
        <w:spacing w:lineRule="auto" w:line="240" w:before="0" w:after="60"/>
        <w:rPr>
          <w:rFonts w:ascii="Times New Roman;sans-serif" w:hAnsi="Times New Roman;sans-serif"/>
          <w:b w:val="false"/>
          <w:color w:val="000000"/>
          <w:sz w:val="20"/>
        </w:rPr>
      </w:pPr>
      <w:r>
        <w:rPr>
          <w:rFonts w:ascii="Times New Roman;sans-serif" w:hAnsi="Times New Roman;sans-serif"/>
          <w:b w:val="false"/>
          <w:color w:val="000000"/>
          <w:sz w:val="20"/>
        </w:rPr>
        <w:t xml:space="preserve">Check the appropriate box: </w:t>
      </w:r>
    </w:p>
    <w:tbl>
      <w:tblPr>
        <w:tblW w:w="7493" w:type="dxa"/>
        <w:jc w:val="left"/>
        <w:tblInd w:w="0" w:type="dxa"/>
        <w:tblCellMar>
          <w:top w:w="28" w:type="dxa"/>
          <w:left w:w="28" w:type="dxa"/>
          <w:bottom w:w="28" w:type="dxa"/>
          <w:right w:w="28" w:type="dxa"/>
        </w:tblCellMar>
      </w:tblPr>
      <w:tblGrid>
        <w:gridCol w:w="124"/>
        <w:gridCol w:w="109"/>
        <w:gridCol w:w="109"/>
        <w:gridCol w:w="109"/>
        <w:gridCol w:w="109"/>
        <w:gridCol w:w="109"/>
        <w:gridCol w:w="1999"/>
        <w:gridCol w:w="1999"/>
        <w:gridCol w:w="282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99" w:type="dxa"/>
            <w:tcBorders/>
            <w:shd w:fill="auto" w:val="clear"/>
            <w:vAlign w:val="center"/>
          </w:tcPr>
          <w:p>
            <w:pPr>
              <w:pStyle w:val="TableContents"/>
              <w:spacing w:before="0" w:after="283"/>
              <w:rPr>
                <w:sz w:val="4"/>
                <w:szCs w:val="4"/>
              </w:rPr>
            </w:pPr>
            <w:r>
              <w:rPr>
                <w:sz w:val="4"/>
                <w:szCs w:val="4"/>
              </w:rPr>
            </w:r>
          </w:p>
        </w:tc>
        <w:tc>
          <w:tcPr>
            <w:tcW w:w="1999" w:type="dxa"/>
            <w:tcBorders/>
            <w:shd w:fill="auto" w:val="clear"/>
            <w:vAlign w:val="center"/>
          </w:tcPr>
          <w:p>
            <w:pPr>
              <w:pStyle w:val="TableContents"/>
              <w:spacing w:before="0" w:after="283"/>
              <w:rPr>
                <w:sz w:val="4"/>
                <w:szCs w:val="4"/>
              </w:rPr>
            </w:pPr>
            <w:r>
              <w:rPr>
                <w:sz w:val="4"/>
                <w:szCs w:val="4"/>
              </w:rPr>
            </w:r>
          </w:p>
        </w:tc>
        <w:tc>
          <w:tcPr>
            <w:tcW w:w="282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Preliminary Proxy Statement</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Confidential, for Use of the Commission Only (as permitted by Rule 14a-6(e)(2))</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Definitive Proxy Statement</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Definitive Additional Materials</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2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Soliciting Material Pursuant to §240.14a-12</w:t>
            </w:r>
          </w:p>
        </w:tc>
      </w:tr>
    </w:tbl>
    <w:p>
      <w:pPr>
        <w:pStyle w:val="TextBody"/>
        <w:spacing w:lineRule="auto" w:line="240" w:before="0" w:after="0"/>
        <w:jc w:val="center"/>
        <w:rPr>
          <w:rFonts w:ascii="Times New Roman;sans-serif" w:hAnsi="Times New Roman;sans-serif"/>
          <w:b/>
          <w:color w:val="000000"/>
          <w:sz w:val="40"/>
        </w:rPr>
      </w:pPr>
      <w:r>
        <w:rPr>
          <w:rFonts w:ascii="Times New Roman;sans-serif" w:hAnsi="Times New Roman;sans-serif"/>
          <w:b/>
          <w:color w:val="000000"/>
          <w:sz w:val="40"/>
        </w:rPr>
        <w:t>ANAPTYSBIO, INC.</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(Name of Registrant as Specified In Its Charter)</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N/A</w:t>
      </w:r>
    </w:p>
    <w:p>
      <w:pPr>
        <w:pStyle w:val="TextBody"/>
        <w:spacing w:lineRule="auto" w:line="240" w:before="0" w:after="240"/>
        <w:jc w:val="center"/>
        <w:rPr>
          <w:rFonts w:ascii="Times New Roman;sans-serif" w:hAnsi="Times New Roman;sans-serif"/>
          <w:b/>
          <w:color w:val="000000"/>
          <w:sz w:val="20"/>
        </w:rPr>
      </w:pPr>
      <w:r>
        <w:rPr>
          <w:rFonts w:ascii="Times New Roman;sans-serif" w:hAnsi="Times New Roman;sans-serif"/>
          <w:b/>
          <w:color w:val="000000"/>
          <w:sz w:val="20"/>
        </w:rPr>
        <w:t>(Name of Person(s) Filing Proxy Statement, if other than the Registrant)</w:t>
      </w:r>
    </w:p>
    <w:p>
      <w:pPr>
        <w:pStyle w:val="TextBody"/>
        <w:spacing w:lineRule="auto" w:line="240" w:before="0" w:after="200"/>
        <w:rPr>
          <w:rFonts w:ascii="Times New Roman;sans-serif" w:hAnsi="Times New Roman;sans-serif"/>
          <w:b w:val="false"/>
          <w:color w:val="000000"/>
          <w:sz w:val="20"/>
        </w:rPr>
      </w:pPr>
      <w:r>
        <w:rPr>
          <w:rFonts w:ascii="Times New Roman;sans-serif" w:hAnsi="Times New Roman;sans-serif"/>
          <w:b w:val="false"/>
          <w:color w:val="000000"/>
          <w:sz w:val="20"/>
        </w:rPr>
        <w:t xml:space="preserve">Payment of Filing Fee (Check all boxes that apply): </w:t>
      </w:r>
    </w:p>
    <w:tbl>
      <w:tblPr>
        <w:tblW w:w="9084" w:type="dxa"/>
        <w:jc w:val="left"/>
        <w:tblInd w:w="0" w:type="dxa"/>
        <w:tblCellMar>
          <w:top w:w="28" w:type="dxa"/>
          <w:left w:w="28" w:type="dxa"/>
          <w:bottom w:w="28" w:type="dxa"/>
          <w:right w:w="28" w:type="dxa"/>
        </w:tblCellMar>
      </w:tblPr>
      <w:tblGrid>
        <w:gridCol w:w="124"/>
        <w:gridCol w:w="109"/>
        <w:gridCol w:w="109"/>
        <w:gridCol w:w="109"/>
        <w:gridCol w:w="109"/>
        <w:gridCol w:w="109"/>
        <w:gridCol w:w="2462"/>
        <w:gridCol w:w="2462"/>
        <w:gridCol w:w="3491"/>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62" w:type="dxa"/>
            <w:tcBorders/>
            <w:shd w:fill="auto" w:val="clear"/>
            <w:vAlign w:val="center"/>
          </w:tcPr>
          <w:p>
            <w:pPr>
              <w:pStyle w:val="TableContents"/>
              <w:spacing w:before="0" w:after="283"/>
              <w:rPr>
                <w:sz w:val="4"/>
                <w:szCs w:val="4"/>
              </w:rPr>
            </w:pPr>
            <w:r>
              <w:rPr>
                <w:sz w:val="4"/>
                <w:szCs w:val="4"/>
              </w:rPr>
            </w:r>
          </w:p>
        </w:tc>
        <w:tc>
          <w:tcPr>
            <w:tcW w:w="2462" w:type="dxa"/>
            <w:tcBorders/>
            <w:shd w:fill="auto" w:val="clear"/>
            <w:vAlign w:val="center"/>
          </w:tcPr>
          <w:p>
            <w:pPr>
              <w:pStyle w:val="TableContents"/>
              <w:spacing w:before="0" w:after="283"/>
              <w:rPr>
                <w:sz w:val="4"/>
                <w:szCs w:val="4"/>
              </w:rPr>
            </w:pPr>
            <w:r>
              <w:rPr>
                <w:sz w:val="4"/>
                <w:szCs w:val="4"/>
              </w:rPr>
            </w:r>
          </w:p>
        </w:tc>
        <w:tc>
          <w:tcPr>
            <w:tcW w:w="3491"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color w:val="000000"/>
              </w:rPr>
            </w:pPr>
            <w:r>
              <w:rPr>
                <w:color w:val="000000"/>
              </w:rPr>
              <w:t>☒</w:t>
            </w:r>
          </w:p>
        </w:tc>
        <w:tc>
          <w:tcPr>
            <w:tcW w:w="84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 fee required.</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84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 paid previously with preliminary materials.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w:t>
            </w:r>
          </w:p>
        </w:tc>
        <w:tc>
          <w:tcPr>
            <w:tcW w:w="84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Fee computed on table in exhibit required by Item 25(b) per Exchange Act Rules 14a-6(i)(1) and 0-11.</w:t>
            </w:r>
          </w:p>
        </w:tc>
      </w:tr>
    </w:tbl>
    <w:tbl>
      <w:tblPr>
        <w:tblW w:w="1695"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bottom w:val="single" w:sz="12"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12"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12"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12"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72" w:type="dxa"/>
            <w:gridSpan w:val="3"/>
            <w:tcBorders>
              <w:bottom w:val="single" w:sz="12"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120"/>
        <w:jc w:val="center"/>
        <w:rPr/>
      </w:pPr>
      <w:r>
        <w:rPr/>
      </w:r>
      <w:r>
        <w:br w:type="page"/>
      </w:r>
    </w:p>
    <w:p>
      <w:pPr>
        <w:pStyle w:val="TextBody"/>
        <w:spacing w:before="0" w:after="0"/>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rPr>
                          <w:color w:val="000000"/>
                        </w:rPr>
                      </w:pPr>
                      <w:r>
                        <w:rPr>
                          <w:color w:val="000000"/>
                        </w:rPr>
                        <w:t>        </w:t>
                      </w:r>
                    </w:p>
                  </w:txbxContent>
                </v:textbox>
              </v:rect>
            </w:pict>
          </mc:Fallback>
        </mc:AlternateConten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drawing>
          <wp:inline distT="0" distB="63500" distL="0" distR="0">
            <wp:extent cx="1495425" cy="466725"/>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1495425" cy="466725"/>
                    </a:xfrm>
                    <a:prstGeom prst="rect">
                      <a:avLst/>
                    </a:prstGeom>
                  </pic:spPr>
                </pic:pic>
              </a:graphicData>
            </a:graphic>
          </wp:inline>
        </w:drawing>
      </w:r>
    </w:p>
    <w:p>
      <w:pPr>
        <w:pStyle w:val="TextBody"/>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April , 2023</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 xml:space="preserve">Dear Stockholder: </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 xml:space="preserve">You are cordially invited to attend the 2023 Annual Meeting of Stockholders of AnaptysBio, Inc. to be held at AnaptysBio’s corporate office at 10770 Wateridge Circle, Suite 210, San Diego, CA 92121, on Thursday, June 15, 2023 at 9:00 a.m. (Pacific Daylight Time). </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 xml:space="preserve">The Securities and Exchange Commission rules allow companies to furnish proxy materials to stockholders over the Internet. We have elected to do so, thus reducing the environmental impact and lowering the costs of printing and distributing proxy materials without impacting your timely access to this important information. On or about April 27, 2023, we expect to mail to stockholders a Notice of Internet Availability of Proxy Materials containing instructions on how to access our proxy statement for our 2023 Annual Meeting of Stockholders and our 2022 annual report on Form 10-K to stockholders. The Notice of Internet Availability or Proxy Materials also provides instructions on how to vote through the Internet or by telephone and includes instructions on how to receive paper copies of the proxy materials by mail, if desired. </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 xml:space="preserve">The matters to be acted upon at the meeting are described in the accompanying notice of annual meeting and proxy statement. </w:t>
      </w:r>
    </w:p>
    <w:p>
      <w:pPr>
        <w:pStyle w:val="TextBody"/>
        <w:spacing w:lineRule="auto" w:line="288" w:before="0" w:after="200"/>
        <w:rPr>
          <w:rFonts w:ascii="Times New Roman;sans-serif" w:hAnsi="Times New Roman;sans-serif"/>
          <w:b/>
          <w:color w:val="000000"/>
          <w:sz w:val="20"/>
        </w:rPr>
      </w:pPr>
      <w:r>
        <w:rPr>
          <w:rFonts w:ascii="Times New Roman;sans-serif" w:hAnsi="Times New Roman;sans-serif"/>
          <w:b/>
          <w:color w:val="000000"/>
          <w:sz w:val="20"/>
        </w:rPr>
        <w:t xml:space="preserve">Your vote is important. </w:t>
      </w:r>
    </w:p>
    <w:p>
      <w:pPr>
        <w:pStyle w:val="TextBody"/>
        <w:spacing w:lineRule="auto" w:line="288" w:before="0" w:after="200"/>
        <w:rPr>
          <w:rFonts w:ascii="Times New Roman;sans-serif" w:hAnsi="Times New Roman;sans-serif"/>
          <w:b/>
          <w:color w:val="000000"/>
          <w:sz w:val="20"/>
        </w:rPr>
      </w:pPr>
      <w:r>
        <w:rPr>
          <w:rFonts w:ascii="Times New Roman;sans-serif" w:hAnsi="Times New Roman;sans-serif"/>
          <w:b/>
          <w:color w:val="000000"/>
          <w:sz w:val="20"/>
        </w:rPr>
        <w:t>Whether or not you plan to attend the meeting in person, please vote on the Internet or by telephone, or request, sign and return a proxy card to ensure that your shares are represented at the meeting.</w:t>
      </w:r>
    </w:p>
    <w:tbl>
      <w:tblPr>
        <w:tblW w:w="4361" w:type="dxa"/>
        <w:jc w:val="left"/>
        <w:tblInd w:w="0" w:type="dxa"/>
        <w:tblCellMar>
          <w:top w:w="28" w:type="dxa"/>
          <w:left w:w="28" w:type="dxa"/>
          <w:bottom w:w="28" w:type="dxa"/>
          <w:right w:w="28" w:type="dxa"/>
        </w:tblCellMar>
      </w:tblPr>
      <w:tblGrid>
        <w:gridCol w:w="124"/>
        <w:gridCol w:w="109"/>
        <w:gridCol w:w="109"/>
        <w:gridCol w:w="1177"/>
        <w:gridCol w:w="1177"/>
        <w:gridCol w:w="1665"/>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77" w:type="dxa"/>
            <w:tcBorders/>
            <w:shd w:fill="auto" w:val="clear"/>
            <w:vAlign w:val="center"/>
          </w:tcPr>
          <w:p>
            <w:pPr>
              <w:pStyle w:val="TableContents"/>
              <w:spacing w:before="0" w:after="283"/>
              <w:rPr>
                <w:sz w:val="4"/>
                <w:szCs w:val="4"/>
              </w:rPr>
            </w:pPr>
            <w:r>
              <w:rPr>
                <w:sz w:val="4"/>
                <w:szCs w:val="4"/>
              </w:rPr>
            </w:r>
          </w:p>
        </w:tc>
        <w:tc>
          <w:tcPr>
            <w:tcW w:w="1177" w:type="dxa"/>
            <w:tcBorders/>
            <w:shd w:fill="auto" w:val="clear"/>
            <w:vAlign w:val="center"/>
          </w:tcPr>
          <w:p>
            <w:pPr>
              <w:pStyle w:val="TableContents"/>
              <w:spacing w:before="0" w:after="283"/>
              <w:rPr>
                <w:sz w:val="4"/>
                <w:szCs w:val="4"/>
              </w:rPr>
            </w:pPr>
            <w:r>
              <w:rPr>
                <w:sz w:val="4"/>
                <w:szCs w:val="4"/>
              </w:rPr>
            </w:r>
          </w:p>
        </w:tc>
        <w:tc>
          <w:tcPr>
            <w:tcW w:w="1665"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Sincerely,</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Daniel Faga</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color w:val="000000"/>
              </w:rPr>
            </w:pPr>
            <w:r>
              <w:rPr>
                <w:color w:val="000000"/>
              </w:rPr>
              <w:t>   </w:t>
            </w:r>
            <w:r>
              <w:rPr>
                <w:rFonts w:ascii="Times New Roman;sans-serif" w:hAnsi="Times New Roman;sans-serif"/>
                <w:b w:val="false"/>
                <w:color w:val="000000"/>
                <w:sz w:val="20"/>
              </w:rPr>
              <w:t>Interim President and Chief Executive Officer</w:t>
            </w:r>
          </w:p>
        </w:tc>
      </w:tr>
    </w:tbl>
    <w:p>
      <w:pPr>
        <w:pStyle w:val="TextBody"/>
        <w:spacing w:before="0" w:after="0"/>
        <w:rPr/>
      </w:pPr>
      <w:r>
        <w:br w:type="page"/>
      </w: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240"/>
        <w:ind w:left="0" w:right="0" w:firstLine="7"/>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ANAPTYSBIO, INC.</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10770 Wateridge Circle, Suite 210</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San Diego, California 92121</w:t>
      </w:r>
    </w:p>
    <w:tbl>
      <w:tblPr>
        <w:tblW w:w="1695"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bottom w:val="single" w:sz="12"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12"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12"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12"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72" w:type="dxa"/>
            <w:gridSpan w:val="3"/>
            <w:tcBorders>
              <w:bottom w:val="single" w:sz="12"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NOTICE OF ANNUAL MEETING OF STOCKHOLDERS</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To Be Held Thursday, June 15, 2023</w:t>
      </w:r>
    </w:p>
    <w:tbl>
      <w:tblPr>
        <w:tblW w:w="1695"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bottom w:val="single" w:sz="12"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12"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12"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12"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72" w:type="dxa"/>
            <w:gridSpan w:val="3"/>
            <w:tcBorders>
              <w:bottom w:val="single" w:sz="12"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before="0" w:after="120"/>
        <w:jc w:val="center"/>
        <w:rPr/>
      </w:pPr>
      <w:r>
        <w:rPr/>
      </w:r>
    </w:p>
    <w:p>
      <w:pPr>
        <w:pStyle w:val="TextBody"/>
        <w:spacing w:lineRule="auto" w:line="288" w:before="0" w:after="200"/>
        <w:rPr>
          <w:rFonts w:ascii="Times New Roman;sans-serif" w:hAnsi="Times New Roman;sans-serif"/>
          <w:b w:val="false"/>
          <w:color w:val="000000"/>
          <w:sz w:val="19"/>
        </w:rPr>
      </w:pPr>
      <w:r>
        <w:rPr>
          <w:rFonts w:ascii="Times New Roman;sans-serif" w:hAnsi="Times New Roman;sans-serif"/>
          <w:b w:val="false"/>
          <w:color w:val="000000"/>
          <w:sz w:val="19"/>
        </w:rPr>
        <w:t xml:space="preserve">To Our Stockholders: </w:t>
      </w:r>
    </w:p>
    <w:p>
      <w:pPr>
        <w:pStyle w:val="TextBody"/>
        <w:spacing w:lineRule="auto" w:line="288" w:before="0" w:after="200"/>
        <w:rPr>
          <w:rFonts w:ascii="Times New Roman;sans-serif" w:hAnsi="Times New Roman;sans-serif"/>
          <w:b w:val="false"/>
          <w:color w:val="000000"/>
          <w:sz w:val="19"/>
        </w:rPr>
      </w:pPr>
      <w:r>
        <w:rPr>
          <w:rFonts w:ascii="Times New Roman;sans-serif" w:hAnsi="Times New Roman;sans-serif"/>
          <w:b w:val="false"/>
          <w:color w:val="000000"/>
          <w:sz w:val="19"/>
        </w:rPr>
        <w:t xml:space="preserve">NOTICE IS HEREBY GIVEN that the 2023 Annual Meeting of Stockholders of AnaptysBio, Inc. will be held at AnaptysBio’s corporate office at 10770 Wateridge Circle, Suite 210, San Diego, California 92121, on Thursday, June 15, 2023 at 9:00 a.m. (Pacific Daylight Time). </w:t>
      </w:r>
    </w:p>
    <w:p>
      <w:pPr>
        <w:pStyle w:val="TextBody"/>
        <w:spacing w:lineRule="auto" w:line="288" w:before="0" w:after="200"/>
        <w:rPr>
          <w:rFonts w:ascii="Times New Roman;sans-serif" w:hAnsi="Times New Roman;sans-serif"/>
          <w:b w:val="false"/>
          <w:color w:val="000000"/>
          <w:sz w:val="19"/>
        </w:rPr>
      </w:pPr>
      <w:r>
        <w:rPr>
          <w:rFonts w:ascii="Times New Roman;sans-serif" w:hAnsi="Times New Roman;sans-serif"/>
          <w:b w:val="false"/>
          <w:color w:val="000000"/>
          <w:sz w:val="19"/>
        </w:rPr>
        <w:t xml:space="preserve">We are holding the meeting for the following purposes, which are more fully described in the accompanying proxy statement: </w:t>
      </w:r>
    </w:p>
    <w:p>
      <w:pPr>
        <w:pStyle w:val="TextBody"/>
        <w:spacing w:lineRule="auto" w:line="288" w:before="0" w:after="120"/>
        <w:ind w:left="0" w:right="0" w:hanging="360"/>
        <w:rPr>
          <w:rFonts w:ascii="Times New Roman;sans-serif" w:hAnsi="Times New Roman;sans-serif"/>
          <w:b w:val="false"/>
          <w:color w:val="000000"/>
          <w:sz w:val="19"/>
        </w:rPr>
      </w:pPr>
      <w:r>
        <w:rPr>
          <w:rFonts w:ascii="Times New Roman;sans-serif" w:hAnsi="Times New Roman;sans-serif"/>
          <w:b w:val="false"/>
          <w:color w:val="000000"/>
          <w:sz w:val="19"/>
        </w:rPr>
        <w:t>1.To elect three Class III directors, each to serve three-year terms through the third annual meeting of stockholders following this meeting and until a successor has been elected and qualified or until earlier resignation or removal.</w:t>
      </w:r>
    </w:p>
    <w:p>
      <w:pPr>
        <w:pStyle w:val="TextBody"/>
        <w:spacing w:lineRule="auto" w:line="288" w:before="0" w:after="120"/>
        <w:ind w:left="0" w:right="0" w:hanging="360"/>
        <w:rPr>
          <w:rFonts w:ascii="Times New Roman;sans-serif" w:hAnsi="Times New Roman;sans-serif"/>
          <w:b w:val="false"/>
          <w:color w:val="000000"/>
          <w:sz w:val="19"/>
        </w:rPr>
      </w:pPr>
      <w:r>
        <w:rPr>
          <w:rFonts w:ascii="Times New Roman;sans-serif" w:hAnsi="Times New Roman;sans-serif"/>
          <w:b w:val="false"/>
          <w:color w:val="000000"/>
          <w:sz w:val="19"/>
        </w:rPr>
        <w:t>2.To ratify the appointment of KPMG LLP as our independent registered public accounting firm for the fiscal year ending December 31, 2023.</w:t>
      </w:r>
    </w:p>
    <w:p>
      <w:pPr>
        <w:pStyle w:val="TextBody"/>
        <w:spacing w:lineRule="auto" w:line="288" w:before="0" w:after="120"/>
        <w:ind w:left="0" w:right="0" w:hanging="360"/>
        <w:rPr>
          <w:rFonts w:ascii="Times New Roman;sans-serif" w:hAnsi="Times New Roman;sans-serif"/>
          <w:b w:val="false"/>
          <w:color w:val="000000"/>
          <w:sz w:val="19"/>
        </w:rPr>
      </w:pPr>
      <w:r>
        <w:rPr>
          <w:rFonts w:ascii="Times New Roman;sans-serif" w:hAnsi="Times New Roman;sans-serif"/>
          <w:b w:val="false"/>
          <w:color w:val="000000"/>
          <w:sz w:val="19"/>
        </w:rPr>
        <w:t>3.To conduct a non-binding advisory vote on the compensation of our named executive officers as disclosed in the accompanying materials.</w:t>
      </w:r>
    </w:p>
    <w:p>
      <w:pPr>
        <w:pStyle w:val="TextBody"/>
        <w:spacing w:lineRule="auto" w:line="288" w:before="0" w:after="20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4.To approve an Amended and Restated Certificate of Incorporation to permit the exculpation of officers.</w:t>
      </w:r>
    </w:p>
    <w:p>
      <w:pPr>
        <w:pStyle w:val="TextBody"/>
        <w:spacing w:lineRule="auto" w:line="288" w:before="0" w:after="200"/>
        <w:rPr>
          <w:rFonts w:ascii="Times New Roman;sans-serif" w:hAnsi="Times New Roman;sans-serif"/>
          <w:b w:val="false"/>
          <w:color w:val="000000"/>
          <w:sz w:val="19"/>
        </w:rPr>
      </w:pPr>
      <w:r>
        <w:rPr>
          <w:rFonts w:ascii="Times New Roman;sans-serif" w:hAnsi="Times New Roman;sans-serif"/>
          <w:b w:val="false"/>
          <w:color w:val="000000"/>
          <w:sz w:val="19"/>
        </w:rPr>
        <w:t xml:space="preserve">In addition, stockholders may be asked to consider and vote upon such other business as may properly come before the meeting or any adjournment or postponement thereof. </w:t>
      </w:r>
    </w:p>
    <w:p>
      <w:pPr>
        <w:pStyle w:val="TextBody"/>
        <w:spacing w:lineRule="auto" w:line="288" w:before="0" w:after="200"/>
        <w:rPr>
          <w:rFonts w:ascii="Times New Roman;sans-serif" w:hAnsi="Times New Roman;sans-serif"/>
          <w:b w:val="false"/>
          <w:color w:val="000000"/>
          <w:sz w:val="19"/>
        </w:rPr>
      </w:pPr>
      <w:r>
        <w:rPr>
          <w:rFonts w:ascii="Times New Roman;sans-serif" w:hAnsi="Times New Roman;sans-serif"/>
          <w:b w:val="false"/>
          <w:color w:val="000000"/>
          <w:sz w:val="19"/>
        </w:rPr>
        <w:t xml:space="preserve">Only stockholders of record at the close of business on April 17, 2023 are entitled to notice of, and to vote at, the meeting and any adjournments thereof. For ten days prior to the meeting, a complete list of the stockholders entitled to vote at the meeting will be available for examination by any stockholder for any purpose relating to the meeting during ordinary business hours at our headquarters. </w:t>
      </w:r>
    </w:p>
    <w:p>
      <w:pPr>
        <w:pStyle w:val="TextBody"/>
        <w:spacing w:lineRule="auto" w:line="288" w:before="0" w:after="200"/>
        <w:rPr>
          <w:rFonts w:ascii="Times New Roman;sans-serif" w:hAnsi="Times New Roman;sans-serif"/>
          <w:b w:val="false"/>
          <w:color w:val="000000"/>
          <w:sz w:val="19"/>
        </w:rPr>
      </w:pPr>
      <w:r>
        <w:rPr>
          <w:rFonts w:ascii="Times New Roman;sans-serif" w:hAnsi="Times New Roman;sans-serif"/>
          <w:b w:val="false"/>
          <w:color w:val="000000"/>
          <w:sz w:val="19"/>
        </w:rPr>
        <w:t xml:space="preserve">Your vote as an AnaptysBio, Inc. stockholder is very important. Each share of stock that you own represents one vote. </w:t>
      </w:r>
    </w:p>
    <w:p>
      <w:pPr>
        <w:pStyle w:val="TextBody"/>
        <w:spacing w:lineRule="auto" w:line="268" w:before="0" w:after="0"/>
        <w:rPr>
          <w:rFonts w:ascii="Times New Roman;sans-serif" w:hAnsi="Times New Roman;sans-serif"/>
          <w:b w:val="false"/>
          <w:color w:val="000000"/>
          <w:sz w:val="19"/>
        </w:rPr>
      </w:pPr>
      <w:r>
        <w:rPr>
          <w:rFonts w:ascii="Times New Roman;sans-serif" w:hAnsi="Times New Roman;sans-serif"/>
          <w:b w:val="false"/>
          <w:color w:val="000000"/>
          <w:sz w:val="19"/>
        </w:rPr>
        <w:t>Whether or not you expect to attend the meeting, we encourage you to read the proxy statement and vote through the Internet or by telephone, or request, sign and return your proxy card as soon as possible, so that your shares may be represented at the meeting. For specific instructions on how to vote your shares, please refer to the section entitled “General Information About the Meeting” in the proxy statement and the instructions on the Notice of Internet Availability of Proxy Materials. Only stockholders entitled to vote, or their duly authorized representatives, are entitled to attend the meeting. If you intend to attend the meeting in person, you must email info@anaptysbio.com no later than 5:00 p.m. on June 8, 2023 to confirm your attendance.</w:t>
      </w:r>
    </w:p>
    <w:tbl>
      <w:tblPr>
        <w:tblW w:w="3326" w:type="dxa"/>
        <w:jc w:val="left"/>
        <w:tblInd w:w="0" w:type="dxa"/>
        <w:tblCellMar>
          <w:top w:w="28" w:type="dxa"/>
          <w:left w:w="28" w:type="dxa"/>
          <w:bottom w:w="28" w:type="dxa"/>
          <w:right w:w="28" w:type="dxa"/>
        </w:tblCellMar>
      </w:tblPr>
      <w:tblGrid>
        <w:gridCol w:w="124"/>
        <w:gridCol w:w="109"/>
        <w:gridCol w:w="109"/>
        <w:gridCol w:w="872"/>
        <w:gridCol w:w="872"/>
        <w:gridCol w:w="124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72" w:type="dxa"/>
            <w:tcBorders/>
            <w:shd w:fill="auto" w:val="clear"/>
            <w:vAlign w:val="center"/>
          </w:tcPr>
          <w:p>
            <w:pPr>
              <w:pStyle w:val="TableContents"/>
              <w:spacing w:before="0" w:after="283"/>
              <w:rPr>
                <w:sz w:val="4"/>
                <w:szCs w:val="4"/>
              </w:rPr>
            </w:pPr>
            <w:r>
              <w:rPr>
                <w:sz w:val="4"/>
                <w:szCs w:val="4"/>
              </w:rPr>
            </w:r>
          </w:p>
        </w:tc>
        <w:tc>
          <w:tcPr>
            <w:tcW w:w="872" w:type="dxa"/>
            <w:tcBorders/>
            <w:shd w:fill="auto" w:val="clear"/>
            <w:vAlign w:val="center"/>
          </w:tcPr>
          <w:p>
            <w:pPr>
              <w:pStyle w:val="TableContents"/>
              <w:spacing w:before="0" w:after="283"/>
              <w:rPr>
                <w:sz w:val="4"/>
                <w:szCs w:val="4"/>
              </w:rPr>
            </w:pPr>
            <w:r>
              <w:rPr>
                <w:sz w:val="4"/>
                <w:szCs w:val="4"/>
              </w:rPr>
            </w:r>
          </w:p>
        </w:tc>
        <w:tc>
          <w:tcPr>
            <w:tcW w:w="124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Order of the Board of Directors,</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 James N. Topper, M.D., Ph.D.</w:t>
            </w:r>
          </w:p>
        </w:tc>
      </w:tr>
      <w:tr>
        <w:trPr/>
        <w:tc>
          <w:tcPr>
            <w:tcW w:w="3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of the Board of Directors</w:t>
            </w:r>
          </w:p>
        </w:tc>
      </w:tr>
    </w:tbl>
    <w:p>
      <w:pPr>
        <w:pStyle w:val="TextBody"/>
        <w:spacing w:lineRule="auto" w:line="288" w:before="0" w:after="0"/>
        <w:rPr>
          <w:rFonts w:ascii="Times New Roman;sans-serif" w:hAnsi="Times New Roman;sans-serif"/>
          <w:b w:val="false"/>
          <w:color w:val="000000"/>
          <w:sz w:val="19"/>
        </w:rPr>
      </w:pPr>
      <w:r>
        <w:rPr>
          <w:rFonts w:ascii="Times New Roman;sans-serif" w:hAnsi="Times New Roman;sans-serif"/>
          <w:b w:val="false"/>
          <w:color w:val="000000"/>
          <w:sz w:val="19"/>
        </w:rPr>
        <w:t>San Diego, California</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April , 2023</w:t>
      </w:r>
    </w:p>
    <w:p>
      <w:pPr>
        <w:pStyle w:val="TextBody"/>
        <w:spacing w:before="0" w:after="2"/>
        <w:rPr/>
      </w:pPr>
      <w:r>
        <w:rPr/>
      </w:r>
    </w:p>
    <w:p>
      <w:pPr>
        <w:pStyle w:val="TextBody"/>
        <w:spacing w:lineRule="auto" w:line="288" w:before="0" w:after="200"/>
        <w:rPr>
          <w:rFonts w:ascii="Times New Roman;sans-serif" w:hAnsi="Times New Roman;sans-serif"/>
          <w:b/>
          <w:color w:val="000000"/>
          <w:sz w:val="19"/>
        </w:rPr>
      </w:pPr>
      <w:r>
        <w:rPr>
          <w:rFonts w:ascii="Times New Roman;sans-serif" w:hAnsi="Times New Roman;sans-serif"/>
          <w:b/>
          <w:color w:val="000000"/>
          <w:sz w:val="19"/>
        </w:rPr>
        <w:t>Important Notice Regarding the Availability of Proxy Materials for the Annual Meeting of Stockholders to be held on June 15, 2023: The Proxy Statement and our Annual Report on Form 10-K for the fiscal year ended December 31, 2022 are available at http://ir.anaptysbio.com.</w:t>
      </w:r>
      <w:r>
        <w:br w:type="page"/>
      </w:r>
    </w:p>
    <w:p>
      <w:pPr>
        <w:pStyle w:val="TextBody"/>
        <w:spacing w:before="0" w:after="0"/>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jc w:val="center"/>
                        <w:rPr/>
                      </w:pPr>
                      <w:r>
                        <w:rPr/>
                      </w:r>
                    </w:p>
                  </w:txbxContent>
                </v:textbox>
              </v:rect>
            </w:pict>
          </mc:Fallback>
        </mc:AlternateContent>
      </w:r>
    </w:p>
    <w:p>
      <w:pPr>
        <w:pStyle w:val="TextBody"/>
        <w:spacing w:before="0" w:after="240"/>
        <w:ind w:left="0" w:right="0" w:firstLine="72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
        <w:jc w:val="center"/>
        <w:rPr>
          <w:rFonts w:ascii="Times New Roman;sans-serif" w:hAnsi="Times New Roman;sans-serif"/>
          <w:b/>
          <w:color w:val="000000"/>
          <w:sz w:val="20"/>
        </w:rPr>
      </w:pPr>
      <w:r>
        <w:rPr>
          <w:rFonts w:ascii="Times New Roman;sans-serif" w:hAnsi="Times New Roman;sans-serif"/>
          <w:b/>
          <w:color w:val="000000"/>
          <w:sz w:val="20"/>
        </w:rPr>
        <w:t xml:space="preserve">ANAPTYSBIO, INC.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PROXY STATEMENT FOR 2023 ANNUAL MEETING OF STOCKHOLDERS </w:t>
      </w:r>
    </w:p>
    <w:p>
      <w:pPr>
        <w:pStyle w:val="TextBody"/>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spacing w:before="0" w:after="0"/>
        <w:rPr/>
      </w:pPr>
      <w:r>
        <w:rPr/>
      </w:r>
    </w:p>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3561"/>
        <w:gridCol w:w="3131"/>
        <w:gridCol w:w="3140"/>
        <w:gridCol w:w="109"/>
        <w:gridCol w:w="109"/>
        <w:gridCol w:w="155"/>
      </w:tblGrid>
      <w:tr>
        <w:trPr/>
        <w:tc>
          <w:tcPr>
            <w:tcW w:w="3561" w:type="dxa"/>
            <w:tcBorders/>
            <w:shd w:fill="auto" w:val="clear"/>
            <w:vAlign w:val="center"/>
          </w:tcPr>
          <w:p>
            <w:pPr>
              <w:pStyle w:val="TableContents"/>
              <w:spacing w:before="0" w:after="283"/>
              <w:rPr>
                <w:sz w:val="4"/>
                <w:szCs w:val="4"/>
              </w:rPr>
            </w:pPr>
            <w:r>
              <w:rPr>
                <w:sz w:val="4"/>
                <w:szCs w:val="4"/>
              </w:rPr>
            </w:r>
          </w:p>
        </w:tc>
        <w:tc>
          <w:tcPr>
            <w:tcW w:w="3131" w:type="dxa"/>
            <w:tcBorders/>
            <w:shd w:fill="auto" w:val="clear"/>
            <w:vAlign w:val="center"/>
          </w:tcPr>
          <w:p>
            <w:pPr>
              <w:pStyle w:val="TableContents"/>
              <w:spacing w:before="0" w:after="283"/>
              <w:rPr>
                <w:sz w:val="4"/>
                <w:szCs w:val="4"/>
              </w:rPr>
            </w:pPr>
            <w:r>
              <w:rPr>
                <w:sz w:val="4"/>
                <w:szCs w:val="4"/>
              </w:rPr>
            </w:r>
          </w:p>
        </w:tc>
        <w:tc>
          <w:tcPr>
            <w:tcW w:w="31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98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a18445c37d44e90a53eb8106de33c87_13">
              <w:r>
                <w:rPr>
                  <w:rStyle w:val="InternetLink"/>
                  <w:rFonts w:ascii="Times New Roman;sans-serif" w:hAnsi="Times New Roman;sans-serif"/>
                  <w:b w:val="false"/>
                  <w:color w:val="0000FF"/>
                  <w:sz w:val="20"/>
                  <w:u w:val="single"/>
                </w:rPr>
                <w:t>INFORMATION ABOUT SOLICITATION AND VOTING</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a18445c37d44e90a53eb8106de33c87_13">
              <w:r>
                <w:rPr>
                  <w:rStyle w:val="InternetLink"/>
                  <w:rFonts w:ascii="Times New Roman;sans-serif" w:hAnsi="Times New Roman;sans-serif"/>
                  <w:b w:val="false"/>
                  <w:color w:val="0000FF"/>
                  <w:sz w:val="20"/>
                  <w:u w:val="single"/>
                </w:rPr>
                <w:t>1</w:t>
              </w:r>
            </w:hyperlink>
          </w:p>
        </w:tc>
      </w:tr>
      <w:tr>
        <w:trPr/>
        <w:tc>
          <w:tcPr>
            <w:tcW w:w="98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a18445c37d44e90a53eb8106de33c87_16">
              <w:r>
                <w:rPr>
                  <w:rStyle w:val="InternetLink"/>
                  <w:rFonts w:ascii="Times New Roman;sans-serif" w:hAnsi="Times New Roman;sans-serif"/>
                  <w:b w:val="false"/>
                  <w:color w:val="0000FF"/>
                  <w:sz w:val="20"/>
                  <w:u w:val="single"/>
                </w:rPr>
                <w:t>INTERNET AVAILABILITY OF PROXY MATERIALS</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a18445c37d44e90a53eb8106de33c87_16">
              <w:r>
                <w:rPr>
                  <w:rStyle w:val="InternetLink"/>
                  <w:rFonts w:ascii="Times New Roman;sans-serif" w:hAnsi="Times New Roman;sans-serif"/>
                  <w:b w:val="false"/>
                  <w:color w:val="0000FF"/>
                  <w:sz w:val="20"/>
                  <w:u w:val="single"/>
                </w:rPr>
                <w:t>1</w:t>
              </w:r>
            </w:hyperlink>
          </w:p>
        </w:tc>
      </w:tr>
      <w:tr>
        <w:trPr/>
        <w:tc>
          <w:tcPr>
            <w:tcW w:w="98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a18445c37d44e90a53eb8106de33c87_19">
              <w:r>
                <w:rPr>
                  <w:rStyle w:val="InternetLink"/>
                  <w:rFonts w:ascii="Times New Roman;sans-serif" w:hAnsi="Times New Roman;sans-serif"/>
                  <w:b w:val="false"/>
                  <w:color w:val="0000FF"/>
                  <w:sz w:val="20"/>
                  <w:u w:val="single"/>
                </w:rPr>
                <w:t>GENERAL INFORMATION ABOUT THE MEETING</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a18445c37d44e90a53eb8106de33c87_19">
              <w:r>
                <w:rPr>
                  <w:rStyle w:val="InternetLink"/>
                  <w:rFonts w:ascii="Times New Roman;sans-serif" w:hAnsi="Times New Roman;sans-serif"/>
                  <w:b w:val="false"/>
                  <w:color w:val="0000FF"/>
                  <w:sz w:val="20"/>
                  <w:u w:val="single"/>
                </w:rPr>
                <w:t>1</w:t>
              </w:r>
            </w:hyperlink>
          </w:p>
        </w:tc>
      </w:tr>
      <w:tr>
        <w:trPr/>
        <w:tc>
          <w:tcPr>
            <w:tcW w:w="98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a18445c37d44e90a53eb8106de33c87_22">
              <w:r>
                <w:rPr>
                  <w:rStyle w:val="InternetLink"/>
                  <w:rFonts w:ascii="Times New Roman;sans-serif" w:hAnsi="Times New Roman;sans-serif"/>
                  <w:b w:val="false"/>
                  <w:color w:val="0000FF"/>
                  <w:sz w:val="20"/>
                  <w:u w:val="single"/>
                </w:rPr>
                <w:t>GENERAL PROXY INFORMATION</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a18445c37d44e90a53eb8106de33c87_22">
              <w:r>
                <w:rPr>
                  <w:rStyle w:val="InternetLink"/>
                  <w:rFonts w:ascii="Times New Roman;sans-serif" w:hAnsi="Times New Roman;sans-serif"/>
                  <w:b w:val="false"/>
                  <w:color w:val="0000FF"/>
                  <w:sz w:val="20"/>
                  <w:u w:val="single"/>
                </w:rPr>
                <w:t>2</w:t>
              </w:r>
            </w:hyperlink>
          </w:p>
        </w:tc>
      </w:tr>
      <w:tr>
        <w:trPr/>
        <w:tc>
          <w:tcPr>
            <w:tcW w:w="98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a18445c37d44e90a53eb8106de33c87_25">
              <w:r>
                <w:rPr>
                  <w:rStyle w:val="InternetLink"/>
                  <w:rFonts w:ascii="Times New Roman;sans-serif" w:hAnsi="Times New Roman;sans-serif"/>
                  <w:b w:val="false"/>
                  <w:color w:val="0000FF"/>
                  <w:sz w:val="20"/>
                  <w:u w:val="single"/>
                </w:rPr>
                <w:t>CORPORATE GOVERNANCE STANDARDS AND DIRECTOR INDEPENDENCE</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a18445c37d44e90a53eb8106de33c87_25">
              <w:r>
                <w:rPr>
                  <w:rStyle w:val="InternetLink"/>
                  <w:rFonts w:ascii="Times New Roman;sans-serif" w:hAnsi="Times New Roman;sans-serif"/>
                  <w:b w:val="false"/>
                  <w:color w:val="0000FF"/>
                  <w:sz w:val="20"/>
                  <w:u w:val="single"/>
                </w:rPr>
                <w:t>5</w:t>
              </w:r>
            </w:hyperlink>
          </w:p>
        </w:tc>
      </w:tr>
      <w:tr>
        <w:trPr/>
        <w:tc>
          <w:tcPr>
            <w:tcW w:w="98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a18445c37d44e90a53eb8106de33c87_28">
              <w:r>
                <w:rPr>
                  <w:rStyle w:val="InternetLink"/>
                  <w:rFonts w:ascii="Times New Roman;sans-serif" w:hAnsi="Times New Roman;sans-serif"/>
                  <w:b w:val="false"/>
                  <w:color w:val="0000FF"/>
                  <w:sz w:val="20"/>
                  <w:u w:val="single"/>
                </w:rPr>
                <w:t>PROPOSAL NO. 1 ELECTION OF CLASS III DIRECTORS</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a18445c37d44e90a53eb8106de33c87_28">
              <w:r>
                <w:rPr>
                  <w:rStyle w:val="InternetLink"/>
                  <w:rFonts w:ascii="Times New Roman;sans-serif" w:hAnsi="Times New Roman;sans-serif"/>
                  <w:b w:val="false"/>
                  <w:color w:val="0000FF"/>
                  <w:sz w:val="20"/>
                  <w:u w:val="single"/>
                </w:rPr>
                <w:t>10</w:t>
              </w:r>
            </w:hyperlink>
          </w:p>
        </w:tc>
      </w:tr>
      <w:tr>
        <w:trPr/>
        <w:tc>
          <w:tcPr>
            <w:tcW w:w="98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a18445c37d44e90a53eb8106de33c87_31">
              <w:r>
                <w:rPr>
                  <w:rStyle w:val="InternetLink"/>
                  <w:rFonts w:ascii="Times New Roman;sans-serif" w:hAnsi="Times New Roman;sans-serif"/>
                  <w:b w:val="false"/>
                  <w:color w:val="0000FF"/>
                  <w:sz w:val="20"/>
                  <w:u w:val="single"/>
                </w:rPr>
                <w:t>PROPOSAL NO. 2 RATIFICATION OF INDEPENDENT REGISTERED PUBLIC ACCOUNTING FIRM</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a18445c37d44e90a53eb8106de33c87_31">
              <w:r>
                <w:rPr>
                  <w:rStyle w:val="InternetLink"/>
                  <w:rFonts w:ascii="Times New Roman;sans-serif" w:hAnsi="Times New Roman;sans-serif"/>
                  <w:b w:val="false"/>
                  <w:color w:val="0000FF"/>
                  <w:sz w:val="20"/>
                  <w:u w:val="single"/>
                </w:rPr>
                <w:t>15</w:t>
              </w:r>
            </w:hyperlink>
          </w:p>
        </w:tc>
      </w:tr>
      <w:tr>
        <w:trPr/>
        <w:tc>
          <w:tcPr>
            <w:tcW w:w="98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a18445c37d44e90a53eb8106de33c87_34">
              <w:r>
                <w:rPr>
                  <w:rStyle w:val="InternetLink"/>
                  <w:rFonts w:ascii="Times New Roman;sans-serif" w:hAnsi="Times New Roman;sans-serif"/>
                  <w:b w:val="false"/>
                  <w:color w:val="0000FF"/>
                  <w:sz w:val="20"/>
                  <w:u w:val="single"/>
                </w:rPr>
                <w:t>REPORT OF THE AUDIT COMMITTEE</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a18445c37d44e90a53eb8106de33c87_34">
              <w:r>
                <w:rPr>
                  <w:rStyle w:val="InternetLink"/>
                  <w:rFonts w:ascii="Times New Roman;sans-serif" w:hAnsi="Times New Roman;sans-serif"/>
                  <w:b w:val="false"/>
                  <w:color w:val="0000FF"/>
                  <w:sz w:val="20"/>
                  <w:u w:val="single"/>
                </w:rPr>
                <w:t>16</w:t>
              </w:r>
            </w:hyperlink>
          </w:p>
        </w:tc>
      </w:tr>
      <w:tr>
        <w:trPr/>
        <w:tc>
          <w:tcPr>
            <w:tcW w:w="98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a18445c37d44e90a53eb8106de33c87_37">
              <w:r>
                <w:rPr>
                  <w:rStyle w:val="InternetLink"/>
                  <w:rFonts w:ascii="Times New Roman;sans-serif" w:hAnsi="Times New Roman;sans-serif"/>
                  <w:b w:val="false"/>
                  <w:color w:val="0000FF"/>
                  <w:sz w:val="20"/>
                  <w:u w:val="single"/>
                </w:rPr>
                <w:t>PROPOSAL NO. 3 NON-BINDING ADVISORY VOTE ON COMPENSATION OF OUR NAMED EXECUTIVE OFFICERS</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a18445c37d44e90a53eb8106de33c87_37">
              <w:r>
                <w:rPr>
                  <w:rStyle w:val="InternetLink"/>
                  <w:rFonts w:ascii="Times New Roman;sans-serif" w:hAnsi="Times New Roman;sans-serif"/>
                  <w:b w:val="false"/>
                  <w:color w:val="0000FF"/>
                  <w:sz w:val="20"/>
                  <w:u w:val="single"/>
                </w:rPr>
                <w:t>17</w:t>
              </w:r>
            </w:hyperlink>
          </w:p>
        </w:tc>
      </w:tr>
      <w:tr>
        <w:trPr/>
        <w:tc>
          <w:tcPr>
            <w:tcW w:w="98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a18445c37d44e90a53eb8106de33c87_361">
              <w:r>
                <w:rPr>
                  <w:rStyle w:val="InternetLink"/>
                  <w:rFonts w:ascii="Times New Roman;sans-serif" w:hAnsi="Times New Roman;sans-serif"/>
                  <w:b w:val="false"/>
                  <w:color w:val="0000FF"/>
                  <w:sz w:val="20"/>
                  <w:u w:val="single"/>
                </w:rPr>
                <w:t>PROPOSAL NO. 4 APPROVAL OF AN AMENDED AND RESTATED CERTIFICATE OF INCORPORATION</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a18445c37d44e90a53eb8106de33c87_361">
              <w:r>
                <w:rPr>
                  <w:rStyle w:val="InternetLink"/>
                  <w:rFonts w:ascii="Times New Roman;sans-serif" w:hAnsi="Times New Roman;sans-serif"/>
                  <w:b w:val="false"/>
                  <w:color w:val="0000FF"/>
                  <w:sz w:val="20"/>
                  <w:u w:val="single"/>
                </w:rPr>
                <w:t>18</w:t>
              </w:r>
            </w:hyperlink>
          </w:p>
        </w:tc>
      </w:tr>
      <w:tr>
        <w:trPr/>
        <w:tc>
          <w:tcPr>
            <w:tcW w:w="98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a18445c37d44e90a53eb8106de33c87_40">
              <w:r>
                <w:rPr>
                  <w:rStyle w:val="InternetLink"/>
                  <w:rFonts w:ascii="Times New Roman;sans-serif" w:hAnsi="Times New Roman;sans-serif"/>
                  <w:b w:val="false"/>
                  <w:color w:val="0000FF"/>
                  <w:sz w:val="20"/>
                  <w:u w:val="single"/>
                </w:rPr>
                <w:t>SECURITY OWNERSHIP OF CERTAIN BENEFICIAL OWNERS AND MANAGEMENT</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a18445c37d44e90a53eb8106de33c87_40">
              <w:r>
                <w:rPr>
                  <w:rStyle w:val="InternetLink"/>
                  <w:rFonts w:ascii="Times New Roman;sans-serif" w:hAnsi="Times New Roman;sans-serif"/>
                  <w:b w:val="false"/>
                  <w:color w:val="0000FF"/>
                  <w:sz w:val="20"/>
                  <w:u w:val="single"/>
                </w:rPr>
                <w:t>19</w:t>
              </w:r>
            </w:hyperlink>
          </w:p>
        </w:tc>
      </w:tr>
      <w:tr>
        <w:trPr/>
        <w:tc>
          <w:tcPr>
            <w:tcW w:w="98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a18445c37d44e90a53eb8106de33c87_43">
              <w:r>
                <w:rPr>
                  <w:rStyle w:val="InternetLink"/>
                  <w:rFonts w:ascii="Times New Roman;sans-serif" w:hAnsi="Times New Roman;sans-serif"/>
                  <w:b w:val="false"/>
                  <w:color w:val="0000FF"/>
                  <w:sz w:val="20"/>
                  <w:u w:val="single"/>
                </w:rPr>
                <w:t>EXECUTIVE OFFICERS</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a18445c37d44e90a53eb8106de33c87_43">
              <w:r>
                <w:rPr>
                  <w:rStyle w:val="InternetLink"/>
                  <w:rFonts w:ascii="Times New Roman;sans-serif" w:hAnsi="Times New Roman;sans-serif"/>
                  <w:b w:val="false"/>
                  <w:color w:val="0000FF"/>
                  <w:sz w:val="20"/>
                  <w:u w:val="single"/>
                </w:rPr>
                <w:t>22</w:t>
              </w:r>
            </w:hyperlink>
          </w:p>
        </w:tc>
      </w:tr>
      <w:tr>
        <w:trPr/>
        <w:tc>
          <w:tcPr>
            <w:tcW w:w="98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a18445c37d44e90a53eb8106de33c87_46">
              <w:r>
                <w:rPr>
                  <w:rStyle w:val="InternetLink"/>
                  <w:rFonts w:ascii="Times New Roman;sans-serif" w:hAnsi="Times New Roman;sans-serif"/>
                  <w:b w:val="false"/>
                  <w:color w:val="0000FF"/>
                  <w:sz w:val="20"/>
                  <w:u w:val="single"/>
                </w:rPr>
                <w:t>EXECUTIVE COMPENSATION</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a18445c37d44e90a53eb8106de33c87_46">
              <w:r>
                <w:rPr>
                  <w:rStyle w:val="InternetLink"/>
                  <w:rFonts w:ascii="Times New Roman;sans-serif" w:hAnsi="Times New Roman;sans-serif"/>
                  <w:b w:val="false"/>
                  <w:color w:val="0000FF"/>
                  <w:sz w:val="20"/>
                  <w:u w:val="single"/>
                </w:rPr>
                <w:t>26</w:t>
              </w:r>
            </w:hyperlink>
          </w:p>
        </w:tc>
      </w:tr>
      <w:tr>
        <w:trPr/>
        <w:tc>
          <w:tcPr>
            <w:tcW w:w="98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a18445c37d44e90a53eb8106de33c87_49">
              <w:r>
                <w:rPr>
                  <w:rStyle w:val="InternetLink"/>
                  <w:rFonts w:ascii="Times New Roman;sans-serif" w:hAnsi="Times New Roman;sans-serif"/>
                  <w:b w:val="false"/>
                  <w:color w:val="0000FF"/>
                  <w:sz w:val="20"/>
                  <w:u w:val="single"/>
                </w:rPr>
                <w:t>EQUITY COMPENSATION PLAN INFORMATION</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a18445c37d44e90a53eb8106de33c87_49">
              <w:r>
                <w:rPr>
                  <w:rStyle w:val="InternetLink"/>
                  <w:rFonts w:ascii="Times New Roman;sans-serif" w:hAnsi="Times New Roman;sans-serif"/>
                  <w:b w:val="false"/>
                  <w:color w:val="0000FF"/>
                  <w:sz w:val="20"/>
                  <w:u w:val="single"/>
                </w:rPr>
                <w:t>36</w:t>
              </w:r>
            </w:hyperlink>
          </w:p>
        </w:tc>
      </w:tr>
      <w:tr>
        <w:trPr/>
        <w:tc>
          <w:tcPr>
            <w:tcW w:w="98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a18445c37d44e90a53eb8106de33c87_52">
              <w:r>
                <w:rPr>
                  <w:rStyle w:val="InternetLink"/>
                  <w:rFonts w:ascii="Times New Roman;sans-serif" w:hAnsi="Times New Roman;sans-serif"/>
                  <w:b w:val="false"/>
                  <w:color w:val="0000FF"/>
                  <w:sz w:val="20"/>
                  <w:u w:val="single"/>
                </w:rPr>
                <w:t>CERTAIN RELATIONSHIPS AND RELATED-PARTY TRANSACTIONS</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a18445c37d44e90a53eb8106de33c87_52">
              <w:r>
                <w:rPr>
                  <w:rStyle w:val="InternetLink"/>
                  <w:rFonts w:ascii="Times New Roman;sans-serif" w:hAnsi="Times New Roman;sans-serif"/>
                  <w:b w:val="false"/>
                  <w:color w:val="0000FF"/>
                  <w:sz w:val="20"/>
                  <w:u w:val="single"/>
                </w:rPr>
                <w:t>37</w:t>
              </w:r>
            </w:hyperlink>
          </w:p>
        </w:tc>
      </w:tr>
      <w:tr>
        <w:trPr/>
        <w:tc>
          <w:tcPr>
            <w:tcW w:w="98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a18445c37d44e90a53eb8106de33c87_55">
              <w:r>
                <w:rPr>
                  <w:rStyle w:val="InternetLink"/>
                  <w:rFonts w:ascii="Times New Roman;sans-serif" w:hAnsi="Times New Roman;sans-serif"/>
                  <w:b w:val="false"/>
                  <w:color w:val="0000FF"/>
                  <w:sz w:val="20"/>
                  <w:u w:val="single"/>
                </w:rPr>
                <w:t>ADDITIONAL INFORMATION</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a18445c37d44e90a53eb8106de33c87_55">
              <w:r>
                <w:rPr>
                  <w:rStyle w:val="InternetLink"/>
                  <w:rFonts w:ascii="Times New Roman;sans-serif" w:hAnsi="Times New Roman;sans-serif"/>
                  <w:b w:val="false"/>
                  <w:color w:val="0000FF"/>
                  <w:sz w:val="20"/>
                  <w:u w:val="single"/>
                </w:rPr>
                <w:t>38</w:t>
              </w:r>
            </w:hyperlink>
          </w:p>
        </w:tc>
      </w:tr>
      <w:tr>
        <w:trPr/>
        <w:tc>
          <w:tcPr>
            <w:tcW w:w="98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a18445c37d44e90a53eb8106de33c87_58">
              <w:r>
                <w:rPr>
                  <w:rStyle w:val="InternetLink"/>
                  <w:rFonts w:ascii="Times New Roman;sans-serif" w:hAnsi="Times New Roman;sans-serif"/>
                  <w:b w:val="false"/>
                  <w:color w:val="0000FF"/>
                  <w:sz w:val="20"/>
                  <w:u w:val="single"/>
                </w:rPr>
                <w:t>OTHER MATTERS</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a18445c37d44e90a53eb8106de33c87_58">
              <w:r>
                <w:rPr>
                  <w:rStyle w:val="InternetLink"/>
                  <w:rFonts w:ascii="Times New Roman;sans-serif" w:hAnsi="Times New Roman;sans-serif"/>
                  <w:b w:val="false"/>
                  <w:color w:val="0000FF"/>
                  <w:sz w:val="20"/>
                  <w:u w:val="single"/>
                </w:rPr>
                <w:t>40</w:t>
              </w:r>
            </w:hyperlink>
          </w:p>
        </w:tc>
      </w:tr>
      <w:tr>
        <w:trPr/>
        <w:tc>
          <w:tcPr>
            <w:tcW w:w="9832"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a18445c37d44e90a53eb8106de33c87_371">
              <w:r>
                <w:rPr>
                  <w:rStyle w:val="InternetLink"/>
                  <w:rFonts w:ascii="Times New Roman;sans-serif" w:hAnsi="Times New Roman;sans-serif"/>
                  <w:b w:val="false"/>
                  <w:color w:val="0000FF"/>
                  <w:sz w:val="20"/>
                  <w:u w:val="single"/>
                </w:rPr>
                <w:t>APPENDIX A</w:t>
              </w:r>
            </w:hyperlink>
          </w:p>
        </w:tc>
        <w:tc>
          <w:tcPr>
            <w:tcW w:w="373"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hyperlink w:anchor="i2a18445c37d44e90a53eb8106de33c87_371">
              <w:r>
                <w:rPr>
                  <w:rStyle w:val="InternetLink"/>
                  <w:rFonts w:ascii="Times New Roman;sans-serif" w:hAnsi="Times New Roman;sans-serif"/>
                  <w:b w:val="false"/>
                  <w:color w:val="0000FF"/>
                  <w:sz w:val="20"/>
                  <w:u w:val="single"/>
                </w:rPr>
                <w:t>41</w:t>
              </w:r>
            </w:hyperlink>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w:t>
                      </w:r>
                    </w:p>
                  </w:txbxContent>
                </v:textbox>
              </v:rect>
            </w:pict>
          </mc:Fallback>
        </mc:AlternateConten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ANAPTYSBIO, INC.</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10770 Wateridge Circle, Suite 210</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San Diego, California 92121</w:t>
      </w:r>
    </w:p>
    <w:tbl>
      <w:tblPr>
        <w:tblW w:w="1695"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bottom w:val="single" w:sz="12"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12"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12"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12"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72" w:type="dxa"/>
            <w:gridSpan w:val="3"/>
            <w:tcBorders>
              <w:bottom w:val="single" w:sz="12"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PROXY STATEMENT FOR THE 2023 ANNUAL MEETING OF STOCKHOLDERS</w:t>
      </w:r>
    </w:p>
    <w:tbl>
      <w:tblPr>
        <w:tblW w:w="1695" w:type="dxa"/>
        <w:jc w:val="center"/>
        <w:tblInd w:w="0" w:type="dxa"/>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bottom w:val="single" w:sz="12"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12"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12"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27" w:type="dxa"/>
            <w:gridSpan w:val="3"/>
            <w:tcBorders>
              <w:bottom w:val="single" w:sz="12"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c>
          <w:tcPr>
            <w:tcW w:w="372" w:type="dxa"/>
            <w:gridSpan w:val="3"/>
            <w:tcBorders>
              <w:bottom w:val="single" w:sz="12" w:space="0" w:color="000000"/>
            </w:tcBorders>
            <w:shd w:fill="auto" w:val="clear"/>
            <w:tcMar>
              <w:top w:w="0" w:type="dxa"/>
              <w:left w:w="0" w:type="dxa"/>
              <w:right w:w="0" w:type="dxa"/>
            </w:tcMar>
            <w:vAlign w:val="center"/>
          </w:tcPr>
          <w:p>
            <w:pPr>
              <w:pStyle w:val="TableContents"/>
              <w:spacing w:before="0" w:after="283"/>
              <w:rPr>
                <w:sz w:val="4"/>
                <w:szCs w:val="4"/>
              </w:rPr>
            </w:pPr>
            <w:r>
              <w:rPr>
                <w:sz w:val="4"/>
                <w:szCs w:val="4"/>
              </w:rPr>
            </w:r>
          </w:p>
        </w:tc>
      </w:tr>
    </w:tbl>
    <w:p>
      <w:pPr>
        <w:pStyle w:val="TextBody"/>
        <w:spacing w:lineRule="auto" w:line="240" w:before="0" w:after="240"/>
        <w:jc w:val="center"/>
        <w:rPr>
          <w:rFonts w:ascii="Times New Roman;sans-serif" w:hAnsi="Times New Roman;sans-serif"/>
          <w:b/>
          <w:color w:val="000000"/>
          <w:sz w:val="20"/>
        </w:rPr>
      </w:pPr>
      <w:r>
        <w:rPr>
          <w:rFonts w:ascii="Times New Roman;sans-serif" w:hAnsi="Times New Roman;sans-serif"/>
          <w:b/>
          <w:color w:val="000000"/>
          <w:sz w:val="20"/>
        </w:rPr>
        <w:t>To Be Held Thursday, June 15, 2023</w:t>
      </w:r>
    </w:p>
    <w:p>
      <w:pPr>
        <w:pStyle w:val="TextBody"/>
        <w:spacing w:lineRule="auto" w:line="240" w:before="200" w:after="2"/>
        <w:jc w:val="center"/>
        <w:rPr>
          <w:rFonts w:ascii="Times New Roman;sans-serif" w:hAnsi="Times New Roman;sans-serif"/>
          <w:b/>
          <w:color w:val="000000"/>
          <w:sz w:val="20"/>
        </w:rPr>
      </w:pPr>
      <w:r>
        <w:rPr>
          <w:rFonts w:ascii="Times New Roman;sans-serif" w:hAnsi="Times New Roman;sans-serif"/>
          <w:b/>
          <w:color w:val="000000"/>
          <w:sz w:val="20"/>
        </w:rPr>
        <w:t>INFORMATION ABOUT SOLICITATION AND VOTING</w:t>
      </w:r>
    </w:p>
    <w:p>
      <w:pPr>
        <w:pStyle w:val="TextBody"/>
        <w:spacing w:lineRule="auto" w:line="288" w:before="200" w:after="200"/>
        <w:rPr>
          <w:rFonts w:ascii="Times New Roman;sans-serif" w:hAnsi="Times New Roman;sans-serif"/>
          <w:b w:val="false"/>
          <w:color w:val="000000"/>
          <w:sz w:val="20"/>
        </w:rPr>
      </w:pPr>
      <w:r>
        <w:rPr>
          <w:rFonts w:ascii="Times New Roman;sans-serif" w:hAnsi="Times New Roman;sans-serif"/>
          <w:b w:val="false"/>
          <w:color w:val="000000"/>
          <w:sz w:val="20"/>
        </w:rPr>
        <w:t>The accompanying proxy is solicited on behalf of AnaptysBio, Inc.’s board of directors for use at AnaptysBio’s 2023 Annual Meeting of Stockholders (“Annual Meeting”) to be held at AnaptysBio’s corporate office at 10770 Wateridge Circle, Suite 210, San Diego, California 92121, on Thursday, June 15, 2023 at 9:00 a.m. (Pacific Daylight Time), and any adjournment or postponement thereof.</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40" w:before="0" w:after="200"/>
        <w:jc w:val="center"/>
        <w:rPr>
          <w:rFonts w:ascii="Times New Roman;sans-serif" w:hAnsi="Times New Roman;sans-serif"/>
          <w:b/>
          <w:color w:val="000000"/>
          <w:sz w:val="20"/>
        </w:rPr>
      </w:pPr>
      <w:r>
        <w:rPr>
          <w:rFonts w:ascii="Times New Roman;sans-serif" w:hAnsi="Times New Roman;sans-serif"/>
          <w:b/>
          <w:color w:val="000000"/>
          <w:sz w:val="20"/>
        </w:rPr>
        <w:t xml:space="preserve">INTERNET AVAILABILITY OF PROXY MATERIALS </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Under rules adopted by the Securities and Exchange Commission (“SEC”), we are furnishing proxy materials to our stockholders primarily via the Internet, instead of mailing printed copies to each stockholder. On or about April 27, 2023, we expect to send to our stockholders a Notice of Internet Availability of Proxy Materials containing instructions on how to access our proxy materials, including our proxy statement and our annual report on Form 10-K. The Notice of Internet Availability of Proxy Materials also provides instructions on how to vote through the Internet or by telephone and includes instructions on how to receive paper copies of the proxy materials by mail or an electronic copy of the proxy materials by email.</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This process is designed to reduce our environmental impact and lower the costs of printing and distributing our proxy materials without impacting our stockholders’ timely access to this important information. However, if you would prefer to receive printed proxy materials, please follow the instructions included in the Notice of Internet Availability.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 xml:space="preserve">GENERAL INFORMATION ABOUT THE MEETING </w:t>
      </w:r>
    </w:p>
    <w:p>
      <w:pPr>
        <w:pStyle w:val="TextBody"/>
        <w:spacing w:lineRule="auto" w:line="288" w:before="0" w:after="200"/>
        <w:rPr>
          <w:rFonts w:ascii="Times New Roman;sans-serif" w:hAnsi="Times New Roman;sans-serif"/>
          <w:b/>
          <w:color w:val="000000"/>
          <w:sz w:val="20"/>
        </w:rPr>
      </w:pPr>
      <w:r>
        <w:rPr>
          <w:rFonts w:ascii="Times New Roman;sans-serif" w:hAnsi="Times New Roman;sans-serif"/>
          <w:b/>
          <w:color w:val="000000"/>
          <w:sz w:val="20"/>
        </w:rPr>
        <w:t xml:space="preserve">Purpose of the Meeting </w:t>
      </w:r>
    </w:p>
    <w:p>
      <w:pPr>
        <w:pStyle w:val="TextBody"/>
        <w:spacing w:lineRule="auto" w:line="288" w:before="200" w:after="200"/>
        <w:rPr>
          <w:rFonts w:ascii="Times New Roman;sans-serif" w:hAnsi="Times New Roman;sans-serif"/>
          <w:b w:val="false"/>
          <w:color w:val="000000"/>
          <w:sz w:val="20"/>
        </w:rPr>
      </w:pPr>
      <w:r>
        <w:rPr>
          <w:rFonts w:ascii="Times New Roman;sans-serif" w:hAnsi="Times New Roman;sans-serif"/>
          <w:b w:val="false"/>
          <w:color w:val="000000"/>
          <w:sz w:val="20"/>
        </w:rPr>
        <w:t>At the meeting, stockholders will act upon the proposals described in this proxy statement. In addition, we will consider any other matters that are properly presented for a vote at the meeting. We are not aware of any other matters to be submitted for consideration at the meeting. If any other matters are properly presented for a vote at the meeting, the persons named in the proxy, who are officers of the company, have the authority in their discretion to vote the shares represented by the proxy.</w:t>
      </w:r>
    </w:p>
    <w:p>
      <w:pPr>
        <w:pStyle w:val="TextBody"/>
        <w:spacing w:lineRule="auto" w:line="288" w:before="0" w:after="200"/>
        <w:rPr>
          <w:rFonts w:ascii="Times New Roman;sans-serif" w:hAnsi="Times New Roman;sans-serif"/>
          <w:b/>
          <w:color w:val="000000"/>
          <w:sz w:val="20"/>
        </w:rPr>
      </w:pPr>
      <w:r>
        <w:rPr>
          <w:rFonts w:ascii="Times New Roman;sans-serif" w:hAnsi="Times New Roman;sans-serif"/>
          <w:b/>
          <w:color w:val="000000"/>
          <w:sz w:val="20"/>
        </w:rPr>
        <w:t xml:space="preserve">Record Date; Quorum </w:t>
      </w:r>
    </w:p>
    <w:p>
      <w:pPr>
        <w:pStyle w:val="TextBody"/>
        <w:spacing w:lineRule="auto" w:line="288" w:before="200" w:after="200"/>
        <w:rPr>
          <w:rFonts w:ascii="Times New Roman;sans-serif" w:hAnsi="Times New Roman;sans-serif"/>
          <w:b w:val="false"/>
          <w:color w:val="000000"/>
          <w:sz w:val="20"/>
        </w:rPr>
      </w:pPr>
      <w:r>
        <w:rPr>
          <w:rFonts w:ascii="Times New Roman;sans-serif" w:hAnsi="Times New Roman;sans-serif"/>
          <w:b w:val="false"/>
          <w:color w:val="000000"/>
          <w:sz w:val="20"/>
        </w:rPr>
        <w:t>Only holders of record of common stock at the close of business on April 17, 2023, the record date, will be entitled to vote at the meeting. At the close of business on April 17, 2023, shares of common stock were outstanding and entitled to vote.</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 xml:space="preserve">The holders of a majority of the voting power of the shares of stock entitled to vote at the meeting as of the record date must be present or represented by proxy at the meeting in order to hold the meeting and conduct business. This presence is called a quorum. Your shares are counted as present at the meeting if you are present and vote in person at the meeting or if you have properly submitted a proxy.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 xml:space="preserve">GENERAL PROXY INFORMATION </w:t>
      </w:r>
    </w:p>
    <w:p>
      <w:pPr>
        <w:pStyle w:val="TextBody"/>
        <w:spacing w:lineRule="auto" w:line="240" w:before="0" w:after="2"/>
        <w:rPr>
          <w:rFonts w:ascii="Times New Roman;sans-serif" w:hAnsi="Times New Roman;sans-serif"/>
          <w:b/>
          <w:color w:val="000000"/>
          <w:sz w:val="20"/>
        </w:rPr>
      </w:pPr>
      <w:r>
        <w:rPr>
          <w:rFonts w:ascii="Times New Roman;sans-serif" w:hAnsi="Times New Roman;sans-serif"/>
          <w:b/>
          <w:color w:val="000000"/>
          <w:sz w:val="20"/>
        </w:rPr>
        <w:t>Voting Rights</w:t>
      </w:r>
    </w:p>
    <w:p>
      <w:pPr>
        <w:pStyle w:val="TextBody"/>
        <w:spacing w:lineRule="auto" w:line="288" w:before="200" w:after="200"/>
        <w:rPr>
          <w:rFonts w:ascii="Times New Roman;sans-serif" w:hAnsi="Times New Roman;sans-serif"/>
          <w:b w:val="false"/>
          <w:color w:val="000000"/>
          <w:sz w:val="20"/>
        </w:rPr>
      </w:pPr>
      <w:r>
        <w:rPr>
          <w:rFonts w:ascii="Times New Roman;sans-serif" w:hAnsi="Times New Roman;sans-serif"/>
          <w:b w:val="false"/>
          <w:color w:val="000000"/>
          <w:sz w:val="20"/>
        </w:rPr>
        <w:t>Each holder of shares of common stock is entitled to one vote for each share of common stock held as of the close of business on April 17, 2023, the record date. You may vote all shares owned by you at such date, including (i) shares held directly in your name as the stockholder of record and (ii) shares held for you as the beneficial owner in street name through a broker, bank, trustee or other nominee. Dissenters’ rights are not applicable to any of the matters being voted on.</w:t>
      </w:r>
    </w:p>
    <w:p>
      <w:pPr>
        <w:pStyle w:val="TextBody"/>
        <w:spacing w:lineRule="auto" w:line="288" w:before="0" w:after="200"/>
        <w:rPr/>
      </w:pPr>
      <w:r>
        <w:rPr>
          <w:rFonts w:ascii="Times New Roman;sans-serif" w:hAnsi="Times New Roman;sans-serif"/>
          <w:b w:val="false"/>
          <w:i/>
          <w:color w:val="000000"/>
          <w:sz w:val="20"/>
        </w:rPr>
        <w:t xml:space="preserve">Stockholder of Record: Shares Registered in Your Name. </w:t>
      </w:r>
      <w:r>
        <w:rPr>
          <w:rFonts w:ascii="Times New Roman;sans-serif" w:hAnsi="Times New Roman;sans-serif"/>
          <w:b w:val="false"/>
          <w:color w:val="000000"/>
          <w:sz w:val="20"/>
        </w:rPr>
        <w:t>If on April 17, 2023, your shares were registered directly in your name with our transfer agent, American Stock Transfer &amp; Trust Company, LLC, then you are considered the stockholder of record with respect to those shares. As a stockholder of record, you may vote at the meeting, or vote in advance through the Internet or by telephone, or if you request to receive paper proxy materials by mail, by filling out and returning the proxy card.</w:t>
      </w:r>
    </w:p>
    <w:p>
      <w:pPr>
        <w:pStyle w:val="TextBody"/>
        <w:spacing w:lineRule="auto" w:line="288" w:before="0" w:after="200"/>
        <w:rPr/>
      </w:pPr>
      <w:r>
        <w:rPr>
          <w:rFonts w:ascii="Times New Roman;sans-serif" w:hAnsi="Times New Roman;sans-serif"/>
          <w:b w:val="false"/>
          <w:i/>
          <w:color w:val="000000"/>
          <w:sz w:val="20"/>
        </w:rPr>
        <w:t xml:space="preserve">Beneficial Owner: Shares Registered in the Name of a Broker or Nominee. </w:t>
      </w:r>
      <w:r>
        <w:rPr>
          <w:rFonts w:ascii="Times New Roman;sans-serif" w:hAnsi="Times New Roman;sans-serif"/>
          <w:b w:val="false"/>
          <w:color w:val="000000"/>
          <w:sz w:val="20"/>
        </w:rPr>
        <w:t>If on April 17, 2023, your shares were held in an account with a brokerage firm, bank or other nominee, then you are the beneficial owner of the shares held in street name. As a beneficial owner, you have the right to direct your broker on how to vote the shares held in your account, and your broker has enclosed or provided voting instructions for you to use in directing it on how to vote your shares. Because the brokerage firm, bank or other nominee that holds your shares is the stockholder of record, if you wish to attend the meeting and vote your shares you must obtain a valid proxy from the firm that holds your shares giving you the right to vote the shares at the meeting.</w:t>
      </w:r>
    </w:p>
    <w:p>
      <w:pPr>
        <w:pStyle w:val="TextBody"/>
        <w:spacing w:lineRule="auto" w:line="240" w:before="240" w:after="2"/>
        <w:rPr>
          <w:rFonts w:ascii="Times New Roman;sans-serif" w:hAnsi="Times New Roman;sans-serif"/>
          <w:b/>
          <w:color w:val="000000"/>
          <w:sz w:val="20"/>
        </w:rPr>
      </w:pPr>
      <w:r>
        <w:rPr>
          <w:rFonts w:ascii="Times New Roman;sans-serif" w:hAnsi="Times New Roman;sans-serif"/>
          <w:b/>
          <w:color w:val="000000"/>
          <w:sz w:val="20"/>
        </w:rPr>
        <w:t>Required Vote</w:t>
      </w:r>
    </w:p>
    <w:p>
      <w:pPr>
        <w:pStyle w:val="TextBody"/>
        <w:spacing w:lineRule="auto" w:line="288" w:before="200" w:after="200"/>
        <w:rPr/>
      </w:pPr>
      <w:r>
        <w:rPr>
          <w:rFonts w:ascii="Times New Roman;sans-serif" w:hAnsi="Times New Roman;sans-serif"/>
          <w:b/>
          <w:i/>
          <w:color w:val="000000"/>
          <w:sz w:val="20"/>
        </w:rPr>
        <w:t>Proposal 1:</w:t>
      </w:r>
      <w:r>
        <w:rPr>
          <w:color w:val="000000"/>
        </w:rPr>
        <w:t xml:space="preserve"> </w:t>
      </w:r>
      <w:r>
        <w:rPr>
          <w:rFonts w:ascii="Times New Roman;sans-serif" w:hAnsi="Times New Roman;sans-serif"/>
          <w:b w:val="false"/>
          <w:color w:val="000000"/>
          <w:sz w:val="20"/>
        </w:rPr>
        <w:t>Each director will be elected by a plurality of the votes cast at the meeting. This means that the three individuals nominated for election to the board of directors at the meeting receiving the highest number of votes cast “FOR” that nominee will be elected. You may either vote “FOR” one or more of the nominees or “WITHHOLD” your vote with respect to any or all of nominees. You may not cumulate votes in the election of directors.</w:t>
      </w:r>
    </w:p>
    <w:p>
      <w:pPr>
        <w:pStyle w:val="TextBody"/>
        <w:spacing w:lineRule="auto" w:line="288" w:before="0" w:after="200"/>
        <w:rPr/>
      </w:pPr>
      <w:r>
        <w:rPr>
          <w:rFonts w:ascii="Times New Roman;sans-serif" w:hAnsi="Times New Roman;sans-serif"/>
          <w:b/>
          <w:i/>
          <w:color w:val="000000"/>
          <w:sz w:val="20"/>
        </w:rPr>
        <w:t>Proposal 2:</w:t>
      </w:r>
      <w:r>
        <w:rPr>
          <w:color w:val="000000"/>
        </w:rPr>
        <w:t xml:space="preserve"> </w:t>
      </w:r>
      <w:r>
        <w:rPr>
          <w:rFonts w:ascii="Times New Roman;sans-serif" w:hAnsi="Times New Roman;sans-serif"/>
          <w:b w:val="false"/>
          <w:color w:val="000000"/>
          <w:sz w:val="20"/>
        </w:rPr>
        <w:t>Approval of the ratification of the appointment of our independent registered public accounting firm will be obtained if the number of votes cast “FOR” the proposal at the meeting exceeds the number of votes cast “AGAINST” the proposal.</w:t>
      </w:r>
    </w:p>
    <w:p>
      <w:pPr>
        <w:pStyle w:val="TextBody"/>
        <w:spacing w:lineRule="auto" w:line="288" w:before="0" w:after="200"/>
        <w:rPr/>
      </w:pPr>
      <w:r>
        <w:rPr>
          <w:rFonts w:ascii="Times New Roman;sans-serif" w:hAnsi="Times New Roman;sans-serif"/>
          <w:b/>
          <w:i/>
          <w:color w:val="000000"/>
          <w:sz w:val="20"/>
        </w:rPr>
        <w:t>Proposal 3:</w:t>
      </w:r>
      <w:r>
        <w:rPr>
          <w:color w:val="000000"/>
        </w:rPr>
        <w:t xml:space="preserve"> </w:t>
      </w:r>
      <w:r>
        <w:rPr>
          <w:rFonts w:ascii="Times New Roman;sans-serif" w:hAnsi="Times New Roman;sans-serif"/>
          <w:b w:val="false"/>
          <w:color w:val="000000"/>
          <w:sz w:val="20"/>
        </w:rPr>
        <w:t>The advisory vote on named executive officer compensation will be obtained if the number of votes cast “FOR” the proposal at the meeting exceeds the number of votes cast “AGAINST” the proposal. This vote is advisory and non-binding in nature.</w:t>
      </w:r>
    </w:p>
    <w:p>
      <w:pPr>
        <w:pStyle w:val="TextBody"/>
        <w:spacing w:lineRule="auto" w:line="288" w:before="0" w:after="200"/>
        <w:rPr/>
      </w:pPr>
      <w:r>
        <w:rPr>
          <w:rFonts w:ascii="Times New Roman;sans-serif" w:hAnsi="Times New Roman;sans-serif"/>
          <w:b/>
          <w:i/>
          <w:color w:val="000000"/>
          <w:sz w:val="20"/>
        </w:rPr>
        <w:t>Proposal 4</w:t>
      </w:r>
      <w:r>
        <w:rPr>
          <w:rFonts w:ascii="Times New Roman;sans-serif" w:hAnsi="Times New Roman;sans-serif"/>
          <w:b w:val="false"/>
          <w:color w:val="000000"/>
          <w:sz w:val="20"/>
        </w:rPr>
        <w:t>: Approval of our Amended and Restated Certificate of Incorporation will be obtained if the holders of a majority of our outstanding shares vote “FOR” the proposal at the meeting.</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A proxy submitted by a stockholder may indicate that the shares represented by the proxy are not being voted (stockholder withholding) with respect to a particular matter. In addition, a broker may not be permitted to vote on shares held in street name on a particular matter in the absence of instructions from the beneficial owner of the stock (broker non-vote). The shares subject to a proxy which are not being voted on a particular matter because of either stockholder withholding or abstaining or broker non-votes will count for purposes of determining the presence of a quorum, but are not treated as votes cast and, therefore, will have no effect on the election of directors, the ratification of the appointment of KPMG LLP or the advisory vote on our named executive officer compensation. Abstentions and broker non-votes will have the effect of an “against” vote for the proposal to approve the Amended and Restated Certificate of Incorporation. Proposal 2 is considered a routine proposal and is subject to the discretionary vote of the broker.</w:t>
      </w:r>
    </w:p>
    <w:p>
      <w:pPr>
        <w:pStyle w:val="TextBody"/>
        <w:spacing w:lineRule="auto" w:line="288" w:before="0" w:after="2"/>
        <w:rPr>
          <w:rFonts w:ascii="Times New Roman;sans-serif" w:hAnsi="Times New Roman;sans-serif"/>
          <w:b/>
          <w:color w:val="000000"/>
          <w:sz w:val="20"/>
        </w:rPr>
      </w:pPr>
      <w:r>
        <w:rPr>
          <w:rFonts w:ascii="Times New Roman;sans-serif" w:hAnsi="Times New Roman;sans-serif"/>
          <w:b/>
          <w:color w:val="000000"/>
          <w:sz w:val="20"/>
        </w:rPr>
        <w:t xml:space="preserve">Recommendations of the Board of Directors on Each of the Proposals Scheduled to be Voted on at the Meeting </w:t>
      </w:r>
    </w:p>
    <w:p>
      <w:pPr>
        <w:pStyle w:val="TextBody"/>
        <w:spacing w:lineRule="auto" w:line="288" w:before="200" w:after="200"/>
        <w:rPr/>
      </w:pPr>
      <w:r>
        <w:rPr>
          <w:rFonts w:ascii="Times New Roman;sans-serif" w:hAnsi="Times New Roman;sans-serif"/>
          <w:b w:val="false"/>
          <w:color w:val="000000"/>
          <w:sz w:val="20"/>
        </w:rPr>
        <w:t>The board of directors recommends that you vote “</w:t>
      </w:r>
      <w:r>
        <w:rPr>
          <w:rFonts w:ascii="Times New Roman;sans-serif" w:hAnsi="Times New Roman;sans-serif"/>
          <w:b/>
          <w:color w:val="000000"/>
          <w:sz w:val="20"/>
        </w:rPr>
        <w:t>FOR</w:t>
      </w:r>
      <w:r>
        <w:rPr>
          <w:color w:val="000000"/>
        </w:rPr>
        <w:t xml:space="preserve">” </w:t>
      </w:r>
      <w:r>
        <w:rPr>
          <w:rFonts w:ascii="Times New Roman;sans-serif" w:hAnsi="Times New Roman;sans-serif"/>
          <w:b w:val="false"/>
          <w:color w:val="000000"/>
          <w:sz w:val="20"/>
        </w:rPr>
        <w:t>the election of each of the Class III directors named in this proxy statement (Proposal 1), “</w:t>
      </w:r>
      <w:r>
        <w:rPr>
          <w:rFonts w:ascii="Times New Roman;sans-serif" w:hAnsi="Times New Roman;sans-serif"/>
          <w:b/>
          <w:color w:val="000000"/>
          <w:sz w:val="20"/>
        </w:rPr>
        <w:t>FOR</w:t>
      </w:r>
      <w:r>
        <w:rPr>
          <w:color w:val="000000"/>
        </w:rPr>
        <w:t xml:space="preserve">” </w:t>
      </w:r>
      <w:r>
        <w:rPr>
          <w:rFonts w:ascii="Times New Roman;sans-serif" w:hAnsi="Times New Roman;sans-serif"/>
          <w:b w:val="false"/>
          <w:color w:val="000000"/>
          <w:sz w:val="20"/>
        </w:rPr>
        <w:t>the ratification of the appointment of KPMG LLP as our independent registered public accounting firm for the fiscal year ending December 31, 2023 (Proposal 2), “</w:t>
      </w:r>
      <w:r>
        <w:rPr>
          <w:rFonts w:ascii="Times New Roman;sans-serif" w:hAnsi="Times New Roman;sans-serif"/>
          <w:b/>
          <w:color w:val="000000"/>
          <w:sz w:val="20"/>
        </w:rPr>
        <w:t>FOR</w:t>
      </w:r>
      <w:r>
        <w:rPr>
          <w:color w:val="000000"/>
        </w:rPr>
        <w:t xml:space="preserve">” </w:t>
      </w:r>
      <w:r>
        <w:rPr>
          <w:rFonts w:ascii="Times New Roman;sans-serif" w:hAnsi="Times New Roman;sans-serif"/>
          <w:b w:val="false"/>
          <w:color w:val="000000"/>
          <w:sz w:val="20"/>
        </w:rPr>
        <w:t>the non-binding advisory vote on named executive officer compensation (Proposal 3), and “</w:t>
      </w:r>
      <w:r>
        <w:rPr>
          <w:rFonts w:ascii="Times New Roman;sans-serif" w:hAnsi="Times New Roman;sans-serif"/>
          <w:b/>
          <w:color w:val="000000"/>
          <w:sz w:val="20"/>
        </w:rPr>
        <w:t>FOR</w:t>
      </w:r>
      <w:r>
        <w:rPr>
          <w:color w:val="000000"/>
        </w:rPr>
        <w:t xml:space="preserve">” </w:t>
      </w:r>
      <w:r>
        <w:rPr>
          <w:rFonts w:ascii="Times New Roman;sans-serif" w:hAnsi="Times New Roman;sans-serif"/>
          <w:b w:val="false"/>
          <w:color w:val="000000"/>
          <w:sz w:val="20"/>
        </w:rPr>
        <w:t>the approval of an Amended and Restated Certificate of Incorporation to permit the exculpation of officers (Proposal 4).</w:t>
      </w:r>
      <w:r>
        <w:br w:type="page"/>
      </w:r>
    </w:p>
    <w:p>
      <w:pPr>
        <w:pStyle w:val="TextBody"/>
        <w:spacing w:before="0" w:after="0"/>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88" w:before="200" w:after="200"/>
        <w:rPr>
          <w:rFonts w:ascii="Times New Roman;sans-serif" w:hAnsi="Times New Roman;sans-serif"/>
          <w:b/>
          <w:color w:val="000000"/>
          <w:sz w:val="20"/>
        </w:rPr>
      </w:pPr>
      <w:r>
        <w:rPr>
          <w:rFonts w:ascii="Times New Roman;sans-serif" w:hAnsi="Times New Roman;sans-serif"/>
          <w:b/>
          <w:color w:val="000000"/>
          <w:sz w:val="20"/>
        </w:rPr>
        <w:t xml:space="preserve">Voting Instructions; Voting of Proxies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If you are a stockholder of record, you may: </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vote in person - we will provide a ballot to stockholders who attend the meeting and wish to vote in person;</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vote through the Internet or by telephone - in order to do so, please follow the instructions shown on your Notice of Internet Availability or proxy card; or</w:t>
      </w:r>
    </w:p>
    <w:p>
      <w:pPr>
        <w:pStyle w:val="TextBody"/>
        <w:spacing w:lineRule="auto" w:line="288" w:before="0" w:after="200"/>
        <w:ind w:left="0" w:right="0" w:hanging="360"/>
        <w:rPr/>
      </w:pPr>
      <w:r>
        <w:rPr>
          <w:color w:val="000000"/>
        </w:rPr>
        <w:t>•</w:t>
      </w:r>
      <w:r>
        <w:rPr>
          <w:rFonts w:ascii="Times New Roman;sans-serif" w:hAnsi="Times New Roman;sans-serif"/>
          <w:b w:val="false"/>
          <w:color w:val="000000"/>
          <w:sz w:val="20"/>
        </w:rPr>
        <w:t>vote by mail - if you request or receive a paper proxy card and voting instructions by mail, simply complete, sign and date the proxy card and return it as soon as possible before the meeting in the envelope provided.</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 xml:space="preserve">Votes submitted through the Internet or by telephone must be received by 11:59 p.m., Eastern Time, on June 14, 2023. Submitting your proxy, whether by telephone, through the Internet or by mail if you request or received a paper proxy card, will not affect your right to vote in person should you decide to attend the meeting. If you are not the stockholder of record, please refer to the voting instructions provided by your nominee to direct it how to vote your shares. </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For Proposal 1, you may vote “FOR” each of the nominees to the board of directors or you may withhold your vote from any nominee you specify. A withhold vote will have the same effect as a vote to abstain.</w:t>
      </w:r>
    </w:p>
    <w:p>
      <w:pPr>
        <w:pStyle w:val="TextBody"/>
        <w:spacing w:lineRule="auto" w:line="240" w:before="0" w:after="2"/>
        <w:rPr>
          <w:rFonts w:ascii="Times New Roman;sans-serif" w:hAnsi="Times New Roman;sans-serif"/>
          <w:b w:val="false"/>
          <w:color w:val="000000"/>
          <w:sz w:val="20"/>
        </w:rPr>
      </w:pPr>
      <w:r>
        <w:rPr>
          <w:rFonts w:ascii="Times New Roman;sans-serif" w:hAnsi="Times New Roman;sans-serif"/>
          <w:b w:val="false"/>
          <w:color w:val="000000"/>
          <w:sz w:val="20"/>
        </w:rPr>
        <w:t xml:space="preserve">For Proposal 2, Proposal 3 and Proposal 4, you may vote “FOR” or “AGAINST” or “ABSTAIN” from voting. Your vote is important. Whether or not you plan to attend the meeting, we urge you to vote by proxy to ensure that your vote is counted. </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 xml:space="preserve">All proxies will be voted in accordance with the instructions specified on the proxy card. If you sign a physical proxy card and return it without instructions as to how your shares should be voted on a particular proposal at the meeting, your shares will be voted in accordance with the recommendations of our board of directors stated above. </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 xml:space="preserve">If you received a Notice of Internet Availability, please follow the instructions included on the notice on how to access your proxy card and vote by telephone or through the Internet. If you do not vote and you hold your shares in street name, and your broker does not have discretionary power to vote your shares, your shares may constitute “broker non-votes” (as described above) and will not be counted in determining the number of shares necessary for approval of the proposals. However, shares that constitute broker non-votes will be counted for the purpose of establishing a quorum for the meeting. </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If you receive more than one proxy card or Notice of Internet Availability, your shares are registered in more than one name or are registered in different accounts. To make certain all of your shares are voted, please follow the instructions included on the Notice of Internet Availability on how to access each proxy card and vote each proxy card by telephone or through the Internet. If you requested or received paper proxy materials by mail, please complete, sign and return each proxy card to ensure that all of your shares are voted.</w:t>
      </w:r>
    </w:p>
    <w:p>
      <w:pPr>
        <w:pStyle w:val="TextBody"/>
        <w:spacing w:lineRule="auto" w:line="288" w:before="0" w:after="200"/>
        <w:rPr>
          <w:rFonts w:ascii="Times New Roman;sans-serif" w:hAnsi="Times New Roman;sans-serif"/>
          <w:b/>
          <w:color w:val="000000"/>
          <w:sz w:val="20"/>
        </w:rPr>
      </w:pPr>
      <w:r>
        <w:rPr>
          <w:rFonts w:ascii="Times New Roman;sans-serif" w:hAnsi="Times New Roman;sans-serif"/>
          <w:b/>
          <w:color w:val="000000"/>
          <w:sz w:val="20"/>
        </w:rPr>
        <w:t xml:space="preserve">Expenses of Soliciting Proxies </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We will pay the expenses associated with soliciting proxies. Following the original distribution and mailing of the solicitation materials, we or our agents may solicit proxies by mail, electronic mail, telephone, facsimile, by other similar means, or in person. Our directors, officers and other employees, without additional compensation, may solicit proxies personally or in writing, by telephone, e-mail or otherwise. Following the original distribution and mailing of the solicitation materials, we will request brokers, custodians, nominees and other record holders to forward copies of those materials to persons for whom they hold shares and to request authority for the exercise of proxies. In such cases, we, upon the request of the record holders, will reimburse such holders for their reasonable expenses. If you choose to access the proxy materials and/or vote through the Internet, you are responsible for any Internet access charges you may incur.</w:t>
      </w:r>
    </w:p>
    <w:p>
      <w:pPr>
        <w:pStyle w:val="TextBody"/>
        <w:spacing w:lineRule="auto" w:line="288" w:before="0" w:after="200"/>
        <w:rPr>
          <w:rFonts w:ascii="Times New Roman;sans-serif" w:hAnsi="Times New Roman;sans-serif"/>
          <w:b/>
          <w:color w:val="000000"/>
          <w:sz w:val="20"/>
        </w:rPr>
      </w:pPr>
      <w:r>
        <w:rPr>
          <w:rFonts w:ascii="Times New Roman;sans-serif" w:hAnsi="Times New Roman;sans-serif"/>
          <w:b/>
          <w:color w:val="000000"/>
          <w:sz w:val="20"/>
        </w:rPr>
        <w:t xml:space="preserve">Revocability of Proxies </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A stockholder of record who has given a proxy may revoke it at any time before the closing of the polls by the inspector of elections at the meeting by:</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delivering to our Corporate Secretary (by any means) a written notice stating that the proxy is revoked;</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signing and delivering a proxy bearing a later date;</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voting again through the Internet or by telephone; or</w:t>
      </w:r>
    </w:p>
    <w:p>
      <w:pPr>
        <w:pStyle w:val="TextBody"/>
        <w:spacing w:lineRule="auto" w:line="288" w:before="0" w:after="200"/>
        <w:ind w:left="0" w:right="0" w:hanging="360"/>
        <w:rPr/>
      </w:pPr>
      <w:r>
        <w:rPr>
          <w:color w:val="000000"/>
        </w:rPr>
        <w:t>•</w:t>
      </w:r>
      <w:r>
        <w:rPr>
          <w:rFonts w:ascii="Times New Roman;sans-serif" w:hAnsi="Times New Roman;sans-serif"/>
          <w:b w:val="false"/>
          <w:color w:val="000000"/>
          <w:sz w:val="20"/>
        </w:rPr>
        <w:t>attending and voting at the meeting (although attendance at the meeting will not, by itself, revoke a proxy).</w:t>
      </w:r>
      <w:r>
        <w:br w:type="page"/>
      </w:r>
    </w:p>
    <w:p>
      <w:pPr>
        <w:pStyle w:val="TextBody"/>
        <w:spacing w:before="0" w:after="0"/>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 xml:space="preserve">Please note, however, that if your shares are held of record by a brokerage firm, bank or other nominee and you wish to revoke a proxy, you must contact that firm to revoke or change any prior voting instructions. </w:t>
      </w:r>
    </w:p>
    <w:p>
      <w:pPr>
        <w:pStyle w:val="TextBody"/>
        <w:spacing w:lineRule="auto" w:line="288" w:before="0" w:after="200"/>
        <w:rPr>
          <w:rFonts w:ascii="Times New Roman;sans-serif" w:hAnsi="Times New Roman;sans-serif"/>
          <w:b/>
          <w:color w:val="000000"/>
          <w:sz w:val="20"/>
        </w:rPr>
      </w:pPr>
      <w:r>
        <w:rPr>
          <w:rFonts w:ascii="Times New Roman;sans-serif" w:hAnsi="Times New Roman;sans-serif"/>
          <w:b/>
          <w:color w:val="000000"/>
          <w:sz w:val="20"/>
        </w:rPr>
        <w:t xml:space="preserve">Electronic Access to the Proxy Materials </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The Notice of Internet Availability will provide you with instructions regarding how to: </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view our proxy materials for the meeting through the Internet;</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instruct us to mail paper copies of our future proxy materials to you; and</w:t>
      </w:r>
    </w:p>
    <w:p>
      <w:pPr>
        <w:pStyle w:val="TextBody"/>
        <w:spacing w:lineRule="auto" w:line="288" w:before="0" w:after="200"/>
        <w:ind w:left="0" w:right="0" w:hanging="360"/>
        <w:rPr/>
      </w:pPr>
      <w:r>
        <w:rPr>
          <w:color w:val="000000"/>
        </w:rPr>
        <w:t>•</w:t>
      </w:r>
      <w:r>
        <w:rPr>
          <w:rFonts w:ascii="Times New Roman;sans-serif" w:hAnsi="Times New Roman;sans-serif"/>
          <w:b w:val="false"/>
          <w:color w:val="000000"/>
          <w:sz w:val="20"/>
        </w:rPr>
        <w:t>instruct us to send our future proxy materials to you electronically by email.</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 xml:space="preserve">Choosing to receive your future proxy materials by email will reduce the impact of our annual meetings of stockholders on the environment and lower the costs of printing and distributing our proxy materials. If you choose to receive future proxy materials by email, you will receive an email next year with instructions containing a link to those materials and a link to the proxy voting site. Your election to receive proxy materials by email will remain in effect until you terminate it. </w:t>
      </w:r>
    </w:p>
    <w:p>
      <w:pPr>
        <w:pStyle w:val="TextBody"/>
        <w:spacing w:lineRule="auto" w:line="288" w:before="0" w:after="200"/>
        <w:rPr>
          <w:rFonts w:ascii="Times New Roman;sans-serif" w:hAnsi="Times New Roman;sans-serif"/>
          <w:b/>
          <w:color w:val="000000"/>
          <w:sz w:val="20"/>
        </w:rPr>
      </w:pPr>
      <w:r>
        <w:rPr>
          <w:rFonts w:ascii="Times New Roman;sans-serif" w:hAnsi="Times New Roman;sans-serif"/>
          <w:b/>
          <w:color w:val="000000"/>
          <w:sz w:val="20"/>
        </w:rPr>
        <w:t xml:space="preserve">Voting Results </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Voting results will be tabulated and certified by the inspector of elections appointed for the meeting. The preliminary voting results will be announced at the meeting and posted on our website at http://ir.anaptysbio.com. The final results will be tallied by the inspector of elections and filed with the SEC in a current report on Form 8-K within four business days of the meeting.</w:t>
      </w:r>
    </w:p>
    <w:p>
      <w:pPr>
        <w:pStyle w:val="TextBody"/>
        <w:spacing w:lineRule="auto" w:line="288" w:before="0" w:after="200"/>
        <w:rPr>
          <w:rFonts w:ascii="Times New Roman;sans-serif" w:hAnsi="Times New Roman;sans-serif"/>
          <w:b/>
          <w:color w:val="000000"/>
          <w:sz w:val="20"/>
        </w:rPr>
      </w:pPr>
      <w:r>
        <w:rPr>
          <w:rFonts w:ascii="Times New Roman;sans-serif" w:hAnsi="Times New Roman;sans-serif"/>
          <w:b/>
          <w:color w:val="000000"/>
          <w:sz w:val="20"/>
        </w:rPr>
        <w:t>Implications of being a “Smaller Reporting Company”</w:t>
      </w:r>
    </w:p>
    <w:p>
      <w:pPr>
        <w:pStyle w:val="TextBody"/>
        <w:spacing w:lineRule="auto" w:line="288" w:before="0" w:after="2"/>
        <w:rPr>
          <w:rFonts w:ascii="Times New Roman;sans-serif" w:hAnsi="Times New Roman;sans-serif"/>
          <w:b w:val="false"/>
          <w:color w:val="000000"/>
          <w:sz w:val="20"/>
        </w:rPr>
      </w:pPr>
      <w:r>
        <w:rPr>
          <w:rFonts w:ascii="Times New Roman;sans-serif" w:hAnsi="Times New Roman;sans-serif"/>
          <w:b w:val="false"/>
          <w:color w:val="000000"/>
          <w:sz w:val="20"/>
        </w:rPr>
        <w:t>We are a “smaller reporting company,” as defined in Rule 12b-2 under the Exchange Act of 1934, as amended (the “Exchange Act”), and have elected to provide in this proxy statement certain scaled disclosures permitted under the Exchange Act for smaller reporting companies. We will remain a “smaller reporting company” until the fiscal year following the determination that our voting and non-voting common shares held by non-affiliates is at least $250 million measured on the last business day of our second fiscal quarter, or our annual revenues are at least $100 million during the most recently completed fiscal year and our voting and non-voting common shares held by non-affiliates is at least $700 million measured on the last business day of our second fiscal quarter. Accordingly, the information contained in this proxy statement and the matters to be voted on at the Annual Meeting may not be as extensive as the information and proxy proposals submitted by other public companies that are not smaller reporting companies.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 xml:space="preserve">CORPORATE GOVERNANCE STANDARDS AND DIRECTOR INDEPENDENCE </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We are committed to good corporate governance practices. These practices provide an important framework within which our board of directors and management pursue our strategic objectives for the benefit of our stockholders.</w:t>
      </w:r>
    </w:p>
    <w:p>
      <w:pPr>
        <w:pStyle w:val="TextBody"/>
        <w:spacing w:lineRule="auto" w:line="288" w:before="0" w:after="200"/>
        <w:rPr>
          <w:rFonts w:ascii="Times New Roman;sans-serif" w:hAnsi="Times New Roman;sans-serif"/>
          <w:b/>
          <w:color w:val="000000"/>
          <w:sz w:val="20"/>
        </w:rPr>
      </w:pPr>
      <w:r>
        <w:rPr>
          <w:rFonts w:ascii="Times New Roman;sans-serif" w:hAnsi="Times New Roman;sans-serif"/>
          <w:b/>
          <w:color w:val="000000"/>
          <w:sz w:val="20"/>
        </w:rPr>
        <w:t xml:space="preserve">Corporate Governance Guidelines </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Our board of directors has adopted Corporate Governance Guidelines that set forth expectations for directors, director independence standards, board committee structure and functions and other policies for the governance of the company. Our Corporate Governance Guidelines are available without charge on the investor relations section of our website at http://ir.anaptysbio.com.</w:t>
      </w:r>
    </w:p>
    <w:p>
      <w:pPr>
        <w:pStyle w:val="TextBody"/>
        <w:spacing w:lineRule="auto" w:line="288" w:before="0" w:after="200"/>
        <w:rPr>
          <w:rFonts w:ascii="Times New Roman;sans-serif" w:hAnsi="Times New Roman;sans-serif"/>
          <w:b/>
          <w:color w:val="000000"/>
          <w:sz w:val="20"/>
        </w:rPr>
      </w:pPr>
      <w:r>
        <w:rPr>
          <w:rFonts w:ascii="Times New Roman;sans-serif" w:hAnsi="Times New Roman;sans-serif"/>
          <w:b/>
          <w:color w:val="000000"/>
          <w:sz w:val="20"/>
        </w:rPr>
        <w:t xml:space="preserve">Board Composition and Leadership Structure </w:t>
      </w:r>
    </w:p>
    <w:p>
      <w:pPr>
        <w:pStyle w:val="TextBody"/>
        <w:spacing w:lineRule="auto" w:line="288" w:before="0" w:after="200"/>
        <w:rPr/>
      </w:pPr>
      <w:r>
        <w:rPr>
          <w:rFonts w:ascii="Times New Roman;sans-serif" w:hAnsi="Times New Roman;sans-serif"/>
          <w:b w:val="false"/>
          <w:color w:val="000000"/>
          <w:sz w:val="20"/>
        </w:rPr>
        <w:t xml:space="preserve">The positions of Chief Executive Officer and Chairman of our board of directors are held by two different individuals. Daniel Faga has served as our </w:t>
      </w:r>
      <w:r>
        <w:rPr>
          <w:rFonts w:ascii="Times New Roman;sans-serif" w:hAnsi="Times New Roman;sans-serif"/>
          <w:b w:val="false"/>
          <w:color w:val="000000"/>
          <w:sz w:val="20"/>
          <w:highlight w:val="white"/>
        </w:rPr>
        <w:t>Interim President and Chief Executive Officer since March 21, 2022.</w:t>
      </w:r>
      <w:r>
        <w:rPr>
          <w:color w:val="000000"/>
        </w:rPr>
        <w:t xml:space="preserve"> </w:t>
      </w:r>
      <w:r>
        <w:rPr>
          <w:rFonts w:ascii="Times New Roman;sans-serif" w:hAnsi="Times New Roman;sans-serif"/>
          <w:b w:val="false"/>
          <w:color w:val="000000"/>
          <w:sz w:val="20"/>
        </w:rPr>
        <w:t>Dr. James Topper serves as Chairman of our board of directors. This separated structure allows our Chief Executive Officer to focus on our day-to-day business while our Chairman leads our board of directors in its fundamental role of providing advice to, and independent oversight of, management. Our board of directors believes such separation is appropriate, as it enhances the accountability of the Chief Executive Officer to the board of directors and strengthens the independence of the board of directors from management. Our board of directors also has a Lead Independent Director, Mr. Hollings Renton.</w:t>
      </w:r>
    </w:p>
    <w:p>
      <w:pPr>
        <w:pStyle w:val="TextBody"/>
        <w:spacing w:lineRule="auto" w:line="288" w:before="0" w:after="200"/>
        <w:rPr>
          <w:rFonts w:ascii="Times New Roman;sans-serif" w:hAnsi="Times New Roman;sans-serif"/>
          <w:b/>
          <w:color w:val="000000"/>
          <w:sz w:val="20"/>
        </w:rPr>
      </w:pPr>
      <w:r>
        <w:rPr>
          <w:rFonts w:ascii="Times New Roman;sans-serif" w:hAnsi="Times New Roman;sans-serif"/>
          <w:b/>
          <w:color w:val="000000"/>
          <w:sz w:val="20"/>
        </w:rPr>
        <w:t xml:space="preserve">Board’s Role in Risk Oversight </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Our board of directors believes that open communication between management and the board of directors is essential for effective risk management and oversight. Our board of directors meets with our Chief Executive Officer and other members of the senior management team at quarterly board of directors’ meetings, where, among other topics, they discuss strategy and risks in the context of reports from the management team and evaluate the risks inherent in significant transactions. While our board of directors is ultimately responsible for risk oversight, our board committees assist the board of directors in fulfilling its oversight responsibilities in certain areas of risk. The audit committee assists our board of directors in fulfilling its oversight responsibilities with respect to risk management in the areas of cybersecurity assessment and internal control over financial reporting and disclosure controls and procedures. The compensation committee assists our board of directors in assessing risks created by the incentives inherent in our compensation policies. The nominating and corporate governance committee assists our board of directors in fulfilling its oversight responsibilities with respect to the management of corporate, legal and regulatory risk.</w:t>
      </w:r>
    </w:p>
    <w:p>
      <w:pPr>
        <w:pStyle w:val="TextBody"/>
        <w:spacing w:lineRule="auto" w:line="288" w:before="0" w:after="200"/>
        <w:rPr>
          <w:rFonts w:ascii="Times New Roman;sans-serif" w:hAnsi="Times New Roman;sans-serif"/>
          <w:b/>
          <w:color w:val="000000"/>
          <w:sz w:val="20"/>
        </w:rPr>
      </w:pPr>
      <w:r>
        <w:rPr>
          <w:rFonts w:ascii="Times New Roman;sans-serif" w:hAnsi="Times New Roman;sans-serif"/>
          <w:b/>
          <w:color w:val="000000"/>
          <w:sz w:val="20"/>
        </w:rPr>
        <w:t xml:space="preserve">Director Independence </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Our common stock is listed on The Nasdaq Global Select Market (“Nasdaq”). Under Nasdaq rules, independent directors must comprise a majority of a listed company’s board of directors. In addition, Nasdaq rules require that, subject to specified exceptions, each member of a listed company’s audit, compensation and nominating and corporate governance committees be independent. Under Nasdaq rules,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Audit committee members must also satisfy the independence criteria set forth in Rule 10A-3 under the Securities Exchange Act of 1934, as amended. In order to be considered independent for purposes of Rule 10A-3, a member of an audit committee of a listed company may not, other than in his or her capacity as a member of the audit committee, the board of directors or any other board committee: (i) accept, directly or indirectly, any consulting, advisory or other compensatory fee from the listed company or any of its subsidiaries; or (ii) be an affiliated person of the listed company or any of its subsidiaries.</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of directors has undertaken a review of the independence of each director and considered whether each director has a material relationship with us that could compromise his or her ability to exercise independent judgment in carrying out his or her responsibilities. As a result of this review, our board of directors determined that Dr. Fenton, Dr. Jain, Dr. Marquet, Mr. Renton, Mr. Schmid, Dr. Topper, Mr. Nodelman and Dr. Ware, representing eight of our nine directors, are “independent directors” as defined under the applicable rules and regulations of the SEC, and the listing requirements and rules of Nasdaq. Our board of directors determined that Mr. Faga was an independent director during fiscal year 2021. Mr. </w:t>
      </w:r>
      <w:r>
        <w:br w:type="page"/>
      </w:r>
    </w:p>
    <w:p>
      <w:pPr>
        <w:pStyle w:val="TextBody"/>
        <w:spacing w:before="0" w:after="0"/>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0" w:after="200"/>
        <w:rPr/>
      </w:pPr>
      <w:r>
        <w:rPr>
          <w:rFonts w:ascii="Times New Roman;sans-serif" w:hAnsi="Times New Roman;sans-serif"/>
          <w:b w:val="false"/>
          <w:color w:val="000000"/>
          <w:sz w:val="20"/>
        </w:rPr>
        <w:t xml:space="preserve">Faga is not independent given his role as our </w:t>
      </w:r>
      <w:r>
        <w:rPr>
          <w:rFonts w:ascii="Times New Roman;sans-serif" w:hAnsi="Times New Roman;sans-serif"/>
          <w:b w:val="false"/>
          <w:color w:val="000000"/>
          <w:sz w:val="20"/>
          <w:highlight w:val="white"/>
        </w:rPr>
        <w:t>Interim President and Chief Executive Officer.</w:t>
      </w:r>
      <w:r>
        <w:rPr>
          <w:color w:val="000000"/>
        </w:rPr>
        <w:t xml:space="preserve"> </w:t>
      </w:r>
      <w:r>
        <w:rPr>
          <w:rFonts w:ascii="Times New Roman;sans-serif" w:hAnsi="Times New Roman;sans-serif"/>
          <w:b w:val="false"/>
          <w:color w:val="000000"/>
          <w:sz w:val="20"/>
        </w:rPr>
        <w:t>In making these determinations, our board of directors reviewed and discussed information provided by the directors and us with regard to each director’s business and personal activities and relationships as they may relate to us and our management, including the beneficial ownership of our capital stock by each non-employee director and the transactions involving them described in the section entitled “Certain Relationships and Related-Party Transactions.”</w:t>
      </w:r>
    </w:p>
    <w:p>
      <w:pPr>
        <w:pStyle w:val="TextBody"/>
        <w:spacing w:lineRule="auto" w:line="288" w:before="0" w:after="200"/>
        <w:rPr>
          <w:rFonts w:ascii="Times New Roman;sans-serif" w:hAnsi="Times New Roman;sans-serif"/>
          <w:b/>
          <w:color w:val="000000"/>
          <w:sz w:val="20"/>
        </w:rPr>
      </w:pPr>
      <w:r>
        <w:rPr>
          <w:rFonts w:ascii="Times New Roman;sans-serif" w:hAnsi="Times New Roman;sans-serif"/>
          <w:b/>
          <w:color w:val="000000"/>
          <w:sz w:val="20"/>
        </w:rPr>
        <w:t xml:space="preserve">Committees of Our Board of Directors </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Our board of directors has an audit committee, a compensation committee and a nominating and corporate governance committee, each of which has the composition and responsibilities described below. Members serve on these committees until their resignation or until otherwise determined by our board of directors. Each committee operates under a charter approved by our board of directors. Copies of each committee’s charter are posted on the investor relations section of our website at http://ir.anaptysbio.com.</w:t>
      </w:r>
    </w:p>
    <w:p>
      <w:pPr>
        <w:pStyle w:val="TextBody"/>
        <w:spacing w:lineRule="auto" w:line="288" w:before="0" w:after="200"/>
        <w:rPr>
          <w:rFonts w:ascii="Times New Roman;sans-serif" w:hAnsi="Times New Roman;sans-serif"/>
          <w:b/>
          <w:i/>
          <w:color w:val="000000"/>
          <w:sz w:val="20"/>
        </w:rPr>
      </w:pPr>
      <w:r>
        <w:rPr>
          <w:rFonts w:ascii="Times New Roman;sans-serif" w:hAnsi="Times New Roman;sans-serif"/>
          <w:b/>
          <w:i/>
          <w:color w:val="000000"/>
          <w:sz w:val="20"/>
        </w:rPr>
        <w:t xml:space="preserve">Audit Committee </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Our audit committee is composed of Dr. Marquet, Mr. Schmid and Dr. Ware. Mr. Schmid is the chairperson of our audit committee. Dr. Marquet, Mr. Schmid and Dr. Ware each meet the requirements for independence under the current Nasdaq listing standards and SEC rules and regulations. Each member of our audit committee is financially literate. In addition, our board of directors has determined that Mr. Schmid is an “audit committee financial expert” as defined in Item 407(d)(5)(ii) of Regulation S-K promulgated under the Securities Act. This designation does not impose any duties, obligations or liabilities that are greater than are generally imposed on members of our audit committee and our board of directors. Our audit committee is responsible for, among other things: </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 xml:space="preserve">our accounting and financial reporting processes, including our financial statement audits and the integrity of our financial statements; </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 xml:space="preserve">our compliance with legal and regulatory requirements; </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 xml:space="preserve">reviewing and approving related person transactions; </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 xml:space="preserve">selecting and hiring our registered independent public accounting firm; </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assisting the board of directors with risk assessment and management, including cybersecurity risk management;</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 xml:space="preserve">the qualifications, independence and performance of our independent auditors; and </w:t>
      </w:r>
    </w:p>
    <w:p>
      <w:pPr>
        <w:pStyle w:val="TextBody"/>
        <w:spacing w:lineRule="auto" w:line="288" w:before="0" w:after="200"/>
        <w:ind w:left="0" w:right="0" w:hanging="360"/>
        <w:rPr/>
      </w:pPr>
      <w:r>
        <w:rPr>
          <w:color w:val="000000"/>
        </w:rPr>
        <w:t>•</w:t>
      </w:r>
      <w:r>
        <w:rPr>
          <w:rFonts w:ascii="Times New Roman;sans-serif" w:hAnsi="Times New Roman;sans-serif"/>
          <w:b w:val="false"/>
          <w:color w:val="000000"/>
          <w:sz w:val="20"/>
        </w:rPr>
        <w:t>the preparation of the audit committee report to be included in our annual proxy statement.</w:t>
      </w:r>
    </w:p>
    <w:p>
      <w:pPr>
        <w:pStyle w:val="TextBody"/>
        <w:spacing w:lineRule="auto" w:line="288" w:before="0" w:after="200"/>
        <w:rPr>
          <w:rFonts w:ascii="Times New Roman;sans-serif" w:hAnsi="Times New Roman;sans-serif"/>
          <w:b/>
          <w:i/>
          <w:color w:val="000000"/>
          <w:sz w:val="20"/>
        </w:rPr>
      </w:pPr>
      <w:r>
        <w:rPr>
          <w:rFonts w:ascii="Times New Roman;sans-serif" w:hAnsi="Times New Roman;sans-serif"/>
          <w:b/>
          <w:i/>
          <w:color w:val="000000"/>
          <w:sz w:val="20"/>
        </w:rPr>
        <w:t xml:space="preserve">Compensation Committee </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Our compensation committee is composed of Dr. Fenton, Dr. Jain and Mr. Schmid. Dr. Fenton is the chairperson of our compensation committee. The composition of our compensation committee meets the requirements for independence under the current Nasdaq listing standards and SEC rules and regulations. Each member of this committee is (i) an outside director, as defined pursuant to Section 162(m) of the Internal Revenue Code of 1986, as amended (the “Code”), and (ii) a non-employee director, as defined in Rule 16b-3 promulgated under the Exchange Act. Our compensation committee is responsible for, among other things:</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 xml:space="preserve">evaluating, recommending, approving and reviewing executive officer and director compensation arrangements, plans, policies and programs; </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 xml:space="preserve">administering our cash-based and equity-based compensation plans; </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making recommendations to our board of directors regarding any other board of director responsibilities relating to executive compensation;</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reviewing our compensation policies for elements of risk;</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reviewing and discussing with management the disclosures contained under the caption “Compensation Discussion and Analysis” for use in our annual proxy statement, if required; and</w:t>
      </w:r>
    </w:p>
    <w:p>
      <w:pPr>
        <w:pStyle w:val="TextBody"/>
        <w:spacing w:lineRule="auto" w:line="288" w:before="0" w:after="200"/>
        <w:ind w:left="0" w:right="0" w:hanging="360"/>
        <w:rPr/>
      </w:pPr>
      <w:r>
        <w:rPr>
          <w:color w:val="000000"/>
        </w:rPr>
        <w:t>•</w:t>
      </w:r>
      <w:r>
        <w:rPr>
          <w:rFonts w:ascii="Times New Roman;sans-serif" w:hAnsi="Times New Roman;sans-serif"/>
          <w:b w:val="false"/>
          <w:color w:val="000000"/>
          <w:sz w:val="20"/>
        </w:rPr>
        <w:t>performing the other responsibilities set forth in its charters as in effect from time to time.</w:t>
      </w:r>
      <w:r>
        <w:br w:type="page"/>
      </w:r>
    </w:p>
    <w:p>
      <w:pPr>
        <w:pStyle w:val="TextBody"/>
        <w:spacing w:before="0" w:after="0"/>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Our compensation committee retained an independent compensation consultant, Compensia, Inc. (“Compensia”), a national compensation consulting firm, to assist in structuring our executive officer and director compensation on an ongoing basis. Compensia provided our compensation committee with market data and analyses from a peer group of biotechnology companies with product candidates in a similar stage of development and similar financial and size characteristics. Compensia has not provided our company or our compensation committee with any other services that would compromise its independence or pose a conflict of interest.</w:t>
      </w:r>
    </w:p>
    <w:p>
      <w:pPr>
        <w:pStyle w:val="TextBody"/>
        <w:spacing w:lineRule="auto" w:line="240" w:before="0" w:after="200"/>
        <w:rPr>
          <w:rFonts w:ascii="Times New Roman;sans-serif" w:hAnsi="Times New Roman;sans-serif"/>
          <w:b/>
          <w:i/>
          <w:color w:val="000000"/>
          <w:sz w:val="20"/>
        </w:rPr>
      </w:pPr>
      <w:r>
        <w:rPr>
          <w:rFonts w:ascii="Times New Roman;sans-serif" w:hAnsi="Times New Roman;sans-serif"/>
          <w:b/>
          <w:i/>
          <w:color w:val="000000"/>
          <w:sz w:val="20"/>
        </w:rPr>
        <w:t xml:space="preserve">Nominating and Corporate Governance Committee </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 xml:space="preserve">Our nominating and corporate governance committee is composed of Mr. Nodelman, Mr. Renton, Dr. Topper and Dr. Ware. Mr. Renton is the chairperson of our nominating and corporate governance committee. The composition of our nominating and corporate governance committee meets the requirements for independence under the current Nasdaq listing standards and SEC rules and regulations. Our nominating and corporate governance committee is responsible for, among other things: </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 xml:space="preserve">identifying, considering and recommending candidates for membership on our board of directors; </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developing and recommending corporate governance guidelines and policies;</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 xml:space="preserve">overseeing the process of evaluating the performance of our board of directors; and </w:t>
      </w:r>
    </w:p>
    <w:p>
      <w:pPr>
        <w:pStyle w:val="TextBody"/>
        <w:spacing w:lineRule="auto" w:line="288" w:before="0" w:after="200"/>
        <w:ind w:left="0" w:right="0" w:hanging="360"/>
        <w:rPr/>
      </w:pPr>
      <w:r>
        <w:rPr>
          <w:color w:val="000000"/>
        </w:rPr>
        <w:t>•</w:t>
      </w:r>
      <w:r>
        <w:rPr>
          <w:rFonts w:ascii="Times New Roman;sans-serif" w:hAnsi="Times New Roman;sans-serif"/>
          <w:b w:val="false"/>
          <w:color w:val="000000"/>
          <w:sz w:val="20"/>
        </w:rPr>
        <w:t xml:space="preserve">advising our board of directors on other corporate governance matters. </w:t>
      </w:r>
    </w:p>
    <w:p>
      <w:pPr>
        <w:pStyle w:val="TextBody"/>
        <w:spacing w:lineRule="auto" w:line="288" w:before="0" w:after="200"/>
        <w:rPr>
          <w:rFonts w:ascii="Times New Roman;sans-serif" w:hAnsi="Times New Roman;sans-serif"/>
          <w:b/>
          <w:color w:val="000000"/>
          <w:sz w:val="20"/>
        </w:rPr>
      </w:pPr>
      <w:r>
        <w:rPr>
          <w:rFonts w:ascii="Times New Roman;sans-serif" w:hAnsi="Times New Roman;sans-serif"/>
          <w:b/>
          <w:color w:val="000000"/>
          <w:sz w:val="20"/>
        </w:rPr>
        <w:t xml:space="preserve">Codes of Business Conduct and Ethics </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Our board of directors has adopted a code of business conduct and ethics that applies to all of our employees, officers and directors, including our Chief Executive Officer, Chief Financial Officer and other executive and senior financial officers. The full text of our code of conduct is posted on the investor relations section of our website at http://ir.anaptysbio.com by clicking on “Governance.” Any amendments or waivers of our Code of Conduct for Directors or our Code of Conduct for Employees pertaining to a member of our board of directors or one of our executive officers will be disclosed on our website at the above-referenced address.</w:t>
      </w:r>
    </w:p>
    <w:p>
      <w:pPr>
        <w:pStyle w:val="TextBody"/>
        <w:spacing w:lineRule="auto" w:line="288" w:before="0" w:after="200"/>
        <w:rPr>
          <w:rFonts w:ascii="Times New Roman;sans-serif" w:hAnsi="Times New Roman;sans-serif"/>
          <w:b/>
          <w:color w:val="000000"/>
          <w:sz w:val="20"/>
        </w:rPr>
      </w:pPr>
      <w:r>
        <w:rPr>
          <w:rFonts w:ascii="Times New Roman;sans-serif" w:hAnsi="Times New Roman;sans-serif"/>
          <w:b/>
          <w:color w:val="000000"/>
          <w:sz w:val="20"/>
        </w:rPr>
        <w:t>Hedging and Pledging Prohibitions</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Under our Insider Trading Policy, our employees, executive officers, and members of our board of directors are prohibited from engaging in certain speculative transactions including, among other things: (i) acquiring, selling, or trading in any interest or position relating to the future price of our securities, such as a put option, a call option, or a short sale (including a short sale “against the box”); (ii) engaging in hedging or monetization transactions, including prepaid variable forward contracts, equity swaps, collars and exchange funds; or (iii) purchasing our securities on margin, borrowing against any account in which our securities are held, or pledging our securities as collateral for a loan.</w:t>
      </w:r>
    </w:p>
    <w:p>
      <w:pPr>
        <w:pStyle w:val="TextBody"/>
        <w:spacing w:lineRule="auto" w:line="288" w:before="0" w:after="200"/>
        <w:rPr>
          <w:rFonts w:ascii="Times New Roman;sans-serif" w:hAnsi="Times New Roman;sans-serif"/>
          <w:b/>
          <w:color w:val="000000"/>
          <w:sz w:val="20"/>
        </w:rPr>
      </w:pPr>
      <w:r>
        <w:rPr>
          <w:rFonts w:ascii="Times New Roman;sans-serif" w:hAnsi="Times New Roman;sans-serif"/>
          <w:b/>
          <w:color w:val="000000"/>
          <w:sz w:val="20"/>
        </w:rPr>
        <w:t xml:space="preserve">Compensation Committee Interlocks and Insider Participation </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 xml:space="preserve">None of our executive officers has served as a member of the board of directors, or as a member of the compensation or similar committee, of any entity that has one or more executive officers who served on our board of directors or compensation committee during the year ended December 31, 2022. </w:t>
      </w:r>
    </w:p>
    <w:p>
      <w:pPr>
        <w:pStyle w:val="TextBody"/>
        <w:spacing w:lineRule="auto" w:line="288" w:before="0" w:after="200"/>
        <w:rPr>
          <w:rFonts w:ascii="Times New Roman;sans-serif" w:hAnsi="Times New Roman;sans-serif"/>
          <w:b/>
          <w:color w:val="000000"/>
          <w:sz w:val="20"/>
        </w:rPr>
      </w:pPr>
      <w:r>
        <w:rPr>
          <w:rFonts w:ascii="Times New Roman;sans-serif" w:hAnsi="Times New Roman;sans-serif"/>
          <w:b/>
          <w:color w:val="000000"/>
          <w:sz w:val="20"/>
        </w:rPr>
        <w:t xml:space="preserve">Board and Committee Meetings and Attendance </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The board of directors and its committees meet regularly throughout the year and also hold special meetings and act by written consent from time to time. During 2022, the board of directors held five meetings, including by videoconference, the audit committee held four meetings, the compensation committee held five meetings and the nominating and corporate governance committee held two meetings. During 2022, none of the directors attended fewer than 75% of the aggregate of the total number of meetings held by the board of directors during his or her tenure and the total number of meetings held by all committees of the board of directors on which such director served during his or her tenure. The independent members of the board of directors also meet separately without management directors on a regular basis to discuss such matters as the independent directors consider appropriate.</w:t>
      </w:r>
      <w:r>
        <w:br w:type="page"/>
      </w:r>
    </w:p>
    <w:p>
      <w:pPr>
        <w:pStyle w:val="TextBody"/>
        <w:spacing w:before="0" w:after="0"/>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200"/>
        <w:rPr>
          <w:rFonts w:ascii="Times New Roman;sans-serif" w:hAnsi="Times New Roman;sans-serif"/>
          <w:b/>
          <w:color w:val="000000"/>
          <w:sz w:val="20"/>
        </w:rPr>
      </w:pPr>
      <w:r>
        <w:rPr>
          <w:rFonts w:ascii="Times New Roman;sans-serif" w:hAnsi="Times New Roman;sans-serif"/>
          <w:b/>
          <w:color w:val="000000"/>
          <w:sz w:val="20"/>
        </w:rPr>
        <w:t xml:space="preserve">Board Attendance at Annual Stockholders’ Meeting </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Nine directors were in attendance at our 2022 annual meeting of stockholders. We invite and encourage each member of our board of directors to attend our annual meetings of stockholders, however, we do not have a formal policy regarding attendance of annual meetings by the members of our board of directors.</w:t>
      </w:r>
    </w:p>
    <w:p>
      <w:pPr>
        <w:pStyle w:val="TextBody"/>
        <w:spacing w:lineRule="auto" w:line="288" w:before="0" w:after="200"/>
        <w:rPr>
          <w:rFonts w:ascii="Times New Roman;sans-serif" w:hAnsi="Times New Roman;sans-serif"/>
          <w:b/>
          <w:color w:val="000000"/>
          <w:sz w:val="20"/>
        </w:rPr>
      </w:pPr>
      <w:r>
        <w:rPr>
          <w:rFonts w:ascii="Times New Roman;sans-serif" w:hAnsi="Times New Roman;sans-serif"/>
          <w:b/>
          <w:color w:val="000000"/>
          <w:sz w:val="20"/>
        </w:rPr>
        <w:t xml:space="preserve">Communication with Directors </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Stockholders and interested parties who wish to communicate with our board of directors, non-management members of our board of directors as a group, a committee of the board of directors or a specific member of our board of directors (including our Chairman) may do so by letters addressed to the attention of our Corporate Secretary, AnaptysBio, Inc., 10770 Wateridge Circle, Suite 210, San Diego, CA 92121.</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All communications by letter addressed to the attention of our Corporate Secretary will be reviewed by the Corporate Secretary and provided to the members of the board of directors unless such communications are unsolicited items, sales materials and other routine items and items unrelated to the duties and responsibilities of the board of directors.</w:t>
      </w:r>
    </w:p>
    <w:p>
      <w:pPr>
        <w:pStyle w:val="TextBody"/>
        <w:spacing w:lineRule="auto" w:line="288" w:before="0" w:after="2"/>
        <w:rPr>
          <w:rFonts w:ascii="Times New Roman;sans-serif" w:hAnsi="Times New Roman;sans-serif"/>
          <w:b/>
          <w:color w:val="000000"/>
          <w:sz w:val="20"/>
        </w:rPr>
      </w:pPr>
      <w:r>
        <w:rPr>
          <w:rFonts w:ascii="Times New Roman;sans-serif" w:hAnsi="Times New Roman;sans-serif"/>
          <w:b/>
          <w:color w:val="000000"/>
          <w:sz w:val="20"/>
        </w:rPr>
        <w:t>Board Diversity</w:t>
      </w:r>
    </w:p>
    <w:p>
      <w:pPr>
        <w:pStyle w:val="TextBody"/>
        <w:spacing w:lineRule="auto" w:line="288" w:before="120" w:after="120"/>
        <w:rPr>
          <w:rFonts w:ascii="Times New Roman;sans-serif" w:hAnsi="Times New Roman;sans-serif"/>
          <w:b w:val="false"/>
          <w:color w:val="000000"/>
          <w:sz w:val="20"/>
        </w:rPr>
      </w:pPr>
      <w:r>
        <w:rPr>
          <w:rFonts w:ascii="Times New Roman;sans-serif" w:hAnsi="Times New Roman;sans-serif"/>
          <w:b w:val="false"/>
          <w:color w:val="000000"/>
          <w:sz w:val="20"/>
        </w:rPr>
        <w:t>Due to the complex nature of our business, the Board believes it is important to consider diversity of race, ethnicity, gender, sexual orientation, age, education, cultural background, and professional experiences in evaluating board candidates in order to provide practical insights and diverse perspectives. In addition, on our board of directors there are two directors who hold medical doctorates and two directors who hold doctorates in scientific fields. Members of our Board self-identify as set forth in the table below. Each of the categories listed in the table below has the meaning set forth in Nasdaq Rule 5605(f).</w:t>
      </w:r>
    </w:p>
    <w:tbl>
      <w:tblPr>
        <w:tblW w:w="7732" w:type="dxa"/>
        <w:jc w:val="left"/>
        <w:tblInd w:w="0" w:type="dxa"/>
        <w:tblCellMar>
          <w:top w:w="28" w:type="dxa"/>
          <w:left w:w="28" w:type="dxa"/>
          <w:bottom w:w="28" w:type="dxa"/>
          <w:right w:w="28" w:type="dxa"/>
        </w:tblCellMar>
      </w:tblPr>
      <w:tblGrid>
        <w:gridCol w:w="1337"/>
        <w:gridCol w:w="1172"/>
        <w:gridCol w:w="1180"/>
        <w:gridCol w:w="142"/>
        <w:gridCol w:w="142"/>
        <w:gridCol w:w="142"/>
        <w:gridCol w:w="142"/>
        <w:gridCol w:w="142"/>
        <w:gridCol w:w="142"/>
        <w:gridCol w:w="142"/>
        <w:gridCol w:w="142"/>
        <w:gridCol w:w="142"/>
        <w:gridCol w:w="142"/>
        <w:gridCol w:w="142"/>
        <w:gridCol w:w="142"/>
        <w:gridCol w:w="160"/>
        <w:gridCol w:w="160"/>
        <w:gridCol w:w="160"/>
        <w:gridCol w:w="160"/>
        <w:gridCol w:w="160"/>
        <w:gridCol w:w="161"/>
        <w:gridCol w:w="215"/>
        <w:gridCol w:w="215"/>
        <w:gridCol w:w="215"/>
        <w:gridCol w:w="215"/>
        <w:gridCol w:w="215"/>
        <w:gridCol w:w="303"/>
      </w:tblGrid>
      <w:tr>
        <w:trPr/>
        <w:tc>
          <w:tcPr>
            <w:tcW w:w="1337" w:type="dxa"/>
            <w:tcBorders/>
            <w:shd w:fill="auto" w:val="clear"/>
            <w:vAlign w:val="center"/>
          </w:tcPr>
          <w:p>
            <w:pPr>
              <w:pStyle w:val="TableContents"/>
              <w:spacing w:before="0" w:after="283"/>
              <w:rPr>
                <w:sz w:val="4"/>
                <w:szCs w:val="4"/>
              </w:rPr>
            </w:pPr>
            <w:r>
              <w:rPr>
                <w:sz w:val="4"/>
                <w:szCs w:val="4"/>
              </w:rPr>
            </w:r>
          </w:p>
        </w:tc>
        <w:tc>
          <w:tcPr>
            <w:tcW w:w="1172" w:type="dxa"/>
            <w:tcBorders/>
            <w:shd w:fill="auto" w:val="clear"/>
            <w:vAlign w:val="center"/>
          </w:tcPr>
          <w:p>
            <w:pPr>
              <w:pStyle w:val="TableContents"/>
              <w:spacing w:before="0" w:after="283"/>
              <w:rPr>
                <w:sz w:val="4"/>
                <w:szCs w:val="4"/>
              </w:rPr>
            </w:pPr>
            <w:r>
              <w:rPr>
                <w:sz w:val="4"/>
                <w:szCs w:val="4"/>
              </w:rPr>
            </w:r>
          </w:p>
        </w:tc>
        <w:tc>
          <w:tcPr>
            <w:tcW w:w="1180"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42"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c>
          <w:tcPr>
            <w:tcW w:w="161"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r>
      <w:tr>
        <w:trPr/>
        <w:tc>
          <w:tcPr>
            <w:tcW w:w="7732" w:type="dxa"/>
            <w:gridSpan w:val="27"/>
            <w:tcBorders>
              <w:top w:val="single" w:sz="8" w:space="0" w:color="000000"/>
              <w:left w:val="single" w:sz="8" w:space="0" w:color="000000"/>
              <w:bottom w:val="single" w:sz="8" w:space="0" w:color="000000"/>
              <w:right w:val="single" w:sz="8" w:space="0" w:color="000000"/>
            </w:tcBorders>
            <w:shd w:fill="auto" w:val="clear"/>
            <w:tcMar>
              <w:top w:w="30" w:type="dxa"/>
              <w:bottom w:w="3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Board Diversity Matrix (As of April 7, 2023)</w:t>
            </w:r>
          </w:p>
        </w:tc>
      </w:tr>
      <w:tr>
        <w:trPr/>
        <w:tc>
          <w:tcPr>
            <w:tcW w:w="3689" w:type="dxa"/>
            <w:gridSpan w:val="3"/>
            <w:tcBorders>
              <w:top w:val="single" w:sz="8" w:space="0" w:color="000000"/>
              <w:left w:val="single" w:sz="8" w:space="0" w:color="000000"/>
            </w:tcBorders>
            <w:shd w:fill="auto" w:val="clear"/>
            <w:tcMar>
              <w:top w:w="30" w:type="dxa"/>
              <w:left w:w="135"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Number of Directors</w:t>
            </w:r>
          </w:p>
        </w:tc>
        <w:tc>
          <w:tcPr>
            <w:tcW w:w="426"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3617" w:type="dxa"/>
            <w:gridSpan w:val="21"/>
            <w:tcBorders>
              <w:top w:val="single" w:sz="8" w:space="0" w:color="000000"/>
              <w:bottom w:val="single" w:sz="8" w:space="0" w:color="000000"/>
              <w:right w:val="single" w:sz="8" w:space="0" w:color="000000"/>
            </w:tcBorders>
            <w:shd w:fill="auto" w:val="clear"/>
            <w:tcMar>
              <w:top w:w="30" w:type="dxa"/>
              <w:left w:w="0" w:type="dxa"/>
              <w:bottom w:w="3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c>
      </w:tr>
      <w:tr>
        <w:trPr/>
        <w:tc>
          <w:tcPr>
            <w:tcW w:w="3689" w:type="dxa"/>
            <w:gridSpan w:val="3"/>
            <w:tcBorders>
              <w:top w:val="single" w:sz="8" w:space="0" w:color="000000"/>
              <w:left w:val="single" w:sz="8" w:space="0" w:color="000000"/>
            </w:tcBorders>
            <w:shd w:fill="E5E5E5" w:val="clear"/>
            <w:tcMar>
              <w:bottom w:w="0" w:type="dxa"/>
              <w:right w:w="0" w:type="dxa"/>
            </w:tcMar>
            <w:vAlign w:val="center"/>
          </w:tcPr>
          <w:p>
            <w:pPr>
              <w:pStyle w:val="TableContents"/>
              <w:spacing w:before="0" w:after="283"/>
              <w:rPr>
                <w:sz w:val="4"/>
                <w:szCs w:val="4"/>
              </w:rPr>
            </w:pPr>
            <w:r>
              <w:rPr>
                <w:sz w:val="4"/>
                <w:szCs w:val="4"/>
              </w:rPr>
            </w:r>
          </w:p>
        </w:tc>
        <w:tc>
          <w:tcPr>
            <w:tcW w:w="852" w:type="dxa"/>
            <w:gridSpan w:val="6"/>
            <w:tcBorders>
              <w:top w:val="single" w:sz="8" w:space="0" w:color="000000"/>
              <w:left w:val="single" w:sz="8" w:space="0" w:color="000000"/>
              <w:bottom w:val="single" w:sz="8" w:space="0" w:color="000000"/>
            </w:tcBorders>
            <w:shd w:fill="E5E5E5"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Woman</w:t>
            </w:r>
          </w:p>
        </w:tc>
        <w:tc>
          <w:tcPr>
            <w:tcW w:w="852" w:type="dxa"/>
            <w:gridSpan w:val="6"/>
            <w:tcBorders>
              <w:top w:val="single" w:sz="8" w:space="0" w:color="000000"/>
              <w:left w:val="single" w:sz="6" w:space="0" w:color="000000"/>
              <w:bottom w:val="single" w:sz="8" w:space="0" w:color="000000"/>
            </w:tcBorders>
            <w:shd w:fill="E5E5E5"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Man</w:t>
            </w:r>
          </w:p>
        </w:tc>
        <w:tc>
          <w:tcPr>
            <w:tcW w:w="961" w:type="dxa"/>
            <w:gridSpan w:val="6"/>
            <w:tcBorders>
              <w:top w:val="single" w:sz="8" w:space="0" w:color="000000"/>
              <w:left w:val="single" w:sz="6" w:space="0" w:color="000000"/>
              <w:bottom w:val="single" w:sz="8" w:space="0" w:color="000000"/>
            </w:tcBorders>
            <w:shd w:fill="E5E5E5" w:val="clear"/>
            <w:tcMar>
              <w:top w:w="30" w:type="dxa"/>
              <w:bottom w:w="3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Non-Binary</w:t>
            </w:r>
          </w:p>
        </w:tc>
        <w:tc>
          <w:tcPr>
            <w:tcW w:w="1378" w:type="dxa"/>
            <w:gridSpan w:val="6"/>
            <w:tcBorders>
              <w:top w:val="single" w:sz="8" w:space="0" w:color="000000"/>
              <w:left w:val="single" w:sz="8" w:space="0" w:color="000000"/>
              <w:bottom w:val="single" w:sz="8" w:space="0" w:color="000000"/>
              <w:right w:val="single" w:sz="8" w:space="0" w:color="000000"/>
            </w:tcBorders>
            <w:shd w:fill="E5E5E5" w:val="clear"/>
            <w:tcMar>
              <w:top w:w="30" w:type="dxa"/>
              <w:bottom w:w="3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Did Not Disclose </w:t>
              <w:br/>
              <w:t>Gender</w:t>
            </w:r>
          </w:p>
        </w:tc>
      </w:tr>
      <w:tr>
        <w:trPr/>
        <w:tc>
          <w:tcPr>
            <w:tcW w:w="7732" w:type="dxa"/>
            <w:gridSpan w:val="27"/>
            <w:tcBorders>
              <w:top w:val="single" w:sz="8" w:space="0" w:color="000000"/>
              <w:left w:val="single" w:sz="8" w:space="0" w:color="000000"/>
              <w:right w:val="single" w:sz="8" w:space="0" w:color="000000"/>
            </w:tcBorders>
            <w:shd w:fill="E5E5E5" w:val="clear"/>
            <w:tcMar>
              <w:top w:w="30" w:type="dxa"/>
              <w:bottom w:w="0" w:type="dxa"/>
            </w:tcMar>
            <w:vAlign w:val="center"/>
          </w:tcPr>
          <w:p>
            <w:pPr>
              <w:pStyle w:val="TableContents"/>
              <w:spacing w:lineRule="auto" w:line="240" w:before="0" w:after="0"/>
              <w:ind w:left="0" w:right="0" w:hanging="200"/>
              <w:jc w:val="left"/>
              <w:rPr>
                <w:rFonts w:ascii="Times New Roman;sans-serif" w:hAnsi="Times New Roman;sans-serif"/>
                <w:b/>
                <w:color w:val="000000"/>
                <w:sz w:val="20"/>
              </w:rPr>
            </w:pPr>
            <w:r>
              <w:rPr>
                <w:rFonts w:ascii="Times New Roman;sans-serif" w:hAnsi="Times New Roman;sans-serif"/>
                <w:b/>
                <w:color w:val="000000"/>
                <w:sz w:val="20"/>
              </w:rPr>
              <w:t>Gender Identity</w:t>
            </w:r>
          </w:p>
        </w:tc>
      </w:tr>
      <w:tr>
        <w:trPr/>
        <w:tc>
          <w:tcPr>
            <w:tcW w:w="368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Directors</w:t>
            </w:r>
          </w:p>
        </w:tc>
        <w:tc>
          <w:tcPr>
            <w:tcW w:w="426" w:type="dxa"/>
            <w:gridSpan w:val="3"/>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283"/>
              <w:rPr>
                <w:sz w:val="4"/>
                <w:szCs w:val="4"/>
              </w:rPr>
            </w:pPr>
            <w:r>
              <w:rPr>
                <w:sz w:val="4"/>
                <w:szCs w:val="4"/>
              </w:rPr>
            </w:r>
          </w:p>
        </w:tc>
        <w:tc>
          <w:tcPr>
            <w:tcW w:w="42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426" w:type="dxa"/>
            <w:gridSpan w:val="3"/>
            <w:tcBorders>
              <w:top w:val="single" w:sz="8" w:space="0" w:color="000000"/>
              <w:left w:val="single" w:sz="6" w:space="0" w:color="000000"/>
              <w:bottom w:val="single" w:sz="8" w:space="0" w:color="000000"/>
            </w:tcBorders>
            <w:shd w:fill="auto" w:val="clear"/>
            <w:tcMar>
              <w:right w:w="0" w:type="dxa"/>
            </w:tcMar>
            <w:vAlign w:val="center"/>
          </w:tcPr>
          <w:p>
            <w:pPr>
              <w:pStyle w:val="TableContents"/>
              <w:spacing w:before="0" w:after="283"/>
              <w:rPr>
                <w:sz w:val="4"/>
                <w:szCs w:val="4"/>
              </w:rPr>
            </w:pPr>
            <w:r>
              <w:rPr>
                <w:sz w:val="4"/>
                <w:szCs w:val="4"/>
              </w:rPr>
            </w:r>
          </w:p>
        </w:tc>
        <w:tc>
          <w:tcPr>
            <w:tcW w:w="42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480" w:type="dxa"/>
            <w:gridSpan w:val="3"/>
            <w:tcBorders>
              <w:top w:val="single" w:sz="8" w:space="0" w:color="000000"/>
              <w:left w:val="single" w:sz="6" w:space="0" w:color="000000"/>
              <w:bottom w:val="single" w:sz="8" w:space="0" w:color="000000"/>
            </w:tcBorders>
            <w:shd w:fill="auto" w:val="clear"/>
            <w:tcMar>
              <w:right w:w="0" w:type="dxa"/>
            </w:tcMar>
            <w:vAlign w:val="center"/>
          </w:tcPr>
          <w:p>
            <w:pPr>
              <w:pStyle w:val="TableContents"/>
              <w:spacing w:before="0" w:after="283"/>
              <w:rPr>
                <w:sz w:val="4"/>
                <w:szCs w:val="4"/>
              </w:rPr>
            </w:pPr>
            <w:r>
              <w:rPr>
                <w:sz w:val="4"/>
                <w:szCs w:val="4"/>
              </w:rPr>
            </w:r>
          </w:p>
        </w:tc>
        <w:tc>
          <w:tcPr>
            <w:tcW w:w="48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color w:val="000000"/>
              </w:rPr>
            </w:pPr>
            <w:r>
              <w:rPr>
                <w:color w:val="000000"/>
              </w:rPr>
              <w:t>—</w:t>
            </w:r>
          </w:p>
        </w:tc>
        <w:tc>
          <w:tcPr>
            <w:tcW w:w="645" w:type="dxa"/>
            <w:gridSpan w:val="3"/>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283"/>
              <w:rPr>
                <w:sz w:val="4"/>
                <w:szCs w:val="4"/>
              </w:rPr>
            </w:pPr>
            <w:r>
              <w:rPr>
                <w:sz w:val="4"/>
                <w:szCs w:val="4"/>
              </w:rPr>
            </w:r>
          </w:p>
        </w:tc>
        <w:tc>
          <w:tcPr>
            <w:tcW w:w="733" w:type="dxa"/>
            <w:gridSpan w:val="3"/>
            <w:tcBorders>
              <w:top w:val="single" w:sz="8" w:space="0" w:color="000000"/>
              <w:bottom w:val="single" w:sz="8" w:space="0" w:color="000000"/>
              <w:right w:val="single" w:sz="8" w:space="0" w:color="000000"/>
            </w:tcBorders>
            <w:shd w:fill="auto" w:val="clear"/>
            <w:tcMar>
              <w:top w:w="30" w:type="dxa"/>
              <w:left w:w="0" w:type="dxa"/>
              <w:bottom w:w="30" w:type="dxa"/>
            </w:tcMar>
            <w:vAlign w:val="center"/>
          </w:tcPr>
          <w:p>
            <w:pPr>
              <w:pStyle w:val="TableContents"/>
              <w:spacing w:lineRule="auto" w:line="240" w:before="0" w:after="283"/>
              <w:jc w:val="center"/>
              <w:rPr>
                <w:color w:val="000000"/>
              </w:rPr>
            </w:pPr>
            <w:r>
              <w:rPr>
                <w:color w:val="000000"/>
              </w:rPr>
              <w:t>—</w:t>
            </w:r>
          </w:p>
        </w:tc>
      </w:tr>
      <w:tr>
        <w:trPr/>
        <w:tc>
          <w:tcPr>
            <w:tcW w:w="7732" w:type="dxa"/>
            <w:gridSpan w:val="27"/>
            <w:tcBorders>
              <w:top w:val="single" w:sz="8" w:space="0" w:color="000000"/>
              <w:left w:val="single" w:sz="8" w:space="0" w:color="000000"/>
              <w:right w:val="single" w:sz="8" w:space="0" w:color="000000"/>
            </w:tcBorders>
            <w:shd w:fill="E5E5E5" w:val="clear"/>
            <w:tcMar>
              <w:top w:w="30" w:type="dxa"/>
              <w:bottom w:w="0" w:type="dxa"/>
            </w:tcMar>
            <w:vAlign w:val="center"/>
          </w:tcPr>
          <w:p>
            <w:pPr>
              <w:pStyle w:val="TableContents"/>
              <w:spacing w:lineRule="auto" w:line="240" w:before="0" w:after="0"/>
              <w:ind w:left="0" w:right="0" w:hanging="200"/>
              <w:jc w:val="left"/>
              <w:rPr>
                <w:rFonts w:ascii="Times New Roman;sans-serif" w:hAnsi="Times New Roman;sans-serif"/>
                <w:b/>
                <w:color w:val="000000"/>
                <w:sz w:val="20"/>
              </w:rPr>
            </w:pPr>
            <w:r>
              <w:rPr>
                <w:rFonts w:ascii="Times New Roman;sans-serif" w:hAnsi="Times New Roman;sans-serif"/>
                <w:b/>
                <w:color w:val="000000"/>
                <w:sz w:val="20"/>
              </w:rPr>
              <w:t>Demographic Background</w:t>
            </w:r>
          </w:p>
        </w:tc>
      </w:tr>
      <w:tr>
        <w:trPr/>
        <w:tc>
          <w:tcPr>
            <w:tcW w:w="368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African American or Black</w:t>
            </w:r>
          </w:p>
        </w:tc>
        <w:tc>
          <w:tcPr>
            <w:tcW w:w="426"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4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426"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4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480"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4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645"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733" w:type="dxa"/>
            <w:gridSpan w:val="3"/>
            <w:tcBorders>
              <w:top w:val="single" w:sz="8" w:space="0" w:color="000000"/>
              <w:right w:val="single" w:sz="8" w:space="0" w:color="000000"/>
            </w:tcBorders>
            <w:shd w:fill="auto" w:val="clear"/>
            <w:tcMar>
              <w:top w:w="30" w:type="dxa"/>
              <w:left w:w="0" w:type="dxa"/>
              <w:bottom w:w="0" w:type="dxa"/>
            </w:tcMar>
            <w:vAlign w:val="center"/>
          </w:tcPr>
          <w:p>
            <w:pPr>
              <w:pStyle w:val="TableContents"/>
              <w:spacing w:lineRule="auto" w:line="240" w:before="0" w:after="283"/>
              <w:jc w:val="center"/>
              <w:rPr>
                <w:color w:val="000000"/>
              </w:rPr>
            </w:pPr>
            <w:r>
              <w:rPr>
                <w:color w:val="000000"/>
              </w:rPr>
              <w:t>—</w:t>
            </w:r>
          </w:p>
        </w:tc>
      </w:tr>
      <w:tr>
        <w:trPr/>
        <w:tc>
          <w:tcPr>
            <w:tcW w:w="368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Alaskan Native or Native American</w:t>
            </w:r>
          </w:p>
        </w:tc>
        <w:tc>
          <w:tcPr>
            <w:tcW w:w="426"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4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426"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4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480"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4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645"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733" w:type="dxa"/>
            <w:gridSpan w:val="3"/>
            <w:tcBorders>
              <w:top w:val="single" w:sz="8" w:space="0" w:color="000000"/>
              <w:right w:val="single" w:sz="8" w:space="0" w:color="000000"/>
            </w:tcBorders>
            <w:shd w:fill="auto" w:val="clear"/>
            <w:tcMar>
              <w:top w:w="30" w:type="dxa"/>
              <w:left w:w="0" w:type="dxa"/>
              <w:bottom w:w="0" w:type="dxa"/>
            </w:tcMar>
            <w:vAlign w:val="center"/>
          </w:tcPr>
          <w:p>
            <w:pPr>
              <w:pStyle w:val="TableContents"/>
              <w:spacing w:lineRule="auto" w:line="240" w:before="0" w:after="283"/>
              <w:jc w:val="center"/>
              <w:rPr>
                <w:color w:val="000000"/>
              </w:rPr>
            </w:pPr>
            <w:r>
              <w:rPr>
                <w:color w:val="000000"/>
              </w:rPr>
              <w:t>—</w:t>
            </w:r>
          </w:p>
        </w:tc>
      </w:tr>
      <w:tr>
        <w:trPr/>
        <w:tc>
          <w:tcPr>
            <w:tcW w:w="368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Asian</w:t>
            </w:r>
          </w:p>
        </w:tc>
        <w:tc>
          <w:tcPr>
            <w:tcW w:w="426"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4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426"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4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480"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4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645"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733" w:type="dxa"/>
            <w:gridSpan w:val="3"/>
            <w:tcBorders>
              <w:top w:val="single" w:sz="8" w:space="0" w:color="000000"/>
              <w:right w:val="single" w:sz="8" w:space="0" w:color="000000"/>
            </w:tcBorders>
            <w:shd w:fill="auto" w:val="clear"/>
            <w:tcMar>
              <w:top w:w="30" w:type="dxa"/>
              <w:left w:w="0" w:type="dxa"/>
              <w:bottom w:w="0" w:type="dxa"/>
            </w:tcMar>
            <w:vAlign w:val="center"/>
          </w:tcPr>
          <w:p>
            <w:pPr>
              <w:pStyle w:val="TableContents"/>
              <w:spacing w:lineRule="auto" w:line="240" w:before="0" w:after="283"/>
              <w:jc w:val="center"/>
              <w:rPr>
                <w:color w:val="000000"/>
              </w:rPr>
            </w:pPr>
            <w:r>
              <w:rPr>
                <w:color w:val="000000"/>
              </w:rPr>
              <w:t>—</w:t>
            </w:r>
          </w:p>
        </w:tc>
      </w:tr>
      <w:tr>
        <w:trPr/>
        <w:tc>
          <w:tcPr>
            <w:tcW w:w="368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Hispanic or Latinx</w:t>
            </w:r>
          </w:p>
        </w:tc>
        <w:tc>
          <w:tcPr>
            <w:tcW w:w="426"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4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426"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4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480"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4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645"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733" w:type="dxa"/>
            <w:gridSpan w:val="3"/>
            <w:tcBorders>
              <w:top w:val="single" w:sz="8" w:space="0" w:color="000000"/>
              <w:right w:val="single" w:sz="8" w:space="0" w:color="000000"/>
            </w:tcBorders>
            <w:shd w:fill="auto" w:val="clear"/>
            <w:tcMar>
              <w:top w:w="30" w:type="dxa"/>
              <w:left w:w="0" w:type="dxa"/>
              <w:bottom w:w="0" w:type="dxa"/>
            </w:tcMar>
            <w:vAlign w:val="center"/>
          </w:tcPr>
          <w:p>
            <w:pPr>
              <w:pStyle w:val="TableContents"/>
              <w:spacing w:lineRule="auto" w:line="240" w:before="0" w:after="283"/>
              <w:jc w:val="center"/>
              <w:rPr>
                <w:color w:val="000000"/>
              </w:rPr>
            </w:pPr>
            <w:r>
              <w:rPr>
                <w:color w:val="000000"/>
              </w:rPr>
              <w:t>—</w:t>
            </w:r>
          </w:p>
        </w:tc>
      </w:tr>
      <w:tr>
        <w:trPr/>
        <w:tc>
          <w:tcPr>
            <w:tcW w:w="368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Native Hawaiian or Pacific Islander</w:t>
            </w:r>
          </w:p>
        </w:tc>
        <w:tc>
          <w:tcPr>
            <w:tcW w:w="426"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4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426"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4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480"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4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645"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733" w:type="dxa"/>
            <w:gridSpan w:val="3"/>
            <w:tcBorders>
              <w:top w:val="single" w:sz="8" w:space="0" w:color="000000"/>
              <w:right w:val="single" w:sz="8" w:space="0" w:color="000000"/>
            </w:tcBorders>
            <w:shd w:fill="auto" w:val="clear"/>
            <w:tcMar>
              <w:top w:w="30" w:type="dxa"/>
              <w:left w:w="0" w:type="dxa"/>
              <w:bottom w:w="0" w:type="dxa"/>
            </w:tcMar>
            <w:vAlign w:val="center"/>
          </w:tcPr>
          <w:p>
            <w:pPr>
              <w:pStyle w:val="TableContents"/>
              <w:spacing w:lineRule="auto" w:line="240" w:before="0" w:after="283"/>
              <w:jc w:val="center"/>
              <w:rPr>
                <w:color w:val="000000"/>
              </w:rPr>
            </w:pPr>
            <w:r>
              <w:rPr>
                <w:color w:val="000000"/>
              </w:rPr>
              <w:t>—</w:t>
            </w:r>
          </w:p>
        </w:tc>
      </w:tr>
      <w:tr>
        <w:trPr/>
        <w:tc>
          <w:tcPr>
            <w:tcW w:w="368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White</w:t>
            </w:r>
          </w:p>
        </w:tc>
        <w:tc>
          <w:tcPr>
            <w:tcW w:w="426"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4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426"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4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480"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48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645"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733" w:type="dxa"/>
            <w:gridSpan w:val="3"/>
            <w:tcBorders>
              <w:top w:val="single" w:sz="8" w:space="0" w:color="000000"/>
              <w:right w:val="single" w:sz="8" w:space="0" w:color="000000"/>
            </w:tcBorders>
            <w:shd w:fill="auto" w:val="clear"/>
            <w:tcMar>
              <w:top w:w="30" w:type="dxa"/>
              <w:left w:w="0" w:type="dxa"/>
              <w:bottom w:w="0" w:type="dxa"/>
            </w:tcMar>
            <w:vAlign w:val="center"/>
          </w:tcPr>
          <w:p>
            <w:pPr>
              <w:pStyle w:val="TableContents"/>
              <w:spacing w:lineRule="auto" w:line="240" w:before="0" w:after="283"/>
              <w:jc w:val="center"/>
              <w:rPr>
                <w:color w:val="000000"/>
              </w:rPr>
            </w:pPr>
            <w:r>
              <w:rPr>
                <w:color w:val="000000"/>
              </w:rPr>
              <w:t>—</w:t>
            </w:r>
          </w:p>
        </w:tc>
      </w:tr>
      <w:tr>
        <w:trPr/>
        <w:tc>
          <w:tcPr>
            <w:tcW w:w="3689" w:type="dxa"/>
            <w:gridSpan w:val="3"/>
            <w:tcBorders>
              <w:top w:val="single" w:sz="8"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Two or More Races or Ethnicities</w:t>
            </w:r>
          </w:p>
        </w:tc>
        <w:tc>
          <w:tcPr>
            <w:tcW w:w="426"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4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426" w:type="dxa"/>
            <w:gridSpan w:val="3"/>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283"/>
              <w:rPr>
                <w:sz w:val="4"/>
                <w:szCs w:val="4"/>
              </w:rPr>
            </w:pPr>
            <w:r>
              <w:rPr>
                <w:sz w:val="4"/>
                <w:szCs w:val="4"/>
              </w:rPr>
            </w:r>
          </w:p>
        </w:tc>
        <w:tc>
          <w:tcPr>
            <w:tcW w:w="426"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color w:val="000000"/>
              </w:rPr>
            </w:pPr>
            <w:r>
              <w:rPr>
                <w:color w:val="000000"/>
              </w:rPr>
              <w:t>—</w:t>
            </w:r>
          </w:p>
        </w:tc>
        <w:tc>
          <w:tcPr>
            <w:tcW w:w="480" w:type="dxa"/>
            <w:gridSpan w:val="3"/>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283"/>
              <w:rPr>
                <w:sz w:val="4"/>
                <w:szCs w:val="4"/>
              </w:rPr>
            </w:pPr>
            <w:r>
              <w:rPr>
                <w:sz w:val="4"/>
                <w:szCs w:val="4"/>
              </w:rPr>
            </w:r>
          </w:p>
        </w:tc>
        <w:tc>
          <w:tcPr>
            <w:tcW w:w="481"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40" w:before="0" w:after="283"/>
              <w:jc w:val="center"/>
              <w:rPr>
                <w:color w:val="000000"/>
              </w:rPr>
            </w:pPr>
            <w:r>
              <w:rPr>
                <w:color w:val="000000"/>
              </w:rPr>
              <w:t>—</w:t>
            </w:r>
          </w:p>
        </w:tc>
        <w:tc>
          <w:tcPr>
            <w:tcW w:w="645" w:type="dxa"/>
            <w:gridSpan w:val="3"/>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283"/>
              <w:rPr>
                <w:sz w:val="4"/>
                <w:szCs w:val="4"/>
              </w:rPr>
            </w:pPr>
            <w:r>
              <w:rPr>
                <w:sz w:val="4"/>
                <w:szCs w:val="4"/>
              </w:rPr>
            </w:r>
          </w:p>
        </w:tc>
        <w:tc>
          <w:tcPr>
            <w:tcW w:w="733" w:type="dxa"/>
            <w:gridSpan w:val="3"/>
            <w:tcBorders>
              <w:top w:val="single" w:sz="8" w:space="0" w:color="000000"/>
              <w:bottom w:val="single" w:sz="8" w:space="0" w:color="000000"/>
              <w:right w:val="single" w:sz="8" w:space="0" w:color="000000"/>
            </w:tcBorders>
            <w:shd w:fill="auto" w:val="clear"/>
            <w:tcMar>
              <w:top w:w="30" w:type="dxa"/>
              <w:left w:w="0" w:type="dxa"/>
              <w:bottom w:w="30" w:type="dxa"/>
            </w:tcMar>
            <w:vAlign w:val="center"/>
          </w:tcPr>
          <w:p>
            <w:pPr>
              <w:pStyle w:val="TableContents"/>
              <w:spacing w:lineRule="auto" w:line="240" w:before="0" w:after="283"/>
              <w:jc w:val="center"/>
              <w:rPr>
                <w:color w:val="000000"/>
              </w:rPr>
            </w:pPr>
            <w:r>
              <w:rPr>
                <w:color w:val="000000"/>
              </w:rPr>
              <w:t>—</w:t>
            </w:r>
          </w:p>
        </w:tc>
      </w:tr>
      <w:tr>
        <w:trPr/>
        <w:tc>
          <w:tcPr>
            <w:tcW w:w="3689" w:type="dxa"/>
            <w:gridSpan w:val="3"/>
            <w:tcBorders>
              <w:top w:val="single" w:sz="6" w:space="0" w:color="000000"/>
              <w:left w:val="single" w:sz="8" w:space="0" w:color="000000"/>
            </w:tcBorders>
            <w:shd w:fill="auto" w:val="clear"/>
            <w:tcMar>
              <w:top w:w="30" w:type="dxa"/>
              <w:bottom w:w="0" w:type="dxa"/>
              <w:right w:w="0" w:type="dxa"/>
            </w:tcMar>
            <w:vAlign w:val="center"/>
          </w:tcPr>
          <w:p>
            <w:pPr>
              <w:pStyle w:val="TableContents"/>
              <w:spacing w:lineRule="auto" w:line="240"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LGBTQ+</w:t>
            </w:r>
          </w:p>
        </w:tc>
        <w:tc>
          <w:tcPr>
            <w:tcW w:w="426" w:type="dxa"/>
            <w:gridSpan w:val="3"/>
            <w:tcBorders>
              <w:top w:val="single" w:sz="8" w:space="0" w:color="000000"/>
              <w:left w:val="single" w:sz="8" w:space="0" w:color="000000"/>
            </w:tcBorders>
            <w:shd w:fill="auto" w:val="clear"/>
            <w:tcMar>
              <w:bottom w:w="0" w:type="dxa"/>
              <w:right w:w="0" w:type="dxa"/>
            </w:tcMar>
            <w:vAlign w:val="center"/>
          </w:tcPr>
          <w:p>
            <w:pPr>
              <w:pStyle w:val="TableContents"/>
              <w:spacing w:before="0" w:after="283"/>
              <w:rPr>
                <w:sz w:val="4"/>
                <w:szCs w:val="4"/>
              </w:rPr>
            </w:pPr>
            <w:r>
              <w:rPr>
                <w:sz w:val="4"/>
                <w:szCs w:val="4"/>
              </w:rPr>
            </w:r>
          </w:p>
        </w:tc>
        <w:tc>
          <w:tcPr>
            <w:tcW w:w="3617" w:type="dxa"/>
            <w:gridSpan w:val="21"/>
            <w:tcBorders>
              <w:top w:val="single" w:sz="8" w:space="0" w:color="000000"/>
              <w:bottom w:val="single" w:sz="8" w:space="0" w:color="000000"/>
              <w:right w:val="single" w:sz="8" w:space="0" w:color="000000"/>
            </w:tcBorders>
            <w:shd w:fill="auto" w:val="clear"/>
            <w:tcMar>
              <w:top w:w="30" w:type="dxa"/>
              <w:left w:w="0" w:type="dxa"/>
              <w:bottom w:w="30" w:type="dxa"/>
            </w:tcMar>
            <w:vAlign w:val="center"/>
          </w:tcPr>
          <w:p>
            <w:pPr>
              <w:pStyle w:val="TableContents"/>
              <w:spacing w:lineRule="auto" w:line="240" w:before="0" w:after="283"/>
              <w:jc w:val="center"/>
              <w:rPr>
                <w:color w:val="000000"/>
              </w:rPr>
            </w:pPr>
            <w:r>
              <w:rPr>
                <w:color w:val="000000"/>
              </w:rPr>
              <w:t>—</w:t>
            </w:r>
          </w:p>
        </w:tc>
      </w:tr>
      <w:tr>
        <w:trPr/>
        <w:tc>
          <w:tcPr>
            <w:tcW w:w="3689" w:type="dxa"/>
            <w:gridSpan w:val="3"/>
            <w:tcBorders>
              <w:top w:val="single" w:sz="8" w:space="0" w:color="000000"/>
              <w:left w:val="single" w:sz="8" w:space="0" w:color="000000"/>
              <w:bottom w:val="single" w:sz="8" w:space="0" w:color="000000"/>
            </w:tcBorders>
            <w:shd w:fill="auto" w:val="clear"/>
            <w:tcMar>
              <w:top w:w="30" w:type="dxa"/>
              <w:bottom w:w="30" w:type="dxa"/>
              <w:right w:w="0" w:type="dxa"/>
            </w:tcMar>
            <w:vAlign w:val="center"/>
          </w:tcPr>
          <w:p>
            <w:pPr>
              <w:pStyle w:val="TableContents"/>
              <w:spacing w:lineRule="auto" w:line="240" w:before="0" w:after="0"/>
              <w:ind w:left="0" w:right="0" w:hanging="200"/>
              <w:jc w:val="left"/>
              <w:rPr>
                <w:rFonts w:ascii="Times New Roman;sans-serif" w:hAnsi="Times New Roman;sans-serif"/>
                <w:b w:val="false"/>
                <w:color w:val="000000"/>
                <w:sz w:val="20"/>
              </w:rPr>
            </w:pPr>
            <w:r>
              <w:rPr>
                <w:rFonts w:ascii="Times New Roman;sans-serif" w:hAnsi="Times New Roman;sans-serif"/>
                <w:b w:val="false"/>
                <w:color w:val="000000"/>
                <w:sz w:val="20"/>
              </w:rPr>
              <w:t>Did Not Disclose Demographic Background</w:t>
            </w:r>
          </w:p>
        </w:tc>
        <w:tc>
          <w:tcPr>
            <w:tcW w:w="426" w:type="dxa"/>
            <w:gridSpan w:val="3"/>
            <w:tcBorders>
              <w:top w:val="single" w:sz="8" w:space="0" w:color="000000"/>
              <w:left w:val="single" w:sz="8" w:space="0" w:color="000000"/>
              <w:bottom w:val="single" w:sz="8" w:space="0" w:color="000000"/>
            </w:tcBorders>
            <w:shd w:fill="auto" w:val="clear"/>
            <w:tcMar>
              <w:right w:w="0" w:type="dxa"/>
            </w:tcMar>
            <w:vAlign w:val="center"/>
          </w:tcPr>
          <w:p>
            <w:pPr>
              <w:pStyle w:val="TableContents"/>
              <w:spacing w:before="0" w:after="283"/>
              <w:rPr>
                <w:sz w:val="4"/>
                <w:szCs w:val="4"/>
              </w:rPr>
            </w:pPr>
            <w:r>
              <w:rPr>
                <w:sz w:val="4"/>
                <w:szCs w:val="4"/>
              </w:rPr>
            </w:r>
          </w:p>
        </w:tc>
        <w:tc>
          <w:tcPr>
            <w:tcW w:w="3617" w:type="dxa"/>
            <w:gridSpan w:val="21"/>
            <w:tcBorders>
              <w:top w:val="single" w:sz="8" w:space="0" w:color="000000"/>
              <w:bottom w:val="single" w:sz="8" w:space="0" w:color="000000"/>
              <w:right w:val="single" w:sz="8" w:space="0" w:color="000000"/>
            </w:tcBorders>
            <w:shd w:fill="auto" w:val="clear"/>
            <w:tcMar>
              <w:top w:w="30" w:type="dxa"/>
              <w:left w:w="0" w:type="dxa"/>
              <w:bottom w:w="30" w:type="dxa"/>
            </w:tcMar>
            <w:vAlign w:val="center"/>
          </w:tcPr>
          <w:p>
            <w:pPr>
              <w:pStyle w:val="TableContents"/>
              <w:spacing w:lineRule="auto" w:line="240" w:before="0" w:after="283"/>
              <w:jc w:val="center"/>
              <w:rPr>
                <w:color w:val="000000"/>
              </w:rPr>
            </w:pPr>
            <w:r>
              <w:rPr>
                <w:color w:val="000000"/>
              </w:rPr>
              <w:t>—</w:t>
            </w:r>
          </w:p>
        </w:tc>
      </w:tr>
    </w:tbl>
    <w:p>
      <w:pPr>
        <w:pStyle w:val="TextBody"/>
        <w:spacing w:before="0" w:after="0"/>
        <w:rPr/>
      </w:pPr>
      <w:r>
        <w:rPr/>
      </w:r>
    </w:p>
    <w:p>
      <w:pPr>
        <w:pStyle w:val="TextBody"/>
        <w:spacing w:lineRule="auto" w:line="240" w:before="0" w:after="2"/>
        <w:rPr>
          <w:rFonts w:ascii="Times New Roman;sans-serif" w:hAnsi="Times New Roman;sans-serif"/>
          <w:b/>
          <w:color w:val="000000"/>
          <w:sz w:val="20"/>
        </w:rPr>
      </w:pPr>
      <w:r>
        <w:rPr>
          <w:rFonts w:ascii="Times New Roman;sans-serif" w:hAnsi="Times New Roman;sans-serif"/>
          <w:b/>
          <w:color w:val="000000"/>
          <w:sz w:val="20"/>
        </w:rPr>
        <w:t xml:space="preserve">Considerations in Evaluating Director Nominees </w:t>
      </w:r>
    </w:p>
    <w:p>
      <w:pPr>
        <w:pStyle w:val="TextBody"/>
        <w:spacing w:lineRule="auto" w:line="288" w:before="200" w:after="200"/>
        <w:rPr>
          <w:rFonts w:ascii="Times New Roman;sans-serif" w:hAnsi="Times New Roman;sans-serif"/>
          <w:b w:val="false"/>
          <w:color w:val="000000"/>
          <w:sz w:val="20"/>
        </w:rPr>
      </w:pPr>
      <w:r>
        <w:rPr>
          <w:rFonts w:ascii="Times New Roman;sans-serif" w:hAnsi="Times New Roman;sans-serif"/>
          <w:b w:val="false"/>
          <w:color w:val="000000"/>
          <w:sz w:val="20"/>
        </w:rPr>
        <w:t>The nominating and corporate governance committee is responsible for identifying, evaluating and recommending candidates to the board of directors for board membership. A variety of methods are used to identify and evaluate director nominees, with the goal of maintaining and further developing a diverse, experienced and highly qualified board of directors. Candidates may come to our attention through current members of our board of directors, professional search firms, stockholders or other persons.</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The nominating and corporate governance committee will recommend to the board of directors for selection all nominees to be proposed by the board of directors for election by the stockholders, including approval or recommendation of a slate of director nominees to be proposed by the board of directors for election at each annual meeting of stockholders, and will recommend all director nominees to be appointed by the board of directors to fill interim director vacancies.</w:t>
      </w:r>
      <w:r>
        <w:br w:type="page"/>
      </w:r>
    </w:p>
    <w:p>
      <w:pPr>
        <w:pStyle w:val="TextBody"/>
        <w:spacing w:before="0" w:after="0"/>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of directors encourages selection of directors who will contribute to the Company’s overall corporate goals. The nominating and corporate governance committee may from time to time review and recommend to the board of directors the desired qualifications, expertise and characteristics of directors, including such factors as business experience, diversity and personal skills in life sciences and biotechnology, finance, marketing, financial reporting and other areas that are expected to contribute to an effective board of directors. Exceptional candidates who do not meet all of these criteria may still be considered. In evaluating potential candidates for the board of directors, the nominating and corporate governance committee considers these factors in the light of the specific needs of the board of directors at that time. </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In addition, under our Corporate Governance Guidelines, a director is expected to spend the time and effort necessary to properly discharge such director’s responsibilities. Accordingly, a director is expected to regularly attend meetings of the board of directors and committees on which such director sits, and to review prior to meetings material distributed in advance for such meetings. Thus, the number of other public company boards and other boards (or comparable governing bodies) on which a prospective nominee is a member, as well as his or her other professional responsibilities, will be considered. Under our Corporate Governance Guidelines, there are no limits on the number of three-year terms that may be served by a director. However, in connection with evaluating recommendations for nomination for reelection, the nominating and corporate governance committee considers director tenure. We value diversity on a company-wide basis, but have not adopted a specific policy regarding board diversity.</w:t>
      </w:r>
    </w:p>
    <w:p>
      <w:pPr>
        <w:pStyle w:val="TextBody"/>
        <w:spacing w:lineRule="auto" w:line="288" w:before="0" w:after="200"/>
        <w:rPr>
          <w:rFonts w:ascii="Times New Roman;sans-serif" w:hAnsi="Times New Roman;sans-serif"/>
          <w:b/>
          <w:color w:val="000000"/>
          <w:sz w:val="20"/>
        </w:rPr>
      </w:pPr>
      <w:r>
        <w:rPr>
          <w:rFonts w:ascii="Times New Roman;sans-serif" w:hAnsi="Times New Roman;sans-serif"/>
          <w:b/>
          <w:color w:val="000000"/>
          <w:sz w:val="20"/>
        </w:rPr>
        <w:t xml:space="preserve">Stockholder Recommendations for Nominations to the Board of Directors </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The nominating and corporate governance committee will consider properly submitted stockholder recommendations for candidates for our board of directors who meet the minimum qualifications as described above. The nominating and corporate governance committee does not intend to alter the manner in which it evaluates candidates, including the minimum criteria set forth above, based on whether or not the candidate was recommended by a stockholder. A stockholder of record can nominate a candidate for election to the board of directors by complying with the procedures in Article I, Section 1.12 of our Bylaws. Any eligible stockholder who wishes to submit a nomination should review the requirements in the Bylaws on nominations by stockholders. Any nomination should be sent in writing to our Corporate Secretary, AnaptysBio, Inc., 10770 Wateridge Circle, Suite 210, San Diego, CA 92121. Submissions must include the full name of the proposed nominee, complete biographical information, a description of the proposed nominee’s qualifications as a director, other information regarding the nominee and proposing stockholder as specified in our Bylaws, and certain representations regarding the nomination. Any such submission must be accompanied by the written consent of the proposed nominee to be named as a nominee and to serve as a director if elected. These candidates are evaluated at meetings of the nominating and corporate governance committee, and may be considered at any point during the year. If any materials are provided by a stockholder in connection with the recommendation of a director candidate, such materials are forwarded to the nominating and corporate governance committee.</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All proposals of stockholders that are intended to be presented by such stockholder at an annual meeting of stockholders must be in writing and notice must be delivered to the Corporate Secretary at our principal executive offices not later than the close of business on the 75th day nor earlier than the close of business on the 105th day prior to the first anniversary of the preceding year’s annual meeting. Stockholders are also advised to review our Bylaws, which contain additional requirements with respect to advance notice of stockholder proposals and director nominations. In addition to satisfying the foregoing requirements under the Bylaws, to comply with the universal proxy rules, stockholders who intend to solicit proxies in support of director nominees other than the Company’s nominees for the 2024 Annual Meeting of Stockholders must provide notice that sets forth the information required by Rule 14a-19 under the Exchange Act.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 xml:space="preserve">PROPOSAL NO. 1 </w:t>
        <w:br/>
        <w:t>ELECTION OF CLASS III DIRECTORS</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Our board of directors is divided into three classes. Each class serves for three years, with the terms of office of the respective classes expiring in successive years. Directors and director nominees in Class III will stand for election at this meeting. The terms of office of directors in Class II and Class I do not expire until the annual meetings of stockholders to be held in 2025 and 2024, respectively.</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Our Class III directors, whose terms will expire at this Annual Meeting, are Dr. Marquet, Mr. Renton and Mr. Schmid.</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Our nominating and corporate governance committee recommended to our board of directors, and our board of directors nominated, Dr. Marquet, Mr. Renton and Mr. Schmid, each an incumbent Class III director, for election as Class III directors at the Annual Meeting. At the recommendation of our nominating and corporate governance committee, our board of directors proposes that each of Dr. Marquet, Mr. Renton and Mr. Schmid be elected as a Class III director for a three-year term expiring at the annual meeting of stockholders to be held in 2026 and until such director’s successor is duly elected and qualified or until such director’s earlier resignation or removal.</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Each director will be elected by a plurality of the votes present in person or represented by proxy at the meeting and entitled to vote on the election of directors. This means that the three individuals nominated for election to the board of directors at the meeting receiving the highest number of “FOR” votes will be elected. You may either vote “FOR” one or more nominees or “WITHHOLD” your vote with respect to any or all of the individuals nominated for election to the board of directors. A “WITHHOLD” vote will have the same effect as an abstention. You may not cumulate votes in the election of directors. Shares represented by proxies will be voted “FOR” the election of each of the Class III nominees, unless the proxy is marked to withhold authority to so vote. If any nominee for any reason is unable to serve, the proxies may be voted for such substitute nominee as the proxy holders, who are officers of our company, determine. Each nominee has consented to being named in this proxy statement and to serve if elected. Proxies may not be voted for more than three directors.</w:t>
      </w:r>
    </w:p>
    <w:p>
      <w:pPr>
        <w:pStyle w:val="TextBody"/>
        <w:spacing w:lineRule="auto" w:line="288" w:before="0" w:after="200"/>
        <w:rPr>
          <w:rFonts w:ascii="Times New Roman;sans-serif" w:hAnsi="Times New Roman;sans-serif"/>
          <w:b/>
          <w:color w:val="000000"/>
          <w:sz w:val="20"/>
        </w:rPr>
      </w:pPr>
      <w:r>
        <w:rPr>
          <w:rFonts w:ascii="Times New Roman;sans-serif" w:hAnsi="Times New Roman;sans-serif"/>
          <w:b/>
          <w:color w:val="000000"/>
          <w:sz w:val="20"/>
        </w:rPr>
        <w:t xml:space="preserve">Nominees to the Board of Directors </w:t>
      </w:r>
    </w:p>
    <w:p>
      <w:pPr>
        <w:pStyle w:val="TextBody"/>
        <w:spacing w:lineRule="auto" w:line="288" w:before="0" w:after="240"/>
        <w:ind w:left="0" w:right="0" w:firstLine="720"/>
        <w:rPr>
          <w:rFonts w:ascii="Times New Roman;sans-serif" w:hAnsi="Times New Roman;sans-serif"/>
          <w:b w:val="false"/>
          <w:color w:val="000000"/>
          <w:sz w:val="20"/>
        </w:rPr>
      </w:pPr>
      <w:r>
        <w:rPr>
          <w:rFonts w:ascii="Times New Roman;sans-serif" w:hAnsi="Times New Roman;sans-serif"/>
          <w:b w:val="false"/>
          <w:color w:val="000000"/>
          <w:sz w:val="20"/>
        </w:rPr>
        <w:t xml:space="preserve">The nominees and their ages are provided in the table below. Additional biographical information for each nominee is set forth in the text below the table. </w:t>
      </w:r>
    </w:p>
    <w:tbl>
      <w:tblPr>
        <w:tblW w:w="4606" w:type="dxa"/>
        <w:jc w:val="left"/>
        <w:tblInd w:w="0" w:type="dxa"/>
        <w:tblCellMar>
          <w:top w:w="28" w:type="dxa"/>
          <w:left w:w="28" w:type="dxa"/>
          <w:bottom w:w="28" w:type="dxa"/>
          <w:right w:w="28" w:type="dxa"/>
        </w:tblCellMar>
      </w:tblPr>
      <w:tblGrid>
        <w:gridCol w:w="893"/>
        <w:gridCol w:w="787"/>
        <w:gridCol w:w="795"/>
        <w:gridCol w:w="145"/>
        <w:gridCol w:w="145"/>
        <w:gridCol w:w="146"/>
        <w:gridCol w:w="496"/>
        <w:gridCol w:w="496"/>
        <w:gridCol w:w="703"/>
      </w:tblGrid>
      <w:tr>
        <w:trPr/>
        <w:tc>
          <w:tcPr>
            <w:tcW w:w="893" w:type="dxa"/>
            <w:tcBorders/>
            <w:shd w:fill="auto" w:val="clear"/>
            <w:vAlign w:val="center"/>
          </w:tcPr>
          <w:p>
            <w:pPr>
              <w:pStyle w:val="TableContents"/>
              <w:spacing w:before="0" w:after="283"/>
              <w:rPr>
                <w:sz w:val="4"/>
                <w:szCs w:val="4"/>
              </w:rPr>
            </w:pPr>
            <w:r>
              <w:rPr>
                <w:sz w:val="4"/>
                <w:szCs w:val="4"/>
              </w:rPr>
            </w:r>
          </w:p>
        </w:tc>
        <w:tc>
          <w:tcPr>
            <w:tcW w:w="787" w:type="dxa"/>
            <w:tcBorders/>
            <w:shd w:fill="auto" w:val="clear"/>
            <w:vAlign w:val="center"/>
          </w:tcPr>
          <w:p>
            <w:pPr>
              <w:pStyle w:val="TableContents"/>
              <w:spacing w:before="0" w:after="283"/>
              <w:rPr>
                <w:sz w:val="4"/>
                <w:szCs w:val="4"/>
              </w:rPr>
            </w:pPr>
            <w:r>
              <w:rPr>
                <w:sz w:val="4"/>
                <w:szCs w:val="4"/>
              </w:rPr>
            </w:r>
          </w:p>
        </w:tc>
        <w:tc>
          <w:tcPr>
            <w:tcW w:w="79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703" w:type="dxa"/>
            <w:tcBorders/>
            <w:shd w:fill="auto" w:val="clear"/>
            <w:vAlign w:val="center"/>
          </w:tcPr>
          <w:p>
            <w:pPr>
              <w:pStyle w:val="TableContents"/>
              <w:spacing w:before="0" w:after="283"/>
              <w:rPr>
                <w:sz w:val="4"/>
                <w:szCs w:val="4"/>
              </w:rPr>
            </w:pPr>
            <w:r>
              <w:rPr>
                <w:sz w:val="4"/>
                <w:szCs w:val="4"/>
              </w:rPr>
            </w:r>
          </w:p>
        </w:tc>
      </w:tr>
      <w:tr>
        <w:trPr/>
        <w:tc>
          <w:tcPr>
            <w:tcW w:w="247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4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Age</w:t>
            </w:r>
          </w:p>
        </w:tc>
        <w:tc>
          <w:tcPr>
            <w:tcW w:w="16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Position and Class</w:t>
            </w:r>
          </w:p>
        </w:tc>
      </w:tr>
      <w:tr>
        <w:trPr/>
        <w:tc>
          <w:tcPr>
            <w:tcW w:w="2475"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Magda Marquet, Ph.D.</w:t>
            </w:r>
            <w:r>
              <w:rPr>
                <w:rFonts w:ascii="Times New Roman;sans-serif" w:hAnsi="Times New Roman;sans-serif"/>
                <w:b w:val="false"/>
                <w:color w:val="000000"/>
                <w:sz w:val="13"/>
              </w:rPr>
              <w:t>(1)</w:t>
            </w:r>
          </w:p>
        </w:tc>
        <w:tc>
          <w:tcPr>
            <w:tcW w:w="436"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c>
        <w:tc>
          <w:tcPr>
            <w:tcW w:w="1695"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 Class III</w:t>
            </w:r>
          </w:p>
        </w:tc>
      </w:tr>
      <w:tr>
        <w:trPr/>
        <w:tc>
          <w:tcPr>
            <w:tcW w:w="247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Hollings Renton, M.B.A.</w:t>
            </w:r>
            <w:r>
              <w:rPr>
                <w:rFonts w:ascii="Times New Roman;sans-serif" w:hAnsi="Times New Roman;sans-serif"/>
                <w:b w:val="false"/>
                <w:color w:val="000000"/>
                <w:sz w:val="13"/>
              </w:rPr>
              <w:t>(2)(3)</w:t>
            </w:r>
          </w:p>
        </w:tc>
        <w:tc>
          <w:tcPr>
            <w:tcW w:w="43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c>
        <w:tc>
          <w:tcPr>
            <w:tcW w:w="169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 Class III</w:t>
            </w:r>
          </w:p>
        </w:tc>
      </w:tr>
      <w:tr>
        <w:trPr/>
        <w:tc>
          <w:tcPr>
            <w:tcW w:w="247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John P. Schmid</w:t>
            </w:r>
            <w:r>
              <w:rPr>
                <w:rFonts w:ascii="Times New Roman;sans-serif" w:hAnsi="Times New Roman;sans-serif"/>
                <w:b w:val="false"/>
                <w:color w:val="000000"/>
                <w:sz w:val="13"/>
              </w:rPr>
              <w:t>(1)(4)</w:t>
            </w:r>
          </w:p>
        </w:tc>
        <w:tc>
          <w:tcPr>
            <w:tcW w:w="43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169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 Class III</w:t>
            </w:r>
          </w:p>
        </w:tc>
      </w:tr>
    </w:tbl>
    <w:p>
      <w:pPr>
        <w:pStyle w:val="TextBody"/>
        <w:spacing w:lineRule="auto" w:line="240" w:before="0" w:after="40"/>
        <w:rPr>
          <w:rFonts w:ascii="Times New Roman;sans-serif" w:hAnsi="Times New Roman;sans-serif"/>
          <w:b w:val="false"/>
          <w:color w:val="000000"/>
          <w:sz w:val="20"/>
        </w:rPr>
      </w:pPr>
      <w:r>
        <w:rPr>
          <w:rFonts w:ascii="Times New Roman;sans-serif" w:hAnsi="Times New Roman;sans-serif"/>
          <w:b w:val="false"/>
          <w:color w:val="000000"/>
          <w:sz w:val="20"/>
        </w:rPr>
        <w:t>______________________</w:t>
      </w:r>
    </w:p>
    <w:p>
      <w:pPr>
        <w:pStyle w:val="TextBody"/>
        <w:spacing w:lineRule="auto" w:line="288" w:before="0" w:after="12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(1)    Member of the Audit Committee</w:t>
      </w:r>
    </w:p>
    <w:p>
      <w:pPr>
        <w:pStyle w:val="TextBody"/>
        <w:spacing w:lineRule="auto" w:line="288" w:before="0" w:after="12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(2)    Member of the Nominating and Corporate Governance Committee</w:t>
      </w:r>
    </w:p>
    <w:p>
      <w:pPr>
        <w:pStyle w:val="TextBody"/>
        <w:spacing w:lineRule="auto" w:line="288" w:before="0" w:after="12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(3)    Lead Independent Director</w:t>
      </w:r>
    </w:p>
    <w:p>
      <w:pPr>
        <w:pStyle w:val="TextBody"/>
        <w:spacing w:lineRule="auto" w:line="240" w:before="0" w:after="24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(4)    Member of the Compensation Committee</w:t>
      </w:r>
    </w:p>
    <w:p>
      <w:pPr>
        <w:pStyle w:val="TextBody"/>
        <w:spacing w:lineRule="auto" w:line="288" w:before="0" w:after="200"/>
        <w:rPr/>
      </w:pPr>
      <w:r>
        <w:rPr>
          <w:rFonts w:ascii="Times New Roman;sans-serif" w:hAnsi="Times New Roman;sans-serif"/>
          <w:b/>
          <w:i/>
          <w:color w:val="000000"/>
          <w:sz w:val="20"/>
        </w:rPr>
        <w:t>Magda Marquet, Ph.D.</w:t>
      </w:r>
      <w:r>
        <w:rPr>
          <w:rFonts w:ascii="Times New Roman;sans-serif" w:hAnsi="Times New Roman;sans-serif"/>
          <w:b w:val="false"/>
          <w:color w:val="000000"/>
          <w:sz w:val="20"/>
        </w:rPr>
        <w:t>, has served as a member of our board of directors since January 2021. As a former founder and CEO, Dr. Marquet holds a Ph.D. in Biochemical Engineering from INSA/University of Toulouse, France. She has received numerous prestigious awards throughout her career including the 2005 Regional Ernst &amp; Young Entrepreneur of the Year award in the Life Sciences category, the Athena Pinnacle award, the Director of the Year award (Corporate Governance) from the Corporate Directors Forum and has been inducted into the CONNECT Entrepreneur Hall of Fame. Dr. Marquet currently serves on the boards of directors of Arcturus Therapeutics Holdings, Inc., Transcode Therapeutics, Inc., and chairs its compensation committee and is a member of its audit committee, and Immix Biopharma, Inc., and serves as the chair of its compensation committee. In the last five years, Dr. Marquet also served on the board of directors of Pfenex, Inc., a publicly traded company, until its acquisition by Ligand Pharmaceuticals. Our board of directors believes Dr. Marquet’s broad operational, fundraising expertise including venture, private equity and venture debt, as well as her expertise in M&amp;A, global commercial development, regulatory strategies and building a winning culture of innovation and strategic growth provides her with the qualifications and skills to serve our board of directors.</w:t>
      </w:r>
      <w:r>
        <w:br w:type="page"/>
      </w:r>
    </w:p>
    <w:p>
      <w:pPr>
        <w:pStyle w:val="TextBody"/>
        <w:spacing w:before="0" w:after="0"/>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200"/>
        <w:rPr/>
      </w:pPr>
      <w:r>
        <w:rPr>
          <w:rFonts w:ascii="Times New Roman;sans-serif" w:hAnsi="Times New Roman;sans-serif"/>
          <w:b/>
          <w:i/>
          <w:color w:val="000000"/>
          <w:sz w:val="20"/>
        </w:rPr>
        <w:t>Hollings Renton, M.B.A</w:t>
      </w:r>
      <w:r>
        <w:rPr>
          <w:rFonts w:ascii="Times New Roman;sans-serif" w:hAnsi="Times New Roman;sans-serif"/>
          <w:b/>
          <w:color w:val="000000"/>
          <w:sz w:val="20"/>
        </w:rPr>
        <w:t>.</w:t>
      </w:r>
      <w:r>
        <w:rPr>
          <w:rFonts w:ascii="Times New Roman;sans-serif" w:hAnsi="Times New Roman;sans-serif"/>
          <w:b w:val="false"/>
          <w:color w:val="000000"/>
          <w:sz w:val="20"/>
        </w:rPr>
        <w:t>, has served as a member of our board of directors since June 2015. Mr. Renton previously served as the Chief Executive Officer and President of Onyx Pharmaceuticals, Inc. from 1993 to 2008 and as the chairperson of the board of directors from 2000 to 2008. Before joining Onyx Pharmaceuticals, Mr. Renton served as the President and Chief Operating Officer of Chiron Corporation, a pharmaceutical company, from 1991 to 1993, following its acquisition of Cetus Corporation. Before joining Onyx Pharmaceuticals, Mr. Renton served as the President of Cetus Corporation from 1990 to 1991, as Chief Operating Officer from 1987 to 1990, and as Chief Financial Officer from 1983 to 1987. Mr. Renton currently serves on the board of Zymeworks, Inc., a publicly traded company. In the last five years, Mr. Renton previously served on the board of directors of the publicly traded company Portola Pharmaceuticals, Inc. Mr. Renton received his M.B.A. from the University of Michigan and his B.S. in Mathematics from Colorado State University. Our board of directors believes that Mr. Renton’s extensive industry experience and board memberships provide him with the qualifications and skills to serve on our board of directors.</w:t>
      </w:r>
    </w:p>
    <w:p>
      <w:pPr>
        <w:pStyle w:val="TextBody"/>
        <w:spacing w:lineRule="auto" w:line="288" w:before="0" w:after="200"/>
        <w:rPr/>
      </w:pPr>
      <w:r>
        <w:rPr>
          <w:rFonts w:ascii="Times New Roman;sans-serif" w:hAnsi="Times New Roman;sans-serif"/>
          <w:b/>
          <w:i/>
          <w:color w:val="000000"/>
          <w:sz w:val="20"/>
        </w:rPr>
        <w:t>John P. Schmid, M.B.A.</w:t>
      </w:r>
      <w:r>
        <w:rPr>
          <w:rFonts w:ascii="Times New Roman;sans-serif" w:hAnsi="Times New Roman;sans-serif"/>
          <w:b w:val="false"/>
          <w:color w:val="000000"/>
          <w:sz w:val="20"/>
        </w:rPr>
        <w:t>, has served as a member of our board of directors since June 2015. Mr. Schmid served as Chief Financial Officer of Auspex Pharmaceuticals, Inc. from September 2013 to June 2015. Before joining Auspex Pharmaceuticals, Mr. Schmid co-founded Trius Therapeutics, a publicly traded biopharmaceutical company, where he served as the Chief Financial Officer from June 2004 until its merger with Cubist Pharmaceuticals, Inc., in September 2013. Before he joined Trius Therapeutics, Mr. Schmid served as the Chief Financial Officer at GeneFormatics, Inc., a private biotechnology company, from 1998 to 2003, and at Endonetics, a private medical device company, from 1995 to 1998. Mr. Schmid currently serves as a member of the boards of directors of the publicly traded companies Design Therapeutics Inc., Poseida Therapeutics, Inc., and Xeris Pharmaceuticals, all pharmaceutical companies. In the last five years, Mr. Schmid has previously served on the board of directors of Helix Acquisition Corp., a special purpose acquisition company and Neos Therapeutics, a pharmaceutical company. Mr. Schmid received his M.B.A. from the University of San Diego and his B.A. from Wesleyan University. Our board of directors believes that Mr. Schmid’s extensive industry experience and executive positions at multiple biopharmaceutical companies qualify him to serve on our board of directors.</w:t>
      </w:r>
    </w:p>
    <w:p>
      <w:pPr>
        <w:pStyle w:val="TextBody"/>
        <w:spacing w:lineRule="auto" w:line="288" w:before="0" w:after="2"/>
        <w:rPr>
          <w:rFonts w:ascii="Times New Roman;sans-serif" w:hAnsi="Times New Roman;sans-serif"/>
          <w:b/>
          <w:color w:val="000000"/>
          <w:sz w:val="20"/>
        </w:rPr>
      </w:pPr>
      <w:r>
        <w:rPr>
          <w:rFonts w:ascii="Times New Roman;sans-serif" w:hAnsi="Times New Roman;sans-serif"/>
          <w:b/>
          <w:color w:val="000000"/>
          <w:sz w:val="20"/>
        </w:rPr>
        <w:t>Directors Not Standing for Election</w:t>
      </w:r>
    </w:p>
    <w:p>
      <w:pPr>
        <w:pStyle w:val="TextBody"/>
        <w:spacing w:lineRule="auto" w:line="288" w:before="200" w:after="200"/>
        <w:rPr>
          <w:rFonts w:ascii="Times New Roman;sans-serif" w:hAnsi="Times New Roman;sans-serif"/>
          <w:b w:val="false"/>
          <w:color w:val="000000"/>
          <w:sz w:val="20"/>
        </w:rPr>
      </w:pPr>
      <w:r>
        <w:rPr>
          <w:rFonts w:ascii="Times New Roman;sans-serif" w:hAnsi="Times New Roman;sans-serif"/>
          <w:b w:val="false"/>
          <w:color w:val="000000"/>
          <w:sz w:val="20"/>
        </w:rPr>
        <w:t>The directors who are serving or who have been appointed for terms that end following the meeting, and their ages (as of the date of this Proxy Statement), occupations and length of board service are provided in the table below. Additional biographical information for each nominee is set forth in the text below the table.</w:t>
      </w:r>
    </w:p>
    <w:tbl>
      <w:tblPr>
        <w:tblW w:w="5535" w:type="dxa"/>
        <w:jc w:val="left"/>
        <w:tblInd w:w="0" w:type="dxa"/>
        <w:tblCellMar>
          <w:top w:w="28" w:type="dxa"/>
          <w:left w:w="28" w:type="dxa"/>
          <w:bottom w:w="28" w:type="dxa"/>
          <w:right w:w="28" w:type="dxa"/>
        </w:tblCellMar>
      </w:tblPr>
      <w:tblGrid>
        <w:gridCol w:w="873"/>
        <w:gridCol w:w="767"/>
        <w:gridCol w:w="775"/>
        <w:gridCol w:w="145"/>
        <w:gridCol w:w="145"/>
        <w:gridCol w:w="146"/>
        <w:gridCol w:w="785"/>
        <w:gridCol w:w="785"/>
        <w:gridCol w:w="1114"/>
      </w:tblGrid>
      <w:tr>
        <w:trPr/>
        <w:tc>
          <w:tcPr>
            <w:tcW w:w="873" w:type="dxa"/>
            <w:tcBorders/>
            <w:shd w:fill="auto" w:val="clear"/>
            <w:vAlign w:val="center"/>
          </w:tcPr>
          <w:p>
            <w:pPr>
              <w:pStyle w:val="TableContents"/>
              <w:spacing w:before="0" w:after="283"/>
              <w:rPr>
                <w:sz w:val="4"/>
                <w:szCs w:val="4"/>
              </w:rPr>
            </w:pPr>
            <w:r>
              <w:rPr>
                <w:sz w:val="4"/>
                <w:szCs w:val="4"/>
              </w:rPr>
            </w:r>
          </w:p>
        </w:tc>
        <w:tc>
          <w:tcPr>
            <w:tcW w:w="767" w:type="dxa"/>
            <w:tcBorders/>
            <w:shd w:fill="auto" w:val="clear"/>
            <w:vAlign w:val="center"/>
          </w:tcPr>
          <w:p>
            <w:pPr>
              <w:pStyle w:val="TableContents"/>
              <w:spacing w:before="0" w:after="283"/>
              <w:rPr>
                <w:sz w:val="4"/>
                <w:szCs w:val="4"/>
              </w:rPr>
            </w:pPr>
            <w:r>
              <w:rPr>
                <w:sz w:val="4"/>
                <w:szCs w:val="4"/>
              </w:rPr>
            </w:r>
          </w:p>
        </w:tc>
        <w:tc>
          <w:tcPr>
            <w:tcW w:w="77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785" w:type="dxa"/>
            <w:tcBorders/>
            <w:shd w:fill="auto" w:val="clear"/>
            <w:vAlign w:val="center"/>
          </w:tcPr>
          <w:p>
            <w:pPr>
              <w:pStyle w:val="TableContents"/>
              <w:spacing w:before="0" w:after="283"/>
              <w:rPr>
                <w:sz w:val="4"/>
                <w:szCs w:val="4"/>
              </w:rPr>
            </w:pPr>
            <w:r>
              <w:rPr>
                <w:sz w:val="4"/>
                <w:szCs w:val="4"/>
              </w:rPr>
            </w:r>
          </w:p>
        </w:tc>
        <w:tc>
          <w:tcPr>
            <w:tcW w:w="1114" w:type="dxa"/>
            <w:tcBorders/>
            <w:shd w:fill="auto" w:val="clear"/>
            <w:vAlign w:val="center"/>
          </w:tcPr>
          <w:p>
            <w:pPr>
              <w:pStyle w:val="TableContents"/>
              <w:spacing w:before="0" w:after="283"/>
              <w:rPr>
                <w:sz w:val="4"/>
                <w:szCs w:val="4"/>
              </w:rPr>
            </w:pPr>
            <w:r>
              <w:rPr>
                <w:sz w:val="4"/>
                <w:szCs w:val="4"/>
              </w:rPr>
            </w:r>
          </w:p>
        </w:tc>
      </w:tr>
      <w:tr>
        <w:trPr/>
        <w:tc>
          <w:tcPr>
            <w:tcW w:w="24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Name</w:t>
            </w:r>
          </w:p>
        </w:tc>
        <w:tc>
          <w:tcPr>
            <w:tcW w:w="43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Age</w:t>
            </w:r>
          </w:p>
        </w:tc>
        <w:tc>
          <w:tcPr>
            <w:tcW w:w="268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Position and Class</w:t>
            </w:r>
          </w:p>
        </w:tc>
      </w:tr>
      <w:tr>
        <w:trPr/>
        <w:tc>
          <w:tcPr>
            <w:tcW w:w="2415"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Daniel Faga</w:t>
            </w:r>
            <w:r>
              <w:rPr>
                <w:rFonts w:ascii="Times New Roman;sans-serif" w:hAnsi="Times New Roman;sans-serif"/>
                <w:b w:val="false"/>
                <w:color w:val="000000"/>
                <w:sz w:val="13"/>
              </w:rPr>
              <w:t>(1)</w:t>
            </w:r>
          </w:p>
        </w:tc>
        <w:tc>
          <w:tcPr>
            <w:tcW w:w="436"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2684"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 Class I</w:t>
            </w:r>
          </w:p>
        </w:tc>
      </w:tr>
      <w:tr>
        <w:trPr/>
        <w:tc>
          <w:tcPr>
            <w:tcW w:w="241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Dennis Fenton, Ph.D.</w:t>
            </w:r>
            <w:r>
              <w:rPr>
                <w:rFonts w:ascii="Times New Roman;sans-serif" w:hAnsi="Times New Roman;sans-serif"/>
                <w:b w:val="false"/>
                <w:color w:val="000000"/>
                <w:sz w:val="13"/>
              </w:rPr>
              <w:t>(2)</w:t>
            </w:r>
          </w:p>
        </w:tc>
        <w:tc>
          <w:tcPr>
            <w:tcW w:w="43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26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 Class I</w:t>
            </w:r>
          </w:p>
        </w:tc>
      </w:tr>
      <w:tr>
        <w:trPr/>
        <w:tc>
          <w:tcPr>
            <w:tcW w:w="241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Oleg Nodelman</w:t>
            </w:r>
            <w:r>
              <w:rPr>
                <w:rFonts w:ascii="Times New Roman;sans-serif" w:hAnsi="Times New Roman;sans-serif"/>
                <w:b w:val="false"/>
                <w:color w:val="000000"/>
                <w:sz w:val="13"/>
              </w:rPr>
              <w:t>.(3)</w:t>
            </w:r>
          </w:p>
        </w:tc>
        <w:tc>
          <w:tcPr>
            <w:tcW w:w="43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26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 Class I</w:t>
            </w:r>
          </w:p>
        </w:tc>
      </w:tr>
      <w:tr>
        <w:trPr/>
        <w:tc>
          <w:tcPr>
            <w:tcW w:w="241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Rita Jain, M.D.</w:t>
            </w:r>
            <w:r>
              <w:rPr>
                <w:rFonts w:ascii="Times New Roman;sans-serif" w:hAnsi="Times New Roman;sans-serif"/>
                <w:b w:val="false"/>
                <w:color w:val="000000"/>
                <w:sz w:val="13"/>
              </w:rPr>
              <w:t>(2)</w:t>
            </w:r>
          </w:p>
        </w:tc>
        <w:tc>
          <w:tcPr>
            <w:tcW w:w="43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26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 Class II</w:t>
            </w:r>
          </w:p>
        </w:tc>
      </w:tr>
      <w:tr>
        <w:trPr/>
        <w:tc>
          <w:tcPr>
            <w:tcW w:w="241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James Topper, M.D., Ph.D.</w:t>
            </w:r>
            <w:r>
              <w:rPr>
                <w:rFonts w:ascii="Times New Roman;sans-serif" w:hAnsi="Times New Roman;sans-serif"/>
                <w:b w:val="false"/>
                <w:color w:val="000000"/>
                <w:sz w:val="13"/>
              </w:rPr>
              <w:t>(3)</w:t>
            </w:r>
          </w:p>
        </w:tc>
        <w:tc>
          <w:tcPr>
            <w:tcW w:w="43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268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 of the Board, Class II</w:t>
            </w:r>
          </w:p>
        </w:tc>
      </w:tr>
      <w:tr>
        <w:trPr/>
        <w:tc>
          <w:tcPr>
            <w:tcW w:w="241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J. Anthony Ware</w:t>
            </w:r>
            <w:r>
              <w:rPr>
                <w:rFonts w:ascii="Times New Roman;sans-serif" w:hAnsi="Times New Roman;sans-serif"/>
                <w:b w:val="false"/>
                <w:color w:val="000000"/>
                <w:sz w:val="13"/>
              </w:rPr>
              <w:t>(3)(4)</w:t>
            </w:r>
          </w:p>
        </w:tc>
        <w:tc>
          <w:tcPr>
            <w:tcW w:w="43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268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 Class II</w:t>
            </w:r>
          </w:p>
        </w:tc>
      </w:tr>
    </w:tbl>
    <w:p>
      <w:pPr>
        <w:pStyle w:val="TextBody"/>
        <w:spacing w:lineRule="auto" w:line="240" w:before="0" w:after="40"/>
        <w:rPr>
          <w:rFonts w:ascii="Times New Roman;sans-serif" w:hAnsi="Times New Roman;sans-serif"/>
          <w:b w:val="false"/>
          <w:color w:val="000000"/>
          <w:sz w:val="20"/>
        </w:rPr>
      </w:pPr>
      <w:r>
        <w:rPr>
          <w:rFonts w:ascii="Times New Roman;sans-serif" w:hAnsi="Times New Roman;sans-serif"/>
          <w:b w:val="false"/>
          <w:color w:val="000000"/>
          <w:sz w:val="20"/>
        </w:rPr>
        <w:t>_________________</w:t>
      </w:r>
    </w:p>
    <w:p>
      <w:pPr>
        <w:pStyle w:val="TextBody"/>
        <w:spacing w:lineRule="auto" w:line="240" w:before="0" w:after="12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 xml:space="preserve">(1)    Mr. Faga is our Interim President and Chief Executive Officer. </w:t>
      </w:r>
    </w:p>
    <w:p>
      <w:pPr>
        <w:pStyle w:val="TextBody"/>
        <w:spacing w:lineRule="auto" w:line="240" w:before="0" w:after="12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(2)    Member of the Compensation Committee</w:t>
      </w:r>
    </w:p>
    <w:p>
      <w:pPr>
        <w:pStyle w:val="TextBody"/>
        <w:spacing w:lineRule="auto" w:line="240" w:before="0" w:after="12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(3)    Member of the Nominating and Corporate Governance Committee</w:t>
      </w:r>
    </w:p>
    <w:p>
      <w:pPr>
        <w:pStyle w:val="TextBody"/>
        <w:spacing w:lineRule="auto" w:line="240" w:before="0" w:after="20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(4)    Member of the Audit Committee</w:t>
      </w:r>
    </w:p>
    <w:p>
      <w:pPr>
        <w:pStyle w:val="TextBody"/>
        <w:spacing w:lineRule="auto" w:line="288" w:before="0" w:after="200"/>
        <w:rPr/>
      </w:pPr>
      <w:r>
        <w:rPr>
          <w:rFonts w:ascii="Times New Roman;sans-serif" w:hAnsi="Times New Roman;sans-serif"/>
          <w:b/>
          <w:i/>
          <w:color w:val="000000"/>
          <w:sz w:val="20"/>
        </w:rPr>
        <w:t>Daniel Faga</w:t>
      </w:r>
      <w:r>
        <w:rPr>
          <w:color w:val="000000"/>
        </w:rPr>
        <w:t xml:space="preserve"> </w:t>
      </w:r>
      <w:r>
        <w:rPr>
          <w:rFonts w:ascii="Times New Roman;sans-serif" w:hAnsi="Times New Roman;sans-serif"/>
          <w:b w:val="false"/>
          <w:color w:val="000000"/>
          <w:sz w:val="20"/>
        </w:rPr>
        <w:t xml:space="preserve">has served as a member of our board of directors since November 2021, and has served as our Interim President and Chief Executive Officer since March 2022. From January 2020 to November 2021, Mr. Faga served as Chief Operating Officer at Mirati Therapeutics responsible for leading the company's strategy, corporate finance, legal and other business operations. Prior to joining Mirati, Mr. Faga served as the Chief Business Officer for Spark Therapeutics, Inc. from May 2016 through December 2019, where he was responsible for the Corporate Strategy &amp; Public Affairs organization including leadership of corporate strategy, portfolio and new product planning, patient advocacy, business development, alliance management, asset &amp; program management and corporate communications functions. From July 2009 until April 2016, Mr. Faga was a Managing Director at Centerview Partners, an investment banking and advisory firm, where he served as a founding member of Centerview's healthcare advisory practice. Prior to Centerview, Mr. Faga worked at Merrill Lynch in its healthcare investment banking group and as a management consultant in the Life Sciences Practice at PRTM. Mr. Faga earned a B.S. in Engineering from Cornell University and an M.B.A. in Health Care </w:t>
      </w:r>
      <w:r>
        <w:br w:type="page"/>
      </w:r>
    </w:p>
    <w:p>
      <w:pPr>
        <w:pStyle w:val="TextBody"/>
        <w:spacing w:before="0" w:after="0"/>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Management from The Wharton School at the University of Pennsylvania. Our board of directors believes that Mr. Faga’s extensive industry experience and executive experience provides him with the qualifications and skills to serve on our board of directors.</w:t>
      </w:r>
    </w:p>
    <w:p>
      <w:pPr>
        <w:pStyle w:val="TextBody"/>
        <w:spacing w:lineRule="auto" w:line="288" w:before="0" w:after="200"/>
        <w:rPr/>
      </w:pPr>
      <w:r>
        <w:rPr>
          <w:rFonts w:ascii="Times New Roman;sans-serif" w:hAnsi="Times New Roman;sans-serif"/>
          <w:b/>
          <w:i/>
          <w:color w:val="000000"/>
          <w:sz w:val="20"/>
        </w:rPr>
        <w:t>Dennis Fenton, Ph.D</w:t>
      </w:r>
      <w:r>
        <w:rPr>
          <w:rFonts w:ascii="Times New Roman;sans-serif" w:hAnsi="Times New Roman;sans-serif"/>
          <w:b w:val="false"/>
          <w:i/>
          <w:color w:val="000000"/>
          <w:sz w:val="20"/>
        </w:rPr>
        <w:t>.</w:t>
      </w:r>
      <w:r>
        <w:rPr>
          <w:rFonts w:ascii="Times New Roman;sans-serif" w:hAnsi="Times New Roman;sans-serif"/>
          <w:b w:val="false"/>
          <w:color w:val="000000"/>
          <w:sz w:val="20"/>
        </w:rPr>
        <w:t>, has served as a member of our board of directors since March 2018. From 1981 to 2008, Dr. Fenton held numerous positions at Amgen, Inc., a biotechnology company, including Executive Vice President from 2000 until 2008, Senior Vice President of Operations from 1995 until 2000 and Senior Vice President of Sales, Marketing and Process Development from 1992 until 1995. Prior to his time at Amgen, Inc., Dr. Fenton served as Senior Research Scientist at Pfizer, Inc., and previously was a research associate and graduate student at Rutgers University. In the past five years, Dr. Fenton previously served on the boards of directors of Sienna Biopharmaceuticals, Inc., Portola Pharmaceuticals, Inc. and Pfenex Inc., a publicly traded company. Dr. Fenton holds a B.S. in Biology from Manhattan College and a Ph.D. in Microbiology from Rutgers University. Our board of directors believes that Dr. Fenton’s extensive experience in the life sciences industry provides him with the qualifications and skills to serve on our board of directors.</w:t>
      </w:r>
    </w:p>
    <w:p>
      <w:pPr>
        <w:pStyle w:val="TextBody"/>
        <w:spacing w:lineRule="auto" w:line="288" w:before="0" w:after="200"/>
        <w:rPr/>
      </w:pPr>
      <w:r>
        <w:rPr>
          <w:rFonts w:ascii="Times New Roman;sans-serif" w:hAnsi="Times New Roman;sans-serif"/>
          <w:b/>
          <w:i/>
          <w:color w:val="000000"/>
          <w:sz w:val="20"/>
        </w:rPr>
        <w:t>Oleg Nodelman</w:t>
      </w:r>
      <w:r>
        <w:rPr>
          <w:color w:val="000000"/>
        </w:rPr>
        <w:t xml:space="preserve"> </w:t>
      </w:r>
      <w:r>
        <w:rPr>
          <w:rFonts w:ascii="Times New Roman;sans-serif" w:hAnsi="Times New Roman;sans-serif"/>
          <w:b w:val="false"/>
          <w:color w:val="000000"/>
          <w:sz w:val="20"/>
        </w:rPr>
        <w:t>has served as a member of our board of directors since April 2021. Since October 2013, Mr. Nodelman has served as the Founder and Portfolio Manager of EcoR1 Capital LLC, a biotech-focused investment advisory firm established in 2013, and one of our principal shareholders. Previously, Mr. Nodelman served as a Portfolio Manager at BVF Partners from 2001 to 2012. Mr. Nodelman earned a B.S.F.S. in Science and Technology from Georgetown University, School of Foreign Service in 1999. Mr. Nodelman serves on the boards of directors of the publicly traded companies Prothena Corporation plc, Nuvation Bio Inc. and Panacea Acquisition Corp.II. Our board of directors believes that Mr. Nodelman’s extensive industry experience provides him with the qualifications and skills to serve on our board of directors.</w:t>
      </w:r>
    </w:p>
    <w:p>
      <w:pPr>
        <w:pStyle w:val="TextBody"/>
        <w:spacing w:lineRule="auto" w:line="288" w:before="0" w:after="200"/>
        <w:rPr/>
      </w:pPr>
      <w:r>
        <w:rPr>
          <w:rFonts w:ascii="Times New Roman;sans-serif" w:hAnsi="Times New Roman;sans-serif"/>
          <w:b/>
          <w:i/>
          <w:color w:val="000000"/>
          <w:sz w:val="20"/>
        </w:rPr>
        <w:t>Rita Jain, M.D.</w:t>
      </w:r>
      <w:r>
        <w:rPr>
          <w:color w:val="000000"/>
        </w:rPr>
        <w:t xml:space="preserve"> </w:t>
      </w:r>
      <w:r>
        <w:rPr>
          <w:rFonts w:ascii="Times New Roman;sans-serif" w:hAnsi="Times New Roman;sans-serif"/>
          <w:b w:val="false"/>
          <w:color w:val="000000"/>
          <w:sz w:val="20"/>
        </w:rPr>
        <w:t>has served as a member of our board of directors since April 2023. Dr. Jain is currently a member of the board of directors of Celldex Therapeutics, Inc. and Provention Bio, Inc., and has been a member of the supervisory board of AM-Pharma B.V. since 2020. She previously served on the board of directors of ChemoCentryx, Inc. from 2019 until its acquisition by Amgen in 2022. From 2021 to 2022, Dr. Jain served as Executive Vice President, Chief Medical Officer of ChemoCentryx, Inc. and in 2021 served as Chief Medical Officer of Immunovant, Inc. Additionally, since August 2021, Dr. Jain has served as Chief Executive Officer of Heartwood Biopharma Group, a private consulting group. From 2017 to 2019, Dr. Jain was Senior Vice President and Chief Medical Officer at Akebia Therapeutics, Inc. From 2013 to 2016, Dr. Jain was a Vice President in Clinical Development at AbbVie Inc., including Vice President of Men’s and Women’s Health and Metabolic Development. Dr. Jain also held various leadership roles at Abbott Laboratories from 2003 through 2012, including as Divisional Vice President of Pain, Respiratory and Metabolic Disease Development. Dr. Jain received her B.S. degree in biology from the Long Island University, and her M.D. from the State University of New York at Stony Brook School of Medicine. Our board of directors believes that Dr. Jain’s extensive life sciences experience provides her with the qualifications and skills to serve on our board of directors.</w:t>
      </w:r>
    </w:p>
    <w:p>
      <w:pPr>
        <w:pStyle w:val="TextBody"/>
        <w:spacing w:lineRule="auto" w:line="288" w:before="0" w:after="200"/>
        <w:rPr/>
      </w:pPr>
      <w:r>
        <w:rPr>
          <w:rFonts w:ascii="Times New Roman;sans-serif" w:hAnsi="Times New Roman;sans-serif"/>
          <w:b/>
          <w:i/>
          <w:color w:val="000000"/>
          <w:sz w:val="20"/>
        </w:rPr>
        <w:t>James N. Topper, M.D., Ph.D.,</w:t>
      </w:r>
      <w:r>
        <w:rPr>
          <w:color w:val="000000"/>
        </w:rPr>
        <w:t xml:space="preserve"> </w:t>
      </w:r>
      <w:r>
        <w:rPr>
          <w:rFonts w:ascii="Times New Roman;sans-serif" w:hAnsi="Times New Roman;sans-serif"/>
          <w:b w:val="false"/>
          <w:color w:val="000000"/>
          <w:sz w:val="20"/>
        </w:rPr>
        <w:t>has served as a member of our board of directors since November 2007. Dr. Topper has been a partner with Frazier Healthcare since August 2003, serving as General Partner since 2005. Before joining Frazier Healthcare, Dr. Topper served as head of the Cardiovascular Research and Development Division of Millennium Pharmaceuticals, Inc. and ran Millennium San Francisco (formerly COR Therapeutics, Inc.) from 2002 until 2003. Before the merger of COR and Millennium in 2002, Dr. Topper served as the Vice President of Biology at COR from August 1999 to February 2002. Dr. Topper has served on numerous boards of directors and currently serves on the boards of directors of the publicly traded companies Alpine Immune Sciences, Inc. and Frazier Life Sciences Acquisition Corp. In the last five years, Dr. Topper previously served on the boards of directors of the following publicly traded companies: Allena Pharmaceuticals and Sierra Oncology. Dr. Topper received his M.D. and Ph.D. in biophysics from Stanford University and his B.S. in biology from the University of Michigan. Our board of directors believes that Dr. Topper’s experience overseeing Frazier Healthcare investments in biotechnology, senior-management experience in our industry, significant knowledge of medical and scientific matters affecting our business, and understanding of our industry provide him with the qualifications and skills to serve on our board of directors.</w:t>
      </w:r>
    </w:p>
    <w:p>
      <w:pPr>
        <w:pStyle w:val="TextBody"/>
        <w:spacing w:lineRule="auto" w:line="288" w:before="0" w:after="200"/>
        <w:rPr/>
      </w:pPr>
      <w:r>
        <w:rPr>
          <w:rFonts w:ascii="Times New Roman;sans-serif" w:hAnsi="Times New Roman;sans-serif"/>
          <w:b/>
          <w:i/>
          <w:color w:val="000000"/>
          <w:sz w:val="20"/>
        </w:rPr>
        <w:t>J. Anthony Ware, M.D.,</w:t>
      </w:r>
      <w:r>
        <w:rPr>
          <w:color w:val="000000"/>
        </w:rPr>
        <w:t xml:space="preserve"> </w:t>
      </w:r>
      <w:r>
        <w:rPr>
          <w:rFonts w:ascii="Times New Roman;sans-serif" w:hAnsi="Times New Roman;sans-serif"/>
          <w:b w:val="false"/>
          <w:color w:val="000000"/>
          <w:sz w:val="20"/>
        </w:rPr>
        <w:t xml:space="preserve">has served as a member of our board of directors since August 2017. From 2001 to January 2018, Dr. Ware held numerous positions at Eli Lilly and Company, a global pharmaceutical company, including Senior Vice President of Product Development of Lilly Bio-Medicines from October 2009 to January 2018 and Interim President of Lilly Bio-Medicines from January 2017 to April 2017. Before joining Eli Lilly and Company, Dr. Ware served as Professor of Medicine and Molecular Pharmacology at Albert Einstein College of Medicine in New York, where he was also Chief of Cardiology at Montefiore Medical Center from 1996 to 2001. Before joining Albert Einstein College of Medicine, Dr. Ware was on the faculty of Harvard Medical School from 1984 to 1996 and served as a senior physician and Director of the </w:t>
      </w:r>
      <w:r>
        <w:br w:type="page"/>
      </w:r>
    </w:p>
    <w:p>
      <w:pPr>
        <w:pStyle w:val="TextBody"/>
        <w:spacing w:before="0" w:after="0"/>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Coronary Care Unit at Beth Israel Hospital. Dr. Ware received his B.S. from Washburn University, and his M.D. from the University of Kansas. He completed internships and residency at The University of Texas at Houston and Baylor College of Medicine, where he also served as Chief Resident. He completed fellowships both at Baylor and at Harvard Medical School, and is board certified both in internal medicine and cardiovascular disease. Our board of directors believes that Dr. Ware’s extensive academic and industry experience and significant knowledge of scientific matters provide him with the qualifications and skills to serve on our board of directors.</w:t>
      </w:r>
    </w:p>
    <w:p>
      <w:pPr>
        <w:pStyle w:val="TextBody"/>
        <w:spacing w:lineRule="auto" w:line="288" w:before="200" w:after="200"/>
        <w:rPr>
          <w:rFonts w:ascii="Times New Roman;sans-serif" w:hAnsi="Times New Roman;sans-serif"/>
          <w:b w:val="false"/>
          <w:color w:val="000000"/>
          <w:sz w:val="20"/>
        </w:rPr>
      </w:pPr>
      <w:r>
        <w:rPr>
          <w:rFonts w:ascii="Times New Roman;sans-serif" w:hAnsi="Times New Roman;sans-serif"/>
          <w:b w:val="false"/>
          <w:color w:val="000000"/>
          <w:sz w:val="20"/>
        </w:rPr>
        <w:t>There are no familial relationships among any of our directors and executive officers.</w:t>
      </w:r>
    </w:p>
    <w:p>
      <w:pPr>
        <w:pStyle w:val="TextBody"/>
        <w:spacing w:lineRule="auto" w:line="288" w:before="0" w:after="200"/>
        <w:rPr>
          <w:rFonts w:ascii="Times New Roman;sans-serif" w:hAnsi="Times New Roman;sans-serif"/>
          <w:b/>
          <w:color w:val="000000"/>
          <w:sz w:val="20"/>
        </w:rPr>
      </w:pPr>
      <w:r>
        <w:rPr>
          <w:rFonts w:ascii="Times New Roman;sans-serif" w:hAnsi="Times New Roman;sans-serif"/>
          <w:b/>
          <w:color w:val="000000"/>
          <w:sz w:val="20"/>
        </w:rPr>
        <w:t xml:space="preserve">Non-Employee Director Compensation </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total compensation for each person who served as a non-employee member of our board of directors in the year ended December 31, 2022. Mr. Suria, our Chief Executive Officer until March 2022, received no compensation for his service as a director in the year ended December 31, 2022. Mr. Suria resigned as our Chief Executive Officer, effective March 20, 2022.</w:t>
      </w:r>
    </w:p>
    <w:tbl>
      <w:tblPr>
        <w:tblW w:w="6523" w:type="dxa"/>
        <w:jc w:val="left"/>
        <w:tblInd w:w="0" w:type="dxa"/>
        <w:tblCellMar>
          <w:top w:w="28" w:type="dxa"/>
          <w:left w:w="28" w:type="dxa"/>
          <w:bottom w:w="28" w:type="dxa"/>
          <w:right w:w="28" w:type="dxa"/>
        </w:tblCellMar>
      </w:tblPr>
      <w:tblGrid>
        <w:gridCol w:w="896"/>
        <w:gridCol w:w="786"/>
        <w:gridCol w:w="792"/>
        <w:gridCol w:w="559"/>
        <w:gridCol w:w="559"/>
        <w:gridCol w:w="561"/>
        <w:gridCol w:w="514"/>
        <w:gridCol w:w="514"/>
        <w:gridCol w:w="516"/>
        <w:gridCol w:w="241"/>
        <w:gridCol w:w="241"/>
        <w:gridCol w:w="344"/>
      </w:tblGrid>
      <w:tr>
        <w:trPr/>
        <w:tc>
          <w:tcPr>
            <w:tcW w:w="896"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792"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center"/>
          </w:tcPr>
          <w:p>
            <w:pPr>
              <w:pStyle w:val="TableContents"/>
              <w:spacing w:before="0" w:after="283"/>
              <w:rPr>
                <w:sz w:val="4"/>
                <w:szCs w:val="4"/>
              </w:rPr>
            </w:pPr>
            <w:r>
              <w:rPr>
                <w:sz w:val="4"/>
                <w:szCs w:val="4"/>
              </w:rPr>
            </w:r>
          </w:p>
        </w:tc>
        <w:tc>
          <w:tcPr>
            <w:tcW w:w="559"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514"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r>
      <w:tr>
        <w:trPr/>
        <w:tc>
          <w:tcPr>
            <w:tcW w:w="2474"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Name</w:t>
            </w:r>
            <w:r>
              <w:rPr>
                <w:rFonts w:ascii="Times New Roman;sans-serif" w:hAnsi="Times New Roman;sans-serif"/>
                <w:b/>
                <w:color w:val="000000"/>
                <w:sz w:val="13"/>
              </w:rPr>
              <w:t>(1)</w:t>
            </w:r>
          </w:p>
        </w:tc>
        <w:tc>
          <w:tcPr>
            <w:tcW w:w="167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Fees Earned </w:t>
              <w:br/>
              <w:t>or Paid in Cash ($)</w:t>
            </w:r>
          </w:p>
        </w:tc>
        <w:tc>
          <w:tcPr>
            <w:tcW w:w="1544"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20"/>
              </w:rPr>
              <w:t>Option Awards</w:t>
            </w:r>
            <w:r>
              <w:rPr>
                <w:rFonts w:ascii="Times New Roman;sans-serif" w:hAnsi="Times New Roman;sans-serif"/>
                <w:b/>
                <w:color w:val="000000"/>
                <w:sz w:val="13"/>
              </w:rPr>
              <w:t>(2)</w:t>
            </w:r>
          </w:p>
          <w:p>
            <w:pPr>
              <w:pStyle w:val="TableContents"/>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t>
            </w:r>
          </w:p>
        </w:tc>
        <w:tc>
          <w:tcPr>
            <w:tcW w:w="8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br/>
              <w:t>($)</w:t>
            </w:r>
          </w:p>
        </w:tc>
      </w:tr>
      <w:tr>
        <w:trPr/>
        <w:tc>
          <w:tcPr>
            <w:tcW w:w="247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 xml:space="preserve">Daniel Faga </w:t>
            </w:r>
            <w:r>
              <w:rPr>
                <w:rFonts w:ascii="Times New Roman;sans-serif" w:hAnsi="Times New Roman;sans-serif"/>
                <w:b w:val="false"/>
                <w:color w:val="000000"/>
                <w:sz w:val="13"/>
              </w:rPr>
              <w:t>(3)</w:t>
            </w:r>
          </w:p>
        </w:tc>
        <w:tc>
          <w:tcPr>
            <w:tcW w:w="167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w:t>
            </w:r>
          </w:p>
        </w:tc>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200,618</w:t>
            </w:r>
          </w:p>
        </w:tc>
        <w:tc>
          <w:tcPr>
            <w:tcW w:w="82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210,618</w:t>
            </w:r>
          </w:p>
        </w:tc>
      </w:tr>
      <w:tr>
        <w:trPr/>
        <w:tc>
          <w:tcPr>
            <w:tcW w:w="24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Dennis Fenton, Ph.D.</w:t>
            </w:r>
          </w:p>
        </w:tc>
        <w:tc>
          <w:tcPr>
            <w:tcW w:w="167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62,500</w:t>
            </w:r>
          </w:p>
        </w:tc>
        <w:tc>
          <w:tcPr>
            <w:tcW w:w="15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200,618</w:t>
            </w:r>
          </w:p>
        </w:tc>
        <w:tc>
          <w:tcPr>
            <w:tcW w:w="82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263,118</w:t>
            </w:r>
          </w:p>
        </w:tc>
      </w:tr>
      <w:tr>
        <w:trPr/>
        <w:tc>
          <w:tcPr>
            <w:tcW w:w="2474"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Laura J. Hamill</w:t>
            </w:r>
            <w:r>
              <w:rPr>
                <w:rFonts w:ascii="Times New Roman;sans-serif" w:hAnsi="Times New Roman;sans-serif"/>
                <w:b w:val="false"/>
                <w:color w:val="000000"/>
                <w:sz w:val="13"/>
              </w:rPr>
              <w:t>(4)</w:t>
            </w:r>
          </w:p>
        </w:tc>
        <w:tc>
          <w:tcPr>
            <w:tcW w:w="167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55,000</w:t>
            </w:r>
          </w:p>
        </w:tc>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200,618</w:t>
            </w:r>
          </w:p>
        </w:tc>
        <w:tc>
          <w:tcPr>
            <w:tcW w:w="82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255,618</w:t>
            </w:r>
          </w:p>
        </w:tc>
      </w:tr>
      <w:tr>
        <w:trPr/>
        <w:tc>
          <w:tcPr>
            <w:tcW w:w="24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Magda Marquet, Ph. D.</w:t>
            </w:r>
          </w:p>
        </w:tc>
        <w:tc>
          <w:tcPr>
            <w:tcW w:w="167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49,000</w:t>
            </w:r>
          </w:p>
        </w:tc>
        <w:tc>
          <w:tcPr>
            <w:tcW w:w="15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200,618</w:t>
            </w:r>
          </w:p>
        </w:tc>
        <w:tc>
          <w:tcPr>
            <w:tcW w:w="82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249,618</w:t>
            </w:r>
          </w:p>
        </w:tc>
      </w:tr>
      <w:tr>
        <w:trPr/>
        <w:tc>
          <w:tcPr>
            <w:tcW w:w="24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Oleg Nodelman</w:t>
            </w:r>
          </w:p>
        </w:tc>
        <w:tc>
          <w:tcPr>
            <w:tcW w:w="167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82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4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Hollings Renton</w:t>
            </w:r>
          </w:p>
        </w:tc>
        <w:tc>
          <w:tcPr>
            <w:tcW w:w="167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73,000</w:t>
            </w:r>
          </w:p>
        </w:tc>
        <w:tc>
          <w:tcPr>
            <w:tcW w:w="15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200,618</w:t>
            </w:r>
          </w:p>
        </w:tc>
        <w:tc>
          <w:tcPr>
            <w:tcW w:w="82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273,618</w:t>
            </w:r>
          </w:p>
        </w:tc>
      </w:tr>
      <w:tr>
        <w:trPr/>
        <w:tc>
          <w:tcPr>
            <w:tcW w:w="24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P. Schmid, M.B.A.</w:t>
            </w:r>
          </w:p>
        </w:tc>
        <w:tc>
          <w:tcPr>
            <w:tcW w:w="167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66,000</w:t>
            </w:r>
          </w:p>
        </w:tc>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200,618</w:t>
            </w:r>
          </w:p>
        </w:tc>
        <w:tc>
          <w:tcPr>
            <w:tcW w:w="82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266,618</w:t>
            </w:r>
          </w:p>
        </w:tc>
      </w:tr>
      <w:tr>
        <w:trPr/>
        <w:tc>
          <w:tcPr>
            <w:tcW w:w="24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James N. Topper, M.D., Ph.D.</w:t>
            </w:r>
          </w:p>
        </w:tc>
        <w:tc>
          <w:tcPr>
            <w:tcW w:w="167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86,500</w:t>
            </w:r>
          </w:p>
        </w:tc>
        <w:tc>
          <w:tcPr>
            <w:tcW w:w="154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200,618</w:t>
            </w:r>
          </w:p>
        </w:tc>
        <w:tc>
          <w:tcPr>
            <w:tcW w:w="82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287,118</w:t>
            </w:r>
          </w:p>
        </w:tc>
      </w:tr>
      <w:tr>
        <w:trPr/>
        <w:tc>
          <w:tcPr>
            <w:tcW w:w="24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 Anthony Ware, M.D.</w:t>
            </w:r>
          </w:p>
        </w:tc>
        <w:tc>
          <w:tcPr>
            <w:tcW w:w="167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68,000</w:t>
            </w:r>
          </w:p>
        </w:tc>
        <w:tc>
          <w:tcPr>
            <w:tcW w:w="154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200,618</w:t>
            </w:r>
          </w:p>
        </w:tc>
        <w:tc>
          <w:tcPr>
            <w:tcW w:w="82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268,618</w:t>
            </w:r>
          </w:p>
        </w:tc>
      </w:tr>
    </w:tbl>
    <w:p>
      <w:pPr>
        <w:pStyle w:val="TextBody"/>
        <w:spacing w:lineRule="auto" w:line="240" w:before="0" w:after="40"/>
        <w:rPr>
          <w:rFonts w:ascii="Times New Roman;sans-serif" w:hAnsi="Times New Roman;sans-serif"/>
          <w:b w:val="false"/>
          <w:color w:val="000000"/>
          <w:sz w:val="20"/>
        </w:rPr>
      </w:pPr>
      <w:r>
        <w:rPr>
          <w:rFonts w:ascii="Times New Roman;sans-serif" w:hAnsi="Times New Roman;sans-serif"/>
          <w:b w:val="false"/>
          <w:color w:val="000000"/>
          <w:sz w:val="20"/>
        </w:rPr>
        <w:t>_____________________</w:t>
      </w:r>
    </w:p>
    <w:p>
      <w:pPr>
        <w:pStyle w:val="TextBody"/>
        <w:spacing w:lineRule="auto" w:line="288" w:before="0" w:after="12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(1)    As of December 31, 2022, Mr. Faga held outstanding options to purchase 22,521 shares of common stock with a weighted-average exercise price of $30.75 per share; Dr. Fenton held outstanding options to purchase 48,707 shares of common stock with a weighted-average exercise price of $53.52 per share; Ms. Hamill held outstanding options to purchase 39,468 shares of common stock with a weighted-average exercise price of $27.95 per share; Mr. Nodelman did not hold outstanding options to purchase shares of common stock; Dr. Marquet held outstanding options to purchase 31,984 shares of common stock with a weighted-average exercise price of $28.86 per share; Mr. Renton held outstanding options to purchase 109,356 shares of common stock with a weighted-average exercise price of $23.26 per share; Mr. Schmid held outstanding options to purchase 100,537 shares of common stock with a weighted-average exercise price of $24.53 per share; Dr. Topper held outstanding options to purchase 58,200 shares of common stock with a weighted-average exercise price of $38.00 per share; and Dr. Ware held outstanding options to purchase 82,465 shares of common stock with a weighted-average exercise price of $32.46 per share. All options accelerate in full upon a change in control of the company.</w:t>
      </w:r>
    </w:p>
    <w:p>
      <w:pPr>
        <w:pStyle w:val="TextBody"/>
        <w:spacing w:lineRule="auto" w:line="288" w:before="0" w:after="12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(2)    The amounts reported in the Option Awards column represent the grant date fair value of the stock options granted to the directors during the year ended December 31, 2022 as computed in accordance with Financial Accounting Standards Board Accounting Standards Codification Topic 718. The assumptions used in calculating the grant date fair value of the stock options reported in the Option Awards column are set forth in Note 8 to our audited consolidated financial statements included in our Annual Report on Form 10-K for the year ended December 31, 2022. Note that the amounts reported in this column reflect the accounting cost for these stock options, and do not correspond to the actual economic value that may be received by our directors from the options.</w:t>
      </w:r>
    </w:p>
    <w:p>
      <w:pPr>
        <w:pStyle w:val="TextBody"/>
        <w:spacing w:lineRule="auto" w:line="288" w:before="0" w:after="120"/>
        <w:ind w:left="0" w:right="0" w:hanging="360"/>
        <w:rPr/>
      </w:pPr>
      <w:r>
        <w:rPr>
          <w:rFonts w:ascii="Times New Roman;sans-serif" w:hAnsi="Times New Roman;sans-serif"/>
          <w:b w:val="false"/>
          <w:color w:val="000000"/>
          <w:sz w:val="18"/>
        </w:rPr>
        <w:t>(3)    Mr. Faga was appointed our Interim President and Chief Executive Officer, effective March 21, 2022. The compensation information set forth above reflects Mr. Faga’s compensation prior to his</w:t>
      </w:r>
      <w:r>
        <w:rPr>
          <w:color w:val="000000"/>
          <w:highlight w:val="white"/>
        </w:rPr>
        <w:t xml:space="preserve"> </w:t>
      </w:r>
      <w:r>
        <w:rPr>
          <w:rFonts w:ascii="Times New Roman;sans-serif" w:hAnsi="Times New Roman;sans-serif"/>
          <w:b w:val="false"/>
          <w:color w:val="000000"/>
          <w:sz w:val="18"/>
          <w:highlight w:val="white"/>
        </w:rPr>
        <w:t>appointment Interim President and Chief Executive Officer. For Mr. Faga’s compensation as Interim President and Chief Executive Officer, see the section below entitled “Executive Compensation.”</w:t>
      </w:r>
    </w:p>
    <w:p>
      <w:pPr>
        <w:pStyle w:val="TextBody"/>
        <w:spacing w:lineRule="auto" w:line="288" w:before="0" w:after="12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(4)    Ms. Hamill resigned from our Board, effective April 1, 2023. Dr. Jain was appointed to our Board, effective April 3, 2023 and as such did not receive any compensation for the year ended December 31, 2022.</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our non-employee director compensation policy each of our non-employee directors is provided with an annual retainer of $40,000. Additionally, our lead director and the non-executive chairpersons of our board of directors, audit, compensation, nominating and corporate governance, and research and development committees will receive an additional </w:t>
      </w:r>
      <w:r>
        <w:br w:type="page"/>
      </w:r>
    </w:p>
    <w:p>
      <w:pPr>
        <w:pStyle w:val="TextBody"/>
        <w:spacing w:before="0" w:after="0"/>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annual payment of $25,000, $32,500, $20,000, $12,500, $8,000 and $15,000, respectively; and the other members of our audit, compensation, nominating and corporate governance, and research and development committees will receive an additional annual payment of $9,000, $6,000, $5,000 and $10,000, respectively.</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Each of our non-employee directors generally receives an annual stock option grant in February to purchase 10,600 shares of common stock and 3,900 restricted stock units, or RSUs. The stock option vests in equal monthly installments over one year and the RSUs vest on the date of the next annual meeting, in each case subject to the director’s continued service. Additionally, new non-employee directors will receive a stock option to purchase 10,600 shares of common stock and 3,900 RSUs as well as a prorated annual equity grant. The new director stock option will vest in equal monthly installments over three years and the new director RSUs award will vest in equal annual installments over three years, subject to the director’s continued service. All equity awards will accelerate in full upon a change in control.</w:t>
      </w:r>
    </w:p>
    <w:p>
      <w:pPr>
        <w:pStyle w:val="TextBody"/>
        <w:spacing w:lineRule="auto" w:line="240" w:before="0" w:after="200"/>
        <w:rPr/>
      </w:pPr>
      <w:r>
        <w:rPr>
          <w:rFonts w:ascii="Times New Roman;sans-serif" w:hAnsi="Times New Roman;sans-serif"/>
          <w:b/>
          <w:color w:val="000000"/>
          <w:sz w:val="20"/>
        </w:rPr>
        <w:t xml:space="preserve">OUR BOARD OF DIRECTORS RECOMMENDS A VOTE </w:t>
      </w:r>
      <w:r>
        <w:rPr>
          <w:color w:val="000000"/>
        </w:rPr>
        <w:t>“</w:t>
      </w:r>
      <w:r>
        <w:rPr>
          <w:rFonts w:ascii="Times New Roman;sans-serif" w:hAnsi="Times New Roman;sans-serif"/>
          <w:b/>
          <w:i/>
          <w:color w:val="000000"/>
          <w:sz w:val="20"/>
        </w:rPr>
        <w:t>FOR”</w:t>
      </w:r>
      <w:r>
        <w:rPr>
          <w:color w:val="000000"/>
        </w:rPr>
        <w:t xml:space="preserve"> </w:t>
      </w:r>
      <w:r>
        <w:rPr>
          <w:rFonts w:ascii="Times New Roman;sans-serif" w:hAnsi="Times New Roman;sans-serif"/>
          <w:b/>
          <w:color w:val="000000"/>
          <w:sz w:val="20"/>
        </w:rPr>
        <w:t>THE ELECTION OF EACH OF THE NOMINATED CLASS III DIRECTORS.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PROPOSAL NO. 2</w:t>
        <w:br/>
        <w:t xml:space="preserve">RATIFICATION OF INDEPENDENT REGISTERED PUBLIC ACCOUNTING FIRM </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Our audit committee has selected KPMG LLP as our principal independent registered public accounting firm to perform the audit of our consolidated financial statements for the fiscal year ending December 31, 2023. KPMG LLP audited our financial statements for the fiscal years ended December 31, 2022 and 2021. We expect that representatives of KPMG LLP will be present at the Annual Meeting, will be able to make a statement if they so desire and will be available to respond to appropriate questions.</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At the Annual Meeting, the stockholders are being asked to ratify the appointment of KPMG LLP as our independent registered public accounting firm for the fiscal year ending December 31, 2023. Our audit committee is submitting the selection of KPMG LLP to our stockholders because we value our stockholders’ views on our independent registered public accounting firm and as a matter of good corporate governance. If this proposal does not receive the affirmative approval of a majority of the votes cast on the proposal, the audit committee would reconsider the appointment. Notwithstanding its selection and even if our stockholders ratify the selection, our audit committee, in its discretion, may appoint another independent registered public accounting firm at any time during the year if the audit committee believes that such a change would be in our best interests and the interests of our stockholders.</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fees for services rendered by KPMG LLP for the years ended December 31, 2022 and 2021 (in thousands).</w:t>
      </w:r>
    </w:p>
    <w:p>
      <w:pPr>
        <w:pStyle w:val="TextBody"/>
        <w:spacing w:lineRule="auto" w:line="288" w:before="0" w:after="2"/>
        <w:rPr>
          <w:rFonts w:ascii="Times New Roman;sans-serif" w:hAnsi="Times New Roman;sans-serif"/>
          <w:b/>
          <w:color w:val="000000"/>
          <w:sz w:val="20"/>
        </w:rPr>
      </w:pPr>
      <w:r>
        <w:rPr>
          <w:rFonts w:ascii="Times New Roman;sans-serif" w:hAnsi="Times New Roman;sans-serif"/>
          <w:b/>
          <w:color w:val="000000"/>
          <w:sz w:val="20"/>
        </w:rPr>
        <w:t xml:space="preserve">Principal Accountant Fees and Services </w:t>
      </w:r>
    </w:p>
    <w:tbl>
      <w:tblPr>
        <w:tblW w:w="5513" w:type="dxa"/>
        <w:jc w:val="left"/>
        <w:tblInd w:w="0" w:type="dxa"/>
        <w:tblCellMar>
          <w:top w:w="28" w:type="dxa"/>
          <w:left w:w="28" w:type="dxa"/>
          <w:bottom w:w="28" w:type="dxa"/>
          <w:right w:w="28" w:type="dxa"/>
        </w:tblCellMar>
      </w:tblPr>
      <w:tblGrid>
        <w:gridCol w:w="755"/>
        <w:gridCol w:w="664"/>
        <w:gridCol w:w="666"/>
        <w:gridCol w:w="109"/>
        <w:gridCol w:w="109"/>
        <w:gridCol w:w="109"/>
        <w:gridCol w:w="671"/>
        <w:gridCol w:w="345"/>
        <w:gridCol w:w="348"/>
        <w:gridCol w:w="109"/>
        <w:gridCol w:w="109"/>
        <w:gridCol w:w="109"/>
        <w:gridCol w:w="626"/>
        <w:gridCol w:w="322"/>
        <w:gridCol w:w="462"/>
      </w:tblGrid>
      <w:tr>
        <w:trPr/>
        <w:tc>
          <w:tcPr>
            <w:tcW w:w="755"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c>
          <w:tcPr>
            <w:tcW w:w="6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71" w:type="dxa"/>
            <w:tcBorders/>
            <w:shd w:fill="auto" w:val="clear"/>
            <w:vAlign w:val="center"/>
          </w:tcPr>
          <w:p>
            <w:pPr>
              <w:pStyle w:val="TableContents"/>
              <w:spacing w:before="0" w:after="283"/>
              <w:rPr>
                <w:sz w:val="4"/>
                <w:szCs w:val="4"/>
              </w:rPr>
            </w:pPr>
            <w:r>
              <w:rPr>
                <w:sz w:val="4"/>
                <w:szCs w:val="4"/>
              </w:rPr>
            </w:r>
          </w:p>
        </w:tc>
        <w:tc>
          <w:tcPr>
            <w:tcW w:w="345" w:type="dxa"/>
            <w:tcBorders/>
            <w:shd w:fill="auto" w:val="clear"/>
            <w:vAlign w:val="center"/>
          </w:tcPr>
          <w:p>
            <w:pPr>
              <w:pStyle w:val="TableContents"/>
              <w:spacing w:before="0" w:after="283"/>
              <w:rPr>
                <w:sz w:val="4"/>
                <w:szCs w:val="4"/>
              </w:rPr>
            </w:pPr>
            <w:r>
              <w:rPr>
                <w:sz w:val="4"/>
                <w:szCs w:val="4"/>
              </w:rPr>
            </w:r>
          </w:p>
        </w:tc>
        <w:tc>
          <w:tcPr>
            <w:tcW w:w="34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26" w:type="dxa"/>
            <w:tcBorders/>
            <w:shd w:fill="auto" w:val="clear"/>
            <w:vAlign w:val="center"/>
          </w:tcPr>
          <w:p>
            <w:pPr>
              <w:pStyle w:val="TableContents"/>
              <w:spacing w:before="0" w:after="283"/>
              <w:rPr>
                <w:sz w:val="4"/>
                <w:szCs w:val="4"/>
              </w:rPr>
            </w:pPr>
            <w:r>
              <w:rPr>
                <w:sz w:val="4"/>
                <w:szCs w:val="4"/>
              </w:rPr>
            </w:r>
          </w:p>
        </w:tc>
        <w:tc>
          <w:tcPr>
            <w:tcW w:w="322"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r>
      <w:tr>
        <w:trPr/>
        <w:tc>
          <w:tcPr>
            <w:tcW w:w="20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Fees Billed to AnaptysBio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Fiscal Year 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Fiscal Year 2021</w:t>
            </w:r>
          </w:p>
        </w:tc>
      </w:tr>
      <w:tr>
        <w:trPr/>
        <w:tc>
          <w:tcPr>
            <w:tcW w:w="208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Audit fees</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w:t>
            </w:r>
          </w:p>
        </w:tc>
      </w:tr>
      <w:tr>
        <w:trPr/>
        <w:tc>
          <w:tcPr>
            <w:tcW w:w="208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Tax fees</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0"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r>
      <w:tr>
        <w:trPr/>
        <w:tc>
          <w:tcPr>
            <w:tcW w:w="20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fees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3"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w:t>
            </w:r>
          </w:p>
        </w:tc>
      </w:tr>
    </w:tbl>
    <w:p>
      <w:pPr>
        <w:pStyle w:val="TextBody"/>
        <w:spacing w:lineRule="auto" w:line="240" w:before="0" w:after="40"/>
        <w:rPr>
          <w:rFonts w:ascii="Times New Roman;sans-serif" w:hAnsi="Times New Roman;sans-serif"/>
          <w:b w:val="false"/>
          <w:color w:val="000000"/>
          <w:sz w:val="20"/>
        </w:rPr>
      </w:pPr>
      <w:r>
        <w:rPr>
          <w:rFonts w:ascii="Times New Roman;sans-serif" w:hAnsi="Times New Roman;sans-serif"/>
          <w:b w:val="false"/>
          <w:color w:val="000000"/>
          <w:sz w:val="20"/>
        </w:rPr>
        <w:t>_______________________</w:t>
      </w:r>
    </w:p>
    <w:p>
      <w:pPr>
        <w:pStyle w:val="TextBody"/>
        <w:spacing w:lineRule="auto" w:line="288" w:before="0" w:after="120"/>
        <w:ind w:left="0" w:right="0" w:hanging="360"/>
        <w:rPr/>
      </w:pPr>
      <w:r>
        <w:rPr>
          <w:rFonts w:ascii="Times New Roman;sans-serif" w:hAnsi="Times New Roman;sans-serif"/>
          <w:b w:val="false"/>
          <w:color w:val="000000"/>
          <w:sz w:val="18"/>
        </w:rPr>
        <w:t>(1)    “</w:t>
      </w:r>
      <w:r>
        <w:rPr>
          <w:rFonts w:ascii="Times New Roman;sans-serif" w:hAnsi="Times New Roman;sans-serif"/>
          <w:b w:val="false"/>
          <w:i/>
          <w:color w:val="000000"/>
          <w:sz w:val="18"/>
        </w:rPr>
        <w:t>Audit fees</w:t>
      </w:r>
      <w:r>
        <w:rPr>
          <w:color w:val="000000"/>
        </w:rPr>
        <w:t xml:space="preserve">” </w:t>
      </w:r>
      <w:r>
        <w:rPr>
          <w:rFonts w:ascii="Times New Roman;sans-serif" w:hAnsi="Times New Roman;sans-serif"/>
          <w:b w:val="false"/>
          <w:color w:val="000000"/>
          <w:sz w:val="18"/>
        </w:rPr>
        <w:t>include fees for professional services provided by KPMG LLP in connection with the audit of our consolidated financial statements, review of our quarterly consolidated financial statements, and related services that are typically provided in connection with registration statements, including filing of our S-3 registration statement.</w:t>
      </w:r>
    </w:p>
    <w:p>
      <w:pPr>
        <w:pStyle w:val="TextBody"/>
        <w:spacing w:lineRule="auto" w:line="288" w:before="0" w:after="120"/>
        <w:ind w:left="0" w:right="0" w:hanging="360"/>
        <w:rPr/>
      </w:pPr>
      <w:r>
        <w:rPr>
          <w:rFonts w:ascii="Times New Roman;sans-serif" w:hAnsi="Times New Roman;sans-serif"/>
          <w:b w:val="false"/>
          <w:color w:val="000000"/>
          <w:sz w:val="18"/>
        </w:rPr>
        <w:t>(2)    “</w:t>
      </w:r>
      <w:r>
        <w:rPr>
          <w:rFonts w:ascii="Times New Roman;sans-serif" w:hAnsi="Times New Roman;sans-serif"/>
          <w:b w:val="false"/>
          <w:i/>
          <w:color w:val="000000"/>
          <w:sz w:val="18"/>
        </w:rPr>
        <w:t>Tax fees</w:t>
      </w:r>
      <w:r>
        <w:rPr>
          <w:color w:val="000000"/>
        </w:rPr>
        <w:t xml:space="preserve">” </w:t>
      </w:r>
      <w:r>
        <w:rPr>
          <w:rFonts w:ascii="Times New Roman;sans-serif" w:hAnsi="Times New Roman;sans-serif"/>
          <w:b w:val="false"/>
          <w:color w:val="000000"/>
          <w:sz w:val="18"/>
        </w:rPr>
        <w:t>include fees related to tax compliance and advice. Tax advice fees encompass a variety of permissible services, including technical tax advice related to federal and state income tax matters; and assistance with tax audits.</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The audit committee must pre-approve all services to be performed for us by KPMG LLP. Pre-approval is granted usually at regularly scheduled meetings of the audit committee. The audit committee also may approve the additional unanticipated services by either convening a special meeting of the audit committee or acting by unanimous written consent. During 2022, all services billed by KPMG LLP were pre-approved by the audit committee in accordance with this policy.</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These services may include audit services, audit-related services, tax services and other services. Pre-approval is detailed as to the particular service or category of services and is generally subject to a specific budget. The independent registered public accounting firm and management are required to periodically report to the audit committee regarding the extent of services provided by the independent registered public accounting firm in accordance with this pre-approval, and the fees for the services performed to date. Our audit committee may also pre-approve particular services on a case-by-case basis. All of the services relating to the fees described in the table above were approved by our audit committee.</w:t>
      </w:r>
    </w:p>
    <w:p>
      <w:pPr>
        <w:pStyle w:val="TextBody"/>
        <w:spacing w:lineRule="auto" w:line="240" w:before="0" w:after="0"/>
        <w:jc w:val="center"/>
        <w:rPr/>
      </w:pPr>
      <w:r>
        <w:rPr>
          <w:rFonts w:ascii="Times New Roman;sans-serif" w:hAnsi="Times New Roman;sans-serif"/>
          <w:b/>
          <w:color w:val="000000"/>
          <w:sz w:val="20"/>
        </w:rPr>
        <w:t xml:space="preserve">OUR BOARD OF DIRECTORS RECOMMENDS A VOTE </w:t>
      </w:r>
      <w:r>
        <w:rPr>
          <w:color w:val="000000"/>
        </w:rPr>
        <w:t>“</w:t>
      </w:r>
      <w:r>
        <w:rPr>
          <w:rFonts w:ascii="Times New Roman;sans-serif" w:hAnsi="Times New Roman;sans-serif"/>
          <w:b/>
          <w:i/>
          <w:color w:val="000000"/>
          <w:sz w:val="20"/>
        </w:rPr>
        <w:t>FOR”</w:t>
      </w:r>
      <w:r>
        <w:rPr>
          <w:color w:val="000000"/>
        </w:rPr>
        <w:t xml:space="preserve"> </w:t>
      </w:r>
      <w:r>
        <w:rPr>
          <w:rFonts w:ascii="Times New Roman;sans-serif" w:hAnsi="Times New Roman;sans-serif"/>
          <w:b/>
          <w:color w:val="000000"/>
          <w:sz w:val="20"/>
        </w:rPr>
        <w:t>APPROVAL OF PROPOSAL NO. 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40" w:before="0" w:after="200"/>
        <w:jc w:val="center"/>
        <w:rPr>
          <w:rFonts w:ascii="Times New Roman;sans-serif" w:hAnsi="Times New Roman;sans-serif"/>
          <w:b/>
          <w:color w:val="000000"/>
          <w:sz w:val="20"/>
        </w:rPr>
      </w:pPr>
      <w:r>
        <w:rPr>
          <w:rFonts w:ascii="Times New Roman;sans-serif" w:hAnsi="Times New Roman;sans-serif"/>
          <w:b/>
          <w:color w:val="000000"/>
          <w:sz w:val="20"/>
        </w:rPr>
        <w:t xml:space="preserve">REPORT OF THE AUDIT COMMITTEE </w:t>
      </w:r>
    </w:p>
    <w:p>
      <w:pPr>
        <w:pStyle w:val="TextBody"/>
        <w:spacing w:lineRule="auto" w:line="288" w:before="0" w:after="200"/>
        <w:rPr>
          <w:rFonts w:ascii="Times New Roman;sans-serif" w:hAnsi="Times New Roman;sans-serif"/>
          <w:b w:val="false"/>
          <w:i/>
          <w:color w:val="000000"/>
          <w:sz w:val="20"/>
        </w:rPr>
      </w:pPr>
      <w:r>
        <w:rPr>
          <w:rFonts w:ascii="Times New Roman;sans-serif" w:hAnsi="Times New Roman;sans-serif"/>
          <w:b w:val="false"/>
          <w:i/>
          <w:color w:val="000000"/>
          <w:sz w:val="20"/>
        </w:rPr>
        <w:t>The information contained in the following report of the Audit Committee is not considered to be “soliciting material,” “filed” or incorporated by reference in any past or future filing by us under the Securities Exchange Act of 1934 or the Securities Act of 1933 unless and only to the extent that we specifically incorporate it by reference.</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The audit committee has reviewed and discussed with our management and KPMG LLP our audited consolidated financial statements as of and for the year ended December 31, 2022. The audit committee has also discussed with KPMG LLP the matters required to be discussed by applicable standards of the Public Company Accounting Oversight Board (United States).</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The audit committee has received and reviewed the written disclosures and the letter from KPMG LLP required by applicable requirements of the Public Company Accounting Oversight Board regarding the independent accountant’s communications with the audit committee concerning independence and has discussed with KPMG LLP its independence.</w:t>
      </w:r>
    </w:p>
    <w:p>
      <w:pPr>
        <w:pStyle w:val="TextBody"/>
        <w:spacing w:lineRule="auto" w:line="288" w:before="0" w:after="480"/>
        <w:rPr>
          <w:rFonts w:ascii="Times New Roman;sans-serif" w:hAnsi="Times New Roman;sans-serif"/>
          <w:b w:val="false"/>
          <w:color w:val="000000"/>
          <w:sz w:val="20"/>
        </w:rPr>
      </w:pPr>
      <w:r>
        <w:rPr>
          <w:rFonts w:ascii="Times New Roman;sans-serif" w:hAnsi="Times New Roman;sans-serif"/>
          <w:b w:val="false"/>
          <w:color w:val="000000"/>
          <w:sz w:val="20"/>
        </w:rPr>
        <w:t>Based on the review and discussions referred to above, the audit committee recommended to our board of directors that the audited consolidated financial statements as of and for the year ended December 31, 2022 be included in our annual report on Form 10-K for the year ended December 31, 2022 for filing with the Securities and Exchange Commission.</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Submitted by the Audit Committee</w:t>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John P. Schmid, M.B.A. (Chair)</w:t>
      </w:r>
    </w:p>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Magda Marquet, Ph.D.</w:t>
      </w:r>
    </w:p>
    <w:p>
      <w:pPr>
        <w:pStyle w:val="TextBody"/>
        <w:spacing w:lineRule="auto" w:line="240"/>
        <w:jc w:val="center"/>
        <w:rPr>
          <w:rFonts w:ascii="Times New Roman;sans-serif" w:hAnsi="Times New Roman;sans-serif"/>
          <w:b w:val="false"/>
          <w:color w:val="000000"/>
          <w:sz w:val="20"/>
        </w:rPr>
      </w:pPr>
      <w:r>
        <w:rPr>
          <w:rFonts w:ascii="Times New Roman;sans-serif" w:hAnsi="Times New Roman;sans-serif"/>
          <w:b w:val="false"/>
          <w:color w:val="000000"/>
          <w:sz w:val="20"/>
        </w:rPr>
        <w:t>J. Anthony Ware, M.D.</w:t>
      </w:r>
      <w:r>
        <w:br w:type="page"/>
      </w:r>
    </w:p>
    <w:p>
      <w:pPr>
        <w:pStyle w:val="TextBody"/>
        <w:spacing w:before="0" w:after="0"/>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PROPOSAL NO. 3</w:t>
        <w:br/>
        <w:t>NON-BINDING ADVISORY VOTE ON COMPENSATION OF OUR NAMED EXECUTIVE OFFICERS</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We are seeking a non-binding, advisory stockholder vote on the compensation awarded to our named executive officers for the fiscal year ended December 31, 2022, known as a “Say on Pay” vote.</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The Dodd-Frank Wall Street Reform and Consumer Protection Act of 2010 enables our stockholders to vote to approve, on an advisory, non-binding basis, the compensation of our named executive officers as disclosed in this proxy statement in accordance with Section 14A of the Exchange Act. At our 2019 annual meeting of stockholders, we asked our stockholders to express a preference for the frequency of our Say on Pay vote. The majority of our stockholders voted to hold the Say on Pay vote on an annual basis, and therefore, based on that vote, we present this vote every year.</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 xml:space="preserve">As described in detail in the “Executive Compensation” section of this proxy statement, our compensation program is designed to reward our executive officers at a level consistent with our overall strategic and financial performance and to provide remuneration sufficient to attract, retain and motivate them to exert their best efforts and create a successful company. Our philosophy is to tie a greater percentage of an executive officer’s compensation to stockholder returns and to keep cash compensation at a competitive level while providing the opportunity to be well-rewarded through equity if we perform well over time. We believe that our executive compensation program, with its balance of short-term incentives (including base salary and annual cash incentives tied to performance measures) and long-term incentives (including equity awards) reward sustained performance that is aligned with long-term stockholder interests. Stockholders are encouraged to read the Executive Compensation section of this proxy statement. </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Based on the above, we request that stockholders approve, on a non-binding advisory basis, the compensation of our named executive officers as described in this proxy statement pursuant to the following resolution:</w:t>
      </w:r>
    </w:p>
    <w:p>
      <w:pPr>
        <w:pStyle w:val="TextBody"/>
        <w:spacing w:lineRule="auto" w:line="288" w:before="0" w:after="120"/>
        <w:rPr/>
      </w:pPr>
      <w:r>
        <w:rPr>
          <w:rFonts w:ascii="Times New Roman;sans-serif" w:hAnsi="Times New Roman;sans-serif"/>
          <w:b/>
          <w:color w:val="000000"/>
          <w:sz w:val="20"/>
        </w:rPr>
        <w:t>RESOLVED</w:t>
      </w:r>
      <w:r>
        <w:rPr>
          <w:rFonts w:ascii="Times New Roman;sans-serif" w:hAnsi="Times New Roman;sans-serif"/>
          <w:b w:val="false"/>
          <w:color w:val="000000"/>
          <w:sz w:val="20"/>
        </w:rPr>
        <w:t>, that the compensation paid to AnaptysBio’s named executive officers, as disclosed in this proxy statement, including the “Executive Compensation” section, compensation tables and narrative discussion, is hereby APPROVED.</w:t>
      </w:r>
    </w:p>
    <w:p>
      <w:pPr>
        <w:pStyle w:val="TextBody"/>
        <w:spacing w:lineRule="auto" w:line="288" w:before="0" w:after="2"/>
        <w:rPr>
          <w:rFonts w:ascii="Times New Roman;sans-serif" w:hAnsi="Times New Roman;sans-serif"/>
          <w:b/>
          <w:color w:val="000000"/>
          <w:sz w:val="20"/>
        </w:rPr>
      </w:pPr>
      <w:r>
        <w:rPr>
          <w:rFonts w:ascii="Times New Roman;sans-serif" w:hAnsi="Times New Roman;sans-serif"/>
          <w:b/>
          <w:color w:val="000000"/>
          <w:sz w:val="20"/>
        </w:rPr>
        <w:t>Vote Required</w:t>
      </w:r>
    </w:p>
    <w:p>
      <w:pPr>
        <w:pStyle w:val="TextBody"/>
        <w:spacing w:lineRule="auto" w:line="288" w:before="200" w:after="200"/>
        <w:rPr>
          <w:rFonts w:ascii="Times New Roman;sans-serif" w:hAnsi="Times New Roman;sans-serif"/>
          <w:b w:val="false"/>
          <w:color w:val="000000"/>
          <w:sz w:val="20"/>
        </w:rPr>
      </w:pPr>
      <w:r>
        <w:rPr>
          <w:rFonts w:ascii="Times New Roman;sans-serif" w:hAnsi="Times New Roman;sans-serif"/>
          <w:b w:val="false"/>
          <w:color w:val="000000"/>
          <w:sz w:val="20"/>
        </w:rPr>
        <w:t>Approval of named executive officer compensation requires the approval of a majority of the votes present or represented by proxy and voted for or against the matter.</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As an advisory vote, this proposal is non-binding. Although the vote is non-binding, our board of directors and compensation committee value the opinions of our stockholders and will consider the outcome of the vote when making future compensation decisions for our named executive officers.</w:t>
      </w:r>
    </w:p>
    <w:p>
      <w:pPr>
        <w:pStyle w:val="TextBody"/>
        <w:spacing w:lineRule="auto" w:line="288" w:before="0" w:after="0"/>
        <w:jc w:val="center"/>
        <w:rPr/>
      </w:pPr>
      <w:r>
        <w:rPr>
          <w:rFonts w:ascii="Times New Roman;sans-serif" w:hAnsi="Times New Roman;sans-serif"/>
          <w:b/>
          <w:color w:val="000000"/>
          <w:sz w:val="20"/>
        </w:rPr>
        <w:t>OUR BOARD OF DIRECTORS RECOMMENDS A VOTE “</w:t>
      </w:r>
      <w:r>
        <w:rPr>
          <w:rFonts w:ascii="Times New Roman;sans-serif" w:hAnsi="Times New Roman;sans-serif"/>
          <w:b/>
          <w:i/>
          <w:color w:val="000000"/>
          <w:sz w:val="20"/>
        </w:rPr>
        <w:t>FOR</w:t>
      </w:r>
      <w:r>
        <w:rPr>
          <w:color w:val="000000"/>
        </w:rPr>
        <w:t xml:space="preserve">” </w:t>
      </w:r>
      <w:r>
        <w:rPr>
          <w:rFonts w:ascii="Times New Roman;sans-serif" w:hAnsi="Times New Roman;sans-serif"/>
          <w:b/>
          <w:color w:val="000000"/>
          <w:sz w:val="20"/>
        </w:rPr>
        <w:t>APPROVAL OF PROPOSAL NO. 3.</w:t>
      </w:r>
    </w:p>
    <w:p>
      <w:pPr>
        <w:pStyle w:val="TextBody"/>
        <w:spacing w:before="0" w:after="0"/>
        <w:jc w:val="center"/>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PROPOSAL NO. 4</w:t>
        <w:br/>
        <w:t>APPROVAL OF AN AMENDED AND RESTATED CERTIFICATE OF INCORPORATION TO PERMIT THE EXCULPATION OF OFFICERS</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Section 102(b)(7) of the General Corporation Law of the State of Delaware was amended effective August 1, 2022 to authorize exculpation of officers of Delaware corporations. Specifically, the amendment permits Delaware corporations to exculpate their officers, in addition to their directors, for personal liability for breach of the duty of care in certain actions. This exculpation would not protect officers from liability for breach of the duty of loyalty, acts or omissions not in good faith or that involve intentional misconduct or a knowing violation of law, or any transaction in which the officer derived an improper personal benefit. Nor would this exculpation shield such officers from liability for claims brought by or in the right of the corporation, such as derivative claims.</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Our board of directors believes it is necessary to provide protection to officers to the fullest extent permitted by law in order to attract and retain highly-qualified senior leadership. The nature of the role of directors and officers often requires them to make decisions on crucial matters often in time-sensitive situations, which can create substantial risk of investigations, claims, actions, suits or proceedings seeking to impose liability on the basis of hindsight, especially in the current litigious environment and regardless of merit. Limiting concern about personal risk would empower both directors and officers to best exercise their business judgment in furtherance of stockholder interests. We expect competitor companies will likely adopt exculpation clauses that limit the personal liability of officers in their charters and failing to adopt the amendment could negatively affect our ability to recruit and retain high-caliber officer candidates.</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The proposed amendment is not being proposed in response to any specific resignation, threat of resignation or refusal to serve by any director or officer. This protection has long been afforded to directors, and our board of directors believes that extending similar exculpation to its officers is fair and in the best interests of the Company and its stockholders. Accordingly, our board of directors has unanimously approved the Amended and Restated Certificate of Incorporation (“Proposed Restated Certificate of Incorporation”) in the form attached hereto as Appendix A and recommends that our stockholders vote “FOR” the Proposed Restated Certificate of Incorporation.</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If our stockholders approve the Proposed Restated Certificate of Incorporation, our board of directors has authorized our officers to file the Proposed Restated Certificate of Incorporation with the Delaware Secretary of State, to become effective upon acceptance by the Delaware Secretary of State. Our board of directors intends to have that filing made if, and as soon as practicable after, this proposal is approved at this annual meeting.</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OUR BOARD OF DIRECTORS RECOMMENDS A VOTE “FOR” APPROVAL OF PROPOSAL NO. 4.</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 xml:space="preserve">SECURITY OWNERSHIP OF CERTAIN BENEFICIAL OWNERS AND MANAGEMENT </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certain information with respect to the beneficial ownership of our common stock as of March 24, 2023 for: </w:t>
      </w:r>
    </w:p>
    <w:p>
      <w:pPr>
        <w:pStyle w:val="TextBody"/>
        <w:spacing w:lineRule="auto" w:line="288" w:before="0" w:after="60"/>
        <w:ind w:left="0" w:right="0" w:hanging="360"/>
        <w:rPr/>
      </w:pPr>
      <w:r>
        <w:rPr>
          <w:color w:val="000000"/>
        </w:rPr>
        <w:t>•</w:t>
      </w:r>
      <w:r>
        <w:rPr>
          <w:rFonts w:ascii="Times New Roman;sans-serif" w:hAnsi="Times New Roman;sans-serif"/>
          <w:b w:val="false"/>
          <w:color w:val="000000"/>
          <w:sz w:val="20"/>
        </w:rPr>
        <w:t>each of our directors;</w:t>
      </w:r>
    </w:p>
    <w:p>
      <w:pPr>
        <w:pStyle w:val="TextBody"/>
        <w:spacing w:lineRule="auto" w:line="288" w:before="0" w:after="60"/>
        <w:ind w:left="0" w:right="0" w:hanging="360"/>
        <w:rPr/>
      </w:pPr>
      <w:r>
        <w:rPr>
          <w:color w:val="000000"/>
        </w:rPr>
        <w:t>•</w:t>
      </w:r>
      <w:r>
        <w:rPr>
          <w:rFonts w:ascii="Times New Roman;sans-serif" w:hAnsi="Times New Roman;sans-serif"/>
          <w:b w:val="false"/>
          <w:color w:val="000000"/>
          <w:sz w:val="20"/>
        </w:rPr>
        <w:t xml:space="preserve">each of our named executive officers; </w:t>
      </w:r>
    </w:p>
    <w:p>
      <w:pPr>
        <w:pStyle w:val="TextBody"/>
        <w:spacing w:lineRule="auto" w:line="288" w:before="0" w:after="60"/>
        <w:ind w:left="0" w:right="0" w:hanging="360"/>
        <w:rPr/>
      </w:pPr>
      <w:r>
        <w:rPr>
          <w:color w:val="000000"/>
        </w:rPr>
        <w:t>•</w:t>
      </w:r>
      <w:r>
        <w:rPr>
          <w:rFonts w:ascii="Times New Roman;sans-serif" w:hAnsi="Times New Roman;sans-serif"/>
          <w:b w:val="false"/>
          <w:color w:val="000000"/>
          <w:sz w:val="20"/>
        </w:rPr>
        <w:t xml:space="preserve">all of our directors and executive officers as a group; and </w:t>
      </w:r>
    </w:p>
    <w:p>
      <w:pPr>
        <w:pStyle w:val="TextBody"/>
        <w:spacing w:lineRule="auto" w:line="288" w:before="0" w:after="60"/>
        <w:ind w:left="0" w:right="0" w:hanging="360"/>
        <w:rPr/>
      </w:pPr>
      <w:r>
        <w:rPr>
          <w:color w:val="000000"/>
        </w:rPr>
        <w:t>•</w:t>
      </w:r>
      <w:r>
        <w:rPr>
          <w:rFonts w:ascii="Times New Roman;sans-serif" w:hAnsi="Times New Roman;sans-serif"/>
          <w:b w:val="false"/>
          <w:color w:val="000000"/>
          <w:sz w:val="20"/>
        </w:rPr>
        <w:t>each person, or group of affiliated persons, known by us to be the beneficial owner of more than 5% of our common stock.</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determined beneficial ownership in accordance with the rules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of common stock that they beneficially owned, subject to applicable community property laws. </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 xml:space="preserve">Applicable percentage ownership is based on 27,149,562 shares of common stock issued and outstanding as of March 24, 2023. In computing the number of shares of common stock beneficially owned by a person and the percentage ownership of that person, we deemed to be outstanding all shares of common stock subject to options held by that person or entity that are currently exercisable or that will become exercisable within 60 days of March 24, 2023. We did not deem these shares outstanding, however, for the purpose of computing the percentage ownership of any other person. Unless otherwise indicated, the address of each beneficial owner listed in the table on the following page is c/o AnaptysBio, Inc., 10770 Wateridge Circle, Suite 210, San Diego, CA 92121. </w:t>
      </w:r>
    </w:p>
    <w:tbl>
      <w:tblPr>
        <w:tblW w:w="10205" w:type="dxa"/>
        <w:jc w:val="left"/>
        <w:tblInd w:w="0" w:type="dxa"/>
        <w:tblCellMar>
          <w:top w:w="28" w:type="dxa"/>
          <w:left w:w="28" w:type="dxa"/>
          <w:bottom w:w="28" w:type="dxa"/>
          <w:right w:w="28" w:type="dxa"/>
        </w:tblCellMar>
      </w:tblPr>
      <w:tblGrid>
        <w:gridCol w:w="1870"/>
        <w:gridCol w:w="1622"/>
        <w:gridCol w:w="1627"/>
        <w:gridCol w:w="825"/>
        <w:gridCol w:w="825"/>
        <w:gridCol w:w="827"/>
        <w:gridCol w:w="763"/>
        <w:gridCol w:w="763"/>
        <w:gridCol w:w="1083"/>
      </w:tblGrid>
      <w:tr>
        <w:trPr/>
        <w:tc>
          <w:tcPr>
            <w:tcW w:w="1870" w:type="dxa"/>
            <w:tcBorders/>
            <w:shd w:fill="auto" w:val="clear"/>
            <w:vAlign w:val="center"/>
          </w:tcPr>
          <w:p>
            <w:pPr>
              <w:pStyle w:val="TableContents"/>
              <w:spacing w:before="0" w:after="283"/>
              <w:rPr>
                <w:sz w:val="4"/>
                <w:szCs w:val="4"/>
              </w:rPr>
            </w:pPr>
            <w:r>
              <w:rPr>
                <w:sz w:val="4"/>
                <w:szCs w:val="4"/>
              </w:rPr>
            </w:r>
          </w:p>
        </w:tc>
        <w:tc>
          <w:tcPr>
            <w:tcW w:w="1622" w:type="dxa"/>
            <w:tcBorders/>
            <w:shd w:fill="auto" w:val="clear"/>
            <w:vAlign w:val="center"/>
          </w:tcPr>
          <w:p>
            <w:pPr>
              <w:pStyle w:val="TableContents"/>
              <w:spacing w:before="0" w:after="283"/>
              <w:rPr>
                <w:sz w:val="4"/>
                <w:szCs w:val="4"/>
              </w:rPr>
            </w:pPr>
            <w:r>
              <w:rPr>
                <w:sz w:val="4"/>
                <w:szCs w:val="4"/>
              </w:rPr>
            </w:r>
          </w:p>
        </w:tc>
        <w:tc>
          <w:tcPr>
            <w:tcW w:w="1627" w:type="dxa"/>
            <w:tcBorders/>
            <w:shd w:fill="auto" w:val="clear"/>
            <w:vAlign w:val="center"/>
          </w:tcPr>
          <w:p>
            <w:pPr>
              <w:pStyle w:val="TableContents"/>
              <w:spacing w:before="0" w:after="283"/>
              <w:rPr>
                <w:sz w:val="4"/>
                <w:szCs w:val="4"/>
              </w:rPr>
            </w:pPr>
            <w:r>
              <w:rPr>
                <w:sz w:val="4"/>
                <w:szCs w:val="4"/>
              </w:rPr>
            </w:r>
          </w:p>
        </w:tc>
        <w:tc>
          <w:tcPr>
            <w:tcW w:w="825" w:type="dxa"/>
            <w:tcBorders/>
            <w:shd w:fill="auto" w:val="clear"/>
            <w:vAlign w:val="center"/>
          </w:tcPr>
          <w:p>
            <w:pPr>
              <w:pStyle w:val="TableContents"/>
              <w:spacing w:before="0" w:after="283"/>
              <w:rPr>
                <w:sz w:val="4"/>
                <w:szCs w:val="4"/>
              </w:rPr>
            </w:pPr>
            <w:r>
              <w:rPr>
                <w:sz w:val="4"/>
                <w:szCs w:val="4"/>
              </w:rPr>
            </w:r>
          </w:p>
        </w:tc>
        <w:tc>
          <w:tcPr>
            <w:tcW w:w="825" w:type="dxa"/>
            <w:tcBorders/>
            <w:shd w:fill="auto" w:val="clear"/>
            <w:vAlign w:val="center"/>
          </w:tcPr>
          <w:p>
            <w:pPr>
              <w:pStyle w:val="TableContents"/>
              <w:spacing w:before="0" w:after="283"/>
              <w:rPr>
                <w:sz w:val="4"/>
                <w:szCs w:val="4"/>
              </w:rPr>
            </w:pPr>
            <w:r>
              <w:rPr>
                <w:sz w:val="4"/>
                <w:szCs w:val="4"/>
              </w:rPr>
            </w:r>
          </w:p>
        </w:tc>
        <w:tc>
          <w:tcPr>
            <w:tcW w:w="827"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763" w:type="dxa"/>
            <w:tcBorders/>
            <w:shd w:fill="auto" w:val="clear"/>
            <w:vAlign w:val="center"/>
          </w:tcPr>
          <w:p>
            <w:pPr>
              <w:pStyle w:val="TableContents"/>
              <w:spacing w:before="0" w:after="283"/>
              <w:rPr>
                <w:sz w:val="4"/>
                <w:szCs w:val="4"/>
              </w:rPr>
            </w:pPr>
            <w:r>
              <w:rPr>
                <w:sz w:val="4"/>
                <w:szCs w:val="4"/>
              </w:rPr>
            </w:r>
          </w:p>
        </w:tc>
        <w:tc>
          <w:tcPr>
            <w:tcW w:w="1083" w:type="dxa"/>
            <w:tcBorders/>
            <w:shd w:fill="auto" w:val="clear"/>
            <w:vAlign w:val="center"/>
          </w:tcPr>
          <w:p>
            <w:pPr>
              <w:pStyle w:val="TableContents"/>
              <w:spacing w:before="0" w:after="283"/>
              <w:rPr>
                <w:sz w:val="4"/>
                <w:szCs w:val="4"/>
              </w:rPr>
            </w:pPr>
            <w:r>
              <w:rPr>
                <w:sz w:val="4"/>
                <w:szCs w:val="4"/>
              </w:rPr>
            </w:r>
          </w:p>
        </w:tc>
      </w:tr>
      <w:tr>
        <w:trPr/>
        <w:tc>
          <w:tcPr>
            <w:tcW w:w="511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Beneficial Owner</w:t>
            </w:r>
          </w:p>
        </w:tc>
        <w:tc>
          <w:tcPr>
            <w:tcW w:w="247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 Beneficially Owned (#)</w:t>
            </w:r>
          </w:p>
        </w:tc>
        <w:tc>
          <w:tcPr>
            <w:tcW w:w="26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Shares Beneficially Owned (%)</w:t>
            </w:r>
          </w:p>
        </w:tc>
      </w:tr>
      <w:tr>
        <w:trPr/>
        <w:tc>
          <w:tcPr>
            <w:tcW w:w="5119" w:type="dxa"/>
            <w:gridSpan w:val="3"/>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Named Executive Officers and Directors</w:t>
            </w:r>
          </w:p>
        </w:tc>
        <w:tc>
          <w:tcPr>
            <w:tcW w:w="2477"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2609" w:type="dxa"/>
            <w:gridSpan w:val="3"/>
            <w:tcBorders>
              <w:top w:val="single" w:sz="4"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11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Daniel Faga</w:t>
            </w:r>
            <w:r>
              <w:rPr>
                <w:rFonts w:ascii="Times New Roman;sans-serif" w:hAnsi="Times New Roman;sans-serif"/>
                <w:b w:val="false"/>
                <w:color w:val="000000"/>
                <w:sz w:val="13"/>
              </w:rPr>
              <w:t>(1)</w:t>
            </w:r>
          </w:p>
        </w:tc>
        <w:tc>
          <w:tcPr>
            <w:tcW w:w="247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16,715</w:t>
            </w:r>
          </w:p>
        </w:tc>
        <w:tc>
          <w:tcPr>
            <w:tcW w:w="260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11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Paul Lizzul.</w:t>
            </w:r>
            <w:r>
              <w:rPr>
                <w:rFonts w:ascii="Times New Roman;sans-serif" w:hAnsi="Times New Roman;sans-serif"/>
                <w:b w:val="false"/>
                <w:color w:val="000000"/>
                <w:sz w:val="13"/>
              </w:rPr>
              <w:t>(2)</w:t>
            </w:r>
          </w:p>
        </w:tc>
        <w:tc>
          <w:tcPr>
            <w:tcW w:w="247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120,814</w:t>
            </w:r>
          </w:p>
        </w:tc>
        <w:tc>
          <w:tcPr>
            <w:tcW w:w="260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11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Eric J. Loumeau</w:t>
            </w:r>
            <w:r>
              <w:rPr>
                <w:rFonts w:ascii="Times New Roman;sans-serif" w:hAnsi="Times New Roman;sans-serif"/>
                <w:b w:val="false"/>
                <w:color w:val="000000"/>
                <w:sz w:val="13"/>
              </w:rPr>
              <w:t>(3)</w:t>
            </w:r>
          </w:p>
        </w:tc>
        <w:tc>
          <w:tcPr>
            <w:tcW w:w="247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221,885</w:t>
            </w:r>
          </w:p>
        </w:tc>
        <w:tc>
          <w:tcPr>
            <w:tcW w:w="260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119" w:type="dxa"/>
            <w:gridSpan w:val="3"/>
            <w:tcBorders/>
            <w:shd w:fill="auto" w:val="clear"/>
            <w:vAlign w:val="center"/>
          </w:tcPr>
          <w:p>
            <w:pPr>
              <w:pStyle w:val="TableContents"/>
              <w:spacing w:before="0" w:after="283"/>
              <w:rPr>
                <w:sz w:val="4"/>
                <w:szCs w:val="4"/>
              </w:rPr>
            </w:pPr>
            <w:r>
              <w:rPr>
                <w:sz w:val="4"/>
                <w:szCs w:val="4"/>
              </w:rPr>
            </w:r>
          </w:p>
        </w:tc>
        <w:tc>
          <w:tcPr>
            <w:tcW w:w="2477" w:type="dxa"/>
            <w:gridSpan w:val="3"/>
            <w:tcBorders/>
            <w:shd w:fill="auto" w:val="clear"/>
            <w:vAlign w:val="center"/>
          </w:tcPr>
          <w:p>
            <w:pPr>
              <w:pStyle w:val="TableContents"/>
              <w:spacing w:before="0" w:after="283"/>
              <w:rPr>
                <w:sz w:val="4"/>
                <w:szCs w:val="4"/>
              </w:rPr>
            </w:pPr>
            <w:r>
              <w:rPr>
                <w:sz w:val="4"/>
                <w:szCs w:val="4"/>
              </w:rPr>
            </w:r>
          </w:p>
        </w:tc>
        <w:tc>
          <w:tcPr>
            <w:tcW w:w="2609" w:type="dxa"/>
            <w:gridSpan w:val="3"/>
            <w:tcBorders/>
            <w:shd w:fill="auto" w:val="clear"/>
            <w:vAlign w:val="center"/>
          </w:tcPr>
          <w:p>
            <w:pPr>
              <w:pStyle w:val="TableContents"/>
              <w:spacing w:before="0" w:after="283"/>
              <w:rPr>
                <w:sz w:val="4"/>
                <w:szCs w:val="4"/>
              </w:rPr>
            </w:pPr>
            <w:r>
              <w:rPr>
                <w:sz w:val="4"/>
                <w:szCs w:val="4"/>
              </w:rPr>
            </w:r>
          </w:p>
        </w:tc>
      </w:tr>
      <w:tr>
        <w:trPr/>
        <w:tc>
          <w:tcPr>
            <w:tcW w:w="511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Hamza Suria</w:t>
            </w:r>
            <w:r>
              <w:rPr>
                <w:rFonts w:ascii="Times New Roman;sans-serif" w:hAnsi="Times New Roman;sans-serif"/>
                <w:b w:val="false"/>
                <w:color w:val="000000"/>
                <w:sz w:val="13"/>
              </w:rPr>
              <w:t>(4)</w:t>
            </w:r>
          </w:p>
        </w:tc>
        <w:tc>
          <w:tcPr>
            <w:tcW w:w="247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301,994</w:t>
            </w:r>
          </w:p>
        </w:tc>
        <w:tc>
          <w:tcPr>
            <w:tcW w:w="260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r>
      <w:tr>
        <w:trPr/>
        <w:tc>
          <w:tcPr>
            <w:tcW w:w="511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Dennis Fenton, Ph.D.</w:t>
            </w:r>
            <w:r>
              <w:rPr>
                <w:rFonts w:ascii="Times New Roman;sans-serif" w:hAnsi="Times New Roman;sans-serif"/>
                <w:b w:val="false"/>
                <w:color w:val="000000"/>
                <w:sz w:val="13"/>
              </w:rPr>
              <w:t>(5)</w:t>
            </w:r>
          </w:p>
        </w:tc>
        <w:tc>
          <w:tcPr>
            <w:tcW w:w="247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52,240</w:t>
            </w:r>
          </w:p>
        </w:tc>
        <w:tc>
          <w:tcPr>
            <w:tcW w:w="260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11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Laura J. Hamill</w:t>
            </w:r>
            <w:r>
              <w:rPr>
                <w:rFonts w:ascii="Times New Roman;sans-serif" w:hAnsi="Times New Roman;sans-serif"/>
                <w:b w:val="false"/>
                <w:color w:val="000000"/>
                <w:sz w:val="13"/>
              </w:rPr>
              <w:t>(6)</w:t>
            </w:r>
          </w:p>
        </w:tc>
        <w:tc>
          <w:tcPr>
            <w:tcW w:w="247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43,001</w:t>
            </w:r>
          </w:p>
        </w:tc>
        <w:tc>
          <w:tcPr>
            <w:tcW w:w="260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11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Magda Marquet, Ph.D.</w:t>
            </w:r>
            <w:r>
              <w:rPr>
                <w:rFonts w:ascii="Times New Roman;sans-serif" w:hAnsi="Times New Roman;sans-serif"/>
                <w:b w:val="false"/>
                <w:color w:val="000000"/>
                <w:sz w:val="13"/>
              </w:rPr>
              <w:t>(7)</w:t>
            </w:r>
          </w:p>
        </w:tc>
        <w:tc>
          <w:tcPr>
            <w:tcW w:w="247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33,073</w:t>
            </w:r>
          </w:p>
        </w:tc>
        <w:tc>
          <w:tcPr>
            <w:tcW w:w="260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11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Oleg Nodelman</w:t>
            </w:r>
            <w:r>
              <w:rPr>
                <w:rFonts w:ascii="Times New Roman;sans-serif" w:hAnsi="Times New Roman;sans-serif"/>
                <w:b w:val="false"/>
                <w:color w:val="000000"/>
                <w:sz w:val="13"/>
              </w:rPr>
              <w:t>(8)</w:t>
            </w:r>
          </w:p>
        </w:tc>
        <w:tc>
          <w:tcPr>
            <w:tcW w:w="247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7,520,424</w:t>
            </w:r>
          </w:p>
        </w:tc>
        <w:tc>
          <w:tcPr>
            <w:tcW w:w="260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27.7</w:t>
            </w:r>
          </w:p>
        </w:tc>
      </w:tr>
      <w:tr>
        <w:trPr/>
        <w:tc>
          <w:tcPr>
            <w:tcW w:w="511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Hollings Renton, M.B.A.</w:t>
            </w:r>
            <w:r>
              <w:rPr>
                <w:rFonts w:ascii="Times New Roman;sans-serif" w:hAnsi="Times New Roman;sans-serif"/>
                <w:b w:val="false"/>
                <w:color w:val="000000"/>
                <w:sz w:val="13"/>
              </w:rPr>
              <w:t>(9)</w:t>
            </w:r>
          </w:p>
        </w:tc>
        <w:tc>
          <w:tcPr>
            <w:tcW w:w="247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112,889</w:t>
            </w:r>
          </w:p>
        </w:tc>
        <w:tc>
          <w:tcPr>
            <w:tcW w:w="260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11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John P. Schmid, M.B.A.</w:t>
            </w:r>
            <w:r>
              <w:rPr>
                <w:rFonts w:ascii="Times New Roman;sans-serif" w:hAnsi="Times New Roman;sans-serif"/>
                <w:b w:val="false"/>
                <w:color w:val="000000"/>
                <w:sz w:val="13"/>
              </w:rPr>
              <w:t>(10)</w:t>
            </w:r>
          </w:p>
        </w:tc>
        <w:tc>
          <w:tcPr>
            <w:tcW w:w="247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104,070</w:t>
            </w:r>
          </w:p>
        </w:tc>
        <w:tc>
          <w:tcPr>
            <w:tcW w:w="260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11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James N. Topper, M.D., Ph.D.</w:t>
            </w:r>
            <w:r>
              <w:rPr>
                <w:rFonts w:ascii="Times New Roman;sans-serif" w:hAnsi="Times New Roman;sans-serif"/>
                <w:b w:val="false"/>
                <w:color w:val="000000"/>
                <w:sz w:val="13"/>
              </w:rPr>
              <w:t>(11)</w:t>
            </w:r>
          </w:p>
        </w:tc>
        <w:tc>
          <w:tcPr>
            <w:tcW w:w="247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1,042,245</w:t>
            </w:r>
          </w:p>
        </w:tc>
        <w:tc>
          <w:tcPr>
            <w:tcW w:w="260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c>
      </w:tr>
      <w:tr>
        <w:trPr/>
        <w:tc>
          <w:tcPr>
            <w:tcW w:w="511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Anthony Ware, M.D.</w:t>
            </w:r>
            <w:r>
              <w:rPr>
                <w:rFonts w:ascii="Times New Roman;sans-serif" w:hAnsi="Times New Roman;sans-serif"/>
                <w:b w:val="false"/>
                <w:color w:val="000000"/>
                <w:sz w:val="13"/>
              </w:rPr>
              <w:t>(12)</w:t>
            </w:r>
          </w:p>
        </w:tc>
        <w:tc>
          <w:tcPr>
            <w:tcW w:w="247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89,598</w:t>
            </w:r>
          </w:p>
        </w:tc>
        <w:tc>
          <w:tcPr>
            <w:tcW w:w="260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511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color w:val="000000"/>
                <w:sz w:val="20"/>
              </w:rPr>
              <w:t>Total Executive Officers and Directors as a Group (12 people)</w:t>
            </w:r>
            <w:r>
              <w:rPr>
                <w:rFonts w:ascii="Times New Roman;sans-serif" w:hAnsi="Times New Roman;sans-serif"/>
                <w:b/>
                <w:color w:val="000000"/>
                <w:sz w:val="13"/>
              </w:rPr>
              <w:t>(13)</w:t>
            </w:r>
          </w:p>
        </w:tc>
        <w:tc>
          <w:tcPr>
            <w:tcW w:w="247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9,658,948</w:t>
            </w:r>
          </w:p>
        </w:tc>
        <w:tc>
          <w:tcPr>
            <w:tcW w:w="260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35.5</w:t>
            </w:r>
          </w:p>
        </w:tc>
      </w:tr>
      <w:tr>
        <w:trPr/>
        <w:tc>
          <w:tcPr>
            <w:tcW w:w="511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5% Stockholders</w:t>
            </w:r>
          </w:p>
        </w:tc>
        <w:tc>
          <w:tcPr>
            <w:tcW w:w="247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09"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11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EcoR1 Capital LLC</w:t>
            </w:r>
            <w:r>
              <w:rPr>
                <w:rFonts w:ascii="Times New Roman;sans-serif" w:hAnsi="Times New Roman;sans-serif"/>
                <w:b w:val="false"/>
                <w:color w:val="000000"/>
                <w:sz w:val="13"/>
              </w:rPr>
              <w:t>(14)</w:t>
            </w:r>
          </w:p>
        </w:tc>
        <w:tc>
          <w:tcPr>
            <w:tcW w:w="247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7,520,424</w:t>
            </w:r>
          </w:p>
        </w:tc>
        <w:tc>
          <w:tcPr>
            <w:tcW w:w="260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27.7</w:t>
            </w:r>
          </w:p>
        </w:tc>
      </w:tr>
      <w:tr>
        <w:trPr/>
        <w:tc>
          <w:tcPr>
            <w:tcW w:w="511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Tang Capital Partners, LP</w:t>
            </w:r>
            <w:r>
              <w:rPr>
                <w:rFonts w:ascii="Times New Roman;sans-serif" w:hAnsi="Times New Roman;sans-serif"/>
                <w:b w:val="false"/>
                <w:color w:val="000000"/>
                <w:sz w:val="13"/>
              </w:rPr>
              <w:t>(15)</w:t>
            </w:r>
          </w:p>
        </w:tc>
        <w:tc>
          <w:tcPr>
            <w:tcW w:w="247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2,628,678</w:t>
            </w:r>
          </w:p>
        </w:tc>
        <w:tc>
          <w:tcPr>
            <w:tcW w:w="260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c>
      </w:tr>
      <w:tr>
        <w:trPr/>
        <w:tc>
          <w:tcPr>
            <w:tcW w:w="511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Point72 Asset Management, L.P.</w:t>
            </w:r>
            <w:r>
              <w:rPr>
                <w:rFonts w:ascii="Times New Roman;sans-serif" w:hAnsi="Times New Roman;sans-serif"/>
                <w:b w:val="false"/>
                <w:color w:val="000000"/>
                <w:sz w:val="13"/>
              </w:rPr>
              <w:t>(16)</w:t>
            </w:r>
          </w:p>
        </w:tc>
        <w:tc>
          <w:tcPr>
            <w:tcW w:w="247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2,124,200</w:t>
            </w:r>
          </w:p>
        </w:tc>
        <w:tc>
          <w:tcPr>
            <w:tcW w:w="260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c>
      </w:tr>
      <w:tr>
        <w:trPr/>
        <w:tc>
          <w:tcPr>
            <w:tcW w:w="511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BlackRock, Inc.</w:t>
            </w:r>
            <w:r>
              <w:rPr>
                <w:rFonts w:ascii="Times New Roman;sans-serif" w:hAnsi="Times New Roman;sans-serif"/>
                <w:b w:val="false"/>
                <w:color w:val="000000"/>
                <w:sz w:val="13"/>
              </w:rPr>
              <w:t>(17)</w:t>
            </w:r>
          </w:p>
        </w:tc>
        <w:tc>
          <w:tcPr>
            <w:tcW w:w="247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1,856,266</w:t>
            </w:r>
          </w:p>
        </w:tc>
        <w:tc>
          <w:tcPr>
            <w:tcW w:w="260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c>
      </w:tr>
      <w:tr>
        <w:trPr/>
        <w:tc>
          <w:tcPr>
            <w:tcW w:w="511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The Vanguard Group</w:t>
            </w:r>
            <w:r>
              <w:rPr>
                <w:rFonts w:ascii="Times New Roman;sans-serif" w:hAnsi="Times New Roman;sans-serif"/>
                <w:b w:val="false"/>
                <w:color w:val="000000"/>
                <w:sz w:val="13"/>
              </w:rPr>
              <w:t>(18)</w:t>
            </w:r>
          </w:p>
        </w:tc>
        <w:tc>
          <w:tcPr>
            <w:tcW w:w="247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1,776,908</w:t>
            </w:r>
          </w:p>
        </w:tc>
        <w:tc>
          <w:tcPr>
            <w:tcW w:w="260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c>
      </w:tr>
      <w:tr>
        <w:trPr/>
        <w:tc>
          <w:tcPr>
            <w:tcW w:w="5119"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Federated Hermes, Inc.</w:t>
            </w:r>
            <w:r>
              <w:rPr>
                <w:rFonts w:ascii="Times New Roman;sans-serif" w:hAnsi="Times New Roman;sans-serif"/>
                <w:b w:val="false"/>
                <w:color w:val="000000"/>
                <w:sz w:val="13"/>
              </w:rPr>
              <w:t>(19)</w:t>
            </w:r>
          </w:p>
        </w:tc>
        <w:tc>
          <w:tcPr>
            <w:tcW w:w="247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1,401,559</w:t>
            </w:r>
          </w:p>
        </w:tc>
        <w:tc>
          <w:tcPr>
            <w:tcW w:w="2609"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c>
      </w:tr>
    </w:tbl>
    <w:p>
      <w:pPr>
        <w:pStyle w:val="TextBody"/>
        <w:spacing w:lineRule="auto" w:line="240" w:before="0" w:after="40"/>
        <w:rPr>
          <w:rFonts w:ascii="Times New Roman;sans-serif" w:hAnsi="Times New Roman;sans-serif"/>
          <w:b w:val="false"/>
          <w:color w:val="000000"/>
          <w:sz w:val="20"/>
        </w:rPr>
      </w:pPr>
      <w:r>
        <w:rPr>
          <w:rFonts w:ascii="Times New Roman;sans-serif" w:hAnsi="Times New Roman;sans-serif"/>
          <w:b w:val="false"/>
          <w:color w:val="000000"/>
          <w:sz w:val="20"/>
        </w:rPr>
        <w:t>___________________</w:t>
      </w:r>
    </w:p>
    <w:p>
      <w:pPr>
        <w:pStyle w:val="TextBody"/>
        <w:spacing w:lineRule="auto" w:line="240" w:before="0" w:after="12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    Represents beneficial ownership of less than one percent.</w:t>
      </w:r>
      <w:r>
        <w:br w:type="page"/>
      </w:r>
    </w:p>
    <w:p>
      <w:pPr>
        <w:pStyle w:val="TextBody"/>
        <w:spacing w:before="0" w:after="0"/>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12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 xml:space="preserve">(1)Consists of 16,715 shares of common stock issuable to Mr. Faga upon the exercise of stock options that are exercisable within 60 days of March 24, 2023. </w:t>
      </w:r>
    </w:p>
    <w:p>
      <w:pPr>
        <w:pStyle w:val="TextBody"/>
        <w:spacing w:lineRule="auto" w:line="288" w:before="0" w:after="12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(2)Consists of (a) 1,751 shares of common stock held directly by Dr. Lizzul and (b) 119,063 shares of common stock issuable to Dr. Lizzul upon the exercise of stock options that are exercisable within 60 days of March 24, 2023.</w:t>
      </w:r>
    </w:p>
    <w:p>
      <w:pPr>
        <w:pStyle w:val="TextBody"/>
        <w:spacing w:lineRule="auto" w:line="288" w:before="0" w:after="12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(3)Represents 221,885 shares of common stock issuable to Mr. Loumeau upon the exercise of stock options that are exercisable within 60 days of March 24, 2023.</w:t>
      </w:r>
    </w:p>
    <w:p>
      <w:pPr>
        <w:pStyle w:val="TextBody"/>
        <w:spacing w:lineRule="auto" w:line="288" w:before="0" w:after="12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(4)Represents 301,994 shares of common stock issuable to Mr. Suria upon the exercise of stock options that are exercisable within 60 days of March 24, 2023.</w:t>
      </w:r>
    </w:p>
    <w:p>
      <w:pPr>
        <w:pStyle w:val="TextBody"/>
        <w:spacing w:lineRule="auto" w:line="288" w:before="0" w:after="12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(5)Represents 52,240 shares of common stock issuable to Dr. Fenton upon the exercise of stock options that are exercisable within 60 days of March 24, 2023.</w:t>
      </w:r>
    </w:p>
    <w:p>
      <w:pPr>
        <w:pStyle w:val="TextBody"/>
        <w:spacing w:lineRule="auto" w:line="288" w:before="0" w:after="12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(6)Represents 43,001 shares of common stock issuable to Ms. Hamill upon the exercise of stock options that are exercisable within 60 days of March 24, 2023. Ms. Hamill resigned from our Board, effective April 1, 2023.</w:t>
      </w:r>
    </w:p>
    <w:p>
      <w:pPr>
        <w:pStyle w:val="TextBody"/>
        <w:spacing w:lineRule="auto" w:line="288" w:before="0" w:after="12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(7)Represents 33,073 shares of common stock issuable to Dr. Marquet upon the exercise of stock options that are exercisable within 60 days of March 24, 2023.</w:t>
      </w:r>
    </w:p>
    <w:p>
      <w:pPr>
        <w:pStyle w:val="TextBody"/>
        <w:spacing w:lineRule="auto" w:line="288" w:before="0" w:after="12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 xml:space="preserve">(8)Consists of the shares of common stock described in footnote 14 below. Mr. Nodelman joined our board of directors in April 2021, and disclaims beneficial ownership of such shares, except to the extent of his pecuniary interest therein. </w:t>
      </w:r>
    </w:p>
    <w:p>
      <w:pPr>
        <w:pStyle w:val="TextBody"/>
        <w:spacing w:lineRule="auto" w:line="288" w:before="0" w:after="12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(9)Represents 112,889 shares of common stock issuable to Mr. Renton upon the exercise of stock options that are exercisable within 60 days of March 24, 2023.</w:t>
      </w:r>
    </w:p>
    <w:p>
      <w:pPr>
        <w:pStyle w:val="TextBody"/>
        <w:spacing w:lineRule="auto" w:line="288" w:before="0" w:after="12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(10)Represents 104,070 shares of common stock issuable to Mr. Schmid upon the exercise of stock options that are exercisable within 60 days of March 24, 2023.</w:t>
      </w:r>
    </w:p>
    <w:p>
      <w:pPr>
        <w:pStyle w:val="TextBody"/>
        <w:spacing w:lineRule="auto" w:line="288" w:before="0" w:after="12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(11)Consists of (a) 899,700 shares of common stock held directly by Frazier Healthcare V, L.P based on Schedule 13-D/A filed on November 18, 2020 and (b) 80,812 shares of common stock held directly by Dr. Topper and (c) 61,733 shares of common stock issuable to Dr. Topper upon the exercise of stock options that are exercisable within 60 days of March 24, 2023.</w:t>
      </w:r>
    </w:p>
    <w:p>
      <w:pPr>
        <w:pStyle w:val="TextBody"/>
        <w:spacing w:lineRule="auto" w:line="288" w:before="0" w:after="12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(12)Consists of (a) 3,600 shares of common stock held directly by Dr. Ware and (b) 85,998 shares of common stock issuable to Dr. Ware upon the exercise of stock options that are exercisable within 60 days of March 24, 2023.</w:t>
      </w:r>
    </w:p>
    <w:p>
      <w:pPr>
        <w:pStyle w:val="TextBody"/>
        <w:spacing w:lineRule="auto" w:line="288" w:before="0" w:after="12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(13)Includes shares beneficially owned by our executive officers and directors. Consists of (a) 8,506,987 shares of common stock and (b) 1,152,661 shares of common stock issuable upon the exercise of stock options that are exercisable within 60 days of March 24, 2023.</w:t>
      </w:r>
    </w:p>
    <w:p>
      <w:pPr>
        <w:pStyle w:val="TextBody"/>
        <w:spacing w:lineRule="auto" w:line="288" w:before="0" w:after="12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(14)Consists of 7,520,424 shares of common stock held directly by EcoR1 Capital Fund Qualified, L.P. Each of EcoR1 Capital Fund Qualified, L.P., EcoR1 Capital, LLC and Oleg Nodelman have shared voting and dispositive power over such shares. The address of each of EcoR1 Capital Fund Qualified, L.P., EcoR1 Capital, LLC and Mr. Nodelman is 357 Tehama Street #3, San Francisco, California 94103.</w:t>
      </w:r>
    </w:p>
    <w:p>
      <w:pPr>
        <w:pStyle w:val="TextBody"/>
        <w:spacing w:lineRule="auto" w:line="288" w:before="0" w:after="12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(15)Based on Schedule 13-G/A filed by Tang Capital Partners, L.P. on February 16, 2021. Consists of 2,628,678 shares of common stock held directly by Tang Capital Partners L.P. The address of Tang Capital Partners L.P. is 4747 Executive Drive, Suite 210, San Diego, CA 92121.</w:t>
      </w:r>
    </w:p>
    <w:p>
      <w:pPr>
        <w:pStyle w:val="TextBody"/>
        <w:spacing w:lineRule="auto" w:line="288" w:before="0" w:after="12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(16)Based on Schedule 13-G/A filed by Point72 Asset Management, L.P. (“Point72”) filed on February 14, 2023. Consists of 2,124,200 shares of common stock held by Point72 Capital Advisors, Inc., Point72 Associates, LLC and Steven A. Cohen. Point72’s address is 72 Cummings Point Road, Stamford, CT 06902.</w:t>
      </w:r>
    </w:p>
    <w:p>
      <w:pPr>
        <w:pStyle w:val="TextBody"/>
        <w:spacing w:lineRule="auto" w:line="288" w:before="0" w:after="12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(17)Based on Schedule 13-G/A filed by BlackRock, Inc. (“Blackrock”) on February 1, 2023. Consists of 1,856,266 shares of common stock held by the following subsidiaries of BlackRock, Inc, or BlackRock: BlackRock Life Limited, BlackRock Advisors, LLC, BlackRock (Netherlands) B.V., BlackRock Institutional Trust Company, National Association, BlackRock Asset Management Ireland Limited, BlackRock Financial Management, Inc., BlackRock Asset Management Schweiz AG, BlackRock Investment Management, LLC, BlackRock Investment Management (UK) Limited, BlackRock Asset Management Canada Limited, BlackRock Investment Management (Australia) Limited, BlackRock Fund Advisors, and BlackRock Fund Managers Ltd. Blackrock’s address is 55 East 52nd Street, New York, New York 10055.</w:t>
      </w:r>
    </w:p>
    <w:p>
      <w:pPr>
        <w:pStyle w:val="TextBody"/>
        <w:spacing w:lineRule="auto" w:line="288" w:before="0" w:after="12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(18)Based on Schedule 13-G/A filed by The Vanguard Group on February 9, 2023. Consists of 1,776,908 shares of common stock held by the following subsidiaries of The Vanguard Group: Vanguard Asset Management, Limited, Vanguard Fiduciary Trust Company, Vanguard Global Advisors, Vanguard Group (Ireland) Limited, Vanguard Investments Australia Ltd, Vanguard Investments Canada Inc., Vanguard Investments Hong Kong Limited, and Vanguard Investments UK, Limited. The address of The Vanguard Group is 100 Vanguard Blvd. Malvern, Pennsylvania 19355.</w:t>
      </w:r>
    </w:p>
    <w:p>
      <w:pPr>
        <w:pStyle w:val="TextBody"/>
        <w:spacing w:lineRule="auto" w:line="240" w:before="0" w:after="1"/>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 xml:space="preserve">(19)Based on Schedule 13-G/A filed by Federated Hermes, Inc.(“FHI”) on February 9, 2023. Consists of 1,401,559 shares of common stock held by Federated Equity Management Company of Pennsylvania and Federated Global Investment Management Corp., which are wholly owned subsidiaries of FII Holdings, Inc., which is wholly owned subsidiary of FHI. All of FHI’s. outstanding voting </w:t>
      </w:r>
      <w:r>
        <w:br w:type="page"/>
      </w:r>
    </w:p>
    <w:p>
      <w:pPr>
        <w:pStyle w:val="TextBody"/>
        <w:spacing w:before="0" w:after="0"/>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40" w:before="0" w:after="1"/>
        <w:rPr>
          <w:rFonts w:ascii="Times New Roman;sans-serif" w:hAnsi="Times New Roman;sans-serif"/>
          <w:b w:val="false"/>
          <w:color w:val="000000"/>
          <w:sz w:val="18"/>
        </w:rPr>
      </w:pPr>
      <w:r>
        <w:rPr>
          <w:rFonts w:ascii="Times New Roman;sans-serif" w:hAnsi="Times New Roman;sans-serif"/>
          <w:b w:val="false"/>
          <w:color w:val="000000"/>
          <w:sz w:val="18"/>
        </w:rPr>
        <w:t>stock is held in the Voting Shares Irrevocable Trust for which Thomas R. Donahue, Rhodora J. Donahue and J. Christopher Donahue act as trustees. FHI’s address is 1001 Liberty Avenue, Pittsburgh, PA 15222.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40" w:before="0" w:after="200"/>
        <w:jc w:val="center"/>
        <w:rPr>
          <w:rFonts w:ascii="Times New Roman;sans-serif" w:hAnsi="Times New Roman;sans-serif"/>
          <w:b/>
          <w:color w:val="000000"/>
          <w:sz w:val="20"/>
        </w:rPr>
      </w:pPr>
      <w:r>
        <w:rPr>
          <w:rFonts w:ascii="Times New Roman;sans-serif" w:hAnsi="Times New Roman;sans-serif"/>
          <w:b/>
          <w:color w:val="000000"/>
          <w:sz w:val="20"/>
        </w:rPr>
        <w:t xml:space="preserve">EXECUTIVE OFFICERS </w:t>
      </w:r>
    </w:p>
    <w:p>
      <w:pPr>
        <w:pStyle w:val="TextBody"/>
        <w:spacing w:lineRule="auto" w:line="240" w:before="0" w:after="20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provides information regarding our executive officers as of March 31, 2023: </w:t>
      </w:r>
    </w:p>
    <w:tbl>
      <w:tblPr>
        <w:tblW w:w="7036" w:type="dxa"/>
        <w:jc w:val="left"/>
        <w:tblInd w:w="0" w:type="dxa"/>
        <w:tblCellMar>
          <w:top w:w="28" w:type="dxa"/>
          <w:left w:w="28" w:type="dxa"/>
          <w:bottom w:w="28" w:type="dxa"/>
          <w:right w:w="28" w:type="dxa"/>
        </w:tblCellMar>
      </w:tblPr>
      <w:tblGrid>
        <w:gridCol w:w="630"/>
        <w:gridCol w:w="554"/>
        <w:gridCol w:w="556"/>
        <w:gridCol w:w="135"/>
        <w:gridCol w:w="135"/>
        <w:gridCol w:w="136"/>
        <w:gridCol w:w="1428"/>
        <w:gridCol w:w="1428"/>
        <w:gridCol w:w="2034"/>
      </w:tblGrid>
      <w:tr>
        <w:trPr/>
        <w:tc>
          <w:tcPr>
            <w:tcW w:w="630" w:type="dxa"/>
            <w:tcBorders/>
            <w:shd w:fill="auto" w:val="clear"/>
            <w:vAlign w:val="center"/>
          </w:tcPr>
          <w:p>
            <w:pPr>
              <w:pStyle w:val="TableContents"/>
              <w:spacing w:before="0" w:after="283"/>
              <w:rPr>
                <w:sz w:val="4"/>
                <w:szCs w:val="4"/>
              </w:rPr>
            </w:pPr>
            <w:r>
              <w:rPr>
                <w:sz w:val="4"/>
                <w:szCs w:val="4"/>
              </w:rPr>
            </w:r>
          </w:p>
        </w:tc>
        <w:tc>
          <w:tcPr>
            <w:tcW w:w="554" w:type="dxa"/>
            <w:tcBorders/>
            <w:shd w:fill="auto" w:val="clear"/>
            <w:vAlign w:val="center"/>
          </w:tcPr>
          <w:p>
            <w:pPr>
              <w:pStyle w:val="TableContents"/>
              <w:spacing w:before="0" w:after="283"/>
              <w:rPr>
                <w:sz w:val="4"/>
                <w:szCs w:val="4"/>
              </w:rPr>
            </w:pPr>
            <w:r>
              <w:rPr>
                <w:sz w:val="4"/>
                <w:szCs w:val="4"/>
              </w:rPr>
            </w:r>
          </w:p>
        </w:tc>
        <w:tc>
          <w:tcPr>
            <w:tcW w:w="556"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5"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center"/>
          </w:tcPr>
          <w:p>
            <w:pPr>
              <w:pStyle w:val="TableContents"/>
              <w:spacing w:before="0" w:after="283"/>
              <w:rPr>
                <w:sz w:val="4"/>
                <w:szCs w:val="4"/>
              </w:rPr>
            </w:pPr>
            <w:r>
              <w:rPr>
                <w:sz w:val="4"/>
                <w:szCs w:val="4"/>
              </w:rPr>
            </w:r>
          </w:p>
        </w:tc>
        <w:tc>
          <w:tcPr>
            <w:tcW w:w="1428" w:type="dxa"/>
            <w:tcBorders/>
            <w:shd w:fill="auto" w:val="clear"/>
            <w:vAlign w:val="center"/>
          </w:tcPr>
          <w:p>
            <w:pPr>
              <w:pStyle w:val="TableContents"/>
              <w:spacing w:before="0" w:after="283"/>
              <w:rPr>
                <w:sz w:val="4"/>
                <w:szCs w:val="4"/>
              </w:rPr>
            </w:pPr>
            <w:r>
              <w:rPr>
                <w:sz w:val="4"/>
                <w:szCs w:val="4"/>
              </w:rPr>
            </w:r>
          </w:p>
        </w:tc>
        <w:tc>
          <w:tcPr>
            <w:tcW w:w="1428" w:type="dxa"/>
            <w:tcBorders/>
            <w:shd w:fill="auto" w:val="clear"/>
            <w:vAlign w:val="center"/>
          </w:tcPr>
          <w:p>
            <w:pPr>
              <w:pStyle w:val="TableContents"/>
              <w:spacing w:before="0" w:after="283"/>
              <w:rPr>
                <w:sz w:val="4"/>
                <w:szCs w:val="4"/>
              </w:rPr>
            </w:pPr>
            <w:r>
              <w:rPr>
                <w:sz w:val="4"/>
                <w:szCs w:val="4"/>
              </w:rPr>
            </w:r>
          </w:p>
        </w:tc>
        <w:tc>
          <w:tcPr>
            <w:tcW w:w="2034" w:type="dxa"/>
            <w:tcBorders/>
            <w:shd w:fill="auto" w:val="clear"/>
            <w:vAlign w:val="center"/>
          </w:tcPr>
          <w:p>
            <w:pPr>
              <w:pStyle w:val="TableContents"/>
              <w:spacing w:before="0" w:after="283"/>
              <w:rPr>
                <w:sz w:val="4"/>
                <w:szCs w:val="4"/>
              </w:rPr>
            </w:pPr>
            <w:r>
              <w:rPr>
                <w:sz w:val="4"/>
                <w:szCs w:val="4"/>
              </w:rPr>
            </w:r>
          </w:p>
        </w:tc>
      </w:tr>
      <w:tr>
        <w:trPr/>
        <w:tc>
          <w:tcPr>
            <w:tcW w:w="174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Executive Officers:</w:t>
            </w:r>
          </w:p>
        </w:tc>
        <w:tc>
          <w:tcPr>
            <w:tcW w:w="4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9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Name</w:t>
            </w:r>
          </w:p>
        </w:tc>
        <w:tc>
          <w:tcPr>
            <w:tcW w:w="40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Age</w:t>
            </w:r>
          </w:p>
        </w:tc>
        <w:tc>
          <w:tcPr>
            <w:tcW w:w="4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Position</w:t>
            </w:r>
          </w:p>
        </w:tc>
      </w:tr>
      <w:tr>
        <w:trPr/>
        <w:tc>
          <w:tcPr>
            <w:tcW w:w="1740"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Daniel Faga</w:t>
            </w:r>
          </w:p>
        </w:tc>
        <w:tc>
          <w:tcPr>
            <w:tcW w:w="406"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4890" w:type="dxa"/>
            <w:gridSpan w:val="3"/>
            <w:tcBorders>
              <w:top w:val="single" w:sz="4" w:space="0" w:color="000000"/>
            </w:tcBorders>
            <w:shd w:fill="FFFF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Interim President and Chief Executive Officer and Director</w:t>
            </w:r>
          </w:p>
        </w:tc>
      </w:tr>
      <w:tr>
        <w:trPr/>
        <w:tc>
          <w:tcPr>
            <w:tcW w:w="17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Eric Loumeau</w:t>
            </w:r>
          </w:p>
        </w:tc>
        <w:tc>
          <w:tcPr>
            <w:tcW w:w="40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4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Operating Officer</w:t>
            </w:r>
          </w:p>
        </w:tc>
      </w:tr>
      <w:tr>
        <w:trPr/>
        <w:tc>
          <w:tcPr>
            <w:tcW w:w="174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Paul Lizzul</w:t>
            </w:r>
          </w:p>
        </w:tc>
        <w:tc>
          <w:tcPr>
            <w:tcW w:w="40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489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Medical Officer</w:t>
            </w:r>
          </w:p>
        </w:tc>
      </w:tr>
      <w:tr>
        <w:trPr/>
        <w:tc>
          <w:tcPr>
            <w:tcW w:w="174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Dennis Mulroy</w:t>
            </w:r>
          </w:p>
        </w:tc>
        <w:tc>
          <w:tcPr>
            <w:tcW w:w="40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489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spacing w:before="0" w:after="0"/>
        <w:rPr/>
      </w:pPr>
      <w:r>
        <w:rPr/>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 xml:space="preserve">Mr. Faga’s biographical information is set forth above under the heading “Proposal No. 1 Election of Class III Directors - Directors not Standing for Election”. </w:t>
      </w:r>
    </w:p>
    <w:p>
      <w:pPr>
        <w:pStyle w:val="TextBody"/>
        <w:spacing w:lineRule="auto" w:line="288" w:before="0" w:after="200"/>
        <w:rPr/>
      </w:pPr>
      <w:r>
        <w:rPr>
          <w:rFonts w:ascii="Times New Roman;sans-serif" w:hAnsi="Times New Roman;sans-serif"/>
          <w:b/>
          <w:i/>
          <w:color w:val="000000"/>
          <w:sz w:val="20"/>
        </w:rPr>
        <w:t xml:space="preserve">Eric Loumeau, J.D. </w:t>
      </w:r>
      <w:r>
        <w:rPr>
          <w:rFonts w:ascii="Times New Roman;sans-serif" w:hAnsi="Times New Roman;sans-serif"/>
          <w:b w:val="false"/>
          <w:color w:val="000000"/>
          <w:sz w:val="20"/>
        </w:rPr>
        <w:t>has served as our Chief Operating Officer since July 2020 and as our General Counsel since August 2018. Mr. Loumeau also served as our interim Chief Financial Officer from September 2019 to July 2020. Mr. Loumeau previously served as General Counsel and Chief Compliance Officer of Otonomy, Inc. from May 2015 through March 2018. Before joining Otonomy, Mr. Loumeau served as Chief Financial Officer of Rempex Pharmaceuticals, Inc. from June 2011 to December 2013 and continued as Vice President of Legal Affairs from December 2013 until May 2015 following Rempex’s acquisition by The Medicines Company. He also previously functioned as General Counsel at Hollis-Eden Pharmaceuticals, Inc. for over seven years. Mr. Loumeau’s experience as outside corporate counsel at national law firms includes tenures at Skadden, Arps, Slate, Meagher &amp; Flom LLP, Cooley LLP, Mintz Levin Cohn Ferris Glovsky and Popeo PC, and Bass, Berry &amp; Sims PLC. Mr. Loumeau received his J.D. from Boalt Hall School of Law at the University of California, Berkeley, and his B.S. in Finance from Brigham Young University.</w:t>
      </w:r>
    </w:p>
    <w:p>
      <w:pPr>
        <w:pStyle w:val="TextBody"/>
        <w:spacing w:lineRule="auto" w:line="288" w:before="0" w:after="200"/>
        <w:rPr/>
      </w:pPr>
      <w:r>
        <w:rPr>
          <w:rFonts w:ascii="Times New Roman;sans-serif" w:hAnsi="Times New Roman;sans-serif"/>
          <w:b/>
          <w:i/>
          <w:color w:val="000000"/>
          <w:sz w:val="20"/>
        </w:rPr>
        <w:t xml:space="preserve">Paul Lizzul M.D., Ph.D., M.P.H., M.B.A. </w:t>
      </w:r>
      <w:r>
        <w:rPr>
          <w:rFonts w:ascii="Times New Roman;sans-serif" w:hAnsi="Times New Roman;sans-serif"/>
          <w:b w:val="false"/>
          <w:color w:val="000000"/>
          <w:sz w:val="20"/>
        </w:rPr>
        <w:t>joined our Company as our Chief Medical Officer in July 2020. Dr. Lizzul previously served as Executive Medical Director of Amgen Inc, a pharmaceutical company, from January 2020 to July 2020. Before joining Amgen, he served as Chief Medical Officer of Sienna Biopharmaceuticals, Inc. from 2016 to January 2020. Previously, he served as Senior Medical Director and Head of Safety at Kythera Biopharmaceuticals, Inc., and as an Assistant Professor of Dermatology and Associate Director of Clinical Research at the Tufts University School of Medicine, where he conducted investigator-initiated and industry-sponsored clinical trials in inflammatory skin diseases (psoriasis). Dr. Lizzul has authored articles in academic journals on topics including inflammation, psoriasis, aesthetics (Kybella) and health care reform. Dr. Lizzul is a diplomat of the American Board of Dermatology and a faculty member of the American Academy of Dermatology and previously served on the FDA’s Dermatology and Ophthalmic Drugs Advisory Committee. Dr. Lizzul is a volunteer member of the teaching faculty in the Department of Dermatology at University of California, Los Angeles School of Medicine. Dr. Lizzul completed his post-graduate medical internship at Greenwich Hospital, Yale University School of Medicine and his dermatology residency at the University of California Davis, where he was appointed chief resident. Dr. Lizzul earned his B.S. in Biology from Rensselaer Polytechnic Institute, and an M.D., Ph.D. in Molecular Genetics and Microbiology and M.P.H. in Epidemiology/Outcomes from the Rutgers/Robert Wood Johnson Medical School. Dr. Lizzul also earned an M.B.A. in Entrepreneurship from the Rutgers Business School.</w:t>
      </w:r>
    </w:p>
    <w:p>
      <w:pPr>
        <w:pStyle w:val="TextBody"/>
        <w:spacing w:lineRule="auto" w:line="288" w:before="0" w:after="200"/>
        <w:rPr/>
      </w:pPr>
      <w:r>
        <w:rPr>
          <w:rFonts w:ascii="Times New Roman;sans-serif" w:hAnsi="Times New Roman;sans-serif"/>
          <w:b/>
          <w:i/>
          <w:color w:val="000000"/>
          <w:sz w:val="20"/>
        </w:rPr>
        <w:t>Dennis Mulroy</w:t>
      </w:r>
      <w:r>
        <w:rPr>
          <w:color w:val="000000"/>
        </w:rPr>
        <w:t xml:space="preserve"> </w:t>
      </w:r>
      <w:r>
        <w:rPr>
          <w:rFonts w:ascii="Times New Roman;sans-serif" w:hAnsi="Times New Roman;sans-serif"/>
          <w:b w:val="false"/>
          <w:color w:val="000000"/>
          <w:sz w:val="20"/>
        </w:rPr>
        <w:t>has served as our Chief Financial Officer since July 2020. Mr. Mulroy previously served as Chief Financial Officer for La Jolla Pharmaceutical Company from April 2015 to May 2020. Before joining La Jolla Pharmaceutical, he served as Chief Financial Officer of Taxus Cardium Pharmaceuticals Group, Inc., and Chief Financial Officer of Molecular Imaging, Inc., Chief Financial Officer of SeraCare Life Sciences, Inc. Mr. Mulroy began his career at Ernst &amp; Young LLP. Mr. Mulroy received a B.S. degree in business administration, with an emphasis in accounting, from the University of San Diego and is a Certified Public Accountant (inactive) in the state of California.</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Our executive officers are appointed by, and serve at the discretion of, our board of directors. There are no family relationships among any of our directors or executive officers.</w:t>
      </w:r>
    </w:p>
    <w:p>
      <w:pPr>
        <w:pStyle w:val="TextBody"/>
        <w:spacing w:lineRule="auto" w:line="288" w:before="0" w:after="200"/>
        <w:rPr>
          <w:rFonts w:ascii="Times New Roman;sans-serif" w:hAnsi="Times New Roman;sans-serif"/>
          <w:b/>
          <w:i/>
          <w:color w:val="000000"/>
          <w:sz w:val="20"/>
        </w:rPr>
      </w:pPr>
      <w:r>
        <w:rPr>
          <w:rFonts w:ascii="Times New Roman;sans-serif" w:hAnsi="Times New Roman;sans-serif"/>
          <w:b/>
          <w:i/>
          <w:color w:val="000000"/>
          <w:sz w:val="20"/>
        </w:rPr>
        <w:t>Executive Compensation Policies and Practices</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 xml:space="preserve">We endeavor to maintain sound compensation governance standards consistent with our executive compensation policies and practices. Our compensation committee evaluates our executive compensation program on a regular basis (and no less than annually) to ensure that it is consistent with our short-term and long-term goals given the dynamic nature of our </w:t>
      </w:r>
      <w:r>
        <w:br w:type="page"/>
      </w:r>
    </w:p>
    <w:p>
      <w:pPr>
        <w:pStyle w:val="TextBody"/>
        <w:spacing w:before="0" w:after="0"/>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business and the market in which we compete for executive talent. The following summarizes our executive compensation and related policies and practices:</w:t>
      </w:r>
    </w:p>
    <w:p>
      <w:pPr>
        <w:pStyle w:val="TextBody"/>
        <w:spacing w:lineRule="auto" w:line="288" w:before="0" w:after="240"/>
        <w:ind w:left="0" w:right="0" w:firstLine="720"/>
        <w:rPr>
          <w:rFonts w:ascii="Times New Roman;sans-serif" w:hAnsi="Times New Roman;sans-serif"/>
          <w:b/>
          <w:color w:val="000000"/>
          <w:sz w:val="20"/>
          <w:u w:val="single"/>
        </w:rPr>
      </w:pPr>
      <w:r>
        <w:rPr>
          <w:rFonts w:ascii="Times New Roman;sans-serif" w:hAnsi="Times New Roman;sans-serif"/>
          <w:b/>
          <w:color w:val="000000"/>
          <w:sz w:val="20"/>
          <w:u w:val="single"/>
        </w:rPr>
        <w:t>What We Do</w:t>
      </w:r>
    </w:p>
    <w:p>
      <w:pPr>
        <w:pStyle w:val="TextBody"/>
        <w:spacing w:lineRule="auto" w:line="288" w:before="0" w:after="160"/>
        <w:ind w:left="0" w:right="0" w:hanging="360"/>
        <w:rPr/>
      </w:pPr>
      <w:r>
        <w:rPr>
          <w:color w:val="000000"/>
        </w:rPr>
        <w:t>•</w:t>
      </w:r>
      <w:r>
        <w:rPr>
          <w:rFonts w:ascii="Times New Roman;sans-serif" w:hAnsi="Times New Roman;sans-serif"/>
          <w:b/>
          <w:i/>
          <w:color w:val="000000"/>
          <w:sz w:val="20"/>
        </w:rPr>
        <w:t xml:space="preserve">Maintain an Independent Compensation Committee. </w:t>
      </w:r>
      <w:r>
        <w:rPr>
          <w:rFonts w:ascii="Times New Roman;sans-serif" w:hAnsi="Times New Roman;sans-serif"/>
          <w:b w:val="false"/>
          <w:color w:val="000000"/>
          <w:sz w:val="20"/>
        </w:rPr>
        <w:t>Our compensation committee consists solely of independent directors who establish our compensation practices.</w:t>
      </w:r>
    </w:p>
    <w:p>
      <w:pPr>
        <w:pStyle w:val="TextBody"/>
        <w:spacing w:lineRule="auto" w:line="288" w:before="0" w:after="160"/>
        <w:ind w:left="0" w:right="0" w:hanging="360"/>
        <w:rPr/>
      </w:pPr>
      <w:r>
        <w:rPr>
          <w:color w:val="000000"/>
        </w:rPr>
        <w:t>•</w:t>
      </w:r>
      <w:r>
        <w:rPr>
          <w:rFonts w:ascii="Times New Roman;sans-serif" w:hAnsi="Times New Roman;sans-serif"/>
          <w:b/>
          <w:i/>
          <w:color w:val="000000"/>
          <w:sz w:val="20"/>
        </w:rPr>
        <w:t xml:space="preserve">Retain an Independent Compensation Advisor. </w:t>
      </w:r>
      <w:r>
        <w:rPr>
          <w:rFonts w:ascii="Times New Roman;sans-serif" w:hAnsi="Times New Roman;sans-serif"/>
          <w:b w:val="false"/>
          <w:color w:val="000000"/>
          <w:sz w:val="20"/>
        </w:rPr>
        <w:t>Our compensation committee has engaged its own compensation consultant to provide information, analysis, and other advice on executive compensation independent of management. This consultant performed no other consulting or other services for us in 2022.</w:t>
      </w:r>
    </w:p>
    <w:p>
      <w:pPr>
        <w:pStyle w:val="TextBody"/>
        <w:spacing w:lineRule="auto" w:line="288" w:before="0" w:after="160"/>
        <w:ind w:left="0" w:right="0" w:hanging="360"/>
        <w:rPr/>
      </w:pPr>
      <w:r>
        <w:rPr>
          <w:color w:val="000000"/>
        </w:rPr>
        <w:t>•</w:t>
      </w:r>
      <w:r>
        <w:rPr>
          <w:rFonts w:ascii="Times New Roman;sans-serif" w:hAnsi="Times New Roman;sans-serif"/>
          <w:b/>
          <w:i/>
          <w:color w:val="000000"/>
          <w:sz w:val="20"/>
        </w:rPr>
        <w:t xml:space="preserve">Annual Executive Compensation Review. </w:t>
      </w:r>
      <w:r>
        <w:rPr>
          <w:rFonts w:ascii="Times New Roman;sans-serif" w:hAnsi="Times New Roman;sans-serif"/>
          <w:b w:val="false"/>
          <w:color w:val="000000"/>
          <w:sz w:val="20"/>
        </w:rPr>
        <w:t>Our compensation committee conducts an annual review and approval of our compensation strategy, including a review and determination of our compensation peer group used for comparative purposes and a review of our compensation-related risk profile to ensure that our compensation programs do not encourage excessive or inappropriate risk-taking and that the level of risk that they do encourage is not reasonably likely to have a material adverse effect on us.</w:t>
      </w:r>
    </w:p>
    <w:p>
      <w:pPr>
        <w:pStyle w:val="TextBody"/>
        <w:spacing w:lineRule="auto" w:line="288" w:before="0" w:after="160"/>
        <w:ind w:left="0" w:right="0" w:hanging="360"/>
        <w:rPr/>
      </w:pPr>
      <w:r>
        <w:rPr>
          <w:color w:val="000000"/>
        </w:rPr>
        <w:t>•</w:t>
      </w:r>
      <w:r>
        <w:rPr>
          <w:rFonts w:ascii="Times New Roman;sans-serif" w:hAnsi="Times New Roman;sans-serif"/>
          <w:b/>
          <w:i/>
          <w:color w:val="000000"/>
          <w:sz w:val="20"/>
        </w:rPr>
        <w:t xml:space="preserve">Compensation At-Risk. </w:t>
      </w:r>
      <w:r>
        <w:rPr>
          <w:rFonts w:ascii="Times New Roman;sans-serif" w:hAnsi="Times New Roman;sans-serif"/>
          <w:b w:val="false"/>
          <w:color w:val="000000"/>
          <w:sz w:val="20"/>
        </w:rPr>
        <w:t>Our executive compensation program is designed so that a significant portion of each of our Named Executive Officer’s compensation is “at-risk” based on corporate performance, as well as equity-based, to align the interests of our executive officers and stockholders.</w:t>
      </w:r>
    </w:p>
    <w:p>
      <w:pPr>
        <w:pStyle w:val="TextBody"/>
        <w:spacing w:lineRule="auto" w:line="288" w:before="0" w:after="160"/>
        <w:ind w:left="0" w:right="0" w:hanging="360"/>
        <w:rPr/>
      </w:pPr>
      <w:r>
        <w:rPr>
          <w:color w:val="000000"/>
        </w:rPr>
        <w:t>•</w:t>
      </w:r>
      <w:r>
        <w:rPr>
          <w:rFonts w:ascii="Times New Roman;sans-serif" w:hAnsi="Times New Roman;sans-serif"/>
          <w:b/>
          <w:i/>
          <w:color w:val="000000"/>
          <w:sz w:val="20"/>
        </w:rPr>
        <w:t xml:space="preserve">Use a “Pay-for-Performance” Philosophy. </w:t>
      </w:r>
      <w:r>
        <w:rPr>
          <w:rFonts w:ascii="Times New Roman;sans-serif" w:hAnsi="Times New Roman;sans-serif"/>
          <w:b w:val="false"/>
          <w:color w:val="000000"/>
          <w:sz w:val="20"/>
        </w:rPr>
        <w:t>The majority of our Named Executive Officers’ compensation is directly linked to corporate performance through short-term performance-based annual bonuses and long-term equity awards; we also structure their target total direct compensation opportunities with a strong emphasis on the long-term equity component, thereby making a substantial portion of each Named Executive Officer’s target total direct compensation dependent upon our stock price performance.</w:t>
      </w:r>
    </w:p>
    <w:p>
      <w:pPr>
        <w:pStyle w:val="TextBody"/>
        <w:spacing w:lineRule="auto" w:line="288" w:before="0" w:after="200"/>
        <w:ind w:left="0" w:right="0" w:hanging="360"/>
        <w:rPr/>
      </w:pPr>
      <w:r>
        <w:rPr>
          <w:color w:val="000000"/>
        </w:rPr>
        <w:t>•</w:t>
      </w:r>
      <w:r>
        <w:rPr>
          <w:rFonts w:ascii="Times New Roman;sans-serif" w:hAnsi="Times New Roman;sans-serif"/>
          <w:b/>
          <w:i/>
          <w:color w:val="000000"/>
          <w:sz w:val="20"/>
        </w:rPr>
        <w:t xml:space="preserve">Succession Planning. </w:t>
      </w:r>
      <w:r>
        <w:rPr>
          <w:rFonts w:ascii="Times New Roman;sans-serif" w:hAnsi="Times New Roman;sans-serif"/>
          <w:b w:val="false"/>
          <w:color w:val="000000"/>
          <w:sz w:val="20"/>
        </w:rPr>
        <w:t>On an as-needed basis, we review the risks associated with our Named Executive Officer positions to ensure adequate succession plans are in place.</w:t>
      </w:r>
    </w:p>
    <w:p>
      <w:pPr>
        <w:pStyle w:val="TextBody"/>
        <w:spacing w:lineRule="auto" w:line="288" w:before="0" w:after="200"/>
        <w:ind w:left="0" w:right="0" w:firstLine="720"/>
        <w:rPr>
          <w:rFonts w:ascii="Times New Roman;sans-serif" w:hAnsi="Times New Roman;sans-serif"/>
          <w:b/>
          <w:color w:val="000000"/>
          <w:sz w:val="20"/>
          <w:u w:val="single"/>
        </w:rPr>
      </w:pPr>
      <w:r>
        <w:rPr>
          <w:rFonts w:ascii="Times New Roman;sans-serif" w:hAnsi="Times New Roman;sans-serif"/>
          <w:b/>
          <w:color w:val="000000"/>
          <w:sz w:val="20"/>
          <w:u w:val="single"/>
        </w:rPr>
        <w:t>What We Do Not Do</w:t>
      </w:r>
    </w:p>
    <w:p>
      <w:pPr>
        <w:pStyle w:val="TextBody"/>
        <w:spacing w:lineRule="auto" w:line="288" w:before="0" w:after="160"/>
        <w:ind w:left="0" w:right="0" w:hanging="360"/>
        <w:rPr/>
      </w:pPr>
      <w:r>
        <w:rPr>
          <w:color w:val="000000"/>
        </w:rPr>
        <w:t>•</w:t>
      </w:r>
      <w:r>
        <w:rPr>
          <w:rFonts w:ascii="Times New Roman;sans-serif" w:hAnsi="Times New Roman;sans-serif"/>
          <w:b/>
          <w:i/>
          <w:color w:val="000000"/>
          <w:sz w:val="20"/>
        </w:rPr>
        <w:t xml:space="preserve">No Guaranteed Bonuses. </w:t>
      </w:r>
      <w:r>
        <w:rPr>
          <w:rFonts w:ascii="Times New Roman;sans-serif" w:hAnsi="Times New Roman;sans-serif"/>
          <w:b w:val="false"/>
          <w:color w:val="000000"/>
          <w:sz w:val="20"/>
        </w:rPr>
        <w:t>We do not provide guaranteed bonuses to our Named Executive Officers.</w:t>
      </w:r>
    </w:p>
    <w:p>
      <w:pPr>
        <w:pStyle w:val="TextBody"/>
        <w:spacing w:lineRule="auto" w:line="288" w:before="0" w:after="160"/>
        <w:ind w:left="0" w:right="0" w:hanging="360"/>
        <w:rPr/>
      </w:pPr>
      <w:r>
        <w:rPr>
          <w:color w:val="000000"/>
        </w:rPr>
        <w:t>•</w:t>
      </w:r>
      <w:r>
        <w:rPr>
          <w:rFonts w:ascii="Times New Roman;sans-serif" w:hAnsi="Times New Roman;sans-serif"/>
          <w:b/>
          <w:i/>
          <w:color w:val="000000"/>
          <w:sz w:val="20"/>
        </w:rPr>
        <w:t xml:space="preserve">No Executive Retirement Plans. </w:t>
      </w:r>
      <w:r>
        <w:rPr>
          <w:rFonts w:ascii="Times New Roman;sans-serif" w:hAnsi="Times New Roman;sans-serif"/>
          <w:b w:val="false"/>
          <w:color w:val="000000"/>
          <w:sz w:val="20"/>
        </w:rPr>
        <w:t>We do not currently offer defined benefit pension plans or any non-qualified deferred compensation plans or arrangements to our Named Executive Officers other than the plans and arrangements that are available to employees generally.</w:t>
      </w:r>
    </w:p>
    <w:p>
      <w:pPr>
        <w:pStyle w:val="TextBody"/>
        <w:spacing w:lineRule="auto" w:line="288" w:before="0" w:after="160"/>
        <w:ind w:left="0" w:right="0" w:hanging="360"/>
        <w:rPr/>
      </w:pPr>
      <w:r>
        <w:rPr>
          <w:color w:val="000000"/>
        </w:rPr>
        <w:t>•</w:t>
      </w:r>
      <w:r>
        <w:rPr>
          <w:rFonts w:ascii="Times New Roman;sans-serif" w:hAnsi="Times New Roman;sans-serif"/>
          <w:b/>
          <w:i/>
          <w:color w:val="000000"/>
          <w:sz w:val="20"/>
        </w:rPr>
        <w:t xml:space="preserve">No Hedging or Pledging. </w:t>
      </w:r>
      <w:r>
        <w:rPr>
          <w:rFonts w:ascii="Times New Roman;sans-serif" w:hAnsi="Times New Roman;sans-serif"/>
          <w:b w:val="false"/>
          <w:color w:val="000000"/>
          <w:sz w:val="20"/>
        </w:rPr>
        <w:t>We prohibit our employees (including our Named Executive Officers) and the non-employee members of our board of directors from hedging or pledging our securities.</w:t>
      </w:r>
    </w:p>
    <w:p>
      <w:pPr>
        <w:pStyle w:val="TextBody"/>
        <w:spacing w:lineRule="auto" w:line="288" w:before="0" w:after="200"/>
        <w:ind w:left="0" w:right="0" w:hanging="360"/>
        <w:rPr/>
      </w:pPr>
      <w:r>
        <w:rPr>
          <w:color w:val="000000"/>
        </w:rPr>
        <w:t>•</w:t>
      </w:r>
      <w:r>
        <w:rPr>
          <w:rFonts w:ascii="Times New Roman;sans-serif" w:hAnsi="Times New Roman;sans-serif"/>
          <w:b/>
          <w:i/>
          <w:color w:val="000000"/>
          <w:sz w:val="20"/>
        </w:rPr>
        <w:t xml:space="preserve">No Special Welfare or Health Benefits. </w:t>
      </w:r>
      <w:r>
        <w:rPr>
          <w:rFonts w:ascii="Times New Roman;sans-serif" w:hAnsi="Times New Roman;sans-serif"/>
          <w:b w:val="false"/>
          <w:color w:val="000000"/>
          <w:sz w:val="20"/>
        </w:rPr>
        <w:t>We do not provide our Named Executive Officers with any welfare or health benefit programs, other than participation in our broad-based employee programs.</w:t>
      </w:r>
    </w:p>
    <w:p>
      <w:pPr>
        <w:pStyle w:val="TextBody"/>
        <w:spacing w:lineRule="auto" w:line="288" w:before="0" w:after="200"/>
        <w:rPr>
          <w:rFonts w:ascii="Times New Roman;sans-serif" w:hAnsi="Times New Roman;sans-serif"/>
          <w:b/>
          <w:i/>
          <w:color w:val="000000"/>
          <w:sz w:val="20"/>
        </w:rPr>
      </w:pPr>
      <w:r>
        <w:rPr>
          <w:rFonts w:ascii="Times New Roman;sans-serif" w:hAnsi="Times New Roman;sans-serif"/>
          <w:b/>
          <w:i/>
          <w:color w:val="000000"/>
          <w:sz w:val="20"/>
        </w:rPr>
        <w:t>Stockholder Advisory Vote to Approve Named Executive Officer Compensation</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At our 2022 Annual Meeting of Stockholders, we conducted our non-binding stockholder advisory vote on the compensation of our named executive officers (commonly known as a “Say-on-Pay” vote). Approximately 95% of the votes cast approved our executive compensation program for 2021. Our board of directors and our compensation committee consider the result of the Say-on-Pay vote in determining the compensation of our executive officers, including our named executive officers. Based on the strong level of support for our executive compensation program demonstrated by the result of last year’s Say-on-Pay vote, among other factors, our board of directors and our compensation committee determined not to implement significant changes to our executive compensation program for 2022.</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We value the opinion of our stockholders. Our board of directors and our compensation committee will continue to consider the result of the Say-on-Pay vote, as well as feedback received throughout the year, when making compensation decisions for our executive officers.</w:t>
      </w:r>
      <w:r>
        <w:br w:type="page"/>
      </w:r>
    </w:p>
    <w:p>
      <w:pPr>
        <w:pStyle w:val="TextBody"/>
        <w:spacing w:before="0" w:after="0"/>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In addition, consistent with the recommendation of our board of directors and the preference of our stockholders as reflected in the non-binding stockholder advisory vote on the frequency of future Say-on-Pay votes held at our 2019 Annual Meeting of Stockholders, we continue to hold future Say-on-Pay votes on an annual basis. Accordingly, after the vote at the Annual Meeting to which this Proxy Statement relates, our next Say-on-Pay vote will be conducted at our 2024 Annual Meeting of Stockholders.</w:t>
      </w:r>
    </w:p>
    <w:p>
      <w:pPr>
        <w:pStyle w:val="TextBody"/>
        <w:spacing w:lineRule="auto" w:line="288" w:before="0" w:after="200"/>
        <w:rPr>
          <w:rFonts w:ascii="Times New Roman;sans-serif" w:hAnsi="Times New Roman;sans-serif"/>
          <w:b/>
          <w:i/>
          <w:color w:val="000000"/>
          <w:sz w:val="20"/>
        </w:rPr>
      </w:pPr>
      <w:r>
        <w:rPr>
          <w:rFonts w:ascii="Times New Roman;sans-serif" w:hAnsi="Times New Roman;sans-serif"/>
          <w:b/>
          <w:i/>
          <w:color w:val="000000"/>
          <w:sz w:val="20"/>
        </w:rPr>
        <w:t>Executive Compensation Objectives</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The principal objectives of our executive compensation program, policies, and practices are to:</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offer competitive compensation which enables us to attract and retain high-caliber executives;</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reward the achievement of our business objectives by directly linking annual bonuses to the achievement of objectives that build long-term stockholder value;</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recognize both corporate and individual performance by providing opportunities for career advancement and opportunities for above-median short-term and long-term compensation based on measurable corporate and individual performance; and</w:t>
      </w:r>
    </w:p>
    <w:p>
      <w:pPr>
        <w:pStyle w:val="TextBody"/>
        <w:spacing w:lineRule="auto" w:line="288" w:before="0" w:after="120"/>
        <w:ind w:left="0" w:right="0" w:hanging="360"/>
        <w:rPr/>
      </w:pPr>
      <w:r>
        <w:rPr>
          <w:color w:val="000000"/>
        </w:rPr>
        <w:t>•</w:t>
      </w:r>
      <w:r>
        <w:rPr>
          <w:rFonts w:ascii="Times New Roman;sans-serif" w:hAnsi="Times New Roman;sans-serif"/>
          <w:b w:val="false"/>
          <w:color w:val="000000"/>
          <w:sz w:val="20"/>
        </w:rPr>
        <w:t>aligning the interests of our executives with those of our stockholders by incentivizing and rewarding the creation of stockholder value.</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Our executive compensation program has reflected, and we expect that it will continue to reflect, our industry and life-cycle stage, including the fact that we are a biotechnology company whose product candidates are in pre-clinical and clinical development and remain subject to regulatory approval. As a result, our revenues have been and will continue to be limited, and we expect to continue to incur net losses for at least the next several years. In an effort to preserve cash resources, our historical compensation programs have focused on long-term incentive compensation in the form of equity awards relative to cash compensation. This approach seeks to place a substantial portion of executive compensation at risk by rewarding our Named Executive Officers, in a manner comparable to our stockholders, for achieving our business and financial objectives.</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In addition to long-term incentive compensation, we have also implemented an annual performance-based cash bonus plan for our Named Executive Officers. Payments under this cash bonus plan are based primarily on our level of achievement of pre-established corporate performance goals to reflect the fact that our Named Executive Officers make the key strategic decisions influencing our Company as a whole.</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When considering the total variable pay-mix for our executive officers, we seek to design and implement a competitive executive compensation program that combines both cash and incentive elements based on annual performance objectives and long-term equity elements that will be flexible and complementary to meet our compensation objectives. Our compensation committee has not adopted any formal policies or guidelines for allocating compensation between current and long-term compensation, between cash and non-cash compensation, or among different forms of non-cash compensation.</w:t>
      </w:r>
    </w:p>
    <w:p>
      <w:pPr>
        <w:pStyle w:val="TextBody"/>
        <w:spacing w:lineRule="auto" w:line="288" w:before="0" w:after="200"/>
        <w:rPr>
          <w:rFonts w:ascii="Times New Roman;sans-serif" w:hAnsi="Times New Roman;sans-serif"/>
          <w:b/>
          <w:i/>
          <w:color w:val="000000"/>
          <w:sz w:val="20"/>
        </w:rPr>
      </w:pPr>
      <w:r>
        <w:rPr>
          <w:rFonts w:ascii="Times New Roman;sans-serif" w:hAnsi="Times New Roman;sans-serif"/>
          <w:b/>
          <w:i/>
          <w:color w:val="000000"/>
          <w:sz w:val="20"/>
        </w:rPr>
        <w:t>Role of Compensation Consultant</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Our compensation committee engages an external compensation consultant to assist it by providing information, analysis, and other advice relating to our executive compensation program and the decisions resulting from its annual executive compensation review. The compensation consultant reports directly to our compensation committee and its chair, and serves at the discretion of our compensation committee, which reviews the engagement annually.</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For 2022, our compensation committee retained Compensia to serve as its compensation advisor to advise on executive compensation matters, including competitive market pay practices for our executive officers, and with the data analysis and selection of the compensation peer group.</w:t>
      </w:r>
    </w:p>
    <w:p>
      <w:pPr>
        <w:pStyle w:val="TextBody"/>
        <w:spacing w:lineRule="auto" w:line="240" w:before="0" w:after="200"/>
        <w:rPr>
          <w:rFonts w:ascii="Times New Roman;sans-serif" w:hAnsi="Times New Roman;sans-serif"/>
          <w:b/>
          <w:color w:val="000000"/>
          <w:sz w:val="20"/>
        </w:rPr>
      </w:pPr>
      <w:r>
        <w:rPr>
          <w:rFonts w:ascii="Times New Roman;sans-serif" w:hAnsi="Times New Roman;sans-serif"/>
          <w:b/>
          <w:color w:val="000000"/>
          <w:sz w:val="20"/>
        </w:rPr>
        <w:t>Competitive Positioning</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 xml:space="preserve">In 2022, our compensation committee directed Compensia to again refresh our compensation peer group in light of our adjusted market capitalization. In evaluating the companies to comprise the compensation peer group at that time, Compensia considered the following criteria: (i) biotechnology and pharmaceutical companies with therapeutic similarity in </w:t>
      </w:r>
      <w:r>
        <w:br w:type="page"/>
      </w:r>
    </w:p>
    <w:p>
      <w:pPr>
        <w:pStyle w:val="TextBody"/>
        <w:spacing w:before="0" w:after="0"/>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inflammation, immune-oncology, and other antibody-based therapies; (ii) with lead drugs in phase II or III or pending approval; (iii) 25 - 230 employees; and (iv) a market capitalization of 0.33x to 3.0x our market capitalization.</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Based on a review of the analysis prepared by Compensia, in September 2022 our compensation committee approved an updated compensation peer group, referred to as the 2022 peer group, consisting of the following companies:</w:t>
      </w:r>
    </w:p>
    <w:tbl>
      <w:tblPr>
        <w:tblW w:w="6792" w:type="dxa"/>
        <w:jc w:val="center"/>
        <w:tblInd w:w="0" w:type="dxa"/>
        <w:tblCellMar>
          <w:top w:w="28" w:type="dxa"/>
          <w:left w:w="28" w:type="dxa"/>
          <w:bottom w:w="28" w:type="dxa"/>
          <w:right w:w="28" w:type="dxa"/>
        </w:tblCellMar>
      </w:tblPr>
      <w:tblGrid>
        <w:gridCol w:w="940"/>
        <w:gridCol w:w="825"/>
        <w:gridCol w:w="829"/>
        <w:gridCol w:w="689"/>
        <w:gridCol w:w="689"/>
        <w:gridCol w:w="691"/>
        <w:gridCol w:w="622"/>
        <w:gridCol w:w="622"/>
        <w:gridCol w:w="885"/>
      </w:tblGrid>
      <w:tr>
        <w:trPr/>
        <w:tc>
          <w:tcPr>
            <w:tcW w:w="940" w:type="dxa"/>
            <w:tcBorders/>
            <w:shd w:fill="auto" w:val="clear"/>
            <w:vAlign w:val="center"/>
          </w:tcPr>
          <w:p>
            <w:pPr>
              <w:pStyle w:val="TableContents"/>
              <w:spacing w:before="0" w:after="283"/>
              <w:rPr>
                <w:sz w:val="4"/>
                <w:szCs w:val="4"/>
              </w:rPr>
            </w:pPr>
            <w:r>
              <w:rPr>
                <w:sz w:val="4"/>
                <w:szCs w:val="4"/>
              </w:rPr>
            </w:r>
          </w:p>
        </w:tc>
        <w:tc>
          <w:tcPr>
            <w:tcW w:w="825" w:type="dxa"/>
            <w:tcBorders/>
            <w:shd w:fill="auto" w:val="clear"/>
            <w:vAlign w:val="center"/>
          </w:tcPr>
          <w:p>
            <w:pPr>
              <w:pStyle w:val="TableContents"/>
              <w:spacing w:before="0" w:after="283"/>
              <w:rPr>
                <w:sz w:val="4"/>
                <w:szCs w:val="4"/>
              </w:rPr>
            </w:pPr>
            <w:r>
              <w:rPr>
                <w:sz w:val="4"/>
                <w:szCs w:val="4"/>
              </w:rPr>
            </w:r>
          </w:p>
        </w:tc>
        <w:tc>
          <w:tcPr>
            <w:tcW w:w="829" w:type="dxa"/>
            <w:tcBorders/>
            <w:shd w:fill="auto" w:val="clear"/>
            <w:vAlign w:val="center"/>
          </w:tcPr>
          <w:p>
            <w:pPr>
              <w:pStyle w:val="TableContents"/>
              <w:spacing w:before="0" w:after="283"/>
              <w:rPr>
                <w:sz w:val="4"/>
                <w:szCs w:val="4"/>
              </w:rPr>
            </w:pPr>
            <w:r>
              <w:rPr>
                <w:sz w:val="4"/>
                <w:szCs w:val="4"/>
              </w:rPr>
            </w:r>
          </w:p>
        </w:tc>
        <w:tc>
          <w:tcPr>
            <w:tcW w:w="689" w:type="dxa"/>
            <w:tcBorders/>
            <w:shd w:fill="auto" w:val="clear"/>
            <w:vAlign w:val="center"/>
          </w:tcPr>
          <w:p>
            <w:pPr>
              <w:pStyle w:val="TableContents"/>
              <w:spacing w:before="0" w:after="283"/>
              <w:rPr>
                <w:sz w:val="4"/>
                <w:szCs w:val="4"/>
              </w:rPr>
            </w:pPr>
            <w:r>
              <w:rPr>
                <w:sz w:val="4"/>
                <w:szCs w:val="4"/>
              </w:rPr>
            </w:r>
          </w:p>
        </w:tc>
        <w:tc>
          <w:tcPr>
            <w:tcW w:w="689" w:type="dxa"/>
            <w:tcBorders/>
            <w:shd w:fill="auto" w:val="clear"/>
            <w:vAlign w:val="center"/>
          </w:tcPr>
          <w:p>
            <w:pPr>
              <w:pStyle w:val="TableContents"/>
              <w:spacing w:before="0" w:after="283"/>
              <w:rPr>
                <w:sz w:val="4"/>
                <w:szCs w:val="4"/>
              </w:rPr>
            </w:pPr>
            <w:r>
              <w:rPr>
                <w:sz w:val="4"/>
                <w:szCs w:val="4"/>
              </w:rPr>
            </w:r>
          </w:p>
        </w:tc>
        <w:tc>
          <w:tcPr>
            <w:tcW w:w="691"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622" w:type="dxa"/>
            <w:tcBorders/>
            <w:shd w:fill="auto" w:val="clear"/>
            <w:vAlign w:val="center"/>
          </w:tcPr>
          <w:p>
            <w:pPr>
              <w:pStyle w:val="TableContents"/>
              <w:spacing w:before="0" w:after="283"/>
              <w:rPr>
                <w:sz w:val="4"/>
                <w:szCs w:val="4"/>
              </w:rPr>
            </w:pPr>
            <w:r>
              <w:rPr>
                <w:sz w:val="4"/>
                <w:szCs w:val="4"/>
              </w:rPr>
            </w:r>
          </w:p>
        </w:tc>
        <w:tc>
          <w:tcPr>
            <w:tcW w:w="885" w:type="dxa"/>
            <w:tcBorders/>
            <w:shd w:fill="auto" w:val="clear"/>
            <w:vAlign w:val="center"/>
          </w:tcPr>
          <w:p>
            <w:pPr>
              <w:pStyle w:val="TableContents"/>
              <w:spacing w:before="0" w:after="283"/>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Aeglea BioTherapeutics</w:t>
            </w:r>
          </w:p>
        </w:tc>
        <w:tc>
          <w:tcPr>
            <w:tcW w:w="20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CytomX Therapeutics</w:t>
            </w:r>
          </w:p>
        </w:tc>
        <w:tc>
          <w:tcPr>
            <w:tcW w:w="21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Prothena</w:t>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Arcus Biosciences</w:t>
            </w:r>
          </w:p>
        </w:tc>
        <w:tc>
          <w:tcPr>
            <w:tcW w:w="20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Five Prime Therapeutics</w:t>
            </w:r>
          </w:p>
        </w:tc>
        <w:tc>
          <w:tcPr>
            <w:tcW w:w="21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Sangamo Therapeutics</w:t>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Atara Biotherapeutics</w:t>
            </w:r>
          </w:p>
        </w:tc>
        <w:tc>
          <w:tcPr>
            <w:tcW w:w="20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Gossamer Bio</w:t>
            </w:r>
          </w:p>
        </w:tc>
        <w:tc>
          <w:tcPr>
            <w:tcW w:w="21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Seres Therapeutics</w:t>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Calthera Biosciences</w:t>
            </w:r>
          </w:p>
        </w:tc>
        <w:tc>
          <w:tcPr>
            <w:tcW w:w="20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ImmunoGen</w:t>
            </w:r>
          </w:p>
        </w:tc>
        <w:tc>
          <w:tcPr>
            <w:tcW w:w="21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Syndax Pharmaceuticals</w:t>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Constellation Pharmaceuticals</w:t>
            </w:r>
          </w:p>
        </w:tc>
        <w:tc>
          <w:tcPr>
            <w:tcW w:w="20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Jounce Therapeutics</w:t>
            </w:r>
          </w:p>
        </w:tc>
        <w:tc>
          <w:tcPr>
            <w:tcW w:w="21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Voyager Therapeutics</w:t>
            </w:r>
          </w:p>
        </w:tc>
      </w:tr>
      <w:tr>
        <w:trPr/>
        <w:tc>
          <w:tcPr>
            <w:tcW w:w="259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Corbus Pharmaceuticals</w:t>
            </w:r>
          </w:p>
        </w:tc>
        <w:tc>
          <w:tcPr>
            <w:tcW w:w="206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Kura Oncology</w:t>
            </w:r>
          </w:p>
        </w:tc>
        <w:tc>
          <w:tcPr>
            <w:tcW w:w="21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ZIOPHARM Oncology</w:t>
            </w:r>
          </w:p>
        </w:tc>
      </w:tr>
      <w:tr>
        <w:trPr/>
        <w:tc>
          <w:tcPr>
            <w:tcW w:w="259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CymaBay Therapeutics</w:t>
            </w:r>
          </w:p>
        </w:tc>
        <w:tc>
          <w:tcPr>
            <w:tcW w:w="206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MacroGenics</w:t>
            </w:r>
          </w:p>
        </w:tc>
        <w:tc>
          <w:tcPr>
            <w:tcW w:w="212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Our compensation committee used this compensation peer group as a reference for its compensation decisions in December 2022.</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The compensation practices of the applicable compensation peer group was the primary guide used by our compensation committee to compare the competitiveness of each compensation element and overall compensation levels (base salary, target annual cash bonus opportunities, and long-term incentive compensation) for purposes of decisions relating to compensation.</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 xml:space="preserve">Our compensation committee reviews our compensation peer group each year (unless there have been significant changes to either our business model or market capitalization) and makes adjustments to its composition if warranted, taking into account changes in both our business and the businesses of the companies in the peer group.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40" w:before="0" w:after="200"/>
        <w:jc w:val="center"/>
        <w:rPr>
          <w:rFonts w:ascii="Times New Roman;sans-serif" w:hAnsi="Times New Roman;sans-serif"/>
          <w:b/>
          <w:color w:val="000000"/>
          <w:sz w:val="20"/>
        </w:rPr>
      </w:pPr>
      <w:r>
        <w:rPr>
          <w:rFonts w:ascii="Times New Roman;sans-serif" w:hAnsi="Times New Roman;sans-serif"/>
          <w:b/>
          <w:color w:val="000000"/>
          <w:sz w:val="20"/>
        </w:rPr>
        <w:t>EXECUTIVE COMPENSATION</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tables and accompanying narrative disclosure set forth information about the compensation provided to certain of our executive officers during the years ended December 31, 2022 and 2021. These executive officers, who include our principal executive officer, our former principal executive officer, and the two most highly-compensated executive officers (other than our principal executive officers) who were serving as executive officers at the end of the fiscal year ended December 31, 2022, were: </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Daniel Faga, Interim President and Chief Executive Officer and Director;</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Hamza Suria, Former President, Chief Executive Officer and Director;</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Paul F. Lizzul, Chief Medical Officer; and</w:t>
      </w:r>
    </w:p>
    <w:p>
      <w:pPr>
        <w:pStyle w:val="TextBody"/>
        <w:spacing w:lineRule="auto" w:line="288" w:before="0" w:after="0"/>
        <w:ind w:left="0" w:right="0" w:hanging="360"/>
        <w:rPr/>
      </w:pPr>
      <w:r>
        <w:rPr>
          <w:color w:val="000000"/>
        </w:rPr>
        <w:t>•</w:t>
      </w:r>
      <w:r>
        <w:rPr>
          <w:rFonts w:ascii="Times New Roman;sans-serif" w:hAnsi="Times New Roman;sans-serif"/>
          <w:b w:val="false"/>
          <w:color w:val="000000"/>
          <w:sz w:val="20"/>
        </w:rPr>
        <w:t>Eric Loumeau, Chief Operating Officer and General Counsel</w:t>
      </w:r>
    </w:p>
    <w:p>
      <w:pPr>
        <w:pStyle w:val="TextBody"/>
        <w:spacing w:lineRule="auto" w:line="288" w:before="120" w:after="200"/>
        <w:rPr>
          <w:rFonts w:ascii="Times New Roman;sans-serif" w:hAnsi="Times New Roman;sans-serif"/>
          <w:b w:val="false"/>
          <w:color w:val="000000"/>
          <w:sz w:val="20"/>
        </w:rPr>
      </w:pPr>
      <w:r>
        <w:rPr>
          <w:rFonts w:ascii="Times New Roman;sans-serif" w:hAnsi="Times New Roman;sans-serif"/>
          <w:b w:val="false"/>
          <w:color w:val="000000"/>
          <w:sz w:val="20"/>
        </w:rPr>
        <w:t>We refer to these individuals as our “named executive officers.”</w:t>
      </w:r>
    </w:p>
    <w:p>
      <w:pPr>
        <w:pStyle w:val="TextBody"/>
        <w:spacing w:lineRule="auto" w:line="288" w:before="0" w:after="200"/>
        <w:rPr>
          <w:rFonts w:ascii="Times New Roman;sans-serif" w:hAnsi="Times New Roman;sans-serif"/>
          <w:b/>
          <w:color w:val="000000"/>
          <w:sz w:val="20"/>
        </w:rPr>
      </w:pPr>
      <w:r>
        <w:rPr>
          <w:rFonts w:ascii="Times New Roman;sans-serif" w:hAnsi="Times New Roman;sans-serif"/>
          <w:b/>
          <w:color w:val="000000"/>
          <w:sz w:val="20"/>
        </w:rPr>
        <w:t>Summary Compensation Table</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summary information regarding the total compensation that was awarded to, earned by or paid to our Named Executive Officers for services rendered during the years ended December 31, 2022 and 2021. </w:t>
      </w:r>
    </w:p>
    <w:tbl>
      <w:tblPr>
        <w:tblW w:w="10205" w:type="dxa"/>
        <w:jc w:val="left"/>
        <w:tblInd w:w="0" w:type="dxa"/>
        <w:tblCellMar>
          <w:top w:w="28" w:type="dxa"/>
          <w:left w:w="28" w:type="dxa"/>
          <w:bottom w:w="28" w:type="dxa"/>
          <w:right w:w="28" w:type="dxa"/>
        </w:tblCellMar>
      </w:tblPr>
      <w:tblGrid>
        <w:gridCol w:w="994"/>
        <w:gridCol w:w="854"/>
        <w:gridCol w:w="861"/>
        <w:gridCol w:w="155"/>
        <w:gridCol w:w="155"/>
        <w:gridCol w:w="156"/>
        <w:gridCol w:w="255"/>
        <w:gridCol w:w="255"/>
        <w:gridCol w:w="259"/>
        <w:gridCol w:w="409"/>
        <w:gridCol w:w="350"/>
        <w:gridCol w:w="352"/>
        <w:gridCol w:w="384"/>
        <w:gridCol w:w="347"/>
        <w:gridCol w:w="318"/>
        <w:gridCol w:w="525"/>
        <w:gridCol w:w="525"/>
        <w:gridCol w:w="527"/>
        <w:gridCol w:w="517"/>
        <w:gridCol w:w="517"/>
        <w:gridCol w:w="519"/>
        <w:gridCol w:w="280"/>
        <w:gridCol w:w="280"/>
        <w:gridCol w:w="411"/>
      </w:tblGrid>
      <w:tr>
        <w:trPr/>
        <w:tc>
          <w:tcPr>
            <w:tcW w:w="994" w:type="dxa"/>
            <w:tcBorders/>
            <w:shd w:fill="auto" w:val="clear"/>
            <w:vAlign w:val="center"/>
          </w:tcPr>
          <w:p>
            <w:pPr>
              <w:pStyle w:val="TableContents"/>
              <w:spacing w:before="0" w:after="283"/>
              <w:rPr>
                <w:sz w:val="4"/>
                <w:szCs w:val="4"/>
              </w:rPr>
            </w:pPr>
            <w:r>
              <w:rPr>
                <w:sz w:val="4"/>
                <w:szCs w:val="4"/>
              </w:rPr>
            </w:r>
          </w:p>
        </w:tc>
        <w:tc>
          <w:tcPr>
            <w:tcW w:w="854" w:type="dxa"/>
            <w:tcBorders/>
            <w:shd w:fill="auto" w:val="clear"/>
            <w:vAlign w:val="center"/>
          </w:tcPr>
          <w:p>
            <w:pPr>
              <w:pStyle w:val="TableContents"/>
              <w:spacing w:before="0" w:after="283"/>
              <w:rPr>
                <w:sz w:val="4"/>
                <w:szCs w:val="4"/>
              </w:rPr>
            </w:pPr>
            <w:r>
              <w:rPr>
                <w:sz w:val="4"/>
                <w:szCs w:val="4"/>
              </w:rPr>
            </w:r>
          </w:p>
        </w:tc>
        <w:tc>
          <w:tcPr>
            <w:tcW w:w="861"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409"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352"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center"/>
          </w:tcPr>
          <w:p>
            <w:pPr>
              <w:pStyle w:val="TableContents"/>
              <w:spacing w:before="0" w:after="283"/>
              <w:rPr>
                <w:sz w:val="4"/>
                <w:szCs w:val="4"/>
              </w:rPr>
            </w:pPr>
            <w:r>
              <w:rPr>
                <w:sz w:val="4"/>
                <w:szCs w:val="4"/>
              </w:rPr>
            </w:r>
          </w:p>
        </w:tc>
        <w:tc>
          <w:tcPr>
            <w:tcW w:w="318"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525" w:type="dxa"/>
            <w:tcBorders/>
            <w:shd w:fill="auto" w:val="clear"/>
            <w:vAlign w:val="center"/>
          </w:tcPr>
          <w:p>
            <w:pPr>
              <w:pStyle w:val="TableContents"/>
              <w:spacing w:before="0" w:after="283"/>
              <w:rPr>
                <w:sz w:val="4"/>
                <w:szCs w:val="4"/>
              </w:rPr>
            </w:pPr>
            <w:r>
              <w:rPr>
                <w:sz w:val="4"/>
                <w:szCs w:val="4"/>
              </w:rPr>
            </w:r>
          </w:p>
        </w:tc>
        <w:tc>
          <w:tcPr>
            <w:tcW w:w="527"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517" w:type="dxa"/>
            <w:tcBorders/>
            <w:shd w:fill="auto" w:val="clear"/>
            <w:vAlign w:val="center"/>
          </w:tcPr>
          <w:p>
            <w:pPr>
              <w:pStyle w:val="TableContents"/>
              <w:spacing w:before="0" w:after="283"/>
              <w:rPr>
                <w:sz w:val="4"/>
                <w:szCs w:val="4"/>
              </w:rPr>
            </w:pPr>
            <w:r>
              <w:rPr>
                <w:sz w:val="4"/>
                <w:szCs w:val="4"/>
              </w:rPr>
            </w:r>
          </w:p>
        </w:tc>
        <w:tc>
          <w:tcPr>
            <w:tcW w:w="519"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280"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r>
      <w:tr>
        <w:trPr/>
        <w:tc>
          <w:tcPr>
            <w:tcW w:w="270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Name and Principal Position</w:t>
            </w:r>
          </w:p>
        </w:tc>
        <w:tc>
          <w:tcPr>
            <w:tcW w:w="4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w:t>
            </w:r>
          </w:p>
        </w:tc>
        <w:tc>
          <w:tcPr>
            <w:tcW w:w="76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Salary</w:t>
              <w:br/>
              <w:t>($)</w:t>
            </w:r>
          </w:p>
        </w:tc>
        <w:tc>
          <w:tcPr>
            <w:tcW w:w="111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Option Awards</w:t>
            </w:r>
            <w:r>
              <w:rPr>
                <w:rFonts w:ascii="Times New Roman;sans-serif" w:hAnsi="Times New Roman;sans-serif"/>
                <w:b/>
                <w:color w:val="000000"/>
                <w:sz w:val="10"/>
              </w:rPr>
              <w:t>(1)</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49"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RSU Awards</w:t>
            </w:r>
            <w:r>
              <w:rPr>
                <w:rFonts w:ascii="Times New Roman;sans-serif" w:hAnsi="Times New Roman;sans-serif"/>
                <w:b/>
                <w:color w:val="000000"/>
                <w:sz w:val="10"/>
              </w:rPr>
              <w:t>(1)</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57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Non-Equity Incentive Plan </w:t>
              <w:br/>
              <w:t>($)</w:t>
            </w:r>
          </w:p>
        </w:tc>
        <w:tc>
          <w:tcPr>
            <w:tcW w:w="155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All Other Compensation</w:t>
              <w:br/>
              <w:t>($)</w:t>
            </w:r>
          </w:p>
        </w:tc>
        <w:tc>
          <w:tcPr>
            <w:tcW w:w="9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w:t>
            </w:r>
          </w:p>
        </w:tc>
      </w:tr>
      <w:tr>
        <w:trPr/>
        <w:tc>
          <w:tcPr>
            <w:tcW w:w="270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Daniel Faga</w:t>
            </w:r>
            <w:r>
              <w:rPr>
                <w:rFonts w:ascii="Times New Roman;sans-serif" w:hAnsi="Times New Roman;sans-serif"/>
                <w:b w:val="false"/>
                <w:color w:val="000000"/>
                <w:sz w:val="10"/>
              </w:rPr>
              <w:t>(2)</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769"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16"/>
              </w:rPr>
              <w:t>483,578</w:t>
            </w:r>
            <w:r>
              <w:rPr>
                <w:rFonts w:ascii="Times New Roman;sans-serif" w:hAnsi="Times New Roman;sans-serif"/>
                <w:b w:val="false"/>
                <w:color w:val="000000"/>
                <w:sz w:val="10"/>
              </w:rPr>
              <w:t>(3)</w:t>
            </w:r>
          </w:p>
        </w:tc>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16"/>
              </w:rPr>
              <w:t>200,618</w:t>
            </w:r>
            <w:r>
              <w:rPr>
                <w:rFonts w:ascii="Times New Roman;sans-serif" w:hAnsi="Times New Roman;sans-serif"/>
                <w:b w:val="false"/>
                <w:color w:val="000000"/>
                <w:sz w:val="10"/>
              </w:rPr>
              <w:t>(4)</w:t>
            </w:r>
          </w:p>
        </w:tc>
        <w:tc>
          <w:tcPr>
            <w:tcW w:w="104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23,506,640</w:t>
            </w:r>
          </w:p>
        </w:tc>
        <w:tc>
          <w:tcPr>
            <w:tcW w:w="157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240,609</w:t>
            </w:r>
          </w:p>
        </w:tc>
        <w:tc>
          <w:tcPr>
            <w:tcW w:w="1553"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16"/>
              </w:rPr>
              <w:t>8,905</w:t>
            </w:r>
            <w:r>
              <w:rPr>
                <w:rFonts w:ascii="Times New Roman;sans-serif" w:hAnsi="Times New Roman;sans-serif"/>
                <w:b w:val="false"/>
                <w:color w:val="000000"/>
                <w:sz w:val="10"/>
              </w:rPr>
              <w:t>(5)</w:t>
            </w:r>
          </w:p>
        </w:tc>
        <w:tc>
          <w:tcPr>
            <w:tcW w:w="97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24,440,350</w:t>
            </w:r>
          </w:p>
        </w:tc>
      </w:tr>
      <w:tr>
        <w:trPr/>
        <w:tc>
          <w:tcPr>
            <w:tcW w:w="27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Interim President and Chief Executive Officer and Director</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76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104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157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1553"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97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70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6"/>
              </w:rPr>
              <w:t>Hamza Suria</w:t>
            </w:r>
            <w:r>
              <w:rPr>
                <w:rFonts w:ascii="Times New Roman;sans-serif" w:hAnsi="Times New Roman;sans-serif"/>
                <w:b w:val="false"/>
                <w:color w:val="000000"/>
                <w:sz w:val="10"/>
              </w:rPr>
              <w:t>(6)</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76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672,769</w:t>
            </w:r>
          </w:p>
        </w:tc>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6,572,361</w:t>
            </w:r>
          </w:p>
        </w:tc>
        <w:tc>
          <w:tcPr>
            <w:tcW w:w="104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157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1553"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16"/>
              </w:rPr>
              <w:t>5,453</w:t>
            </w:r>
            <w:r>
              <w:rPr>
                <w:rFonts w:ascii="Times New Roman;sans-serif" w:hAnsi="Times New Roman;sans-serif"/>
                <w:b w:val="false"/>
                <w:color w:val="000000"/>
                <w:sz w:val="10"/>
              </w:rPr>
              <w:t>(7)</w:t>
            </w:r>
          </w:p>
        </w:tc>
        <w:tc>
          <w:tcPr>
            <w:tcW w:w="97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7,250,583</w:t>
            </w:r>
          </w:p>
        </w:tc>
      </w:tr>
      <w:tr>
        <w:trPr/>
        <w:tc>
          <w:tcPr>
            <w:tcW w:w="27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Former President, Chief Executive Officer and Director</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76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586,000</w:t>
            </w:r>
          </w:p>
        </w:tc>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3,733,836</w:t>
            </w:r>
          </w:p>
        </w:tc>
        <w:tc>
          <w:tcPr>
            <w:tcW w:w="104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157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273,955</w:t>
            </w:r>
          </w:p>
        </w:tc>
        <w:tc>
          <w:tcPr>
            <w:tcW w:w="1553"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16"/>
              </w:rPr>
              <w:t>8,810</w:t>
            </w:r>
            <w:r>
              <w:rPr>
                <w:rFonts w:ascii="Times New Roman;sans-serif" w:hAnsi="Times New Roman;sans-serif"/>
                <w:b w:val="false"/>
                <w:color w:val="000000"/>
                <w:sz w:val="10"/>
              </w:rPr>
              <w:t>(7)</w:t>
            </w:r>
          </w:p>
        </w:tc>
        <w:tc>
          <w:tcPr>
            <w:tcW w:w="97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4,602,601</w:t>
            </w:r>
          </w:p>
        </w:tc>
      </w:tr>
      <w:tr>
        <w:trPr/>
        <w:tc>
          <w:tcPr>
            <w:tcW w:w="27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Paul Lizzul</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76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471,740</w:t>
            </w:r>
          </w:p>
        </w:tc>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2,872,730</w:t>
            </w:r>
          </w:p>
        </w:tc>
        <w:tc>
          <w:tcPr>
            <w:tcW w:w="104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283,440</w:t>
            </w:r>
          </w:p>
        </w:tc>
        <w:tc>
          <w:tcPr>
            <w:tcW w:w="157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174,544</w:t>
            </w:r>
          </w:p>
        </w:tc>
        <w:tc>
          <w:tcPr>
            <w:tcW w:w="1553"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16"/>
              </w:rPr>
              <w:t>10,074</w:t>
            </w:r>
            <w:r>
              <w:rPr>
                <w:rFonts w:ascii="Times New Roman;sans-serif" w:hAnsi="Times New Roman;sans-serif"/>
                <w:b w:val="false"/>
                <w:color w:val="000000"/>
                <w:sz w:val="10"/>
              </w:rPr>
              <w:t>(8)</w:t>
            </w:r>
          </w:p>
        </w:tc>
        <w:tc>
          <w:tcPr>
            <w:tcW w:w="97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3,812,528</w:t>
            </w:r>
          </w:p>
        </w:tc>
      </w:tr>
      <w:tr>
        <w:trPr/>
        <w:tc>
          <w:tcPr>
            <w:tcW w:w="27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Chief Medical Officer</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76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458,000</w:t>
            </w:r>
          </w:p>
        </w:tc>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1,461,489</w:t>
            </w:r>
          </w:p>
        </w:tc>
        <w:tc>
          <w:tcPr>
            <w:tcW w:w="104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157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155,720</w:t>
            </w:r>
          </w:p>
        </w:tc>
        <w:tc>
          <w:tcPr>
            <w:tcW w:w="1553"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16"/>
              </w:rPr>
              <w:t>8,810</w:t>
            </w:r>
            <w:r>
              <w:rPr>
                <w:rFonts w:ascii="Times New Roman;sans-serif" w:hAnsi="Times New Roman;sans-serif"/>
                <w:b w:val="false"/>
                <w:color w:val="000000"/>
                <w:sz w:val="10"/>
              </w:rPr>
              <w:t>(8)</w:t>
            </w:r>
          </w:p>
        </w:tc>
        <w:tc>
          <w:tcPr>
            <w:tcW w:w="97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2,084,019</w:t>
            </w:r>
          </w:p>
        </w:tc>
      </w:tr>
      <w:tr>
        <w:trPr/>
        <w:tc>
          <w:tcPr>
            <w:tcW w:w="270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Eric Loumeau</w:t>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c>
          <w:tcPr>
            <w:tcW w:w="76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474,830</w:t>
            </w:r>
          </w:p>
        </w:tc>
        <w:tc>
          <w:tcPr>
            <w:tcW w:w="111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2,872,730</w:t>
            </w:r>
          </w:p>
        </w:tc>
        <w:tc>
          <w:tcPr>
            <w:tcW w:w="1049"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283,440</w:t>
            </w:r>
          </w:p>
        </w:tc>
        <w:tc>
          <w:tcPr>
            <w:tcW w:w="1577"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197,648</w:t>
            </w:r>
          </w:p>
        </w:tc>
        <w:tc>
          <w:tcPr>
            <w:tcW w:w="1553" w:type="dxa"/>
            <w:gridSpan w:val="3"/>
            <w:tcBorders/>
            <w:shd w:fill="CCEE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16"/>
              </w:rPr>
              <w:t>13,115</w:t>
            </w:r>
            <w:r>
              <w:rPr>
                <w:rFonts w:ascii="Times New Roman;sans-serif" w:hAnsi="Times New Roman;sans-serif"/>
                <w:b w:val="false"/>
                <w:color w:val="000000"/>
                <w:sz w:val="10"/>
              </w:rPr>
              <w:t>(9)</w:t>
            </w:r>
          </w:p>
        </w:tc>
        <w:tc>
          <w:tcPr>
            <w:tcW w:w="97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3,841,763</w:t>
            </w:r>
          </w:p>
        </w:tc>
      </w:tr>
      <w:tr>
        <w:trPr/>
        <w:tc>
          <w:tcPr>
            <w:tcW w:w="270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Chief Operating Officer and General Counsel</w:t>
            </w:r>
          </w:p>
        </w:tc>
        <w:tc>
          <w:tcPr>
            <w:tcW w:w="46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2021</w:t>
            </w:r>
          </w:p>
        </w:tc>
        <w:tc>
          <w:tcPr>
            <w:tcW w:w="76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461,000</w:t>
            </w:r>
          </w:p>
        </w:tc>
        <w:tc>
          <w:tcPr>
            <w:tcW w:w="111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1,461,489</w:t>
            </w:r>
          </w:p>
        </w:tc>
        <w:tc>
          <w:tcPr>
            <w:tcW w:w="1049"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1577"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176,333</w:t>
            </w:r>
          </w:p>
        </w:tc>
        <w:tc>
          <w:tcPr>
            <w:tcW w:w="1553" w:type="dxa"/>
            <w:gridSpan w:val="3"/>
            <w:tcBorders/>
            <w:shd w:fill="FFFFFF" w:val="clear"/>
            <w:tcMar>
              <w:top w:w="0" w:type="dxa"/>
              <w:left w:w="0" w:type="dxa"/>
              <w:bottom w:w="0" w:type="dxa"/>
              <w:right w:w="0" w:type="dxa"/>
            </w:tcMar>
            <w:vAlign w:val="center"/>
          </w:tcPr>
          <w:p>
            <w:pPr>
              <w:pStyle w:val="TableContents"/>
              <w:spacing w:lineRule="auto" w:line="240" w:before="0" w:after="0"/>
              <w:jc w:val="right"/>
              <w:rPr/>
            </w:pPr>
            <w:r>
              <w:rPr>
                <w:rFonts w:ascii="Times New Roman;sans-serif" w:hAnsi="Times New Roman;sans-serif"/>
                <w:b w:val="false"/>
                <w:color w:val="000000"/>
                <w:sz w:val="16"/>
              </w:rPr>
              <w:t>10,322</w:t>
            </w:r>
            <w:r>
              <w:rPr>
                <w:rFonts w:ascii="Times New Roman;sans-serif" w:hAnsi="Times New Roman;sans-serif"/>
                <w:b w:val="false"/>
                <w:color w:val="000000"/>
                <w:sz w:val="10"/>
              </w:rPr>
              <w:t>(9)</w:t>
            </w:r>
          </w:p>
        </w:tc>
        <w:tc>
          <w:tcPr>
            <w:tcW w:w="97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2,109,144</w:t>
            </w:r>
          </w:p>
        </w:tc>
      </w:tr>
    </w:tbl>
    <w:p>
      <w:pPr>
        <w:pStyle w:val="TextBody"/>
        <w:spacing w:lineRule="auto" w:line="240" w:before="0" w:after="40"/>
        <w:rPr>
          <w:rFonts w:ascii="Times New Roman;sans-serif" w:hAnsi="Times New Roman;sans-serif"/>
          <w:b w:val="false"/>
          <w:color w:val="000000"/>
          <w:sz w:val="20"/>
        </w:rPr>
      </w:pPr>
      <w:r>
        <w:rPr>
          <w:rFonts w:ascii="Times New Roman;sans-serif" w:hAnsi="Times New Roman;sans-serif"/>
          <w:b w:val="false"/>
          <w:color w:val="000000"/>
          <w:sz w:val="20"/>
        </w:rPr>
        <w:t>_____________________</w:t>
      </w:r>
    </w:p>
    <w:p>
      <w:pPr>
        <w:pStyle w:val="TextBody"/>
        <w:spacing w:lineRule="auto" w:line="288" w:before="0" w:after="12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(1)    The amounts reported in the Option and RSU Awards column represent the grant date fair value of the stock options and RSUs granted to the Named Executive Officers during the years ended December 31, 2022 and 2021 as computed in accordance with Financial Accounting Standards Board Accounting Standards Codification Topic 718. The assumptions used in calculating the grant date fair value of the stock options reported in the Option Awards column are set forth in Note 8 to our audited consolidated financial statements included in our Annual Report on Form 10-K for the year ended December 31, 2022. Note that the amounts reported in this column reflect the accounting cost for these stock options, and do not correspond to the actual economic value that may be received by our Named Executive Officers from the options.</w:t>
      </w:r>
    </w:p>
    <w:p>
      <w:pPr>
        <w:pStyle w:val="TextBody"/>
        <w:spacing w:lineRule="auto" w:line="288" w:before="0" w:after="12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(2)    Mr. Faga was appointed Interim President and Chief Executive Officer, effective March 21, 2022.</w:t>
      </w:r>
    </w:p>
    <w:p>
      <w:pPr>
        <w:pStyle w:val="TextBody"/>
        <w:spacing w:lineRule="auto" w:line="288" w:before="0" w:after="12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(3)    Includes $10,000 in director fees paid to Mr. Faga for his service as a director prior to his appointment Interim President and Chief Executive Officer on March 21, 2022. For Mr. Faga’s compensation as a director, see the section above titled “Election of Class III Directors — Non-Employee Director Compensation.”</w:t>
      </w:r>
    </w:p>
    <w:p>
      <w:pPr>
        <w:pStyle w:val="TextBody"/>
        <w:spacing w:lineRule="auto" w:line="288" w:before="0" w:after="12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 xml:space="preserve">(4)    Includes $200,618 of option awards granted to Mr. Faga for his service as a director prior to his appointment Interim President and Chief Executive Officer on March 21, 2022. For Mr. Faga’s compensation as a director, see the section above titled “Election of Class III Directors — Non-Employee Director Compensation.” </w:t>
      </w:r>
    </w:p>
    <w:p>
      <w:pPr>
        <w:pStyle w:val="TextBody"/>
        <w:spacing w:lineRule="auto" w:line="288" w:before="0" w:after="12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(5)    Reflects 401(k) matching contributions and group term life insurance premiums paid by us on behalf of Mr. Faga.</w:t>
      </w:r>
    </w:p>
    <w:p>
      <w:pPr>
        <w:pStyle w:val="TextBody"/>
        <w:spacing w:lineRule="auto" w:line="288" w:before="0" w:after="120"/>
        <w:ind w:left="0" w:right="0" w:hanging="360"/>
        <w:rPr/>
      </w:pPr>
      <w:r>
        <w:rPr>
          <w:rFonts w:ascii="Times New Roman;sans-serif" w:hAnsi="Times New Roman;sans-serif"/>
          <w:b w:val="false"/>
          <w:color w:val="000000"/>
          <w:sz w:val="18"/>
        </w:rPr>
        <w:t xml:space="preserve">(6)    Mr. Suria resigned from his position effective March 20, 2022. In accordance with the terms of Mr. Suria’s consulting agreement, all of Mr. Suria’s </w:t>
      </w:r>
      <w:r>
        <w:rPr>
          <w:rFonts w:ascii="Times New Roman;sans-serif" w:hAnsi="Times New Roman;sans-serif"/>
          <w:b w:val="false"/>
          <w:color w:val="000000"/>
          <w:sz w:val="18"/>
          <w:highlight w:val="white"/>
        </w:rPr>
        <w:t>outstanding equity awards continued vesting pursuant to their terms during the term of his consultancy, which expired on March 21, 2023.</w:t>
      </w:r>
    </w:p>
    <w:p>
      <w:pPr>
        <w:pStyle w:val="TextBody"/>
        <w:spacing w:lineRule="auto" w:line="288" w:before="0" w:after="12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(7)    Reflects 401(k) matching contributions and group term life insurance premiums paid by us on behalf of Mr. Suria.</w:t>
      </w:r>
    </w:p>
    <w:p>
      <w:pPr>
        <w:pStyle w:val="TextBody"/>
        <w:spacing w:lineRule="auto" w:line="288" w:before="0" w:after="12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(8)    Reflects 401(k) matching contributions and group term life insurance premiums paid by us on behalf of Mr. Lizzul.</w:t>
      </w:r>
    </w:p>
    <w:p>
      <w:pPr>
        <w:pStyle w:val="TextBody"/>
        <w:spacing w:lineRule="auto" w:line="288" w:before="0" w:after="12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(9)    Reflects 401(k) matching contributions and group term life insurance premiums paid by us on behalf of Mr. Loumeau.</w:t>
      </w:r>
      <w:r>
        <w:br w:type="page"/>
      </w:r>
    </w:p>
    <w:p>
      <w:pPr>
        <w:pStyle w:val="TextBody"/>
        <w:spacing w:before="0" w:after="0"/>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40" w:before="0" w:after="200"/>
        <w:rPr>
          <w:rFonts w:ascii="Times New Roman;sans-serif" w:hAnsi="Times New Roman;sans-serif"/>
          <w:b/>
          <w:color w:val="000000"/>
          <w:sz w:val="20"/>
        </w:rPr>
      </w:pPr>
      <w:r>
        <w:rPr>
          <w:rFonts w:ascii="Times New Roman;sans-serif" w:hAnsi="Times New Roman;sans-serif"/>
          <w:b/>
          <w:color w:val="000000"/>
          <w:sz w:val="20"/>
        </w:rPr>
        <w:t>Pay-Versus-Performance</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As required by Section 953(a) of the Dodd-Frank Wall Street Reform and Consumer Protection Act and Item 402(v) of Regulation S-K, we are providing the following disclosure regarding executive compensation our NEOs our total shareholder return and our net income. Those rules require amounts included in the “compensation actually paid” columns of the table to be calculated according to a particular formula intended to demonstrate the relationship between executive compensation actually paid to a company’s NEOs and the company’s performance. The formula reflects a number of fair value adjustments to equity awards intended to show the change in value of those awards from one year to another. They do not reflect, however, the precise amounts actually earned by or paid to our executives during the years shown in the table.</w:t>
      </w:r>
    </w:p>
    <w:p>
      <w:pPr>
        <w:pStyle w:val="TextBody"/>
        <w:spacing w:lineRule="auto" w:line="288" w:before="120" w:after="2"/>
        <w:rPr>
          <w:rFonts w:ascii="Times New Roman;sans-serif" w:hAnsi="Times New Roman;sans-serif"/>
          <w:b w:val="false"/>
          <w:color w:val="000000"/>
          <w:sz w:val="20"/>
        </w:rPr>
      </w:pPr>
      <w:r>
        <w:rPr>
          <w:rFonts w:ascii="Times New Roman;sans-serif" w:hAnsi="Times New Roman;sans-serif"/>
          <w:b w:val="false"/>
          <w:color w:val="000000"/>
          <w:sz w:val="20"/>
        </w:rPr>
        <w:t>The Compensation Committee approves and administers our executive compensation program to align executive compensation with stockholder interests by linking pay to performance. Our overall compensation program includes a mix of short-term and long-term components through our annual incentive plan and equity awards. In 2022, there was a change to our executive management team with the departure of our tenured Chief Executive Officer, Hamza Suria (“PEO 2”), from the company on March 20, 2022. Upon the departure, Daniel Faga (“PEO 1”) was appointed our interim Chief Executive Officer. We provide the compensation actually paid during 2022 for both individuals providing service as Chief Executive Officer during 2022 in the following tables.</w:t>
      </w:r>
    </w:p>
    <w:tbl>
      <w:tblPr>
        <w:tblW w:w="12195" w:type="dxa"/>
        <w:jc w:val="left"/>
        <w:tblInd w:w="0" w:type="dxa"/>
        <w:tblCellMar>
          <w:top w:w="28" w:type="dxa"/>
          <w:left w:w="28" w:type="dxa"/>
          <w:bottom w:w="28" w:type="dxa"/>
          <w:right w:w="28" w:type="dxa"/>
        </w:tblCellMar>
      </w:tblPr>
      <w:tblGrid>
        <w:gridCol w:w="196"/>
        <w:gridCol w:w="172"/>
        <w:gridCol w:w="173"/>
        <w:gridCol w:w="109"/>
        <w:gridCol w:w="109"/>
        <w:gridCol w:w="109"/>
        <w:gridCol w:w="380"/>
        <w:gridCol w:w="380"/>
        <w:gridCol w:w="381"/>
        <w:gridCol w:w="109"/>
        <w:gridCol w:w="109"/>
        <w:gridCol w:w="109"/>
        <w:gridCol w:w="380"/>
        <w:gridCol w:w="380"/>
        <w:gridCol w:w="381"/>
        <w:gridCol w:w="109"/>
        <w:gridCol w:w="109"/>
        <w:gridCol w:w="109"/>
        <w:gridCol w:w="380"/>
        <w:gridCol w:w="380"/>
        <w:gridCol w:w="381"/>
        <w:gridCol w:w="109"/>
        <w:gridCol w:w="109"/>
        <w:gridCol w:w="109"/>
        <w:gridCol w:w="380"/>
        <w:gridCol w:w="380"/>
        <w:gridCol w:w="381"/>
        <w:gridCol w:w="109"/>
        <w:gridCol w:w="109"/>
        <w:gridCol w:w="109"/>
        <w:gridCol w:w="380"/>
        <w:gridCol w:w="380"/>
        <w:gridCol w:w="381"/>
        <w:gridCol w:w="109"/>
        <w:gridCol w:w="109"/>
        <w:gridCol w:w="109"/>
        <w:gridCol w:w="380"/>
        <w:gridCol w:w="380"/>
        <w:gridCol w:w="381"/>
        <w:gridCol w:w="109"/>
        <w:gridCol w:w="109"/>
        <w:gridCol w:w="109"/>
        <w:gridCol w:w="330"/>
        <w:gridCol w:w="330"/>
        <w:gridCol w:w="331"/>
        <w:gridCol w:w="109"/>
        <w:gridCol w:w="109"/>
        <w:gridCol w:w="109"/>
        <w:gridCol w:w="351"/>
        <w:gridCol w:w="351"/>
        <w:gridCol w:w="499"/>
      </w:tblGrid>
      <w:tr>
        <w:trPr/>
        <w:tc>
          <w:tcPr>
            <w:tcW w:w="196"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0"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r>
      <w:tr>
        <w:trPr/>
        <w:tc>
          <w:tcPr>
            <w:tcW w:w="12195" w:type="dxa"/>
            <w:gridSpan w:val="51"/>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Pay-Versus-Performance</w:t>
            </w:r>
          </w:p>
        </w:tc>
      </w:tr>
      <w:tr>
        <w:trPr/>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Year</w:t>
            </w:r>
            <w:r>
              <w:rPr>
                <w:rFonts w:ascii="Times New Roman;sans-serif" w:hAnsi="Times New Roman;sans-serif"/>
                <w:b/>
                <w:color w:val="000000"/>
                <w:sz w:val="10"/>
              </w:rPr>
              <w:t>1</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Summary Compensation Table Total for PEO 1</w:t>
            </w:r>
            <w:r>
              <w:rPr>
                <w:rFonts w:ascii="Times New Roman;sans-serif" w:hAnsi="Times New Roman;sans-serif"/>
                <w:b/>
                <w:color w:val="000000"/>
                <w:sz w:val="10"/>
              </w:rPr>
              <w:t>2</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Compensation Actually Paid for PEO 1</w:t>
            </w:r>
            <w:r>
              <w:rPr>
                <w:rFonts w:ascii="Times New Roman;sans-serif" w:hAnsi="Times New Roman;sans-serif"/>
                <w:b/>
                <w:color w:val="000000"/>
                <w:sz w:val="10"/>
              </w:rPr>
              <w:t>3</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Summary Compensation Table Total for PEO 2</w:t>
            </w:r>
            <w:r>
              <w:rPr>
                <w:rFonts w:ascii="Times New Roman;sans-serif" w:hAnsi="Times New Roman;sans-serif"/>
                <w:b/>
                <w:color w:val="000000"/>
                <w:sz w:val="10"/>
              </w:rPr>
              <w:t>2</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Compensation Actually Paid for PEO 2</w:t>
            </w:r>
            <w:r>
              <w:rPr>
                <w:rFonts w:ascii="Times New Roman;sans-serif" w:hAnsi="Times New Roman;sans-serif"/>
                <w:b/>
                <w:color w:val="000000"/>
                <w:sz w:val="10"/>
              </w:rPr>
              <w:t>3</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Average Summary Compensation Table Total for Non-PEO NEOs</w:t>
            </w:r>
            <w:r>
              <w:rPr>
                <w:rFonts w:ascii="Times New Roman;sans-serif" w:hAnsi="Times New Roman;sans-serif"/>
                <w:b/>
                <w:color w:val="000000"/>
                <w:sz w:val="10"/>
              </w:rPr>
              <w:t>2</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auto" w:val="clear"/>
            <w:tcMar>
              <w:top w:w="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6"/>
              </w:rPr>
              <w:t>Average Compensation Actually Paid for Non-PEO NEOs</w:t>
            </w:r>
            <w:r>
              <w:rPr>
                <w:rFonts w:ascii="Times New Roman;sans-serif" w:hAnsi="Times New Roman;sans-serif"/>
                <w:b/>
                <w:color w:val="000000"/>
                <w:sz w:val="10"/>
              </w:rPr>
              <w:t>4</w:t>
            </w:r>
          </w:p>
          <w:p>
            <w:pPr>
              <w:pStyle w:val="TableContents"/>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Value of Initial Fixed $100 Investment Based on Total Shareholder Return</w:t>
              <w:br/>
              <w:t>(f)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Income</w:t>
              <w:br/>
              <w:t>(g)</w:t>
            </w:r>
          </w:p>
        </w:tc>
      </w:tr>
      <w:tr>
        <w:trPr/>
        <w:tc>
          <w:tcPr>
            <w:tcW w:w="5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$24,440,350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$28,514,763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$7,250,583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$-1,812,157</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$3,827,145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$2,228,110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$144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$-128,724,000</w:t>
            </w:r>
          </w:p>
        </w:tc>
      </w:tr>
      <w:tr>
        <w:trPr/>
        <w:tc>
          <w:tcPr>
            <w:tcW w:w="541"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$4,602,601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$7,123,997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$2,096,581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$3,209,832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$162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$-57,796,000</w:t>
            </w:r>
          </w:p>
        </w:tc>
      </w:tr>
    </w:tbl>
    <w:p>
      <w:pPr>
        <w:pStyle w:val="TextBody"/>
        <w:spacing w:lineRule="auto" w:line="288" w:before="120" w:after="6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(1)     The Company’s PEOs for the applicable fiscal years were as follows:</w:t>
      </w:r>
    </w:p>
    <w:p>
      <w:pPr>
        <w:pStyle w:val="TextBody"/>
        <w:spacing w:lineRule="auto" w:line="288" w:before="0" w:after="1"/>
        <w:ind w:left="0" w:right="0" w:hanging="360"/>
        <w:rPr/>
      </w:pPr>
      <w:r>
        <w:rPr>
          <w:color w:val="000000"/>
        </w:rPr>
        <w:t>–</w:t>
      </w:r>
      <w:r>
        <w:rPr>
          <w:rFonts w:ascii="Times New Roman;sans-serif" w:hAnsi="Times New Roman;sans-serif"/>
          <w:b w:val="false"/>
          <w:color w:val="000000"/>
          <w:sz w:val="18"/>
        </w:rPr>
        <w:t>2021: Hamza Suria served as the principal executive officer for the entirety of 2021 (“PEO 2”)</w:t>
      </w:r>
    </w:p>
    <w:p>
      <w:pPr>
        <w:pStyle w:val="TextBody"/>
        <w:spacing w:lineRule="auto" w:line="288" w:before="0" w:after="1"/>
        <w:ind w:left="0" w:right="0" w:hanging="360"/>
        <w:rPr/>
      </w:pPr>
      <w:r>
        <w:rPr>
          <w:color w:val="000000"/>
        </w:rPr>
        <w:t>–</w:t>
      </w:r>
      <w:r>
        <w:rPr>
          <w:rFonts w:ascii="Times New Roman;sans-serif" w:hAnsi="Times New Roman;sans-serif"/>
          <w:b w:val="false"/>
          <w:color w:val="000000"/>
          <w:sz w:val="18"/>
        </w:rPr>
        <w:t>2022: Hamza Suria served as the principal executive officer from January 1, 2022 through March 20, 2022 (“PEO 2”); Daniel Faga served as the interim principal executive officer from March 21, 2022 through December 31, 2022 (“PEO 1”)</w:t>
      </w:r>
    </w:p>
    <w:p>
      <w:pPr>
        <w:pStyle w:val="TextBody"/>
        <w:spacing w:lineRule="auto" w:line="288" w:before="0" w:after="1"/>
        <w:ind w:left="0" w:right="0" w:hanging="4"/>
        <w:rPr>
          <w:rFonts w:ascii="Times New Roman;sans-serif" w:hAnsi="Times New Roman;sans-serif"/>
          <w:b w:val="false"/>
          <w:color w:val="000000"/>
          <w:sz w:val="18"/>
        </w:rPr>
      </w:pPr>
      <w:r>
        <w:rPr>
          <w:rFonts w:ascii="Times New Roman;sans-serif" w:hAnsi="Times New Roman;sans-serif"/>
          <w:b w:val="false"/>
          <w:color w:val="000000"/>
          <w:sz w:val="18"/>
        </w:rPr>
        <w:t>Paul Lizzul and Eric Loumeau served as the Company’s other NEOs for the entirety of 2021 and 2022</w:t>
      </w:r>
    </w:p>
    <w:p>
      <w:pPr>
        <w:pStyle w:val="TextBody"/>
        <w:spacing w:lineRule="auto" w:line="288" w:before="60" w:after="283"/>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(2)     The dollar amounts reported in this column represent (i) the amount of total compensation reported in the Summary Compensation Table for the applicable fiscal year for each of our PEOs and (ii) the average dollar amounts of total compensation reported in the Summary Compensation Table for the applicable fiscal year for our others NEOs as a group (excluding our PEOs).</w:t>
      </w:r>
    </w:p>
    <w:p>
      <w:pPr>
        <w:pStyle w:val="TextBody"/>
        <w:spacing w:lineRule="auto" w:line="288" w:before="0" w:after="1"/>
        <w:ind w:left="0" w:right="0" w:hanging="360"/>
        <w:rPr/>
      </w:pPr>
      <w:r>
        <w:rPr>
          <w:color w:val="000000"/>
        </w:rPr>
        <w:t>–</w:t>
      </w:r>
      <w:r>
        <w:rPr>
          <w:rFonts w:ascii="Times New Roman;sans-serif" w:hAnsi="Times New Roman;sans-serif"/>
          <w:b w:val="false"/>
          <w:color w:val="000000"/>
          <w:sz w:val="18"/>
        </w:rPr>
        <w:t>2022 Summary Compensation Table total for Mr. Faga, PEO 1, includes fees paid for service as a non-employee director ($10,000 cash retainer and $200,618 stock option grant) prior to becoming our interim principal executive officer</w:t>
      </w:r>
    </w:p>
    <w:p>
      <w:pPr>
        <w:pStyle w:val="TextBody"/>
        <w:spacing w:lineRule="auto" w:line="288" w:before="0" w:after="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(3)     The dollar amounts reported in this column represent the “compensation actually paid” to PEO 1 and PEO 2, as computed in accordance with Item 402(v) of Regulation S-K, based on their total compensation reported in the Summary Compensation Table for the applicable fiscal years and adjusted as shown in the table below:</w:t>
      </w:r>
    </w:p>
    <w:p>
      <w:pPr>
        <w:pStyle w:val="TextBody"/>
        <w:spacing w:lineRule="auto" w:line="288" w:before="0" w:after="1"/>
        <w:ind w:left="0" w:right="0" w:hanging="360"/>
        <w:rPr/>
      </w:pPr>
      <w:r>
        <w:rPr>
          <w:color w:val="000000"/>
        </w:rPr>
        <w:t>–</w:t>
      </w:r>
      <w:r>
        <w:rPr>
          <w:rFonts w:ascii="Times New Roman;sans-serif" w:hAnsi="Times New Roman;sans-serif"/>
          <w:b w:val="false"/>
          <w:color w:val="000000"/>
          <w:sz w:val="18"/>
        </w:rPr>
        <w:t>2022 amounts for PEO 1 also include fees and equity awarded for service as a non-employee director prior to becoming our interim principal executive officer</w:t>
      </w:r>
      <w:r>
        <w:br w:type="page"/>
      </w:r>
    </w:p>
    <w:p>
      <w:pPr>
        <w:pStyle w:val="TextBody"/>
        <w:spacing w:before="0" w:after="0"/>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tbl>
      <w:tblPr>
        <w:tblW w:w="10205" w:type="dxa"/>
        <w:jc w:val="left"/>
        <w:tblInd w:w="0" w:type="dxa"/>
        <w:tblCellMar>
          <w:top w:w="28" w:type="dxa"/>
          <w:left w:w="28" w:type="dxa"/>
          <w:bottom w:w="28" w:type="dxa"/>
          <w:right w:w="28" w:type="dxa"/>
        </w:tblCellMar>
      </w:tblPr>
      <w:tblGrid>
        <w:gridCol w:w="124"/>
        <w:gridCol w:w="109"/>
        <w:gridCol w:w="109"/>
        <w:gridCol w:w="2409"/>
        <w:gridCol w:w="2409"/>
        <w:gridCol w:w="2416"/>
        <w:gridCol w:w="109"/>
        <w:gridCol w:w="109"/>
        <w:gridCol w:w="109"/>
        <w:gridCol w:w="175"/>
        <w:gridCol w:w="175"/>
        <w:gridCol w:w="176"/>
        <w:gridCol w:w="109"/>
        <w:gridCol w:w="109"/>
        <w:gridCol w:w="109"/>
        <w:gridCol w:w="211"/>
        <w:gridCol w:w="1081"/>
        <w:gridCol w:w="15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9" w:type="dxa"/>
            <w:tcBorders/>
            <w:shd w:fill="auto" w:val="clear"/>
            <w:vAlign w:val="center"/>
          </w:tcPr>
          <w:p>
            <w:pPr>
              <w:pStyle w:val="TableContents"/>
              <w:spacing w:before="0" w:after="283"/>
              <w:rPr>
                <w:sz w:val="4"/>
                <w:szCs w:val="4"/>
              </w:rPr>
            </w:pPr>
            <w:r>
              <w:rPr>
                <w:sz w:val="4"/>
                <w:szCs w:val="4"/>
              </w:rPr>
            </w:r>
          </w:p>
        </w:tc>
        <w:tc>
          <w:tcPr>
            <w:tcW w:w="2409" w:type="dxa"/>
            <w:tcBorders/>
            <w:shd w:fill="auto" w:val="clear"/>
            <w:vAlign w:val="center"/>
          </w:tcPr>
          <w:p>
            <w:pPr>
              <w:pStyle w:val="TableContents"/>
              <w:spacing w:before="0" w:after="283"/>
              <w:rPr>
                <w:sz w:val="4"/>
                <w:szCs w:val="4"/>
              </w:rPr>
            </w:pPr>
            <w:r>
              <w:rPr>
                <w:sz w:val="4"/>
                <w:szCs w:val="4"/>
              </w:rPr>
            </w:r>
          </w:p>
        </w:tc>
        <w:tc>
          <w:tcPr>
            <w:tcW w:w="24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81"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10205" w:type="dxa"/>
            <w:gridSpan w:val="18"/>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PEO 1</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49"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Summary Compensation Table - Total Compensation</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52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24,440,350 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 Date Fair Value of Stock Awards and Option Awards Granted in Fiscal Year</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52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23,506,640 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at Fiscal Year End of Outstanding and Unvested Stock Awards and Option Awards Granted in Fiscal Year</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52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27,521,988 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Outstanding and Unvested Stock Awards and Option Awards Granted in Prior Fiscal Years</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52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(31,627)</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at Vesting of Stock Awards and Option Awards Granted in Fiscal Year That Vested During Fiscal Year</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w:t>
            </w:r>
          </w:p>
        </w:tc>
        <w:tc>
          <w:tcPr>
            <w:tcW w:w="52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133,091 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as of Vesting Date of Stock Awards and Option Awards Granted in Prior Fiscal Years For Which Applicable Vesting Conditions Were Satisfied During Fiscal Year</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w:t>
            </w:r>
          </w:p>
        </w:tc>
        <w:tc>
          <w:tcPr>
            <w:tcW w:w="52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(42,399)</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as of Prior Fiscal Year End of Stock Awards and Option Awards Granted in Prior Fiscal Years That Failed to Meet Applicable Vesting Conditions During Fiscal Year</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w:t>
            </w:r>
          </w:p>
        </w:tc>
        <w:tc>
          <w:tcPr>
            <w:tcW w:w="52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Compensation Actually Paid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2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28,514,763 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tbl>
      <w:tblPr>
        <w:tblW w:w="10205" w:type="dxa"/>
        <w:jc w:val="left"/>
        <w:tblInd w:w="0" w:type="dxa"/>
        <w:tblCellMar>
          <w:top w:w="28" w:type="dxa"/>
          <w:left w:w="28" w:type="dxa"/>
          <w:bottom w:w="28" w:type="dxa"/>
          <w:right w:w="28" w:type="dxa"/>
        </w:tblCellMar>
      </w:tblPr>
      <w:tblGrid>
        <w:gridCol w:w="124"/>
        <w:gridCol w:w="109"/>
        <w:gridCol w:w="109"/>
        <w:gridCol w:w="2174"/>
        <w:gridCol w:w="2174"/>
        <w:gridCol w:w="2180"/>
        <w:gridCol w:w="109"/>
        <w:gridCol w:w="109"/>
        <w:gridCol w:w="109"/>
        <w:gridCol w:w="211"/>
        <w:gridCol w:w="976"/>
        <w:gridCol w:w="109"/>
        <w:gridCol w:w="109"/>
        <w:gridCol w:w="109"/>
        <w:gridCol w:w="109"/>
        <w:gridCol w:w="211"/>
        <w:gridCol w:w="1017"/>
        <w:gridCol w:w="157"/>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74" w:type="dxa"/>
            <w:tcBorders/>
            <w:shd w:fill="auto" w:val="clear"/>
            <w:vAlign w:val="center"/>
          </w:tcPr>
          <w:p>
            <w:pPr>
              <w:pStyle w:val="TableContents"/>
              <w:spacing w:before="0" w:after="283"/>
              <w:rPr>
                <w:sz w:val="4"/>
                <w:szCs w:val="4"/>
              </w:rPr>
            </w:pPr>
            <w:r>
              <w:rPr>
                <w:sz w:val="4"/>
                <w:szCs w:val="4"/>
              </w:rPr>
            </w:r>
          </w:p>
        </w:tc>
        <w:tc>
          <w:tcPr>
            <w:tcW w:w="2174" w:type="dxa"/>
            <w:tcBorders/>
            <w:shd w:fill="auto" w:val="clear"/>
            <w:vAlign w:val="center"/>
          </w:tcPr>
          <w:p>
            <w:pPr>
              <w:pStyle w:val="TableContents"/>
              <w:spacing w:before="0" w:after="283"/>
              <w:rPr>
                <w:sz w:val="4"/>
                <w:szCs w:val="4"/>
              </w:rPr>
            </w:pPr>
            <w:r>
              <w:rPr>
                <w:sz w:val="4"/>
                <w:szCs w:val="4"/>
              </w:rPr>
            </w:r>
          </w:p>
        </w:tc>
        <w:tc>
          <w:tcPr>
            <w:tcW w:w="218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17"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10205" w:type="dxa"/>
            <w:gridSpan w:val="18"/>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PEO 2</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Summary Compensation Table - Total Compensation</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4,602,601 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7,250,583 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 Date Fair Value of Stock Awards and Option Awards Granted in Fiscal Year</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3,733,836 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6,572,361 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at Fiscal Year End of Outstanding and Unvested Stock Awards and Option Awards Granted in Fiscal Year</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4,048,641 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Outstanding and Unvested Stock Awards and Option Awards Granted in Prior Fiscal Years</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1,800,570 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(663,937)</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at Vesting of Stock Awards and Option Awards Granted in Fiscal Year That Vested During Fiscal Year</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as of Vesting Date of Stock Awards and Option Awards Granted in Prior Fiscal Years For Which Applicable Vesting Conditions Were Satisfied During Fiscal Year</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406,021 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(1,219,039)</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8"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as of Prior Fiscal Year End of Stock Awards and Option Awards Granted in Prior Fiscal Years That Failed to Meet Applicable Vesting Conditions During Fiscal Year</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607,403 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28"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Compensation Actually Paid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7,123,997 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7"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(1,812,157)</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a)Represents Total Compensation as reported in the Summary Compensation Table for the indicated fiscal year.</w:t>
      </w:r>
    </w:p>
    <w:p>
      <w:pPr>
        <w:pStyle w:val="TextBody"/>
        <w:spacing w:lineRule="auto" w:line="288" w:before="6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b)Represents the total of the amounts reported in the “Stock Awards” and “Option Awards” columns in the Summary Compensation Table granted to each PEO during the indicated fiscal year, computed in accordance with FASB ASC Topic 718.</w:t>
      </w:r>
    </w:p>
    <w:p>
      <w:pPr>
        <w:pStyle w:val="TextBody"/>
        <w:spacing w:lineRule="auto" w:line="288" w:before="6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c)Represents the aggregate fair value as of the applicable fiscal year-end of the PEO's outstanding and unvested stock awards and option awards granted during such fiscal year, computed in accordance with FASB ASC Topic 718 and, for awards subject to performance-based vesting conditions, based on the probable outcome of such performance-based vesting conditions as of the last day of the fiscal year.</w:t>
      </w:r>
    </w:p>
    <w:p>
      <w:pPr>
        <w:pStyle w:val="TextBody"/>
        <w:spacing w:lineRule="auto" w:line="288" w:before="6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d)Represents the aggregate change in fair value during the applicable fiscal year of the outstanding and unvested stock awards and option awards held by the PEO as of the last day of the applicable fiscal year (from the end of the prior fiscal year), computed in accordance with FASB ASC Topic 718 and, for awards subject to performance-based vesting conditions, based on the probable outcome of such performance-based vesting conditions as of the last day of the fiscal year.</w:t>
      </w:r>
    </w:p>
    <w:p>
      <w:pPr>
        <w:pStyle w:val="TextBody"/>
        <w:spacing w:lineRule="auto" w:line="288" w:before="6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e)Represents the aggregate fair value at vesting of the stock awards and option awards that were granted to the PEO and vested during the same applicable fiscal year, computed in accordance with FASB ASC Topic 718.</w:t>
      </w:r>
    </w:p>
    <w:p>
      <w:pPr>
        <w:pStyle w:val="TextBody"/>
        <w:spacing w:lineRule="auto" w:line="288" w:before="6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f)Represents the aggregate change in fair value, measured from the prior fiscal year-end to the vesting date, of each stock award and option award held by the PEO that was granted in a prior fiscal year and which vested during the applicable fiscal year, computed in accordance with FASB ASC Topic 718 and, for awards subject to performance-based vesting conditions, based on the probable outcome of such performance-based vesting conditions as of the last day of the fiscal year.</w:t>
      </w:r>
      <w:r>
        <w:br w:type="page"/>
      </w:r>
    </w:p>
    <w:p>
      <w:pPr>
        <w:pStyle w:val="TextBody"/>
        <w:spacing w:before="0" w:after="0"/>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6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g)Represents the aggregate fair value as of the last day of the prior fiscal year of the PEO's stock awards and option awards that were granted in a prior fiscal year and which failed to meet the applicable vesting conditions during the applicable fiscal year, computed in accordance with FASB ASC Topic 718.</w:t>
      </w:r>
    </w:p>
    <w:p>
      <w:pPr>
        <w:pStyle w:val="TextBody"/>
        <w:spacing w:lineRule="auto" w:line="28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(4)     The dollar amounts reported in this column represent the average “compensation actually paid” to our other NEOs as a group (excluding our PEOs) in the applicable fiscal year, as computed in accordance with Item 402(v) of Regulation S-K, based on the average total compensation for such NEOs reported in the Summary Compensation Table for the applicable fiscal years and adjusted as shown in the table below. Please see footnote 1 for the names of the other NEOs included in the average for each indicated fiscal year.</w:t>
      </w:r>
    </w:p>
    <w:tbl>
      <w:tblPr>
        <w:tblW w:w="10205" w:type="dxa"/>
        <w:jc w:val="left"/>
        <w:tblInd w:w="0" w:type="dxa"/>
        <w:tblCellMar>
          <w:top w:w="28" w:type="dxa"/>
          <w:left w:w="28" w:type="dxa"/>
          <w:bottom w:w="28" w:type="dxa"/>
          <w:right w:w="28" w:type="dxa"/>
        </w:tblCellMar>
      </w:tblPr>
      <w:tblGrid>
        <w:gridCol w:w="124"/>
        <w:gridCol w:w="109"/>
        <w:gridCol w:w="109"/>
        <w:gridCol w:w="2188"/>
        <w:gridCol w:w="2188"/>
        <w:gridCol w:w="2194"/>
        <w:gridCol w:w="109"/>
        <w:gridCol w:w="109"/>
        <w:gridCol w:w="109"/>
        <w:gridCol w:w="211"/>
        <w:gridCol w:w="976"/>
        <w:gridCol w:w="109"/>
        <w:gridCol w:w="109"/>
        <w:gridCol w:w="109"/>
        <w:gridCol w:w="109"/>
        <w:gridCol w:w="211"/>
        <w:gridCol w:w="976"/>
        <w:gridCol w:w="15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88" w:type="dxa"/>
            <w:tcBorders/>
            <w:shd w:fill="auto" w:val="clear"/>
            <w:vAlign w:val="center"/>
          </w:tcPr>
          <w:p>
            <w:pPr>
              <w:pStyle w:val="TableContents"/>
              <w:spacing w:before="0" w:after="283"/>
              <w:rPr>
                <w:sz w:val="4"/>
                <w:szCs w:val="4"/>
              </w:rPr>
            </w:pPr>
            <w:r>
              <w:rPr>
                <w:sz w:val="4"/>
                <w:szCs w:val="4"/>
              </w:rPr>
            </w:r>
          </w:p>
        </w:tc>
        <w:tc>
          <w:tcPr>
            <w:tcW w:w="2188" w:type="dxa"/>
            <w:tcBorders/>
            <w:shd w:fill="auto" w:val="clear"/>
            <w:vAlign w:val="center"/>
          </w:tcPr>
          <w:p>
            <w:pPr>
              <w:pStyle w:val="TableContents"/>
              <w:spacing w:before="0" w:after="283"/>
              <w:rPr>
                <w:sz w:val="4"/>
                <w:szCs w:val="4"/>
              </w:rPr>
            </w:pPr>
            <w:r>
              <w:rPr>
                <w:sz w:val="4"/>
                <w:szCs w:val="4"/>
              </w:rPr>
            </w:r>
          </w:p>
        </w:tc>
        <w:tc>
          <w:tcPr>
            <w:tcW w:w="219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10205" w:type="dxa"/>
            <w:gridSpan w:val="18"/>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NEO Average</w:t>
            </w:r>
          </w:p>
        </w:tc>
      </w:tr>
      <w:tr>
        <w:trPr/>
        <w:tc>
          <w:tcPr>
            <w:tcW w:w="3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7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4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Summary Compensation Table - Total Compensation</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2,096,581 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3,827,145 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 Date Fair Value of Stock Awards and Option Awards Granted in Fiscal Year</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1,461,489 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3,156,170 </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at Fiscal Year End of Outstanding and Unvested Stock Awards and Option Awards Granted in Fiscal Year</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1,719,815 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2,633,752 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Outstanding and Unvested Stock Awards and Option Awards Granted in Prior Fiscal Years</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731,380 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(283,443)</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at Vesting of Stock Awards and Option Awards Granted in Fiscal Year That Vested During Fiscal Year</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as of Vesting Date of Stock Awards and Option Awards Granted in Prior Fiscal Years For Which Applicable Vesting Conditions Were Satisfied During Fiscal Year</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123,545 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(530,797)</w:t>
            </w:r>
          </w:p>
        </w:tc>
        <w:tc>
          <w:tcPr>
            <w:tcW w:w="1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as of Prior Fiscal Year End of Stock Awards and Option Awards Granted in Prior Fiscal Years That Failed to Meet Applicable Vesting Conditions During Fiscal Year</w:t>
            </w:r>
          </w:p>
        </w:tc>
        <w:tc>
          <w:tcPr>
            <w:tcW w:w="32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w:t>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262,377 </w:t>
            </w:r>
          </w:p>
        </w:tc>
        <w:tc>
          <w:tcPr>
            <w:tcW w:w="1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5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Compensation Actually Paid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3,209,832 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2,228,110 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a)Represents the average Total Compensation as reported in the Summary Compensation Table for our other NEOs as a group (excluding our PEOs) in the applicable fiscal year.</w:t>
      </w:r>
    </w:p>
    <w:p>
      <w:pPr>
        <w:pStyle w:val="TextBody"/>
        <w:spacing w:lineRule="auto" w:line="288" w:before="6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b)Represents the average of the total of the amounts reported in the “Stock Awards” and “Option Awards” columns in the Summary Compensation Table granted to our other NEOs as a group (excluding our PEOs) during the applicable fiscal year, computed in accordance with FASB ASC Topic 718.</w:t>
      </w:r>
    </w:p>
    <w:p>
      <w:pPr>
        <w:pStyle w:val="TextBody"/>
        <w:spacing w:lineRule="auto" w:line="288" w:before="6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c)Represents the average aggregate fair value as of the applicable fiscal year-end of our other NEOs’ as a group (excluding our PEOs) outstanding and unvested stock awards and option awards granted during such fiscal year, computed in accordance with FASB ASC Topic 718 and, for awards subject to performance-based vesting conditions, based on the probable outcome of such performance-based vesting conditions as of the last day of the fiscal year.</w:t>
      </w:r>
    </w:p>
    <w:p>
      <w:pPr>
        <w:pStyle w:val="TextBody"/>
        <w:spacing w:lineRule="auto" w:line="288" w:before="6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d)Represents the average aggregate change in fair value during the applicable fiscal year of the outstanding and unvested stock awards and option awards held by our other NEOs as a group (excluding our PEOs) as of the last day of the applicable fiscal year, computed in accordance with FASB ASC Topic 718 and, for awards subject to performance-based vesting conditions, based on the probable outcome of such performance-based vesting conditions as of the last day of the fiscal year.</w:t>
      </w:r>
    </w:p>
    <w:p>
      <w:pPr>
        <w:pStyle w:val="TextBody"/>
        <w:spacing w:lineRule="auto" w:line="288" w:before="6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e)Represents the average aggregate fair value at vesting of the stock awards and option awards that were granted to our other NEOs as a group (excluding our PEOs) and vested during the same applicable fiscal year, computed in accordance with FASB ASC Topic 718.</w:t>
      </w:r>
    </w:p>
    <w:p>
      <w:pPr>
        <w:pStyle w:val="TextBody"/>
        <w:spacing w:lineRule="auto" w:line="268" w:before="0" w:after="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f)Represents the average aggregate change in fair value, measured from the prior fiscal year-end to the vesting date, of each stock award and option award held by our other NEOs as a group (excluding our PEOs) that was granted in a prior fiscal year and which vested during the applicable fiscal year, computed in accordance with FASB ASC Topic 718 and, for awards subject to performance-based vesting conditions, based on the probable outcome of such performance-based vesting conditions as of the last day of the fiscal year.</w:t>
      </w:r>
    </w:p>
    <w:p>
      <w:pPr>
        <w:pStyle w:val="TextBody"/>
        <w:spacing w:lineRule="auto" w:line="288" w:before="6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g)Represents the average aggregate fair value as of the last day of the prior fiscal year of our other NEOs’ as a group (excluding our PEOs) stock awards and option awards that were granted in a prior fiscal year and which failed to meet the applicable vesting conditions in the applicable fiscal year, computed in accordance with FASB ASC Topic 718.</w:t>
      </w:r>
    </w:p>
    <w:p>
      <w:pPr>
        <w:pStyle w:val="TextBody"/>
        <w:spacing w:lineRule="auto" w:line="288" w:before="120" w:after="283"/>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(5)     Pursuant to Item 402(v) of Regulation S-K, the comparison assumes $100 was invested on December 31, 2020 in our common stock. Historic stock price performance is not necessarily indicative of future stock price performance.</w:t>
      </w:r>
      <w:r>
        <w:br w:type="page"/>
      </w:r>
    </w:p>
    <w:p>
      <w:pPr>
        <w:pStyle w:val="TextBody"/>
        <w:spacing w:before="0" w:after="0"/>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p>
      <w:pPr>
        <w:pStyle w:val="TextBody"/>
        <w:spacing w:lineRule="auto" w:line="288" w:before="180" w:after="283"/>
        <w:ind w:left="0" w:right="0" w:hanging="360"/>
        <w:rPr/>
      </w:pPr>
      <w:r>
        <w:rPr>
          <w:rFonts w:ascii="Times New Roman;sans-serif" w:hAnsi="Times New Roman;sans-serif"/>
          <w:b w:val="false"/>
          <w:i/>
          <w:color w:val="000000"/>
          <w:sz w:val="20"/>
          <w:u w:val="single"/>
        </w:rPr>
        <w:t>Compensation Actually Paid and Company TSR</w:t>
      </w:r>
      <w:r>
        <w:rPr>
          <w:rFonts w:ascii="Times New Roman;sans-serif" w:hAnsi="Times New Roman;sans-serif"/>
          <w:b w:val="false"/>
          <w:i/>
          <w:color w:val="000000"/>
          <w:sz w:val="13"/>
        </w:rPr>
        <w:t>1</w:t>
      </w:r>
    </w:p>
    <w:p>
      <w:pPr>
        <w:pStyle w:val="TextBody"/>
        <w:spacing w:lineRule="auto" w:line="288" w:before="120" w:after="283"/>
        <w:rPr>
          <w:rFonts w:ascii="Times New Roman;sans-serif" w:hAnsi="Times New Roman;sans-serif"/>
          <w:b w:val="false"/>
          <w:color w:val="000000"/>
          <w:sz w:val="20"/>
        </w:rPr>
      </w:pPr>
      <w:r>
        <w:rPr>
          <w:rFonts w:ascii="Times New Roman;sans-serif" w:hAnsi="Times New Roman;sans-serif"/>
          <w:b w:val="false"/>
          <w:color w:val="000000"/>
          <w:sz w:val="20"/>
        </w:rPr>
        <w:t>The PEOs in 2022 consist of two individuals with non-standard annual compensation in 2022 compared to the prior year: PEO 1 was a new hire interim Chief Executive Officer appointed within the first quarter of the fiscal year; PEO 2 entered a separation agreement with the company at the beginning of fiscal year 2022. This alignment of compensation actually paid for our NEOs with our cumulative TSR over the period presented is because a significant portion of the compensation actually paid to our executive team is comprised of equity awards.</w:t>
      </w:r>
    </w:p>
    <w:p>
      <w:pPr>
        <w:pStyle w:val="TextBody"/>
        <w:spacing w:before="120" w:after="283"/>
        <w:jc w:val="center"/>
        <w:rPr/>
      </w:pPr>
      <w:r>
        <w:rPr/>
        <w:drawing>
          <wp:inline distT="0" distB="63500" distL="0" distR="0">
            <wp:extent cx="6305550" cy="3705225"/>
            <wp:effectExtent l="0" t="0" r="0" b="0"/>
            <wp:docPr id="3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 descr=""/>
                    <pic:cNvPicPr>
                      <a:picLocks noChangeAspect="1" noChangeArrowheads="1"/>
                    </pic:cNvPicPr>
                  </pic:nvPicPr>
                  <pic:blipFill>
                    <a:blip r:embed="rId3"/>
                    <a:stretch>
                      <a:fillRect/>
                    </a:stretch>
                  </pic:blipFill>
                  <pic:spPr bwMode="auto">
                    <a:xfrm>
                      <a:off x="0" y="0"/>
                      <a:ext cx="6305550" cy="3705225"/>
                    </a:xfrm>
                    <a:prstGeom prst="rect">
                      <a:avLst/>
                    </a:prstGeom>
                  </pic:spPr>
                </pic:pic>
              </a:graphicData>
            </a:graphic>
          </wp:inline>
        </w:drawing>
      </w:r>
    </w:p>
    <w:p>
      <w:pPr>
        <w:pStyle w:val="TextBody"/>
        <w:spacing w:lineRule="auto" w:line="288"/>
        <w:rPr>
          <w:rFonts w:ascii="Times New Roman;sans-serif" w:hAnsi="Times New Roman;sans-serif"/>
          <w:b w:val="false"/>
          <w:color w:val="000000"/>
          <w:sz w:val="18"/>
        </w:rPr>
      </w:pPr>
      <w:r>
        <w:rPr>
          <w:rFonts w:ascii="Times New Roman;sans-serif" w:hAnsi="Times New Roman;sans-serif"/>
          <w:b w:val="false"/>
          <w:color w:val="000000"/>
          <w:sz w:val="18"/>
        </w:rPr>
        <w:t>1. Cumulative TSR is calculated by dividing the sum of the cumulative amount of dividends for the measurement period, assuming dividend reinvestment, and the difference between the Company’s share price at the end and the beginning of the measurement period by the Company’s share price at the beginning of the measurement period.</w:t>
      </w:r>
      <w:r>
        <w:br w:type="page"/>
      </w:r>
    </w:p>
    <w:p>
      <w:pPr>
        <w:pStyle w:val="TextBody"/>
        <w:spacing w:before="0" w:after="0"/>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180" w:after="283"/>
        <w:ind w:left="0" w:right="0" w:hanging="360"/>
        <w:rPr/>
      </w:pPr>
      <w:r>
        <w:rPr>
          <w:rFonts w:ascii="Times New Roman;sans-serif" w:hAnsi="Times New Roman;sans-serif"/>
          <w:b w:val="false"/>
          <w:i/>
          <w:color w:val="000000"/>
          <w:sz w:val="20"/>
          <w:u w:val="single"/>
        </w:rPr>
        <w:t>Compensation Actually Paid and Net Income</w:t>
      </w:r>
      <w:r>
        <w:rPr>
          <w:rFonts w:ascii="Times New Roman;sans-serif" w:hAnsi="Times New Roman;sans-serif"/>
          <w:b w:val="false"/>
          <w:i/>
          <w:color w:val="000000"/>
          <w:sz w:val="13"/>
        </w:rPr>
        <w:t>1</w:t>
      </w:r>
    </w:p>
    <w:p>
      <w:pPr>
        <w:pStyle w:val="TextBody"/>
        <w:spacing w:lineRule="auto" w:line="288" w:before="120" w:after="283"/>
        <w:rPr/>
      </w:pPr>
      <w:r>
        <w:rPr>
          <w:rFonts w:ascii="Times New Roman;sans-serif" w:hAnsi="Times New Roman;sans-serif"/>
          <w:b w:val="false"/>
          <w:color w:val="000000"/>
          <w:sz w:val="20"/>
        </w:rPr>
        <w:t>The following graph displays our compensation actually paid vs. net income. As a pre-commercial biotechnology company, we do not believe net income is yet a reasonable metric to measure our financial performance</w:t>
      </w:r>
      <w:r>
        <w:rPr>
          <w:rFonts w:ascii="Calibri;sans-serif" w:hAnsi="Calibri;sans-serif"/>
          <w:b w:val="false"/>
          <w:color w:val="000000"/>
          <w:sz w:val="24"/>
        </w:rPr>
        <w:t>.</w:t>
      </w:r>
    </w:p>
    <w:p>
      <w:pPr>
        <w:pStyle w:val="TextBody"/>
        <w:spacing w:before="120" w:after="283"/>
        <w:jc w:val="center"/>
        <w:rPr/>
      </w:pPr>
      <w:r>
        <w:rPr/>
        <w:drawing>
          <wp:inline distT="0" distB="63500" distL="0" distR="0">
            <wp:extent cx="6305550" cy="3705225"/>
            <wp:effectExtent l="0" t="0" r="0" b="0"/>
            <wp:docPr id="3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 descr=""/>
                    <pic:cNvPicPr>
                      <a:picLocks noChangeAspect="1" noChangeArrowheads="1"/>
                    </pic:cNvPicPr>
                  </pic:nvPicPr>
                  <pic:blipFill>
                    <a:blip r:embed="rId4"/>
                    <a:stretch>
                      <a:fillRect/>
                    </a:stretch>
                  </pic:blipFill>
                  <pic:spPr bwMode="auto">
                    <a:xfrm>
                      <a:off x="0" y="0"/>
                      <a:ext cx="6305550" cy="3705225"/>
                    </a:xfrm>
                    <a:prstGeom prst="rect">
                      <a:avLst/>
                    </a:prstGeom>
                  </pic:spPr>
                </pic:pic>
              </a:graphicData>
            </a:graphic>
          </wp:inline>
        </w:drawing>
      </w:r>
    </w:p>
    <w:p>
      <w:pPr>
        <w:pStyle w:val="TextBody"/>
        <w:spacing w:lineRule="auto" w:line="268"/>
        <w:rPr>
          <w:rFonts w:ascii="Times New Roman;sans-serif" w:hAnsi="Times New Roman;sans-serif"/>
          <w:b w:val="false"/>
          <w:color w:val="000000"/>
          <w:sz w:val="18"/>
        </w:rPr>
      </w:pPr>
      <w:r>
        <w:rPr>
          <w:rFonts w:ascii="Times New Roman;sans-serif" w:hAnsi="Times New Roman;sans-serif"/>
          <w:b w:val="false"/>
          <w:color w:val="000000"/>
          <w:sz w:val="18"/>
        </w:rPr>
        <w:t xml:space="preserve">1. Net Income is calculated by subtracting expenses, interest, and taxes from revenue. The dollar amounts reported represent the amount of Net Income reflected in the Company’s audited financial statements for the applicable year. </w:t>
      </w:r>
      <w:r>
        <w:br w:type="page"/>
      </w:r>
    </w:p>
    <w:p>
      <w:pPr>
        <w:pStyle w:val="TextBody"/>
        <w:spacing w:before="0" w:after="0"/>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8"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120" w:after="2"/>
        <w:rPr>
          <w:rFonts w:ascii="Times New Roman;sans-serif" w:hAnsi="Times New Roman;sans-serif"/>
          <w:b/>
          <w:color w:val="000000"/>
          <w:sz w:val="20"/>
        </w:rPr>
      </w:pPr>
      <w:r>
        <w:rPr>
          <w:rFonts w:ascii="Times New Roman;sans-serif" w:hAnsi="Times New Roman;sans-serif"/>
          <w:b/>
          <w:color w:val="000000"/>
          <w:sz w:val="20"/>
        </w:rPr>
        <w:t>Outstanding Equity Awards at Fiscal Year-End Table</w: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for each of the Named Executive Officers, information regarding outstanding stock options held as of December 31, 2022. </w:t>
      </w:r>
    </w:p>
    <w:tbl>
      <w:tblPr>
        <w:tblW w:w="10205" w:type="dxa"/>
        <w:jc w:val="left"/>
        <w:tblInd w:w="0" w:type="dxa"/>
        <w:tblCellMar>
          <w:top w:w="28" w:type="dxa"/>
          <w:left w:w="28" w:type="dxa"/>
          <w:bottom w:w="28" w:type="dxa"/>
          <w:right w:w="28" w:type="dxa"/>
        </w:tblCellMar>
      </w:tblPr>
      <w:tblGrid>
        <w:gridCol w:w="432"/>
        <w:gridCol w:w="235"/>
        <w:gridCol w:w="221"/>
        <w:gridCol w:w="217"/>
        <w:gridCol w:w="217"/>
        <w:gridCol w:w="218"/>
        <w:gridCol w:w="562"/>
        <w:gridCol w:w="562"/>
        <w:gridCol w:w="563"/>
        <w:gridCol w:w="617"/>
        <w:gridCol w:w="617"/>
        <w:gridCol w:w="618"/>
        <w:gridCol w:w="307"/>
        <w:gridCol w:w="307"/>
        <w:gridCol w:w="308"/>
        <w:gridCol w:w="358"/>
        <w:gridCol w:w="358"/>
        <w:gridCol w:w="359"/>
        <w:gridCol w:w="478"/>
        <w:gridCol w:w="453"/>
        <w:gridCol w:w="454"/>
        <w:gridCol w:w="720"/>
        <w:gridCol w:w="413"/>
        <w:gridCol w:w="611"/>
      </w:tblGrid>
      <w:tr>
        <w:trPr/>
        <w:tc>
          <w:tcPr>
            <w:tcW w:w="432"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217" w:type="dxa"/>
            <w:tcBorders/>
            <w:shd w:fill="auto" w:val="clear"/>
            <w:vAlign w:val="center"/>
          </w:tcPr>
          <w:p>
            <w:pPr>
              <w:pStyle w:val="TableContents"/>
              <w:spacing w:before="0" w:after="283"/>
              <w:rPr>
                <w:sz w:val="4"/>
                <w:szCs w:val="4"/>
              </w:rPr>
            </w:pPr>
            <w:r>
              <w:rPr>
                <w:sz w:val="4"/>
                <w:szCs w:val="4"/>
              </w:rPr>
            </w:r>
          </w:p>
        </w:tc>
        <w:tc>
          <w:tcPr>
            <w:tcW w:w="218"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562"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rPr>
                <w:sz w:val="4"/>
                <w:szCs w:val="4"/>
              </w:rPr>
            </w:pPr>
            <w:r>
              <w:rPr>
                <w:sz w:val="4"/>
                <w:szCs w:val="4"/>
              </w:rPr>
            </w:r>
          </w:p>
        </w:tc>
        <w:tc>
          <w:tcPr>
            <w:tcW w:w="618"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7"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358" w:type="dxa"/>
            <w:tcBorders/>
            <w:shd w:fill="auto" w:val="clear"/>
            <w:vAlign w:val="center"/>
          </w:tcPr>
          <w:p>
            <w:pPr>
              <w:pStyle w:val="TableContents"/>
              <w:spacing w:before="0" w:after="283"/>
              <w:rPr>
                <w:sz w:val="4"/>
                <w:szCs w:val="4"/>
              </w:rPr>
            </w:pPr>
            <w:r>
              <w:rPr>
                <w:sz w:val="4"/>
                <w:szCs w:val="4"/>
              </w:rPr>
            </w:r>
          </w:p>
        </w:tc>
        <w:tc>
          <w:tcPr>
            <w:tcW w:w="359" w:type="dxa"/>
            <w:tcBorders/>
            <w:shd w:fill="auto" w:val="clear"/>
            <w:vAlign w:val="center"/>
          </w:tcPr>
          <w:p>
            <w:pPr>
              <w:pStyle w:val="TableContents"/>
              <w:spacing w:before="0" w:after="283"/>
              <w:rPr>
                <w:sz w:val="4"/>
                <w:szCs w:val="4"/>
              </w:rPr>
            </w:pPr>
            <w:r>
              <w:rPr>
                <w:sz w:val="4"/>
                <w:szCs w:val="4"/>
              </w:rPr>
            </w:r>
          </w:p>
        </w:tc>
        <w:tc>
          <w:tcPr>
            <w:tcW w:w="478"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c>
          <w:tcPr>
            <w:tcW w:w="454" w:type="dxa"/>
            <w:tcBorders/>
            <w:shd w:fill="auto" w:val="clear"/>
            <w:vAlign w:val="center"/>
          </w:tcPr>
          <w:p>
            <w:pPr>
              <w:pStyle w:val="TableContents"/>
              <w:spacing w:before="0" w:after="283"/>
              <w:rPr>
                <w:sz w:val="4"/>
                <w:szCs w:val="4"/>
              </w:rPr>
            </w:pPr>
            <w:r>
              <w:rPr>
                <w:sz w:val="4"/>
                <w:szCs w:val="4"/>
              </w:rPr>
            </w:r>
          </w:p>
        </w:tc>
        <w:tc>
          <w:tcPr>
            <w:tcW w:w="720"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611" w:type="dxa"/>
            <w:tcBorders/>
            <w:shd w:fill="auto" w:val="clear"/>
            <w:vAlign w:val="center"/>
          </w:tcPr>
          <w:p>
            <w:pPr>
              <w:pStyle w:val="TableContents"/>
              <w:spacing w:before="0" w:after="283"/>
              <w:rPr>
                <w:sz w:val="4"/>
                <w:szCs w:val="4"/>
              </w:rPr>
            </w:pPr>
            <w:r>
              <w:rPr>
                <w:sz w:val="4"/>
                <w:szCs w:val="4"/>
              </w:rPr>
            </w:r>
          </w:p>
        </w:tc>
      </w:tr>
      <w:tr>
        <w:trPr/>
        <w:tc>
          <w:tcPr>
            <w:tcW w:w="88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88"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Option Awards</w:t>
            </w:r>
          </w:p>
        </w:tc>
        <w:tc>
          <w:tcPr>
            <w:tcW w:w="3129" w:type="dxa"/>
            <w:gridSpan w:val="6"/>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Stock Awards</w:t>
            </w:r>
          </w:p>
        </w:tc>
      </w:tr>
      <w:tr>
        <w:trPr/>
        <w:tc>
          <w:tcPr>
            <w:tcW w:w="888"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Name</w:t>
            </w:r>
          </w:p>
        </w:tc>
        <w:tc>
          <w:tcPr>
            <w:tcW w:w="6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8"/>
              </w:rPr>
              <w:t>Grant Date</w:t>
            </w:r>
            <w:r>
              <w:rPr>
                <w:rFonts w:ascii="Times New Roman;sans-serif" w:hAnsi="Times New Roman;sans-serif"/>
                <w:b/>
                <w:color w:val="000000"/>
                <w:sz w:val="12"/>
              </w:rPr>
              <w:t>(1)</w:t>
            </w:r>
          </w:p>
        </w:tc>
        <w:tc>
          <w:tcPr>
            <w:tcW w:w="16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Number of Securities Underlying Unexercised Options </w:t>
              <w:br/>
              <w:t>(#) Exercisable</w:t>
            </w:r>
          </w:p>
        </w:tc>
        <w:tc>
          <w:tcPr>
            <w:tcW w:w="185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Number of Securities Underlying Unexercised Options </w:t>
              <w:br/>
              <w:t>(#) Unexercisable</w:t>
            </w:r>
          </w:p>
        </w:tc>
        <w:tc>
          <w:tcPr>
            <w:tcW w:w="92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Option Exercise Price ($)</w:t>
            </w:r>
          </w:p>
        </w:tc>
        <w:tc>
          <w:tcPr>
            <w:tcW w:w="107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Option Expiration Date</w:t>
            </w:r>
          </w:p>
        </w:tc>
        <w:tc>
          <w:tcPr>
            <w:tcW w:w="138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Shares or Units of Stock That Have Not Vested (#)</w:t>
            </w:r>
          </w:p>
        </w:tc>
        <w:tc>
          <w:tcPr>
            <w:tcW w:w="17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pPr>
            <w:r>
              <w:rPr>
                <w:rFonts w:ascii="Times New Roman;sans-serif" w:hAnsi="Times New Roman;sans-serif"/>
                <w:b/>
                <w:color w:val="000000"/>
                <w:sz w:val="18"/>
              </w:rPr>
              <w:t>Market Value of Shares or Units of Stock That Have Not Vested ($)</w:t>
            </w:r>
            <w:r>
              <w:rPr>
                <w:rFonts w:ascii="Times New Roman;sans-serif" w:hAnsi="Times New Roman;sans-serif"/>
                <w:b/>
                <w:color w:val="000000"/>
                <w:sz w:val="12"/>
              </w:rPr>
              <w:t>(2)</w:t>
            </w:r>
          </w:p>
        </w:tc>
      </w:tr>
      <w:tr>
        <w:trPr/>
        <w:tc>
          <w:tcPr>
            <w:tcW w:w="88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Daniel Faga</w:t>
            </w:r>
            <w:r>
              <w:rPr>
                <w:rFonts w:ascii="Times New Roman;sans-serif" w:hAnsi="Times New Roman;sans-serif"/>
                <w:b w:val="false"/>
                <w:color w:val="000000"/>
                <w:sz w:val="12"/>
              </w:rPr>
              <w:t>(3)</w:t>
            </w:r>
          </w:p>
        </w:tc>
        <w:tc>
          <w:tcPr>
            <w:tcW w:w="65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11/26/2021</w:t>
            </w:r>
          </w:p>
        </w:tc>
        <w:tc>
          <w:tcPr>
            <w:tcW w:w="1687"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2,321</w:t>
            </w:r>
          </w:p>
        </w:tc>
        <w:tc>
          <w:tcPr>
            <w:tcW w:w="185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22"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31.12</w:t>
            </w:r>
          </w:p>
        </w:tc>
        <w:tc>
          <w:tcPr>
            <w:tcW w:w="1075"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11/25/2031</w:t>
            </w:r>
          </w:p>
        </w:tc>
        <w:tc>
          <w:tcPr>
            <w:tcW w:w="1385"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74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8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11/26/2021</w:t>
            </w:r>
          </w:p>
        </w:tc>
        <w:tc>
          <w:tcPr>
            <w:tcW w:w="168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3,972</w:t>
            </w:r>
          </w:p>
        </w:tc>
        <w:tc>
          <w:tcPr>
            <w:tcW w:w="185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7,028</w:t>
            </w:r>
          </w:p>
        </w:tc>
        <w:tc>
          <w:tcPr>
            <w:tcW w:w="92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31.12</w:t>
            </w:r>
          </w:p>
        </w:tc>
        <w:tc>
          <w:tcPr>
            <w:tcW w:w="10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11/25/2031</w:t>
            </w:r>
          </w:p>
        </w:tc>
        <w:tc>
          <w:tcPr>
            <w:tcW w:w="13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02/10/2022</w:t>
            </w:r>
          </w:p>
        </w:tc>
        <w:tc>
          <w:tcPr>
            <w:tcW w:w="168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7,667</w:t>
            </w:r>
          </w:p>
        </w:tc>
        <w:tc>
          <w:tcPr>
            <w:tcW w:w="185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1,533</w:t>
            </w:r>
          </w:p>
        </w:tc>
        <w:tc>
          <w:tcPr>
            <w:tcW w:w="92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30.44</w:t>
            </w:r>
          </w:p>
        </w:tc>
        <w:tc>
          <w:tcPr>
            <w:tcW w:w="10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02/09/2032</w:t>
            </w:r>
          </w:p>
        </w:tc>
        <w:tc>
          <w:tcPr>
            <w:tcW w:w="13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3/21/2022</w:t>
            </w:r>
          </w:p>
        </w:tc>
        <w:tc>
          <w:tcPr>
            <w:tcW w:w="16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887,043</w:t>
            </w:r>
          </w:p>
        </w:tc>
        <w:tc>
          <w:tcPr>
            <w:tcW w:w="174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27,489,463</w:t>
            </w:r>
          </w:p>
        </w:tc>
      </w:tr>
      <w:tr>
        <w:trPr/>
        <w:tc>
          <w:tcPr>
            <w:tcW w:w="88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Hamza Suria</w:t>
            </w:r>
            <w:r>
              <w:rPr>
                <w:rFonts w:ascii="Times New Roman;sans-serif" w:hAnsi="Times New Roman;sans-serif"/>
                <w:b w:val="false"/>
                <w:color w:val="000000"/>
                <w:sz w:val="12"/>
              </w:rPr>
              <w:t>(4)</w:t>
            </w:r>
          </w:p>
        </w:tc>
        <w:tc>
          <w:tcPr>
            <w:tcW w:w="65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02/24/2017</w:t>
            </w:r>
          </w:p>
        </w:tc>
        <w:tc>
          <w:tcPr>
            <w:tcW w:w="168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40,000</w:t>
            </w:r>
          </w:p>
        </w:tc>
        <w:tc>
          <w:tcPr>
            <w:tcW w:w="185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2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24.60</w:t>
            </w:r>
          </w:p>
        </w:tc>
        <w:tc>
          <w:tcPr>
            <w:tcW w:w="10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02/24/2027</w:t>
            </w:r>
          </w:p>
        </w:tc>
        <w:tc>
          <w:tcPr>
            <w:tcW w:w="13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01/26/2018</w:t>
            </w:r>
          </w:p>
        </w:tc>
        <w:tc>
          <w:tcPr>
            <w:tcW w:w="168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63,000</w:t>
            </w:r>
          </w:p>
        </w:tc>
        <w:tc>
          <w:tcPr>
            <w:tcW w:w="185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2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106.84</w:t>
            </w:r>
          </w:p>
        </w:tc>
        <w:tc>
          <w:tcPr>
            <w:tcW w:w="10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01/26/2028</w:t>
            </w:r>
          </w:p>
        </w:tc>
        <w:tc>
          <w:tcPr>
            <w:tcW w:w="13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02/08/2019</w:t>
            </w:r>
          </w:p>
        </w:tc>
        <w:tc>
          <w:tcPr>
            <w:tcW w:w="168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90,083</w:t>
            </w:r>
          </w:p>
        </w:tc>
        <w:tc>
          <w:tcPr>
            <w:tcW w:w="185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3,917</w:t>
            </w:r>
          </w:p>
        </w:tc>
        <w:tc>
          <w:tcPr>
            <w:tcW w:w="92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68.89</w:t>
            </w:r>
          </w:p>
        </w:tc>
        <w:tc>
          <w:tcPr>
            <w:tcW w:w="10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02/07/2029</w:t>
            </w:r>
          </w:p>
        </w:tc>
        <w:tc>
          <w:tcPr>
            <w:tcW w:w="13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12/13/2019</w:t>
            </w:r>
          </w:p>
        </w:tc>
        <w:tc>
          <w:tcPr>
            <w:tcW w:w="168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85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70,000</w:t>
            </w:r>
          </w:p>
        </w:tc>
        <w:tc>
          <w:tcPr>
            <w:tcW w:w="92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15.73</w:t>
            </w:r>
          </w:p>
        </w:tc>
        <w:tc>
          <w:tcPr>
            <w:tcW w:w="10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12/12/2029</w:t>
            </w:r>
          </w:p>
        </w:tc>
        <w:tc>
          <w:tcPr>
            <w:tcW w:w="13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02/10/2021</w:t>
            </w:r>
          </w:p>
        </w:tc>
        <w:tc>
          <w:tcPr>
            <w:tcW w:w="168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54,863</w:t>
            </w:r>
          </w:p>
        </w:tc>
        <w:tc>
          <w:tcPr>
            <w:tcW w:w="185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64,837</w:t>
            </w:r>
          </w:p>
        </w:tc>
        <w:tc>
          <w:tcPr>
            <w:tcW w:w="92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29.70</w:t>
            </w:r>
          </w:p>
        </w:tc>
        <w:tc>
          <w:tcPr>
            <w:tcW w:w="10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02/09/2031</w:t>
            </w:r>
          </w:p>
        </w:tc>
        <w:tc>
          <w:tcPr>
            <w:tcW w:w="13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02/10/2021</w:t>
            </w:r>
          </w:p>
        </w:tc>
        <w:tc>
          <w:tcPr>
            <w:tcW w:w="168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23,150</w:t>
            </w:r>
          </w:p>
        </w:tc>
        <w:tc>
          <w:tcPr>
            <w:tcW w:w="185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2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29.70</w:t>
            </w:r>
          </w:p>
        </w:tc>
        <w:tc>
          <w:tcPr>
            <w:tcW w:w="10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02/09/2031</w:t>
            </w:r>
          </w:p>
        </w:tc>
        <w:tc>
          <w:tcPr>
            <w:tcW w:w="13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02/10/2022</w:t>
            </w:r>
          </w:p>
        </w:tc>
        <w:tc>
          <w:tcPr>
            <w:tcW w:w="168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85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200,000</w:t>
            </w:r>
          </w:p>
        </w:tc>
        <w:tc>
          <w:tcPr>
            <w:tcW w:w="92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30.44</w:t>
            </w:r>
          </w:p>
        </w:tc>
        <w:tc>
          <w:tcPr>
            <w:tcW w:w="10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02/09/2032</w:t>
            </w:r>
          </w:p>
        </w:tc>
        <w:tc>
          <w:tcPr>
            <w:tcW w:w="13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02/10/2022</w:t>
            </w:r>
          </w:p>
        </w:tc>
        <w:tc>
          <w:tcPr>
            <w:tcW w:w="168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85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90,000</w:t>
            </w:r>
          </w:p>
        </w:tc>
        <w:tc>
          <w:tcPr>
            <w:tcW w:w="92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30.44</w:t>
            </w:r>
          </w:p>
        </w:tc>
        <w:tc>
          <w:tcPr>
            <w:tcW w:w="10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02/09/2032</w:t>
            </w:r>
          </w:p>
        </w:tc>
        <w:tc>
          <w:tcPr>
            <w:tcW w:w="13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8"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 xml:space="preserve">Paul Lizzul </w:t>
            </w:r>
            <w:r>
              <w:rPr>
                <w:rFonts w:ascii="Times New Roman;sans-serif" w:hAnsi="Times New Roman;sans-serif"/>
                <w:b w:val="false"/>
                <w:color w:val="000000"/>
                <w:sz w:val="12"/>
              </w:rPr>
              <w:t>(5)</w:t>
            </w:r>
          </w:p>
        </w:tc>
        <w:tc>
          <w:tcPr>
            <w:tcW w:w="65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07/30/2020</w:t>
            </w:r>
          </w:p>
        </w:tc>
        <w:tc>
          <w:tcPr>
            <w:tcW w:w="168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54,375</w:t>
            </w:r>
          </w:p>
        </w:tc>
        <w:tc>
          <w:tcPr>
            <w:tcW w:w="185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35,625</w:t>
            </w:r>
          </w:p>
        </w:tc>
        <w:tc>
          <w:tcPr>
            <w:tcW w:w="92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18.50</w:t>
            </w:r>
          </w:p>
        </w:tc>
        <w:tc>
          <w:tcPr>
            <w:tcW w:w="10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07/29/2030</w:t>
            </w:r>
          </w:p>
        </w:tc>
        <w:tc>
          <w:tcPr>
            <w:tcW w:w="13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02/10/2021</w:t>
            </w:r>
          </w:p>
        </w:tc>
        <w:tc>
          <w:tcPr>
            <w:tcW w:w="168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20,625</w:t>
            </w:r>
          </w:p>
        </w:tc>
        <w:tc>
          <w:tcPr>
            <w:tcW w:w="185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24,375</w:t>
            </w:r>
          </w:p>
        </w:tc>
        <w:tc>
          <w:tcPr>
            <w:tcW w:w="92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29.70</w:t>
            </w:r>
          </w:p>
        </w:tc>
        <w:tc>
          <w:tcPr>
            <w:tcW w:w="10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02/09/2031</w:t>
            </w:r>
          </w:p>
        </w:tc>
        <w:tc>
          <w:tcPr>
            <w:tcW w:w="13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02/10/2021</w:t>
            </w:r>
          </w:p>
        </w:tc>
        <w:tc>
          <w:tcPr>
            <w:tcW w:w="168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10,000</w:t>
            </w:r>
          </w:p>
        </w:tc>
        <w:tc>
          <w:tcPr>
            <w:tcW w:w="185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2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29.70</w:t>
            </w:r>
          </w:p>
        </w:tc>
        <w:tc>
          <w:tcPr>
            <w:tcW w:w="10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02/09/2031</w:t>
            </w:r>
          </w:p>
        </w:tc>
        <w:tc>
          <w:tcPr>
            <w:tcW w:w="13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02/10/2022</w:t>
            </w:r>
          </w:p>
        </w:tc>
        <w:tc>
          <w:tcPr>
            <w:tcW w:w="168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85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70,000</w:t>
            </w:r>
          </w:p>
        </w:tc>
        <w:tc>
          <w:tcPr>
            <w:tcW w:w="92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30.44</w:t>
            </w:r>
          </w:p>
        </w:tc>
        <w:tc>
          <w:tcPr>
            <w:tcW w:w="10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02/09/2032</w:t>
            </w:r>
          </w:p>
        </w:tc>
        <w:tc>
          <w:tcPr>
            <w:tcW w:w="13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12/15/2022</w:t>
            </w:r>
          </w:p>
        </w:tc>
        <w:tc>
          <w:tcPr>
            <w:tcW w:w="168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85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15,000</w:t>
            </w:r>
          </w:p>
        </w:tc>
        <w:tc>
          <w:tcPr>
            <w:tcW w:w="92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28.64</w:t>
            </w:r>
          </w:p>
        </w:tc>
        <w:tc>
          <w:tcPr>
            <w:tcW w:w="10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12/14/2032</w:t>
            </w:r>
          </w:p>
        </w:tc>
        <w:tc>
          <w:tcPr>
            <w:tcW w:w="13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12/15/2022</w:t>
            </w:r>
          </w:p>
        </w:tc>
        <w:tc>
          <w:tcPr>
            <w:tcW w:w="168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85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15,000</w:t>
            </w:r>
          </w:p>
        </w:tc>
        <w:tc>
          <w:tcPr>
            <w:tcW w:w="92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28.64</w:t>
            </w:r>
          </w:p>
        </w:tc>
        <w:tc>
          <w:tcPr>
            <w:tcW w:w="10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12/14/2032</w:t>
            </w:r>
          </w:p>
        </w:tc>
        <w:tc>
          <w:tcPr>
            <w:tcW w:w="13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09/14/2022</w:t>
            </w:r>
          </w:p>
        </w:tc>
        <w:tc>
          <w:tcPr>
            <w:tcW w:w="168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12,000</w:t>
            </w:r>
          </w:p>
        </w:tc>
        <w:tc>
          <w:tcPr>
            <w:tcW w:w="174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371,880</w:t>
            </w:r>
          </w:p>
        </w:tc>
      </w:tr>
      <w:tr>
        <w:trPr/>
        <w:tc>
          <w:tcPr>
            <w:tcW w:w="888"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18"/>
              </w:rPr>
              <w:t>Eric Loumeau</w:t>
            </w:r>
            <w:r>
              <w:rPr>
                <w:rFonts w:ascii="Times New Roman;sans-serif" w:hAnsi="Times New Roman;sans-serif"/>
                <w:b w:val="false"/>
                <w:color w:val="000000"/>
                <w:sz w:val="12"/>
              </w:rPr>
              <w:t>(6)</w:t>
            </w:r>
          </w:p>
        </w:tc>
        <w:tc>
          <w:tcPr>
            <w:tcW w:w="65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08/06/2018</w:t>
            </w:r>
          </w:p>
        </w:tc>
        <w:tc>
          <w:tcPr>
            <w:tcW w:w="168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40,000</w:t>
            </w:r>
          </w:p>
        </w:tc>
        <w:tc>
          <w:tcPr>
            <w:tcW w:w="185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2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78.18</w:t>
            </w:r>
          </w:p>
        </w:tc>
        <w:tc>
          <w:tcPr>
            <w:tcW w:w="10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08/05/2028</w:t>
            </w:r>
          </w:p>
        </w:tc>
        <w:tc>
          <w:tcPr>
            <w:tcW w:w="13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02/08/2019</w:t>
            </w:r>
          </w:p>
        </w:tc>
        <w:tc>
          <w:tcPr>
            <w:tcW w:w="168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33,542</w:t>
            </w:r>
          </w:p>
        </w:tc>
        <w:tc>
          <w:tcPr>
            <w:tcW w:w="185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1,458</w:t>
            </w:r>
          </w:p>
        </w:tc>
        <w:tc>
          <w:tcPr>
            <w:tcW w:w="92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68.89</w:t>
            </w:r>
          </w:p>
        </w:tc>
        <w:tc>
          <w:tcPr>
            <w:tcW w:w="10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02/07/2029</w:t>
            </w:r>
          </w:p>
        </w:tc>
        <w:tc>
          <w:tcPr>
            <w:tcW w:w="13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08/18/2019</w:t>
            </w:r>
          </w:p>
        </w:tc>
        <w:tc>
          <w:tcPr>
            <w:tcW w:w="168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14,583</w:t>
            </w:r>
          </w:p>
        </w:tc>
        <w:tc>
          <w:tcPr>
            <w:tcW w:w="185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2,917</w:t>
            </w:r>
          </w:p>
        </w:tc>
        <w:tc>
          <w:tcPr>
            <w:tcW w:w="92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49.20</w:t>
            </w:r>
          </w:p>
        </w:tc>
        <w:tc>
          <w:tcPr>
            <w:tcW w:w="10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08/17/2029</w:t>
            </w:r>
          </w:p>
        </w:tc>
        <w:tc>
          <w:tcPr>
            <w:tcW w:w="13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12/06/2019</w:t>
            </w:r>
          </w:p>
        </w:tc>
        <w:tc>
          <w:tcPr>
            <w:tcW w:w="168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58,500</w:t>
            </w:r>
          </w:p>
        </w:tc>
        <w:tc>
          <w:tcPr>
            <w:tcW w:w="185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24,500</w:t>
            </w:r>
          </w:p>
        </w:tc>
        <w:tc>
          <w:tcPr>
            <w:tcW w:w="92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14.02</w:t>
            </w:r>
          </w:p>
        </w:tc>
        <w:tc>
          <w:tcPr>
            <w:tcW w:w="10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12/05/2029</w:t>
            </w:r>
          </w:p>
        </w:tc>
        <w:tc>
          <w:tcPr>
            <w:tcW w:w="13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07/13/2020</w:t>
            </w:r>
          </w:p>
        </w:tc>
        <w:tc>
          <w:tcPr>
            <w:tcW w:w="168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3,542</w:t>
            </w:r>
          </w:p>
        </w:tc>
        <w:tc>
          <w:tcPr>
            <w:tcW w:w="185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3,958</w:t>
            </w:r>
          </w:p>
        </w:tc>
        <w:tc>
          <w:tcPr>
            <w:tcW w:w="92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20.16</w:t>
            </w:r>
          </w:p>
        </w:tc>
        <w:tc>
          <w:tcPr>
            <w:tcW w:w="10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07/12/2030</w:t>
            </w:r>
          </w:p>
        </w:tc>
        <w:tc>
          <w:tcPr>
            <w:tcW w:w="13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02/10/2021</w:t>
            </w:r>
          </w:p>
        </w:tc>
        <w:tc>
          <w:tcPr>
            <w:tcW w:w="168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10,000</w:t>
            </w:r>
          </w:p>
        </w:tc>
        <w:tc>
          <w:tcPr>
            <w:tcW w:w="185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92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29.70</w:t>
            </w:r>
          </w:p>
        </w:tc>
        <w:tc>
          <w:tcPr>
            <w:tcW w:w="10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02/09/2031</w:t>
            </w:r>
          </w:p>
        </w:tc>
        <w:tc>
          <w:tcPr>
            <w:tcW w:w="13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02/10/2021</w:t>
            </w:r>
          </w:p>
        </w:tc>
        <w:tc>
          <w:tcPr>
            <w:tcW w:w="168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20,625</w:t>
            </w:r>
          </w:p>
        </w:tc>
        <w:tc>
          <w:tcPr>
            <w:tcW w:w="185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24,375</w:t>
            </w:r>
          </w:p>
        </w:tc>
        <w:tc>
          <w:tcPr>
            <w:tcW w:w="92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29.70</w:t>
            </w:r>
          </w:p>
        </w:tc>
        <w:tc>
          <w:tcPr>
            <w:tcW w:w="10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02/09/2031</w:t>
            </w:r>
          </w:p>
        </w:tc>
        <w:tc>
          <w:tcPr>
            <w:tcW w:w="13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02/10/2022</w:t>
            </w:r>
          </w:p>
        </w:tc>
        <w:tc>
          <w:tcPr>
            <w:tcW w:w="168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85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70,000</w:t>
            </w:r>
          </w:p>
        </w:tc>
        <w:tc>
          <w:tcPr>
            <w:tcW w:w="92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30.44</w:t>
            </w:r>
          </w:p>
        </w:tc>
        <w:tc>
          <w:tcPr>
            <w:tcW w:w="10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02/09/2032</w:t>
            </w:r>
          </w:p>
        </w:tc>
        <w:tc>
          <w:tcPr>
            <w:tcW w:w="13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12/15/2022</w:t>
            </w:r>
          </w:p>
        </w:tc>
        <w:tc>
          <w:tcPr>
            <w:tcW w:w="1687"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85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15,000</w:t>
            </w:r>
          </w:p>
        </w:tc>
        <w:tc>
          <w:tcPr>
            <w:tcW w:w="92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28.64</w:t>
            </w:r>
          </w:p>
        </w:tc>
        <w:tc>
          <w:tcPr>
            <w:tcW w:w="107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12/14/2032</w:t>
            </w:r>
          </w:p>
        </w:tc>
        <w:tc>
          <w:tcPr>
            <w:tcW w:w="138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12/15/2022</w:t>
            </w:r>
          </w:p>
        </w:tc>
        <w:tc>
          <w:tcPr>
            <w:tcW w:w="1687"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color w:val="000000"/>
              </w:rPr>
            </w:pPr>
            <w:r>
              <w:rPr>
                <w:color w:val="000000"/>
              </w:rPr>
              <w:t>—</w:t>
            </w:r>
          </w:p>
        </w:tc>
        <w:tc>
          <w:tcPr>
            <w:tcW w:w="185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15,000</w:t>
            </w:r>
          </w:p>
        </w:tc>
        <w:tc>
          <w:tcPr>
            <w:tcW w:w="922"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28.64</w:t>
            </w:r>
          </w:p>
        </w:tc>
        <w:tc>
          <w:tcPr>
            <w:tcW w:w="1075"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12/14/2032</w:t>
            </w:r>
          </w:p>
        </w:tc>
        <w:tc>
          <w:tcPr>
            <w:tcW w:w="138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4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888"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52"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09/14/2022</w:t>
            </w:r>
          </w:p>
        </w:tc>
        <w:tc>
          <w:tcPr>
            <w:tcW w:w="168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85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5"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12,000</w:t>
            </w:r>
          </w:p>
        </w:tc>
        <w:tc>
          <w:tcPr>
            <w:tcW w:w="174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371,880</w:t>
            </w:r>
          </w:p>
        </w:tc>
      </w:tr>
    </w:tbl>
    <w:p>
      <w:pPr>
        <w:pStyle w:val="TextBody"/>
        <w:spacing w:lineRule="auto" w:line="240"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______________________</w:t>
      </w:r>
    </w:p>
    <w:p>
      <w:pPr>
        <w:pStyle w:val="TextBody"/>
        <w:spacing w:lineRule="auto" w:line="288" w:before="0" w:after="12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(1)     Except where otherwise noted, the underlying shares of each option vest over four years, with 1/4 of the underlying shares vesting on the first calendar anniversary of the grant date and, thereafter, 1/48 of the underlying shares vest on the same day of each succeeding calendar month, subject to the optionee’s employment through each applicable vesting date, such that 100% of the underlying shares will have vested on the fourth calendar anniversary of the grant date.</w:t>
      </w:r>
    </w:p>
    <w:p>
      <w:pPr>
        <w:pStyle w:val="TextBody"/>
        <w:spacing w:lineRule="auto" w:line="288" w:before="0" w:after="12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(2)     Based on the closing price of our common stock on December 30, 2022, the last trading date of 2022, of $30.99.</w:t>
      </w:r>
    </w:p>
    <w:p>
      <w:pPr>
        <w:pStyle w:val="TextBody"/>
        <w:spacing w:lineRule="auto" w:line="288" w:before="0" w:after="12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 xml:space="preserve">(3)     The options vest as to their underlying shares as follows: (i) the shares underlying the 2,321 options granted on November 26, 2021 have fully vested; (ii) of the 11,000 shares underlying the option granted on November 26, 2021, 1/36 vested on December 26, 2021, and 1/36 vest on the twenty-sixth day of each succeeding calendar month, starting January 26, 2022; and (iii) of the 9,200 shares underlying the option granted on February 10, 2022, 1/12 vested on March 10, 2022, and 1/12 vest on the tenth day of each succeeding calendar month, starting April 10, 2022. If we experience a change in control and Mr. Faga is terminated without </w:t>
      </w:r>
      <w:r>
        <w:br w:type="page"/>
      </w:r>
    </w:p>
    <w:p>
      <w:pPr>
        <w:pStyle w:val="TextBody"/>
        <w:spacing w:before="0" w:after="0"/>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9"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0" w:after="120"/>
        <w:rPr>
          <w:color w:val="000000"/>
        </w:rPr>
      </w:pPr>
      <w:r>
        <w:rPr>
          <w:color w:val="000000"/>
        </w:rPr>
        <w:t>“</w:t>
      </w:r>
      <w:r>
        <w:rPr>
          <w:rFonts w:ascii="Times New Roman;sans-serif" w:hAnsi="Times New Roman;sans-serif"/>
          <w:b w:val="false"/>
          <w:color w:val="000000"/>
          <w:sz w:val="18"/>
        </w:rPr>
        <w:t>cause” or resigns for “good reason” (each as defined in the Faga Employment Agreement) upon the occurrence of, or within 13 months following, such change of control, and provided that Mr. Faga delivers a signed settlement and general release in favor of us and satisfies all conditions to make such release effective, then each of Mr. Faga’s then currently outstanding stock options will vest in full.</w:t>
      </w:r>
    </w:p>
    <w:p>
      <w:pPr>
        <w:pStyle w:val="TextBody"/>
        <w:spacing w:lineRule="auto" w:line="288" w:before="0" w:after="12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(4)    The options vest as to their underlying shares as follows: (i) the shares underlying the options granted on February 24, 2017, January 26, 2018, and the 23,150 shares granted on February 10, 2021 have fully vested; (ii) of the 94,000 shares underlying the option granted on February 8, 2019, 1/4 vested on February 8, 2020, and 1/48 vest on the eighth day of each succeeding calendar month, starting March 8, 2020; (iii) of the 280,000 shares underlying the option granted on December 13, 2019, 1/4 vested on December 6, 2020, and 1/48 vest on the sixth day of each succeeding calendar month, starting January 6, 2021; (iv) of the 119,700 shares underlying one of the options granted on February 10, 2021, 1/4 vested on February 10, 2022, and 1/48 vest on the tenth of day of each succeeding calendar month, starting March 10, 2022; (v) of the 200,000 shares underlying one of the options granted on February 10, 2022, 1/4 vested on February 10, 2023, and 1/48 vest on the tenth day of each succeeding calendar month, starting March 10, 2023; and (vi) of the 90,000 shares underlying the options granted on February 10, 2022, 1/2 vest upon achievement of certain performance conditions and, 1/2 vest upon achievement of certain performance conditions, provided, however, that in accordance with the terms of Mr. Suria’s consulting agreement, all of Mr. Suria’s outstanding equity awards will continue vesting pursuant to their terms during the term of his consultancy, which ended on March 21, 2023, following which all unvested equity awards will be forfeited. Mr. Suria resigned from his position as chief executive officer effective March 20, 2022.</w:t>
      </w:r>
    </w:p>
    <w:p>
      <w:pPr>
        <w:pStyle w:val="TextBody"/>
        <w:spacing w:lineRule="auto" w:line="288" w:before="0" w:after="12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(5)    The options vest as to their underlying shares as follows: (i) the shares underlying the 10,000 options granted on February 10, 2021 have fully vested; (ii) of the 90,000 shares underlying the option granted on July 30, 2020, 1/4 vested on July 30, 2021, and 1/48 vest on the thirtieth day of each succeeding calendar month, starting August 30, 2021; (iii) of the 45,000 shares underlying one of the options granted on February 10, 2021, 1/4 vested on February 10, 2022, and 1/48 vest on the tenth day of each succeeding calendar month, starting March 10, 2022; and (iv) of the 70,000 shares underlying the options granted on February 10, 2022, 1/4 vested on February 10, 2023, and 1/48 vest on the tenth day of each succeeding calendar month, starting March 10, 2023; and (v) 15,000 shares underlying one of the options granted on December 15, 2022 vest upon achievement of certain performance conditions; (vi) 15,000 shares underlying one of the options granted on December 15, 2022, vest upon achievement of certain performance conditions. If we experience a change in control and Mr. Lizzul is terminated without “cause” or resigns for “good reason” (each as defined in the Lizzul Employment Agreement) upon the occurrence of, or within 13 months following, such change of control, and provided that Mr. Lizzul delivers a signed settlement and general release in favor of us and satisfies all conditions to make such release effective, then each of Mr. Lizzul’s then currently outstanding stock options will vest in full.</w:t>
      </w:r>
    </w:p>
    <w:p>
      <w:pPr>
        <w:pStyle w:val="TextBody"/>
        <w:spacing w:lineRule="auto" w:line="288" w:before="0" w:after="12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(6)    The options vest as to their underlying shares as follows: (i) the shares underlying the options granted on August 6, 2018 and the 10,000 shares granted on February 10, 2021 have fully vested; (ii) of the 35,000 shares underlying the options granted on February 8, 2019, 1/4 vested on February 8, 2020, and 1/48 vest on the eighth day of each succeeding calendar month, starting March 8, 2020; (iii) of the 17,500 shares underlying the options granted on August 18, 2019, 1/4 vested on August 18, 2020, and 1/48 vest on the eighteenth day of each succeeding calendar month, starting September 18, 2020; (iv) of the 83,000 shares underlying the options granted on December 6, 2019, 1/4 vested on December 6, 2020, and 1/48 vest on the sixth day of each succeeding calendar month, starting January 6, 2021; (v) of the 7,500 shares underlying the options granted on July 13, 2020, 1/4 vested on July 13, 2021, and 1/48 vest on the thirteenth day of each succeeding calendar month, starting August 13, 2021; (vi) of the 45,000 shares underlying the options granted on February 10, 2021, 1/4 vested on February 10, 2022, and 1/48 vest on the tenth day of each succeeding calendar month, starting March 10, 2022; and (vii) of the 70,000 shares underlying the options granted on February 10, 2022,1/4 vested on February 10, 2023, and 1/48 vest on the tenth day of each succeeding calendar month, starting March 10, 2023, (vii) of the 15,000 shares underlying one of the options granted on December 15, 2022, vest upon achievement of certain performance conditions; (viii) 15,000 shares underlying one of the options granted on December 15, 2022, vest upon achievement of certain performance conditions. If we experience a change in control and Mr. Loumeau is terminated without “cause” or resigns for “good reason” (each as defined in the Loumeau Employment Agreement) upon the occurrence of, or within 13 months following, such change of control, and provided that Mr. Loumeau delivers a signed settlement and general release in favor of us and satisfies all conditions to make such release effective, then each of Mr. Loumeau’s then currently outstanding stock options will vest in full.</w:t>
      </w:r>
    </w:p>
    <w:p>
      <w:pPr>
        <w:pStyle w:val="TextBody"/>
        <w:spacing w:lineRule="auto" w:line="288" w:before="0" w:after="200"/>
        <w:rPr>
          <w:rFonts w:ascii="Times New Roman;sans-serif" w:hAnsi="Times New Roman;sans-serif"/>
          <w:b/>
          <w:color w:val="000000"/>
          <w:sz w:val="20"/>
        </w:rPr>
      </w:pPr>
      <w:r>
        <w:rPr>
          <w:rFonts w:ascii="Times New Roman;sans-serif" w:hAnsi="Times New Roman;sans-serif"/>
          <w:b/>
          <w:color w:val="000000"/>
          <w:sz w:val="20"/>
        </w:rPr>
        <w:t xml:space="preserve">Employment Agreements </w:t>
      </w:r>
    </w:p>
    <w:p>
      <w:pPr>
        <w:pStyle w:val="TextBody"/>
        <w:spacing w:lineRule="auto" w:line="288" w:before="0" w:after="200"/>
        <w:rPr/>
      </w:pPr>
      <w:r>
        <w:rPr>
          <w:rFonts w:ascii="Times New Roman;sans-serif" w:hAnsi="Times New Roman;sans-serif"/>
          <w:b w:val="false"/>
          <w:color w:val="000000"/>
          <w:sz w:val="20"/>
        </w:rPr>
        <w:t xml:space="preserve">The terms and conditions of employment of each of Mr. Faga, Dr. Lizzul and Mr. Loumeau are set forth in written employment agreements. Each of these arrangements was approved by our board of directors. Prior to his resignation as our Chief Executive Officer, effective March 20, 2022, Mr. Suria was party to a written employment agreement with us, and following his resignation, he is party to a separation agreement and a consulting agreement with us. In connection with his appointment as our Interim President and Chief Executive Officer, effective March 21, 2022, we entered into a written employment agreement with Mr. Faga. We believed these employment agreements were necessary to induce these individuals to forego other employment opportunities or leave their current employer for the uncertainty of a demanding position in a new and unfamiliar organization. We believe the separation agreement and consulting agreement we entered into with Mr. Suria were necessary to induce Mr. Suria to </w:t>
      </w:r>
      <w:r>
        <w:rPr>
          <w:rFonts w:ascii="Times New Roman;sans-serif" w:hAnsi="Times New Roman;sans-serif"/>
          <w:b w:val="false"/>
          <w:color w:val="000000"/>
          <w:sz w:val="20"/>
          <w:highlight w:val="white"/>
        </w:rPr>
        <w:t>provide transition support.</w:t>
      </w:r>
      <w:r>
        <w:br w:type="page"/>
      </w:r>
    </w:p>
    <w:p>
      <w:pPr>
        <w:pStyle w:val="TextBody"/>
        <w:spacing w:before="0" w:after="0"/>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0"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88" w:before="0" w:after="200"/>
        <w:rPr>
          <w:rFonts w:ascii="Times New Roman;sans-serif" w:hAnsi="Times New Roman;sans-serif"/>
          <w:b/>
          <w:color w:val="000000"/>
          <w:sz w:val="20"/>
        </w:rPr>
      </w:pPr>
      <w:r>
        <w:rPr>
          <w:rFonts w:ascii="Times New Roman;sans-serif" w:hAnsi="Times New Roman;sans-serif"/>
          <w:b/>
          <w:color w:val="000000"/>
          <w:sz w:val="20"/>
        </w:rPr>
        <w:t>Mr. Faga’s Employment Agreement</w:t>
      </w:r>
    </w:p>
    <w:p>
      <w:pPr>
        <w:pStyle w:val="TextBody"/>
        <w:spacing w:lineRule="auto" w:line="288" w:before="200" w:after="283"/>
        <w:rPr>
          <w:rFonts w:ascii="Times New Roman;sans-serif" w:hAnsi="Times New Roman;sans-serif"/>
          <w:b w:val="false"/>
          <w:color w:val="000000"/>
          <w:sz w:val="20"/>
        </w:rPr>
      </w:pPr>
      <w:r>
        <w:rPr>
          <w:rFonts w:ascii="Times New Roman;sans-serif" w:hAnsi="Times New Roman;sans-serif"/>
          <w:b w:val="false"/>
          <w:color w:val="000000"/>
          <w:sz w:val="20"/>
        </w:rPr>
        <w:t>Mr. Faga was appointed our Interim President and Chief Executive Officer, effective March 21, 2022. The Company has entered into an employment agreement, dated March 21, 2022, or the Faga Employment Agreement, with Mr. Faga in connection with his appointment, which sets forth the principal terms and conditions of his employment as the Company’s Interim President and Chief Executive Officer, including his initial annual base salary of $603,580 and an annual target cash bonus opportunity of up to 55% of his base salary, which bonus may be earned based upon the achievement of specified performance goals (and which will be prorated for his partial year of service). Mr. Faga also received an equity grant consisting of 887,043 restricted stock units with associated dividend equivalent rights payable as the RSU award vests. The RSU award will vest on the 24-month anniversary of his March 21, 2022 start date. The Faga Employment Agreement will continue for a two-year term with an automatic renewal for one year unless there is 3 months’ written notice by either party or unless it is terminated pursuant to its terms, however Mr. Faga’s employment is at-will and may be terminated at any time, with or without cause. However, pursuant to the terms of the Faga Employment Agreement, Mr. Faga will be entitled to severance benefits upon a qualifying termination of employment as described in “-Potential Payments upon Termination or Change in Control” below.</w:t>
      </w:r>
    </w:p>
    <w:p>
      <w:pPr>
        <w:pStyle w:val="TextBody"/>
        <w:spacing w:lineRule="auto" w:line="288" w:before="200" w:after="200"/>
        <w:rPr>
          <w:rFonts w:ascii="Times New Roman;sans-serif" w:hAnsi="Times New Roman;sans-serif"/>
          <w:b/>
          <w:color w:val="000000"/>
          <w:sz w:val="20"/>
        </w:rPr>
      </w:pPr>
      <w:r>
        <w:rPr>
          <w:rFonts w:ascii="Times New Roman;sans-serif" w:hAnsi="Times New Roman;sans-serif"/>
          <w:b/>
          <w:color w:val="000000"/>
          <w:sz w:val="20"/>
        </w:rPr>
        <w:t>Mr. Suria’s Separation Agreement and Consulting Agreement</w:t>
      </w:r>
    </w:p>
    <w:p>
      <w:pPr>
        <w:pStyle w:val="TextBody"/>
        <w:spacing w:lineRule="auto" w:line="288" w:before="200" w:after="200"/>
        <w:rPr/>
      </w:pPr>
      <w:r>
        <w:rPr>
          <w:rFonts w:ascii="Times New Roman;sans-serif" w:hAnsi="Times New Roman;sans-serif"/>
          <w:b w:val="false"/>
          <w:color w:val="000000"/>
          <w:sz w:val="20"/>
        </w:rPr>
        <w:t xml:space="preserve">Mr. Suria previously served as our President and Chief Executive Officer. Mr. Suria resigned from his position on March 20, 2022. </w:t>
      </w:r>
      <w:r>
        <w:rPr>
          <w:rFonts w:ascii="Times New Roman;sans-serif" w:hAnsi="Times New Roman;sans-serif"/>
          <w:b w:val="false"/>
          <w:color w:val="000000"/>
          <w:sz w:val="20"/>
          <w:highlight w:val="white"/>
        </w:rPr>
        <w:t>Mr. Suria was party to an employment agreement with the Company, dated January 26, 2018, pursuant to which, among other things, Mr. Suria was entitled to certain severance benefits upon his termination by the Company without cause. In connection with Mr. Suria’s resignation, the Company entered into a separation agreement, dated March 20, 2022, with Mr. Suria regarding the terms of his separation from the Company, pursuant to which, among other things, Mr. Suria’s employment agreement with the Company was terminated, and in exchange for executing a general release of claims in favor of the Company, for a period of 12 months, Mr. Suria is entitled to receive salary continuation payments of his then-current base salary of $603,580 and reimbursement for his COBRA premiums. In addition, the Company entered into a consulting agreement with Mr. Suria, pursuant to which Mr. Suria was engaged as a consultant to provide transition support through March 21, 2023. Mr. Suria’s outstanding equity awards continued vesting pursuant to their terms during his consultancy.</w:t>
      </w:r>
    </w:p>
    <w:p>
      <w:pPr>
        <w:pStyle w:val="TextBody"/>
        <w:spacing w:lineRule="auto" w:line="288" w:before="200" w:after="200"/>
        <w:rPr>
          <w:rFonts w:ascii="Times New Roman;sans-serif" w:hAnsi="Times New Roman;sans-serif"/>
          <w:b/>
          <w:color w:val="000000"/>
          <w:sz w:val="20"/>
        </w:rPr>
      </w:pPr>
      <w:r>
        <w:rPr>
          <w:rFonts w:ascii="Times New Roman;sans-serif" w:hAnsi="Times New Roman;sans-serif"/>
          <w:b/>
          <w:color w:val="000000"/>
          <w:sz w:val="20"/>
        </w:rPr>
        <w:t>Dr. Lizzul's Employment Agreement</w:t>
      </w:r>
    </w:p>
    <w:p>
      <w:pPr>
        <w:pStyle w:val="TextBody"/>
        <w:spacing w:lineRule="auto" w:line="288" w:before="200" w:after="200"/>
        <w:rPr>
          <w:rFonts w:ascii="Times New Roman;sans-serif" w:hAnsi="Times New Roman;sans-serif"/>
          <w:b w:val="false"/>
          <w:color w:val="000000"/>
          <w:sz w:val="20"/>
        </w:rPr>
      </w:pPr>
      <w:r>
        <w:rPr>
          <w:rFonts w:ascii="Times New Roman;sans-serif" w:hAnsi="Times New Roman;sans-serif"/>
          <w:b w:val="false"/>
          <w:color w:val="000000"/>
          <w:sz w:val="20"/>
        </w:rPr>
        <w:t>Pursuant to an employment agreement effective as of July 31, 2020, as amended on April 25, 2022, or the Lizzul Employment Agreement, Dr. Lizzul serves as our Chief Medical Officer. The Lizzul Employment Agreement set forth the principal terms and conditions of his employment, including his annual base salary, subject to periodic review and an annual target cash bonus opportunity of up to 40% of his base salary, which bonus is earned based on our achievement of performance goals established by our chief executive officer, the achievement of which is evaluated by our chief executive officer and board of directors. Dr. Lizzul’s employment is at will and may be terminated at any time, with or without cause. However, pursuant to the terms of the Lizzul Employment Agreement, Dr. Lizzul will be entitled to severance benefits upon a qualifying termination of employment as described in “-Potential Payments upon Termination or Change in Control” below.</w:t>
      </w:r>
    </w:p>
    <w:p>
      <w:pPr>
        <w:pStyle w:val="TextBody"/>
        <w:spacing w:lineRule="auto" w:line="288" w:before="200" w:after="200"/>
        <w:rPr>
          <w:rFonts w:ascii="Times New Roman;sans-serif" w:hAnsi="Times New Roman;sans-serif"/>
          <w:b/>
          <w:color w:val="000000"/>
          <w:sz w:val="20"/>
        </w:rPr>
      </w:pPr>
      <w:r>
        <w:rPr>
          <w:rFonts w:ascii="Times New Roman;sans-serif" w:hAnsi="Times New Roman;sans-serif"/>
          <w:b/>
          <w:color w:val="000000"/>
          <w:sz w:val="20"/>
        </w:rPr>
        <w:t>Mr. Loumeau’s Employment Agreement</w:t>
      </w:r>
    </w:p>
    <w:p>
      <w:pPr>
        <w:pStyle w:val="TextBody"/>
        <w:spacing w:lineRule="auto" w:line="288" w:before="200" w:after="200"/>
        <w:rPr>
          <w:rFonts w:ascii="Times New Roman;sans-serif" w:hAnsi="Times New Roman;sans-serif"/>
          <w:b w:val="false"/>
          <w:color w:val="000000"/>
          <w:sz w:val="20"/>
        </w:rPr>
      </w:pPr>
      <w:r>
        <w:rPr>
          <w:rFonts w:ascii="Times New Roman;sans-serif" w:hAnsi="Times New Roman;sans-serif"/>
          <w:b w:val="false"/>
          <w:color w:val="000000"/>
          <w:sz w:val="20"/>
        </w:rPr>
        <w:t>Pursuant to an employment agreement effective as of July 15, 2020, as amended on April 25, 2022, or the Loumeau Employment Agreement, Mr. Loumeau serves as our Chief Operating Officer and General Counsel. The Loumeau Employment Agreement set forth the principal terms and conditions of his employment, including his annual base salary, subject to periodic review and an annual target cash bonus opportunity of up to 45% of his base salary, which bonus is earned based on our achievement of performance goals established by our chief executive officer, the achievement of which is evaluated by our chief executive officer and board of directors. Mr. Loumeau’s employment is at will and may be terminated at any time, with or without cause. However, pursuant to the terms of the Loumeau Employment Agreement, Mr. Loumeau will be entitled to severance benefits upon a qualifying termination of employment as described in “-Potential Payments upon Termination or Change in Control” below.</w:t>
      </w:r>
      <w:r>
        <w:br w:type="page"/>
      </w:r>
    </w:p>
    <w:p>
      <w:pPr>
        <w:pStyle w:val="TextBody"/>
        <w:spacing w:before="0" w:after="0"/>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1"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88" w:before="200" w:after="200"/>
        <w:rPr>
          <w:rFonts w:ascii="Times New Roman;sans-serif" w:hAnsi="Times New Roman;sans-serif"/>
          <w:b/>
          <w:color w:val="000000"/>
          <w:sz w:val="20"/>
        </w:rPr>
      </w:pPr>
      <w:r>
        <w:rPr>
          <w:rFonts w:ascii="Times New Roman;sans-serif" w:hAnsi="Times New Roman;sans-serif"/>
          <w:b/>
          <w:color w:val="000000"/>
          <w:sz w:val="20"/>
        </w:rPr>
        <w:t xml:space="preserve">Potential Payments upon Termination or Change in Control </w:t>
      </w:r>
    </w:p>
    <w:p>
      <w:pPr>
        <w:pStyle w:val="TextBody"/>
        <w:spacing w:lineRule="auto" w:line="288" w:before="200" w:after="200"/>
        <w:rPr>
          <w:rFonts w:ascii="Times New Roman;sans-serif" w:hAnsi="Times New Roman;sans-serif"/>
          <w:b/>
          <w:color w:val="000000"/>
          <w:sz w:val="20"/>
        </w:rPr>
      </w:pPr>
      <w:r>
        <w:rPr>
          <w:rFonts w:ascii="Times New Roman;sans-serif" w:hAnsi="Times New Roman;sans-serif"/>
          <w:b/>
          <w:color w:val="000000"/>
          <w:sz w:val="20"/>
        </w:rPr>
        <w:t>Termination</w:t>
      </w:r>
    </w:p>
    <w:p>
      <w:pPr>
        <w:pStyle w:val="TextBody"/>
        <w:spacing w:lineRule="auto" w:line="288" w:before="200" w:after="200"/>
        <w:rPr>
          <w:rFonts w:ascii="Times New Roman;sans-serif" w:hAnsi="Times New Roman;sans-serif"/>
          <w:b w:val="false"/>
          <w:color w:val="000000"/>
          <w:sz w:val="20"/>
        </w:rPr>
      </w:pPr>
      <w:r>
        <w:rPr>
          <w:rFonts w:ascii="Times New Roman;sans-serif" w:hAnsi="Times New Roman;sans-serif"/>
          <w:b w:val="false"/>
          <w:color w:val="000000"/>
          <w:sz w:val="20"/>
        </w:rPr>
        <w:t>Pursuant to the Faga Employment Agreement, the Lizzul Employment Agreement and the Loumeau Employment Agreement, in the event that Mr. Faga, Dr. Lizzul or Mr. Loumeau is terminated without “cause” or resigns for “good reason” (each as defined in the applicable employment agreement), provided that each delivers a signed settlement and general release in favor of us and satisfies all conditions to make such release effective, (i) in the case of Mr. Faga, he will receive continued severance payments for twelve months, and in the case of Dr. Lizzul and Mr. Loumeau, nine months, and (ii) and if each elects continuation coverage under the Consolidated Omnibus Budget Reconciliation Act of 1985 (“COBRA”), we will pay directly to the insurance provider of our group health plans, the monthly premium for such continuation coverage for each officer and his family, for twelve months, in the case of Mr. Faga, and nine months, in the case of Dr. Lizzul and Mr. Loumeau, or such earlier date on which coverage with a new employer is obtained.</w:t>
      </w:r>
    </w:p>
    <w:p>
      <w:pPr>
        <w:pStyle w:val="TextBody"/>
        <w:spacing w:lineRule="auto" w:line="288" w:before="200" w:after="200"/>
        <w:rPr>
          <w:rFonts w:ascii="Times New Roman;sans-serif" w:hAnsi="Times New Roman;sans-serif"/>
          <w:b/>
          <w:color w:val="000000"/>
          <w:sz w:val="20"/>
        </w:rPr>
      </w:pPr>
      <w:r>
        <w:rPr>
          <w:rFonts w:ascii="Times New Roman;sans-serif" w:hAnsi="Times New Roman;sans-serif"/>
          <w:b/>
          <w:color w:val="000000"/>
          <w:sz w:val="20"/>
        </w:rPr>
        <w:t>Change in Control</w:t>
      </w:r>
    </w:p>
    <w:p>
      <w:pPr>
        <w:pStyle w:val="TextBody"/>
        <w:spacing w:lineRule="auto" w:line="288" w:before="200" w:after="200"/>
        <w:rPr>
          <w:rFonts w:ascii="Times New Roman;sans-serif" w:hAnsi="Times New Roman;sans-serif"/>
          <w:b w:val="false"/>
          <w:color w:val="000000"/>
          <w:sz w:val="20"/>
        </w:rPr>
      </w:pPr>
      <w:r>
        <w:rPr>
          <w:rFonts w:ascii="Times New Roman;sans-serif" w:hAnsi="Times New Roman;sans-serif"/>
          <w:b w:val="false"/>
          <w:color w:val="000000"/>
          <w:sz w:val="20"/>
        </w:rPr>
        <w:t>Pursuant to the Faga Employment Agreement and certain of his outstanding stock option agreements, if we experience a change of control and Mr. Faga is terminated without “cause” or resigns for “good reason” (each as defined in the Faga Employment Agreement) upon the occurrence of, or within 13 months following, such change of control, and provided that Mr. Faga delivers a signed settlement and general release in favor of us and satisfies all conditions to make such release effective, (i) Mr. Faga will receive the continued severance payments and COBRA premiums described above for eighteen months and (ii) a bonus payment equal to his target bonus payment for the year, (iii) a prorated bonus based on actual achievement by the Company of goals for the year, and (iv) all of Mr. Faga’s outstanding equity awards, including his RSU award, will vest in full. Pursuant to the Faga Employment Agreement, if within the 24-month anniversary of his March 21, 2022 appointment, any payment to Mr. Faga would constitute a “parachute payment” within the meaning of Section 280G of the Internal Revenue Code of 1986 and be subject to an excise tax by Section 4999, then such payment shall be grossed up so that Mr. Faga receives the same amount after imposition of the excise tax as he would have received had no excise tax been imposed.</w:t>
      </w:r>
    </w:p>
    <w:p>
      <w:pPr>
        <w:pStyle w:val="TextBody"/>
        <w:spacing w:lineRule="auto" w:line="288" w:before="200" w:after="200"/>
        <w:rPr>
          <w:rFonts w:ascii="Times New Roman;sans-serif" w:hAnsi="Times New Roman;sans-serif"/>
          <w:b w:val="false"/>
          <w:color w:val="000000"/>
          <w:sz w:val="20"/>
        </w:rPr>
      </w:pPr>
      <w:r>
        <w:rPr>
          <w:rFonts w:ascii="Times New Roman;sans-serif" w:hAnsi="Times New Roman;sans-serif"/>
          <w:b w:val="false"/>
          <w:color w:val="000000"/>
          <w:sz w:val="20"/>
        </w:rPr>
        <w:t>Pursuant to each of the Lizzul Employment Agreement and the Loumeau Employment Agreement, if we experience a change in control and Dr. Lizzul or Mr. Loumeau, as applicable, is terminated without “cause” or resigns for “good reason” (each as defined in each of the Lizzul Employment Agreement and the Loumeau Employment Agreement) upon the occurrence of, or within 13 months following, such change of control, and provided that Dr. Lizzul or Mr. Loumeau, as applicable, delivers a signed settlement and general release in favor of us and satisfies all conditions to make such release effective, (i) Dr. Lizzul or Mr. Loumeau, as applicable, will receive the severance payments and COBRA premiums described above for twelve months, (ii) Dr. Lizzul's or Mr. Loumeau's, as applicable, currently outstanding stock options will vest in full, and (iii) Dr. Lizzul or Mr. Loumeau, as applicable, will receive the full payment of his target bonus and a prorated payment of his actual bonus for the applicable year of termination.</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Each of the Lizzul Employment Agreement and the Loumeau Employment Agreement contains a “better after-tax” provision, which provides that if any of the payments to Dr. Lizzul or Mr. Loumeau, respectively, constitutes a parachute payment under Section 280G of the Code, the payments will either be (i) reduced or (ii) provided in full to the executive, whichever results in the executive receiving the greater amount after taking into consideration the payment of all taxes, including the excise tax under Section 4999 of the Code, in each case based upon the highest marginal rate for the applicable tax.</w:t>
      </w:r>
    </w:p>
    <w:p>
      <w:pPr>
        <w:pStyle w:val="TextBody"/>
        <w:spacing w:lineRule="auto" w:line="288" w:before="200" w:after="200"/>
        <w:rPr>
          <w:rFonts w:ascii="Times New Roman;sans-serif" w:hAnsi="Times New Roman;sans-serif"/>
          <w:b/>
          <w:color w:val="000000"/>
          <w:sz w:val="20"/>
        </w:rPr>
      </w:pPr>
      <w:r>
        <w:rPr>
          <w:rFonts w:ascii="Times New Roman;sans-serif" w:hAnsi="Times New Roman;sans-serif"/>
          <w:b/>
          <w:color w:val="000000"/>
          <w:sz w:val="20"/>
        </w:rPr>
        <w:t>Executive Benefits</w:t>
      </w:r>
    </w:p>
    <w:p>
      <w:pPr>
        <w:pStyle w:val="TextBody"/>
        <w:spacing w:lineRule="auto" w:line="288" w:before="200" w:after="200"/>
        <w:rPr>
          <w:rFonts w:ascii="Times New Roman;sans-serif" w:hAnsi="Times New Roman;sans-serif"/>
          <w:b w:val="false"/>
          <w:color w:val="000000"/>
          <w:sz w:val="20"/>
        </w:rPr>
      </w:pPr>
      <w:r>
        <w:rPr>
          <w:rFonts w:ascii="Times New Roman;sans-serif" w:hAnsi="Times New Roman;sans-serif"/>
          <w:b w:val="false"/>
          <w:color w:val="000000"/>
          <w:sz w:val="20"/>
        </w:rPr>
        <w:t>Our named executive officers are eligible to participate in our employee benefit plans on the same basis as our other employees, including our health and welfare plans.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2"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EQUITY COMPENSATION PLAN INFORMATION</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information as of December 31, 2022 with respect to compensation plans under which shares of our common stock may be issued.</w:t>
      </w:r>
    </w:p>
    <w:tbl>
      <w:tblPr>
        <w:tblW w:w="10205" w:type="dxa"/>
        <w:jc w:val="left"/>
        <w:tblInd w:w="0" w:type="dxa"/>
        <w:tblCellMar>
          <w:top w:w="28" w:type="dxa"/>
          <w:left w:w="28" w:type="dxa"/>
          <w:bottom w:w="28" w:type="dxa"/>
          <w:right w:w="28" w:type="dxa"/>
        </w:tblCellMar>
      </w:tblPr>
      <w:tblGrid>
        <w:gridCol w:w="1017"/>
        <w:gridCol w:w="894"/>
        <w:gridCol w:w="874"/>
        <w:gridCol w:w="109"/>
        <w:gridCol w:w="109"/>
        <w:gridCol w:w="109"/>
        <w:gridCol w:w="786"/>
        <w:gridCol w:w="786"/>
        <w:gridCol w:w="788"/>
        <w:gridCol w:w="109"/>
        <w:gridCol w:w="109"/>
        <w:gridCol w:w="109"/>
        <w:gridCol w:w="789"/>
        <w:gridCol w:w="789"/>
        <w:gridCol w:w="790"/>
        <w:gridCol w:w="109"/>
        <w:gridCol w:w="109"/>
        <w:gridCol w:w="109"/>
        <w:gridCol w:w="499"/>
        <w:gridCol w:w="499"/>
        <w:gridCol w:w="713"/>
      </w:tblGrid>
      <w:tr>
        <w:trPr/>
        <w:tc>
          <w:tcPr>
            <w:tcW w:w="1017"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786" w:type="dxa"/>
            <w:tcBorders/>
            <w:shd w:fill="auto" w:val="clear"/>
            <w:vAlign w:val="center"/>
          </w:tcPr>
          <w:p>
            <w:pPr>
              <w:pStyle w:val="TableContents"/>
              <w:spacing w:before="0" w:after="283"/>
              <w:rPr>
                <w:sz w:val="4"/>
                <w:szCs w:val="4"/>
              </w:rPr>
            </w:pPr>
            <w:r>
              <w:rPr>
                <w:sz w:val="4"/>
                <w:szCs w:val="4"/>
              </w:rPr>
            </w:r>
          </w:p>
        </w:tc>
        <w:tc>
          <w:tcPr>
            <w:tcW w:w="7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89" w:type="dxa"/>
            <w:tcBorders/>
            <w:shd w:fill="auto" w:val="clear"/>
            <w:vAlign w:val="center"/>
          </w:tcPr>
          <w:p>
            <w:pPr>
              <w:pStyle w:val="TableContents"/>
              <w:spacing w:before="0" w:after="283"/>
              <w:rPr>
                <w:sz w:val="4"/>
                <w:szCs w:val="4"/>
              </w:rPr>
            </w:pPr>
            <w:r>
              <w:rPr>
                <w:sz w:val="4"/>
                <w:szCs w:val="4"/>
              </w:rPr>
            </w:r>
          </w:p>
        </w:tc>
        <w:tc>
          <w:tcPr>
            <w:tcW w:w="789" w:type="dxa"/>
            <w:tcBorders/>
            <w:shd w:fill="auto" w:val="clear"/>
            <w:vAlign w:val="center"/>
          </w:tcPr>
          <w:p>
            <w:pPr>
              <w:pStyle w:val="TableContents"/>
              <w:spacing w:before="0" w:after="283"/>
              <w:rPr>
                <w:sz w:val="4"/>
                <w:szCs w:val="4"/>
              </w:rPr>
            </w:pPr>
            <w:r>
              <w:rPr>
                <w:sz w:val="4"/>
                <w:szCs w:val="4"/>
              </w:rPr>
            </w:r>
          </w:p>
        </w:tc>
        <w:tc>
          <w:tcPr>
            <w:tcW w:w="79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713" w:type="dxa"/>
            <w:tcBorders/>
            <w:shd w:fill="auto" w:val="clear"/>
            <w:vAlign w:val="center"/>
          </w:tcPr>
          <w:p>
            <w:pPr>
              <w:pStyle w:val="TableContents"/>
              <w:spacing w:before="0" w:after="283"/>
              <w:rPr>
                <w:sz w:val="4"/>
                <w:szCs w:val="4"/>
              </w:rPr>
            </w:pPr>
            <w:r>
              <w:rPr>
                <w:sz w:val="4"/>
                <w:szCs w:val="4"/>
              </w:rPr>
            </w:r>
          </w:p>
        </w:tc>
      </w:tr>
      <w:tr>
        <w:trPr/>
        <w:tc>
          <w:tcPr>
            <w:tcW w:w="27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Plan category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Number of </w:t>
              <w:br/>
              <w:t xml:space="preserve">securities </w:t>
              <w:br/>
              <w:t xml:space="preserve">to be issued upon </w:t>
              <w:br/>
              <w:t xml:space="preserve">exercise </w:t>
              <w:br/>
              <w:t xml:space="preserve">of outstanding </w:t>
              <w:br/>
              <w:t xml:space="preserve">options, vesting of restricted stock units, warrants </w:t>
              <w:br/>
              <w:t>and rights(#)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8"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Weighted-average </w:t>
              <w:br/>
              <w:t xml:space="preserve">exercise price </w:t>
              <w:br/>
              <w:t xml:space="preserve">of outstanding </w:t>
              <w:br/>
              <w:t xml:space="preserve">options, restricted stock units, warrants </w:t>
              <w:br/>
              <w:t>and rights($)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Number of securities </w:t>
              <w:br/>
              <w:t xml:space="preserve">remaining available </w:t>
              <w:br/>
              <w:t xml:space="preserve">for future issuance under </w:t>
              <w:br/>
              <w:t xml:space="preserve">equity compensation </w:t>
              <w:br/>
              <w:t xml:space="preserve">plans </w:t>
              <w:br/>
              <w:t xml:space="preserve">(excluding securities </w:t>
              <w:br/>
              <w:t xml:space="preserve">reflected in </w:t>
              <w:br/>
              <w:t>column(a)) (#)</w:t>
            </w:r>
          </w:p>
        </w:tc>
      </w:tr>
      <w:tr>
        <w:trPr/>
        <w:tc>
          <w:tcPr>
            <w:tcW w:w="278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36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w:t>
            </w:r>
          </w:p>
        </w:tc>
        <w:tc>
          <w:tcPr>
            <w:tcW w:w="327"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236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(b)</w:t>
            </w:r>
          </w:p>
        </w:tc>
        <w:tc>
          <w:tcPr>
            <w:tcW w:w="327" w:type="dxa"/>
            <w:gridSpan w:val="3"/>
            <w:tcBorders>
              <w:top w:val="single" w:sz="2"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1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w:t>
            </w:r>
          </w:p>
        </w:tc>
      </w:tr>
      <w:tr>
        <w:trPr/>
        <w:tc>
          <w:tcPr>
            <w:tcW w:w="278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Times New Roman;sans-serif" w:hAnsi="Times New Roman;sans-serif"/>
                <w:b w:val="false"/>
                <w:color w:val="000000"/>
                <w:sz w:val="20"/>
              </w:rPr>
              <w:t>Equity compensation plans approved by security holders</w:t>
            </w:r>
            <w:r>
              <w:rPr>
                <w:color w:val="000000"/>
              </w:rPr>
              <w:t xml:space="preserve"> </w:t>
            </w:r>
            <w:r>
              <w:rPr>
                <w:rFonts w:ascii="Times New Roman;sans-serif" w:hAnsi="Times New Roman;sans-serif"/>
                <w:b w:val="false"/>
                <w:color w:val="000000"/>
                <w:sz w:val="13"/>
              </w:rPr>
              <w:t>(1)(2)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0"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4,702,051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8"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2,297,242</w:t>
            </w:r>
          </w:p>
        </w:tc>
      </w:tr>
      <w:tr>
        <w:trPr/>
        <w:tc>
          <w:tcPr>
            <w:tcW w:w="278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compensation plans not approved by security holders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0"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8"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1"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278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4,702,051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68"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1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2,297,242</w:t>
            </w:r>
          </w:p>
        </w:tc>
      </w:tr>
    </w:tbl>
    <w:p>
      <w:pPr>
        <w:pStyle w:val="TextBody"/>
        <w:spacing w:lineRule="auto" w:line="240" w:before="0" w:after="40"/>
        <w:rPr>
          <w:rFonts w:ascii="Times New Roman;sans-serif" w:hAnsi="Times New Roman;sans-serif"/>
          <w:b w:val="false"/>
          <w:color w:val="000000"/>
          <w:sz w:val="20"/>
        </w:rPr>
      </w:pPr>
      <w:r>
        <w:rPr>
          <w:rFonts w:ascii="Times New Roman;sans-serif" w:hAnsi="Times New Roman;sans-serif"/>
          <w:b w:val="false"/>
          <w:color w:val="000000"/>
          <w:sz w:val="20"/>
        </w:rPr>
        <w:t>________________________</w:t>
      </w:r>
    </w:p>
    <w:p>
      <w:pPr>
        <w:pStyle w:val="TextBody"/>
        <w:spacing w:lineRule="auto" w:line="288" w:before="0" w:after="12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(1)    Includes our 2006 Equity Incentive Plan, 2017 Equity Incentive Plan and our 2017 Employee Stock Purchase Plan, and excludes purchase rights accruing under our 2017 Employee Stock Purchase Plan.</w:t>
      </w:r>
    </w:p>
    <w:p>
      <w:pPr>
        <w:pStyle w:val="TextBody"/>
        <w:spacing w:lineRule="auto" w:line="288" w:before="0" w:after="120"/>
        <w:ind w:left="0" w:right="0" w:hanging="360"/>
        <w:rPr>
          <w:rFonts w:ascii="Times New Roman;sans-serif" w:hAnsi="Times New Roman;sans-serif"/>
          <w:b w:val="false"/>
          <w:color w:val="000000"/>
          <w:sz w:val="18"/>
        </w:rPr>
      </w:pPr>
      <w:r>
        <w:rPr>
          <w:rFonts w:ascii="Times New Roman;sans-serif" w:hAnsi="Times New Roman;sans-serif"/>
          <w:b w:val="false"/>
          <w:color w:val="000000"/>
          <w:sz w:val="18"/>
        </w:rPr>
        <w:t>(2)    We have ceased issuing awards under our Amended and Restated 2006 Equity Incentive Plan as of the effective date of our 2017 Equity Incentive Plan. Any shares of common stock that are subject to outstanding awards under the 2006 Equity Incentive Plan that are issuable upon the exercise of stock options that expire or become unexercisable for any reason without having been exercised in full will generally be available for future grant and issuance under our 2017 Equity Incentive Plan. In addition, the number of shares reserved for issuance under our 2017 Equity Incentive Plan increased automatically by 4% on January 1, 2023 and will increase automatically on the first day of January of each of 2023 through 2028 by the number of shares equal to 4% of the total outstanding shares of our common stock as of the immediately preceding December 31 or a lower number approved by our board of directors or compensation committee. There are 1,497,742 shares of common stock available for issuance under the 2017 Employee Stock Purchase Plan and will increase automatically on the first day of January of each of 2023 through 2028 by the number of shares equal to 1% of the total outstanding shares of our common stock as of the immediately preceding December 31 or a lower number approved by our board of directors or compensation committee.</w:t>
      </w:r>
      <w:r>
        <w:br w:type="page"/>
      </w:r>
    </w:p>
    <w:p>
      <w:pPr>
        <w:pStyle w:val="TextBody"/>
        <w:spacing w:before="0" w:after="0"/>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3"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 xml:space="preserve">CERTAIN RELATIONSHIPS AND RELATED-PARTY TRANSACTIONS </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From January 1, 2021 to the present, there have been no transactions, and there are currently no proposed transactions, in which the amount involved exceeds $120,000 to which we or any of our subsidiaries was (or is to be) a party and in which any director, director nominee, executive officer, holder of more than 5% of our capital stock, or any immediate family member of or person sharing the household with any of these individuals, had (or will have) a direct or indirect material interest, except for payments set forth under “Proposal One” and “Executive Compensation” above.</w:t>
      </w:r>
    </w:p>
    <w:p>
      <w:pPr>
        <w:pStyle w:val="TextBody"/>
        <w:spacing w:lineRule="auto" w:line="288" w:before="0" w:after="2"/>
        <w:rPr>
          <w:rFonts w:ascii="Times New Roman;sans-serif" w:hAnsi="Times New Roman;sans-serif"/>
          <w:b/>
          <w:color w:val="000000"/>
          <w:sz w:val="20"/>
        </w:rPr>
      </w:pPr>
      <w:r>
        <w:rPr>
          <w:rFonts w:ascii="Times New Roman;sans-serif" w:hAnsi="Times New Roman;sans-serif"/>
          <w:b/>
          <w:color w:val="000000"/>
          <w:sz w:val="20"/>
        </w:rPr>
        <w:t>Policies and Procedures for Related Party Transactions</w:t>
      </w:r>
    </w:p>
    <w:p>
      <w:pPr>
        <w:pStyle w:val="TextBody"/>
        <w:spacing w:lineRule="auto" w:line="288" w:before="200" w:after="200"/>
        <w:rPr>
          <w:rFonts w:ascii="Times New Roman;sans-serif" w:hAnsi="Times New Roman;sans-serif"/>
          <w:b w:val="false"/>
          <w:color w:val="000000"/>
          <w:sz w:val="20"/>
        </w:rPr>
      </w:pPr>
      <w:r>
        <w:rPr>
          <w:rFonts w:ascii="Times New Roman;sans-serif" w:hAnsi="Times New Roman;sans-serif"/>
          <w:b w:val="false"/>
          <w:color w:val="000000"/>
          <w:sz w:val="20"/>
        </w:rPr>
        <w:t>We adopted a written related person transactions policy providing that our executive officers, directors, nominees for election as a director, beneficial owners of more than 5% of our common stock, and any members of the immediate family of and any entity affiliated with any of the foregoing persons, are not permitted to enter into a transaction with us in which the amount involved exceeds $120,000 without the review and approval of our audit committee, or a committee composed solely of independent directors in the event it is inappropriate for our audit committee to review such transaction due to a conflict of interest. In approving or rejecting any such proposal, our audit committee will consider the relevant facts and circumstances available and deemed relevant to the audit committee, including, but not limited to, whether the transaction is on terms no less favorable than terms generally available to an unaffiliated third party under the same or similar circumstances and the extent of the related person’s interest in the transaction.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4"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 xml:space="preserve">ADDITIONAL INFORMATION </w:t>
      </w:r>
    </w:p>
    <w:p>
      <w:pPr>
        <w:pStyle w:val="TextBody"/>
        <w:spacing w:lineRule="auto" w:line="288" w:before="0" w:after="240"/>
        <w:ind w:left="0" w:right="0" w:firstLine="7"/>
        <w:rPr>
          <w:rFonts w:ascii="Times New Roman;sans-serif" w:hAnsi="Times New Roman;sans-serif"/>
          <w:b/>
          <w:color w:val="000000"/>
          <w:sz w:val="20"/>
        </w:rPr>
      </w:pPr>
      <w:r>
        <w:rPr>
          <w:rFonts w:ascii="Times New Roman;sans-serif" w:hAnsi="Times New Roman;sans-serif"/>
          <w:b/>
          <w:color w:val="000000"/>
          <w:sz w:val="20"/>
        </w:rPr>
        <w:t xml:space="preserve">Stockholder Proposals to be presented at Next Annual Meeting </w:t>
      </w:r>
    </w:p>
    <w:p>
      <w:pPr>
        <w:pStyle w:val="TextBody"/>
        <w:spacing w:lineRule="auto" w:line="288" w:before="0" w:after="200"/>
        <w:rPr/>
      </w:pPr>
      <w:r>
        <w:rPr>
          <w:rFonts w:ascii="Times New Roman;sans-serif" w:hAnsi="Times New Roman;sans-serif"/>
          <w:b w:val="false"/>
          <w:i/>
          <w:color w:val="000000"/>
          <w:sz w:val="20"/>
        </w:rPr>
        <w:t xml:space="preserve">Requirements for Stockholder Proposals to be Brought Before an Annual Meeting. </w:t>
      </w:r>
      <w:r>
        <w:rPr>
          <w:rFonts w:ascii="Times New Roman;sans-serif" w:hAnsi="Times New Roman;sans-serif"/>
          <w:b w:val="false"/>
          <w:color w:val="000000"/>
          <w:sz w:val="20"/>
        </w:rPr>
        <w:t>Our bylaws provide that for stockholder nominations to our board of directors or other proposals to be considered at an annual meeting, the stockholder must give timely notice thereof in writing to the Corporate Secretary at AnaptysBio, Inc., 10770 Wateridge Circle, Suite 210, San Diego, CA 92121.</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To be timely for our company’s 2024 annual meeting of stockholders, a stockholder’s notice must be delivered to or mailed and received by our Corporate Secretary at our principal executive offices not earlier than the close of business on February 29, 2024 and not later than the close of business on March 30, 2024. A stockholder’s notice to the Corporate Secretary must set forth as to each matter the stockholder proposes to bring before the annual meeting the information required by applicable law and our bylaws. In no event will the public announcement of an adjournment or a postponement of our annual meeting commence a new time period for the giving of a stockholder’s notice as provided above.</w:t>
      </w:r>
    </w:p>
    <w:p>
      <w:pPr>
        <w:pStyle w:val="TextBody"/>
        <w:spacing w:lineRule="auto" w:line="288" w:before="0" w:after="200"/>
        <w:rPr/>
      </w:pPr>
      <w:r>
        <w:rPr>
          <w:rFonts w:ascii="Times New Roman;sans-serif" w:hAnsi="Times New Roman;sans-serif"/>
          <w:b w:val="false"/>
          <w:i/>
          <w:color w:val="000000"/>
          <w:sz w:val="20"/>
        </w:rPr>
        <w:t xml:space="preserve">Requirements for Stockholder Proposals to be Considered for Inclusion in our Proxy Materials. </w:t>
      </w:r>
      <w:r>
        <w:rPr>
          <w:rFonts w:ascii="Times New Roman;sans-serif" w:hAnsi="Times New Roman;sans-serif"/>
          <w:b w:val="false"/>
          <w:color w:val="000000"/>
          <w:sz w:val="20"/>
        </w:rPr>
        <w:t>Stockholder proposals submitted pursuant to Rule 14a-8 under the Exchange Act and intended to be presented at our 2024 annual meeting of stockholders must be received by us not later than December 31, 2023 in order to be considered for inclusion in our proxy materials for that meeting. A stockholder’s notice to the Corporate Secretary must set forth as to each matter the stockholder proposes to bring before the annual meeting the information required by applicable law and our bylaws.</w:t>
      </w:r>
    </w:p>
    <w:p>
      <w:pPr>
        <w:pStyle w:val="TextBody"/>
        <w:spacing w:lineRule="auto" w:line="288" w:before="0" w:after="200"/>
        <w:rPr>
          <w:rFonts w:ascii="Times New Roman;sans-serif" w:hAnsi="Times New Roman;sans-serif"/>
          <w:b/>
          <w:color w:val="000000"/>
          <w:sz w:val="20"/>
        </w:rPr>
      </w:pPr>
      <w:r>
        <w:rPr>
          <w:rFonts w:ascii="Times New Roman;sans-serif" w:hAnsi="Times New Roman;sans-serif"/>
          <w:b/>
          <w:color w:val="000000"/>
          <w:sz w:val="20"/>
        </w:rPr>
        <w:t xml:space="preserve">Available Information </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 xml:space="preserve">We will mail without charge, upon written request, a copy of our annual report on Form 10-K for the year ended December 31, 2022, including the financial statements and list of exhibits, and any exhibit specifically requested. Requests should be sent to: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10770 Wateridge Circle, Suite 210</w:t>
      </w:r>
    </w:p>
    <w:p>
      <w:pPr>
        <w:pStyle w:val="TextBody"/>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San Diego, CA 92121</w:t>
      </w:r>
    </w:p>
    <w:p>
      <w:pPr>
        <w:pStyle w:val="TextBody"/>
        <w:spacing w:lineRule="auto" w:line="240" w:before="0" w:after="240"/>
        <w:jc w:val="center"/>
        <w:rPr>
          <w:rFonts w:ascii="Times New Roman;sans-serif" w:hAnsi="Times New Roman;sans-serif"/>
          <w:b/>
          <w:color w:val="000000"/>
          <w:sz w:val="20"/>
        </w:rPr>
      </w:pPr>
      <w:r>
        <w:rPr>
          <w:rFonts w:ascii="Times New Roman;sans-serif" w:hAnsi="Times New Roman;sans-serif"/>
          <w:b/>
          <w:color w:val="000000"/>
          <w:sz w:val="20"/>
        </w:rPr>
        <w:t>Attn: Corporate Secretary</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The annual report on Form 10-K is also available at http://ir.anaptysbio.com.</w:t>
      </w:r>
    </w:p>
    <w:p>
      <w:pPr>
        <w:pStyle w:val="TextBody"/>
        <w:spacing w:lineRule="auto" w:line="288" w:before="0" w:after="2"/>
        <w:rPr>
          <w:color w:val="000000"/>
        </w:rPr>
      </w:pPr>
      <w:r>
        <w:rPr>
          <w:color w:val="000000"/>
        </w:rPr>
        <w:t>“</w:t>
      </w:r>
      <w:r>
        <w:rPr>
          <w:rFonts w:ascii="Times New Roman;sans-serif" w:hAnsi="Times New Roman;sans-serif"/>
          <w:b/>
          <w:color w:val="000000"/>
          <w:sz w:val="20"/>
        </w:rPr>
        <w:t xml:space="preserve">Householding” - Stockholders Sharing the Same Address </w:t>
      </w:r>
    </w:p>
    <w:p>
      <w:pPr>
        <w:pStyle w:val="TextBody"/>
        <w:spacing w:lineRule="auto" w:line="288" w:before="200" w:after="200"/>
        <w:rPr>
          <w:rFonts w:ascii="Times New Roman;sans-serif" w:hAnsi="Times New Roman;sans-serif"/>
          <w:b w:val="false"/>
          <w:color w:val="000000"/>
          <w:sz w:val="20"/>
        </w:rPr>
      </w:pPr>
      <w:r>
        <w:rPr>
          <w:rFonts w:ascii="Times New Roman;sans-serif" w:hAnsi="Times New Roman;sans-serif"/>
          <w:b w:val="false"/>
          <w:color w:val="000000"/>
          <w:sz w:val="20"/>
        </w:rPr>
        <w:t>The SEC has adopted rules that permit companies and intermediaries (such as brokers) to implement a delivery procedure called “householding.” Under this procedure, multiple stockholders who reside at the same address may receive a single copy of our annual report on Form 10-K and proxy materials, including the Notice of Internet Availability, unless the affected stockholder has provided other instructions. This procedure reduces printing costs and postage fees and helps protect the environment as well.</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We expect that a number of brokers with account holders who are our stockholders will be “householding” our annual report on Form 10-K and proxy materials, including the Notice of Internet Availability. A single Notice of Internet Availability and, if applicable, a single set of annual report on Form 10-K and other proxy materials will be delivered to multiple stockholders sharing an address unless contrary instructions have been received from one or more of the affected stockholders. Once you have received notice from your broker that it will be “householding” communications to your address, “householding” will continue until you are notified otherwise or until you revoke your consent. You may revoke your consent at any time by contacting your broker.</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Upon written or oral request, we will undertake to promptly deliver a separate copy of the Notice of Internet Availability and, if applicable, annual report on Form 10-K and other proxy materials to any stockholder at a shared address to which a single copy of any of those documents was delivered. To receive a separate copy of the Notice of Internet Availability and, if applicable, annual report on Form 10-K and other proxy materials, you may write our Corporate Secretary at 10770 Wateridge Circle, Suite 210, San Diego, CA 92121, or call 1 (858) 362-6348.</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 xml:space="preserve">Any stockholders who share the same address and currently receive multiple copies of our Notice of Internet Availability or annual report on Form 10-K and other proxy materials who wish to receive only one copy in the future can contact their </w:t>
      </w:r>
      <w:r>
        <w:br w:type="page"/>
      </w:r>
    </w:p>
    <w:p>
      <w:pPr>
        <w:pStyle w:val="TextBody"/>
        <w:spacing w:before="0" w:after="0"/>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5"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bank, broker or other holder of record to request information about “householding” or our Corporate Secretary at the address or telephone number listed above.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6"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 xml:space="preserve">OTHER MATTERS </w:t>
      </w:r>
    </w:p>
    <w:p>
      <w:pPr>
        <w:pStyle w:val="TextBody"/>
        <w:spacing w:lineRule="auto" w:line="288" w:before="0" w:after="200"/>
        <w:rPr>
          <w:rFonts w:ascii="Times New Roman;sans-serif" w:hAnsi="Times New Roman;sans-serif"/>
          <w:b w:val="false"/>
          <w:color w:val="000000"/>
          <w:sz w:val="20"/>
        </w:rPr>
      </w:pPr>
      <w:r>
        <w:rPr>
          <w:rFonts w:ascii="Times New Roman;sans-serif" w:hAnsi="Times New Roman;sans-serif"/>
          <w:b w:val="false"/>
          <w:color w:val="000000"/>
          <w:sz w:val="20"/>
        </w:rPr>
        <w:t>Our board of directors does not presently intend to bring any other business before the meeting and, so far as is known to the board of directors, no matters are to be brought before the meeting except as specified in the notice of the meeting. As to any business that may arise and properly come before the meeting, however, it is intended that proxies, in the form enclosed, will be voted in respect thereof in accordance with the judgment of the persons voting such proxies.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7"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v:rect>
            </w:pict>
          </mc:Fallback>
        </mc:AlternateContent>
      </w:r>
    </w:p>
    <w:p>
      <w:pPr>
        <w:pStyle w:val="TextBody"/>
        <w:spacing w:lineRule="auto" w:line="288" w:before="0" w:after="0"/>
        <w:jc w:val="center"/>
        <w:rPr/>
      </w:pPr>
      <w:r>
        <w:rPr>
          <w:rFonts w:ascii="Times New Roman;sans-serif" w:hAnsi="Times New Roman;sans-serif"/>
          <w:b/>
          <w:color w:val="000000"/>
          <w:sz w:val="20"/>
        </w:rPr>
        <w:t>APPENDIX A -</w:t>
      </w:r>
      <w:r>
        <w:rPr>
          <w:color w:val="000000"/>
        </w:rPr>
        <w:t xml:space="preserve"> </w:t>
      </w:r>
      <w:r>
        <w:rPr>
          <w:rFonts w:ascii="Times New Roman;sans-serif" w:hAnsi="Times New Roman;sans-serif"/>
          <w:b/>
          <w:color w:val="000000"/>
          <w:sz w:val="20"/>
        </w:rPr>
        <w:t>AMENDED AND RESTATED CERTIFICATE OF INCORPORATION</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ANAPTYSBIO, INC.</w:t>
      </w:r>
    </w:p>
    <w:p>
      <w:pPr>
        <w:pStyle w:val="TextBody"/>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AMENDED AND RESTATED CERTIFICATE OF INCORPORATION</w:t>
      </w:r>
    </w:p>
    <w:p>
      <w:pPr>
        <w:pStyle w:val="TextBody"/>
        <w:spacing w:lineRule="auto" w:line="288" w:before="24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AnaptysBio, Inc., a Delaware corporation, hereby certifies as follows.</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1. The name of the corporation is AnaptysBio, Inc. The date of filing the original Certificate of Incorporation of this company with the Secretary of State of the State of Delaware was November 16, 2005 under the name of Anaptys Biosciences, Inc.</w:t>
      </w:r>
    </w:p>
    <w:p>
      <w:pPr>
        <w:pStyle w:val="TextBody"/>
        <w:spacing w:before="0" w:after="0"/>
        <w:rPr/>
      </w:pPr>
      <w:r>
        <w:rPr/>
      </w:r>
    </w:p>
    <w:p>
      <w:pPr>
        <w:pStyle w:val="TextBody"/>
        <w:spacing w:lineRule="auto" w:line="288" w:before="0" w:after="0"/>
        <w:ind w:left="0" w:right="0" w:firstLine="720"/>
        <w:jc w:val="both"/>
        <w:rPr/>
      </w:pPr>
      <w:r>
        <w:rPr>
          <w:rFonts w:ascii="Times New Roman;sans-serif" w:hAnsi="Times New Roman;sans-serif"/>
          <w:b w:val="false"/>
          <w:color w:val="000000"/>
          <w:sz w:val="20"/>
        </w:rPr>
        <w:t xml:space="preserve">2. The Amended and Restated Certificate of Incorporation of the corporation attached hereto as </w:t>
      </w:r>
      <w:r>
        <w:rPr>
          <w:rFonts w:ascii="Times New Roman;sans-serif" w:hAnsi="Times New Roman;sans-serif"/>
          <w:b w:val="false"/>
          <w:color w:val="000000"/>
          <w:sz w:val="20"/>
          <w:u w:val="single"/>
        </w:rPr>
        <w:t>Exhibit A</w:t>
      </w:r>
      <w:r>
        <w:rPr>
          <w:rFonts w:ascii="Times New Roman;sans-serif" w:hAnsi="Times New Roman;sans-serif"/>
          <w:b w:val="false"/>
          <w:color w:val="000000"/>
          <w:sz w:val="20"/>
        </w:rPr>
        <w:t>, which is incorporated herein by this reference, and which restates, integrates and further amends the provisions of the Certificate of Incorporation of this corporation as previously amended or supplemented, has been duly adopted by the Board of Directors and by the stockholders in accordance with Sections 242 and 245 of the Delaware General Corporation Law, with the approval of the corporation's stockholders having been given by written consent without a meeting in accordance with Section 228 of the Delaware General Corporation Law.</w:t>
      </w:r>
    </w:p>
    <w:p>
      <w:pPr>
        <w:pStyle w:val="TextBody"/>
        <w:spacing w:before="0" w:after="0"/>
        <w:rPr/>
      </w:pPr>
      <w:r>
        <w:rPr/>
      </w:r>
    </w:p>
    <w:p>
      <w:pPr>
        <w:pStyle w:val="TextBody"/>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WITNESS WHEREOF, this corporation has caused this Amended and Restated Certificate of Incorporation to be signed by its duly authorized officer and the foregoing facts stated herein are true and correct.</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Dated: , 2023 </w:t>
      </w:r>
    </w:p>
    <w:tbl>
      <w:tblPr>
        <w:tblW w:w="5602" w:type="dxa"/>
        <w:jc w:val="left"/>
        <w:tblInd w:w="0" w:type="dxa"/>
        <w:tblCellMar>
          <w:top w:w="28" w:type="dxa"/>
          <w:left w:w="28" w:type="dxa"/>
          <w:bottom w:w="28" w:type="dxa"/>
          <w:right w:w="28" w:type="dxa"/>
        </w:tblCellMar>
      </w:tblPr>
      <w:tblGrid>
        <w:gridCol w:w="124"/>
        <w:gridCol w:w="109"/>
        <w:gridCol w:w="109"/>
        <w:gridCol w:w="109"/>
        <w:gridCol w:w="109"/>
        <w:gridCol w:w="109"/>
        <w:gridCol w:w="765"/>
        <w:gridCol w:w="765"/>
        <w:gridCol w:w="765"/>
        <w:gridCol w:w="765"/>
        <w:gridCol w:w="765"/>
        <w:gridCol w:w="1108"/>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65" w:type="dxa"/>
            <w:tcBorders/>
            <w:shd w:fill="auto" w:val="clear"/>
            <w:vAlign w:val="center"/>
          </w:tcPr>
          <w:p>
            <w:pPr>
              <w:pStyle w:val="TableContents"/>
              <w:spacing w:before="0" w:after="283"/>
              <w:rPr>
                <w:sz w:val="4"/>
                <w:szCs w:val="4"/>
              </w:rPr>
            </w:pPr>
            <w:r>
              <w:rPr>
                <w:sz w:val="4"/>
                <w:szCs w:val="4"/>
              </w:rPr>
            </w:r>
          </w:p>
        </w:tc>
        <w:tc>
          <w:tcPr>
            <w:tcW w:w="765" w:type="dxa"/>
            <w:tcBorders/>
            <w:shd w:fill="auto" w:val="clear"/>
            <w:vAlign w:val="center"/>
          </w:tcPr>
          <w:p>
            <w:pPr>
              <w:pStyle w:val="TableContents"/>
              <w:spacing w:before="0" w:after="283"/>
              <w:rPr>
                <w:sz w:val="4"/>
                <w:szCs w:val="4"/>
              </w:rPr>
            </w:pPr>
            <w:r>
              <w:rPr>
                <w:sz w:val="4"/>
                <w:szCs w:val="4"/>
              </w:rPr>
            </w:r>
          </w:p>
        </w:tc>
        <w:tc>
          <w:tcPr>
            <w:tcW w:w="765" w:type="dxa"/>
            <w:tcBorders/>
            <w:shd w:fill="auto" w:val="clear"/>
            <w:vAlign w:val="center"/>
          </w:tcPr>
          <w:p>
            <w:pPr>
              <w:pStyle w:val="TableContents"/>
              <w:spacing w:before="0" w:after="283"/>
              <w:rPr>
                <w:sz w:val="4"/>
                <w:szCs w:val="4"/>
              </w:rPr>
            </w:pPr>
            <w:r>
              <w:rPr>
                <w:sz w:val="4"/>
                <w:szCs w:val="4"/>
              </w:rPr>
            </w:r>
          </w:p>
        </w:tc>
        <w:tc>
          <w:tcPr>
            <w:tcW w:w="765" w:type="dxa"/>
            <w:tcBorders/>
            <w:shd w:fill="auto" w:val="clear"/>
            <w:vAlign w:val="center"/>
          </w:tcPr>
          <w:p>
            <w:pPr>
              <w:pStyle w:val="TableContents"/>
              <w:spacing w:before="0" w:after="283"/>
              <w:rPr>
                <w:sz w:val="4"/>
                <w:szCs w:val="4"/>
              </w:rPr>
            </w:pPr>
            <w:r>
              <w:rPr>
                <w:sz w:val="4"/>
                <w:szCs w:val="4"/>
              </w:rPr>
            </w:r>
          </w:p>
        </w:tc>
        <w:tc>
          <w:tcPr>
            <w:tcW w:w="765" w:type="dxa"/>
            <w:tcBorders/>
            <w:shd w:fill="auto" w:val="clear"/>
            <w:vAlign w:val="center"/>
          </w:tcPr>
          <w:p>
            <w:pPr>
              <w:pStyle w:val="TableContents"/>
              <w:spacing w:before="0" w:after="283"/>
              <w:rPr>
                <w:sz w:val="4"/>
                <w:szCs w:val="4"/>
              </w:rPr>
            </w:pPr>
            <w:r>
              <w:rPr>
                <w:sz w:val="4"/>
                <w:szCs w:val="4"/>
              </w:rPr>
            </w:r>
          </w:p>
        </w:tc>
        <w:tc>
          <w:tcPr>
            <w:tcW w:w="1108" w:type="dxa"/>
            <w:tcBorders/>
            <w:shd w:fill="auto" w:val="clear"/>
            <w:vAlign w:val="center"/>
          </w:tcPr>
          <w:p>
            <w:pPr>
              <w:pStyle w:val="TableContents"/>
              <w:spacing w:before="0" w:after="283"/>
              <w:rPr>
                <w:sz w:val="4"/>
                <w:szCs w:val="4"/>
              </w:rPr>
            </w:pPr>
            <w:r>
              <w:rPr>
                <w:sz w:val="4"/>
                <w:szCs w:val="4"/>
              </w:rPr>
            </w:r>
          </w:p>
        </w:tc>
      </w:tr>
      <w:tr>
        <w:trPr/>
        <w:tc>
          <w:tcPr>
            <w:tcW w:w="66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33"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AnaptysBio, Inc.</w:t>
            </w:r>
          </w:p>
        </w:tc>
      </w:tr>
      <w:tr>
        <w:trPr/>
        <w:tc>
          <w:tcPr>
            <w:tcW w:w="66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33" w:type="dxa"/>
            <w:gridSpan w:val="6"/>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By: /s/ Eric Loumeau</w:t>
            </w:r>
          </w:p>
        </w:tc>
      </w:tr>
      <w:tr>
        <w:trPr/>
        <w:tc>
          <w:tcPr>
            <w:tcW w:w="66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33" w:type="dxa"/>
            <w:gridSpan w:val="6"/>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Name: Eric Loumeau</w:t>
            </w:r>
          </w:p>
        </w:tc>
      </w:tr>
      <w:tr>
        <w:trPr/>
        <w:tc>
          <w:tcPr>
            <w:tcW w:w="669"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933" w:type="dxa"/>
            <w:gridSpan w:val="6"/>
            <w:tcBorders/>
            <w:shd w:fill="auto" w:val="clear"/>
            <w:tcMar>
              <w:top w:w="0" w:type="dxa"/>
              <w:left w:w="0" w:type="dxa"/>
              <w:bottom w:w="0" w:type="dxa"/>
              <w:right w:w="0" w:type="dxa"/>
            </w:tcMar>
            <w:vAlign w:val="center"/>
          </w:tcPr>
          <w:p>
            <w:pPr>
              <w:pStyle w:val="TableContents"/>
              <w:spacing w:lineRule="auto" w:line="26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Title: Chief Operating Officer and General Counsel</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8" name="Frame4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v:rect>
            </w:pict>
          </mc:Fallback>
        </mc:AlternateContent>
      </w:r>
    </w:p>
    <w:p>
      <w:pPr>
        <w:pStyle w:val="TextBody"/>
        <w:spacing w:lineRule="auto" w:line="288" w:before="0" w:after="0"/>
        <w:jc w:val="center"/>
        <w:rPr>
          <w:rFonts w:ascii="Times New Roman;sans-serif" w:hAnsi="Times New Roman;sans-serif"/>
          <w:b/>
          <w:color w:val="000000"/>
          <w:sz w:val="20"/>
          <w:u w:val="single"/>
        </w:rPr>
      </w:pPr>
      <w:r>
        <w:rPr>
          <w:rFonts w:ascii="Times New Roman;sans-serif" w:hAnsi="Times New Roman;sans-serif"/>
          <w:b/>
          <w:color w:val="000000"/>
          <w:sz w:val="20"/>
          <w:u w:val="single"/>
        </w:rPr>
        <w:t>EXHIBIT A</w:t>
      </w:r>
    </w:p>
    <w:p>
      <w:pPr>
        <w:pStyle w:val="TextBody"/>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ANAPTYSBIO, INC.</w:t>
      </w:r>
    </w:p>
    <w:p>
      <w:pPr>
        <w:pStyle w:val="TextBody"/>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AMENDED AND RESTATED CERTIFICATE OF INCORPORATION</w:t>
      </w:r>
    </w:p>
    <w:p>
      <w:pPr>
        <w:pStyle w:val="TextBody"/>
        <w:spacing w:lineRule="auto" w:line="288" w:before="180" w:after="283"/>
        <w:jc w:val="center"/>
        <w:rPr/>
      </w:pPr>
      <w:r>
        <w:rPr>
          <w:rFonts w:ascii="Times New Roman;sans-serif" w:hAnsi="Times New Roman;sans-serif"/>
          <w:b/>
          <w:color w:val="010000"/>
          <w:sz w:val="20"/>
        </w:rPr>
        <w:t xml:space="preserve">Article I: </w:t>
      </w:r>
      <w:r>
        <w:rPr>
          <w:rFonts w:ascii="Times New Roman;sans-serif" w:hAnsi="Times New Roman;sans-serif"/>
          <w:b/>
          <w:color w:val="000000"/>
          <w:sz w:val="20"/>
        </w:rPr>
        <w:t>NAME</w:t>
      </w:r>
    </w:p>
    <w:p>
      <w:pPr>
        <w:pStyle w:val="TextBody"/>
        <w:spacing w:lineRule="auto" w:line="288" w:before="120" w:after="283"/>
        <w:ind w:left="0" w:right="0" w:firstLine="450"/>
        <w:jc w:val="both"/>
        <w:rPr/>
      </w:pPr>
      <w:r>
        <w:rPr>
          <w:rFonts w:ascii="Times New Roman;sans-serif" w:hAnsi="Times New Roman;sans-serif"/>
          <w:b w:val="false"/>
          <w:color w:val="000000"/>
          <w:sz w:val="20"/>
        </w:rPr>
        <w:t>The name of the corporation is AnaptysBio, Inc. (the “</w:t>
      </w:r>
      <w:r>
        <w:rPr>
          <w:rFonts w:ascii="Times New Roman;sans-serif" w:hAnsi="Times New Roman;sans-serif"/>
          <w:b/>
          <w:i/>
          <w:color w:val="000000"/>
          <w:sz w:val="20"/>
        </w:rPr>
        <w:t>Corporation</w:t>
      </w:r>
      <w:r>
        <w:rPr>
          <w:color w:val="000000"/>
        </w:rPr>
        <w:t>”</w:t>
      </w:r>
      <w:r>
        <w:rPr>
          <w:rFonts w:ascii="Times New Roman;sans-serif" w:hAnsi="Times New Roman;sans-serif"/>
          <w:b w:val="false"/>
          <w:color w:val="000000"/>
          <w:sz w:val="20"/>
        </w:rPr>
        <w:t>).</w:t>
      </w:r>
    </w:p>
    <w:p>
      <w:pPr>
        <w:pStyle w:val="TextBody"/>
        <w:spacing w:lineRule="auto" w:line="288" w:before="180" w:after="283"/>
        <w:jc w:val="center"/>
        <w:rPr/>
      </w:pPr>
      <w:r>
        <w:rPr>
          <w:rFonts w:ascii="Times New Roman;sans-serif" w:hAnsi="Times New Roman;sans-serif"/>
          <w:b/>
          <w:color w:val="010000"/>
          <w:sz w:val="20"/>
        </w:rPr>
        <w:t>ARTICLE II: AGENT</w:t>
      </w:r>
      <w:r>
        <w:rPr>
          <w:color w:val="000000"/>
        </w:rPr>
        <w:t xml:space="preserve"> </w:t>
      </w:r>
      <w:r>
        <w:rPr>
          <w:rFonts w:ascii="Times New Roman;sans-serif" w:hAnsi="Times New Roman;sans-serif"/>
          <w:b/>
          <w:color w:val="000000"/>
          <w:sz w:val="20"/>
        </w:rPr>
        <w:t>FOR SERVICE OF PROCESS</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The address of the registered office of this Corporation in the State of Delaware is 1209 Orange Street, City of Wilmington, County of New Castle, Zip Code 19801, and the name of the registered agent of the Corporation in the State of Delaware at such address is The Corporation Trust Company.</w:t>
      </w:r>
    </w:p>
    <w:p>
      <w:pPr>
        <w:pStyle w:val="TextBody"/>
        <w:spacing w:lineRule="auto" w:line="288" w:before="180" w:after="283"/>
        <w:jc w:val="center"/>
        <w:rPr/>
      </w:pPr>
      <w:r>
        <w:rPr>
          <w:rFonts w:ascii="Times New Roman;sans-serif" w:hAnsi="Times New Roman;sans-serif"/>
          <w:b/>
          <w:color w:val="000000"/>
          <w:sz w:val="20"/>
        </w:rPr>
        <w:t>ARTICLE</w:t>
      </w:r>
      <w:r>
        <w:rPr>
          <w:color w:val="010000"/>
        </w:rPr>
        <w:t xml:space="preserve"> </w:t>
      </w:r>
      <w:r>
        <w:rPr>
          <w:rFonts w:ascii="Times New Roman;sans-serif" w:hAnsi="Times New Roman;sans-serif"/>
          <w:b/>
          <w:color w:val="010000"/>
          <w:sz w:val="20"/>
        </w:rPr>
        <w:t xml:space="preserve">III: </w:t>
      </w:r>
      <w:r>
        <w:rPr>
          <w:rFonts w:ascii="Times New Roman;sans-serif" w:hAnsi="Times New Roman;sans-serif"/>
          <w:b/>
          <w:color w:val="000000"/>
          <w:sz w:val="20"/>
        </w:rPr>
        <w:t>PURPOSE</w:t>
      </w:r>
    </w:p>
    <w:p>
      <w:pPr>
        <w:pStyle w:val="TextBody"/>
        <w:spacing w:lineRule="auto" w:line="288" w:before="120" w:after="283"/>
        <w:ind w:left="0" w:right="0" w:firstLine="450"/>
        <w:jc w:val="both"/>
        <w:rPr/>
      </w:pPr>
      <w:r>
        <w:rPr>
          <w:rFonts w:ascii="Times New Roman;sans-serif" w:hAnsi="Times New Roman;sans-serif"/>
          <w:b w:val="false"/>
          <w:color w:val="000000"/>
          <w:sz w:val="20"/>
        </w:rPr>
        <w:t>The purpose of the Corporation is to engage in any lawful act or activity for which corporations may be organized under the Delaware General Corporation Law (“</w:t>
      </w:r>
      <w:r>
        <w:rPr>
          <w:rFonts w:ascii="Times New Roman;sans-serif" w:hAnsi="Times New Roman;sans-serif"/>
          <w:b/>
          <w:i/>
          <w:color w:val="000000"/>
          <w:sz w:val="20"/>
        </w:rPr>
        <w:t>DGCL</w:t>
      </w:r>
      <w:r>
        <w:rPr>
          <w:color w:val="000000"/>
        </w:rPr>
        <w:t>”</w:t>
      </w:r>
      <w:r>
        <w:rPr>
          <w:rFonts w:ascii="Times New Roman;sans-serif" w:hAnsi="Times New Roman;sans-serif"/>
          <w:b w:val="false"/>
          <w:color w:val="000000"/>
          <w:sz w:val="20"/>
        </w:rPr>
        <w:t>).</w:t>
      </w:r>
    </w:p>
    <w:p>
      <w:pPr>
        <w:pStyle w:val="TextBody"/>
        <w:spacing w:lineRule="auto" w:line="288" w:before="180" w:after="283"/>
        <w:jc w:val="center"/>
        <w:rPr/>
      </w:pPr>
      <w:r>
        <w:rPr>
          <w:rFonts w:ascii="Times New Roman;sans-serif" w:hAnsi="Times New Roman;sans-serif"/>
          <w:b/>
          <w:color w:val="010000"/>
          <w:sz w:val="20"/>
        </w:rPr>
        <w:t xml:space="preserve">ARTICLE IV: </w:t>
      </w:r>
      <w:r>
        <w:rPr>
          <w:rFonts w:ascii="Times New Roman;sans-serif" w:hAnsi="Times New Roman;sans-serif"/>
          <w:b/>
          <w:color w:val="000000"/>
          <w:sz w:val="20"/>
        </w:rPr>
        <w:t>AUTHORIZED STOCK</w:t>
      </w:r>
    </w:p>
    <w:p>
      <w:pPr>
        <w:pStyle w:val="TextBody"/>
        <w:spacing w:lineRule="auto" w:line="288" w:before="120" w:after="283"/>
        <w:ind w:left="0" w:right="0" w:firstLine="450"/>
        <w:jc w:val="both"/>
        <w:rPr/>
      </w:pPr>
      <w:r>
        <w:rPr>
          <w:rFonts w:ascii="Times New Roman;sans-serif" w:hAnsi="Times New Roman;sans-serif"/>
          <w:b/>
          <w:color w:val="010000"/>
          <w:sz w:val="20"/>
        </w:rPr>
        <w:t>1.</w:t>
      </w:r>
      <w:r>
        <w:rPr>
          <w:color w:val="000000"/>
        </w:rPr>
        <w:t xml:space="preserve"> </w:t>
      </w:r>
      <w:r>
        <w:rPr>
          <w:rFonts w:ascii="Times New Roman;sans-serif" w:hAnsi="Times New Roman;sans-serif"/>
          <w:b/>
          <w:color w:val="000000"/>
          <w:sz w:val="20"/>
          <w:u w:val="single"/>
        </w:rPr>
        <w:t>Total Authorized</w:t>
      </w:r>
      <w:r>
        <w:rPr>
          <w:rFonts w:ascii="Times New Roman;sans-serif" w:hAnsi="Times New Roman;sans-serif"/>
          <w:b w:val="false"/>
          <w:color w:val="000000"/>
          <w:sz w:val="20"/>
        </w:rPr>
        <w:t>. The total number of shares of all classes of stock that the Corporation has authority to issue is Five Hundred and Ten Million (510,000,000) shares, consisting of two classes: Five Hundred Million (500,000,000) shares of Common Stock, $0.001 par value per share (“</w:t>
      </w:r>
      <w:r>
        <w:rPr>
          <w:rFonts w:ascii="Times New Roman;sans-serif" w:hAnsi="Times New Roman;sans-serif"/>
          <w:b/>
          <w:i/>
          <w:color w:val="000000"/>
          <w:sz w:val="20"/>
        </w:rPr>
        <w:t>Common Stock</w:t>
      </w:r>
      <w:r>
        <w:rPr>
          <w:color w:val="000000"/>
        </w:rPr>
        <w:t>”</w:t>
      </w:r>
      <w:r>
        <w:rPr>
          <w:rFonts w:ascii="Times New Roman;sans-serif" w:hAnsi="Times New Roman;sans-serif"/>
          <w:b w:val="false"/>
          <w:color w:val="000000"/>
          <w:sz w:val="20"/>
        </w:rPr>
        <w:t>), and Ten Million (10,000,000) shares of Preferred Stock, $0.001 par value per share (“</w:t>
      </w:r>
      <w:r>
        <w:rPr>
          <w:rFonts w:ascii="Times New Roman;sans-serif" w:hAnsi="Times New Roman;sans-serif"/>
          <w:b/>
          <w:i/>
          <w:color w:val="000000"/>
          <w:sz w:val="20"/>
        </w:rPr>
        <w:t>Preferred Stock</w:t>
      </w:r>
      <w:r>
        <w:rPr>
          <w:color w:val="000000"/>
        </w:rPr>
        <w:t>”</w:t>
      </w:r>
      <w:r>
        <w:rPr>
          <w:rFonts w:ascii="Times New Roman;sans-serif" w:hAnsi="Times New Roman;sans-serif"/>
          <w:b w:val="false"/>
          <w:color w:val="000000"/>
          <w:sz w:val="20"/>
        </w:rPr>
        <w:t>).</w:t>
      </w:r>
    </w:p>
    <w:p>
      <w:pPr>
        <w:pStyle w:val="TextBody"/>
        <w:spacing w:lineRule="auto" w:line="288" w:before="120" w:after="283"/>
        <w:ind w:left="0" w:right="0" w:firstLine="450"/>
        <w:jc w:val="both"/>
        <w:rPr/>
      </w:pPr>
      <w:r>
        <w:rPr>
          <w:rFonts w:ascii="Times New Roman;sans-serif" w:hAnsi="Times New Roman;sans-serif"/>
          <w:b/>
          <w:color w:val="010000"/>
          <w:sz w:val="20"/>
        </w:rPr>
        <w:t>2.</w:t>
      </w:r>
      <w:r>
        <w:rPr>
          <w:color w:val="000000"/>
        </w:rPr>
        <w:t xml:space="preserve"> </w:t>
      </w:r>
      <w:r>
        <w:rPr>
          <w:rFonts w:ascii="Times New Roman;sans-serif" w:hAnsi="Times New Roman;sans-serif"/>
          <w:b/>
          <w:color w:val="010000"/>
          <w:sz w:val="20"/>
          <w:u w:val="single"/>
        </w:rPr>
        <w:t>Designation</w:t>
      </w:r>
      <w:r>
        <w:rPr>
          <w:color w:val="000000"/>
          <w:u w:val="single"/>
        </w:rPr>
        <w:t xml:space="preserve"> </w:t>
      </w:r>
      <w:r>
        <w:rPr>
          <w:rFonts w:ascii="Times New Roman;sans-serif" w:hAnsi="Times New Roman;sans-serif"/>
          <w:b/>
          <w:color w:val="000000"/>
          <w:sz w:val="20"/>
          <w:u w:val="single"/>
        </w:rPr>
        <w:t>of Additional Series</w:t>
      </w:r>
      <w:r>
        <w:rPr>
          <w:rFonts w:ascii="Times New Roman;sans-serif" w:hAnsi="Times New Roman;sans-serif"/>
          <w:b w:val="false"/>
          <w:color w:val="000000"/>
          <w:sz w:val="20"/>
          <w:u w:val="single"/>
        </w:rPr>
        <w:t>.</w:t>
      </w:r>
      <w:r>
        <w:rPr>
          <w:color w:val="000000"/>
        </w:rPr>
        <w:t xml:space="preserve"> </w:t>
      </w:r>
    </w:p>
    <w:p>
      <w:pPr>
        <w:pStyle w:val="TextBody"/>
        <w:spacing w:before="0" w:after="0"/>
        <w:rPr/>
      </w:pPr>
      <w:r>
        <w:rPr/>
      </w:r>
    </w:p>
    <w:p>
      <w:pPr>
        <w:pStyle w:val="TextBody"/>
        <w:spacing w:lineRule="auto" w:line="288" w:before="0" w:after="0"/>
        <w:ind w:left="0" w:right="0" w:firstLine="1440"/>
        <w:jc w:val="both"/>
        <w:rPr/>
      </w:pPr>
      <w:r>
        <w:rPr>
          <w:rFonts w:ascii="Times New Roman;sans-serif" w:hAnsi="Times New Roman;sans-serif"/>
          <w:b w:val="false"/>
          <w:color w:val="010000"/>
          <w:sz w:val="20"/>
        </w:rPr>
        <w:t>2.1.</w:t>
      </w:r>
      <w:r>
        <w:rPr>
          <w:color w:val="000000"/>
        </w:rPr>
        <w:t xml:space="preserve"> </w:t>
      </w:r>
      <w:r>
        <w:rPr>
          <w:rFonts w:ascii="Times New Roman;sans-serif" w:hAnsi="Times New Roman;sans-serif"/>
          <w:b w:val="false"/>
          <w:color w:val="000000"/>
          <w:sz w:val="20"/>
        </w:rPr>
        <w:t>The Board of Directors of the Corporation (the “</w:t>
      </w:r>
      <w:r>
        <w:rPr>
          <w:rFonts w:ascii="Times New Roman;sans-serif" w:hAnsi="Times New Roman;sans-serif"/>
          <w:b/>
          <w:i/>
          <w:color w:val="000000"/>
          <w:sz w:val="20"/>
        </w:rPr>
        <w:t>Board</w:t>
      </w:r>
      <w:r>
        <w:rPr>
          <w:color w:val="000000"/>
        </w:rPr>
        <w:t>”</w:t>
      </w:r>
      <w:r>
        <w:rPr>
          <w:rFonts w:ascii="Times New Roman;sans-serif" w:hAnsi="Times New Roman;sans-serif"/>
          <w:b w:val="false"/>
          <w:color w:val="000000"/>
          <w:sz w:val="20"/>
        </w:rPr>
        <w:t>) is authorized, subject to any limitations prescribed by the law of the State of Delaware, to provide for the issuance of the shares of Preferred Stock in one or more series, and, by filing a Certificate of Designation pursuant to the applicable law of the State of Delaware, to establish from time to time the number of shares to be included in each such series, to fix the designation, vesting, powers, preferences and relative, participating, optional or other rights, if any, of the shares of each such series and any qualifications, limitations or restrictions thereof, and to increase (but not above the total number of authorized shares of the class) or decrease (but not below the number of shares of such series then outstanding) the number of shares of any such series. The number of authorized shares of Preferred Stock may also be increased or decreased (but not below the number of shares thereof then outstanding) by the affirmative vote of the holders of two-thirds of the voting power of all the then-outstanding shares of capital stock of the Corporation entitled to vote thereon, without a vote of the holders of the Preferred Stock, unless a vote of any such holders is required pursuant to the terms of any certificate or certificates establishing a series of Preferred Stock.</w:t>
      </w:r>
    </w:p>
    <w:p>
      <w:pPr>
        <w:pStyle w:val="TextBody"/>
        <w:spacing w:before="0" w:after="0"/>
        <w:rPr/>
      </w:pPr>
      <w:r>
        <w:rPr/>
      </w:r>
    </w:p>
    <w:p>
      <w:pPr>
        <w:pStyle w:val="TextBody"/>
        <w:spacing w:lineRule="auto" w:line="288" w:before="0" w:after="0"/>
        <w:ind w:left="0" w:right="0" w:firstLine="1440"/>
        <w:jc w:val="both"/>
        <w:rPr/>
      </w:pPr>
      <w:r>
        <w:rPr>
          <w:rFonts w:ascii="Times New Roman;sans-serif" w:hAnsi="Times New Roman;sans-serif"/>
          <w:b w:val="false"/>
          <w:color w:val="010000"/>
          <w:sz w:val="20"/>
        </w:rPr>
        <w:t>2.2.</w:t>
      </w:r>
      <w:r>
        <w:rPr>
          <w:color w:val="000000"/>
        </w:rPr>
        <w:t xml:space="preserve"> </w:t>
      </w:r>
      <w:r>
        <w:rPr>
          <w:rFonts w:ascii="Times New Roman;sans-serif" w:hAnsi="Times New Roman;sans-serif"/>
          <w:b w:val="false"/>
          <w:color w:val="000000"/>
          <w:sz w:val="20"/>
        </w:rPr>
        <w:t>Except as otherwise expressly provided in any Certificate of Designation designating any series of Preferred Stock pursuant to the foregoing provisions of this Article IV, any new series of Preferred Stock may be designated, fixed and determined as provided herein by the Board without approval of the holders of Common Stock or the holders of Preferred Stock, or any series thereof, and any such new series may have powers, preferences and rights, including, without limitation, voting rights, dividend rights, liquidation rights, redemption rights and conversion rights, senior to, junior to or pari passu with the rights of the Common Stock, the Preferred Stock or any future class or series of Preferred Stock or Common Stock.</w:t>
      </w:r>
    </w:p>
    <w:p>
      <w:pPr>
        <w:pStyle w:val="TextBody"/>
        <w:spacing w:before="0" w:after="0"/>
        <w:rPr/>
      </w:pPr>
      <w:r>
        <w:rPr/>
      </w:r>
    </w:p>
    <w:p>
      <w:pPr>
        <w:pStyle w:val="TextBody"/>
        <w:spacing w:lineRule="auto" w:line="288"/>
        <w:ind w:left="0" w:right="0" w:firstLine="1440"/>
        <w:jc w:val="both"/>
        <w:rPr/>
      </w:pPr>
      <w:r>
        <w:rPr>
          <w:rFonts w:ascii="Times New Roman;sans-serif" w:hAnsi="Times New Roman;sans-serif"/>
          <w:b w:val="false"/>
          <w:color w:val="010000"/>
          <w:sz w:val="20"/>
        </w:rPr>
        <w:t>2.3.</w:t>
      </w:r>
      <w:r>
        <w:rPr>
          <w:color w:val="000000"/>
        </w:rPr>
        <w:t xml:space="preserve"> </w:t>
      </w:r>
      <w:r>
        <w:rPr>
          <w:rFonts w:ascii="Times New Roman;sans-serif" w:hAnsi="Times New Roman;sans-serif"/>
          <w:b w:val="false"/>
          <w:color w:val="000000"/>
          <w:sz w:val="20"/>
        </w:rPr>
        <w:t xml:space="preserve">Each outstanding share of Common Stock shall entitle the holder thereof to one vote on each matter properly submitted to the stockholders of the Corporation for their vote; </w:t>
      </w:r>
      <w:r>
        <w:rPr>
          <w:rFonts w:ascii="Times New Roman;sans-serif" w:hAnsi="Times New Roman;sans-serif"/>
          <w:b w:val="false"/>
          <w:i/>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u w:val="single"/>
        </w:rPr>
        <w:t>however</w:t>
      </w:r>
      <w:r>
        <w:rPr>
          <w:rFonts w:ascii="Times New Roman;sans-serif" w:hAnsi="Times New Roman;sans-serif"/>
          <w:b w:val="false"/>
          <w:color w:val="000000"/>
          <w:sz w:val="20"/>
        </w:rPr>
        <w:t>, that, except as otherwise required by law, holders of Common Stock shall not be entitled to vote on any amendment to this Amended and Restated Certificate of Incorporation (including any Certificate of Designation relating to any series of Preferred Stock) that relates solely to the terms of one or more outstanding series of Preferred Stock if the holders of such affected series are entitled, either separately or together as a class with the holders of one or more other such series, to vote thereon pursuant to this Amended and Restated Certificate of Incorporation (including any Certificate of Designation relating to any series of Preferred Stock).</w:t>
      </w:r>
      <w:r>
        <w:br w:type="page"/>
      </w:r>
    </w:p>
    <w:p>
      <w:pPr>
        <w:pStyle w:val="TextBody"/>
        <w:spacing w:before="0" w:after="0"/>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9" name="Frame4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v:rect>
            </w:pict>
          </mc:Fallback>
        </mc:AlternateContent>
      </w:r>
    </w:p>
    <w:p>
      <w:pPr>
        <w:pStyle w:val="TextBody"/>
        <w:spacing w:lineRule="auto" w:line="288" w:before="180" w:after="283"/>
        <w:jc w:val="center"/>
        <w:rPr/>
      </w:pPr>
      <w:r>
        <w:rPr>
          <w:rFonts w:ascii="Times New Roman;sans-serif" w:hAnsi="Times New Roman;sans-serif"/>
          <w:b/>
          <w:color w:val="010000"/>
          <w:sz w:val="20"/>
        </w:rPr>
        <w:t>ARTICLE V: AMENDMENT</w:t>
      </w:r>
      <w:r>
        <w:rPr>
          <w:color w:val="000000"/>
        </w:rPr>
        <w:t xml:space="preserve"> </w:t>
      </w:r>
      <w:r>
        <w:rPr>
          <w:rFonts w:ascii="Times New Roman;sans-serif" w:hAnsi="Times New Roman;sans-serif"/>
          <w:b/>
          <w:color w:val="000000"/>
          <w:sz w:val="20"/>
        </w:rPr>
        <w:t>OF BYLAWS</w:t>
      </w:r>
    </w:p>
    <w:p>
      <w:pPr>
        <w:pStyle w:val="TextBody"/>
        <w:spacing w:lineRule="auto" w:line="288" w:before="120" w:after="283"/>
        <w:ind w:left="0" w:right="0" w:firstLine="450"/>
        <w:jc w:val="both"/>
        <w:rPr/>
      </w:pPr>
      <w:r>
        <w:rPr>
          <w:rFonts w:ascii="Times New Roman;sans-serif" w:hAnsi="Times New Roman;sans-serif"/>
          <w:b w:val="false"/>
          <w:color w:val="000000"/>
          <w:sz w:val="20"/>
        </w:rPr>
        <w:t>The Board shall have the power to adopt, amend or repeal the Bylaws of the Corporation. Any adoption, amendment or repeal of the Bylaws of the Corporation by the Board shall require the approval of a majority of the Whole Board. For purposes of this Amended and Restated Certificate of Incorporation, the term “</w:t>
      </w:r>
      <w:r>
        <w:rPr>
          <w:rFonts w:ascii="Times New Roman;sans-serif" w:hAnsi="Times New Roman;sans-serif"/>
          <w:b/>
          <w:i/>
          <w:color w:val="000000"/>
          <w:sz w:val="20"/>
        </w:rPr>
        <w:t>Whole</w:t>
      </w:r>
      <w:r>
        <w:rPr>
          <w:color w:val="000000"/>
        </w:rPr>
        <w:t xml:space="preserve"> </w:t>
      </w:r>
      <w:r>
        <w:rPr>
          <w:rFonts w:ascii="Times New Roman;sans-serif" w:hAnsi="Times New Roman;sans-serif"/>
          <w:b/>
          <w:i/>
          <w:color w:val="000000"/>
          <w:sz w:val="20"/>
        </w:rPr>
        <w:t>Board</w:t>
      </w:r>
      <w:r>
        <w:rPr>
          <w:color w:val="000000"/>
        </w:rPr>
        <w:t xml:space="preserve">” </w:t>
      </w:r>
      <w:r>
        <w:rPr>
          <w:rFonts w:ascii="Times New Roman;sans-serif" w:hAnsi="Times New Roman;sans-serif"/>
          <w:b w:val="false"/>
          <w:color w:val="000000"/>
          <w:sz w:val="20"/>
        </w:rPr>
        <w:t xml:space="preserve">shall mean the total number of authorized directors whether or not there exist any vacancies in previously authorized directorships. The stockholders shall also have power to adopt, amend or repeal the Bylaws of the Corporation; </w:t>
      </w:r>
      <w:r>
        <w:rPr>
          <w:rFonts w:ascii="Times New Roman;sans-serif" w:hAnsi="Times New Roman;sans-serif"/>
          <w:b w:val="false"/>
          <w:i/>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u w:val="single"/>
        </w:rPr>
        <w:t>however</w:t>
      </w:r>
      <w:r>
        <w:rPr>
          <w:rFonts w:ascii="Times New Roman;sans-serif" w:hAnsi="Times New Roman;sans-serif"/>
          <w:b w:val="false"/>
          <w:color w:val="000000"/>
          <w:sz w:val="20"/>
        </w:rPr>
        <w:t>, that in addition to any vote of the holders of any class or series of stock of the Corporation required by law or by this Amended and Restated Certificate of Incorporation (including any Preferred Stock issued pursuant to a Certificate of Designation), the affirmative vote of the holders of at least two-thirds of the voting power of all of the then-outstanding shares of the capital stock of the Corporation entitled to vote generally in the election of directors, voting together as a single class, shall be required to adopt, amend or repeal any provision of the Bylaws of the Corporation; provided, further, that if two-thirds of the Whole Board has approved such adoption, amendment or repeal of any provisions of the Bylaws, then only the affirmative vote of the holders of at least a majority of the voting power of all of the then-outstanding shares of the capital stock of the Corporation entitled to vote thereon, voting together as a single class, shall be required to adopt, amend or repeal any provision of the Bylaws of the Corporation.</w:t>
      </w:r>
    </w:p>
    <w:p>
      <w:pPr>
        <w:pStyle w:val="TextBody"/>
        <w:spacing w:lineRule="auto" w:line="288" w:before="180" w:after="283"/>
        <w:jc w:val="center"/>
        <w:rPr/>
      </w:pPr>
      <w:r>
        <w:rPr>
          <w:rFonts w:ascii="Times New Roman;sans-serif" w:hAnsi="Times New Roman;sans-serif"/>
          <w:b/>
          <w:color w:val="010000"/>
          <w:sz w:val="20"/>
        </w:rPr>
        <w:t xml:space="preserve">ARTICLE VI: </w:t>
      </w:r>
      <w:r>
        <w:rPr>
          <w:rFonts w:ascii="Times New Roman;sans-serif" w:hAnsi="Times New Roman;sans-serif"/>
          <w:b/>
          <w:color w:val="000000"/>
          <w:sz w:val="20"/>
        </w:rPr>
        <w:t xml:space="preserve">MATTERS </w:t>
      </w:r>
      <w:r>
        <w:rPr>
          <w:rFonts w:ascii="Times New Roman;sans-serif" w:hAnsi="Times New Roman;sans-serif"/>
          <w:b/>
          <w:color w:val="010000"/>
          <w:sz w:val="20"/>
        </w:rPr>
        <w:t>RELATING</w:t>
      </w:r>
      <w:r>
        <w:rPr>
          <w:color w:val="000000"/>
        </w:rPr>
        <w:t xml:space="preserve"> </w:t>
      </w:r>
      <w:r>
        <w:rPr>
          <w:rFonts w:ascii="Times New Roman;sans-serif" w:hAnsi="Times New Roman;sans-serif"/>
          <w:b/>
          <w:color w:val="000000"/>
          <w:sz w:val="20"/>
        </w:rPr>
        <w:t>TO THE BOARD OF DIRECTORS</w:t>
      </w:r>
    </w:p>
    <w:p>
      <w:pPr>
        <w:pStyle w:val="TextBody"/>
        <w:spacing w:lineRule="auto" w:line="288" w:before="120" w:after="283"/>
        <w:ind w:left="0" w:right="0" w:firstLine="720"/>
        <w:jc w:val="both"/>
        <w:rPr/>
      </w:pPr>
      <w:r>
        <w:rPr>
          <w:rFonts w:ascii="Times New Roman;sans-serif" w:hAnsi="Times New Roman;sans-serif"/>
          <w:b/>
          <w:color w:val="010000"/>
          <w:sz w:val="20"/>
        </w:rPr>
        <w:t>1.</w:t>
      </w:r>
      <w:r>
        <w:rPr>
          <w:color w:val="000000"/>
        </w:rPr>
        <w:t xml:space="preserve"> </w:t>
      </w:r>
      <w:r>
        <w:rPr>
          <w:rFonts w:ascii="Times New Roman;sans-serif" w:hAnsi="Times New Roman;sans-serif"/>
          <w:b/>
          <w:color w:val="000000"/>
          <w:sz w:val="20"/>
          <w:u w:val="single"/>
        </w:rPr>
        <w:t>Director Powers</w:t>
      </w:r>
      <w:r>
        <w:rPr>
          <w:rFonts w:ascii="Times New Roman;sans-serif" w:hAnsi="Times New Roman;sans-serif"/>
          <w:b w:val="false"/>
          <w:color w:val="000000"/>
          <w:sz w:val="20"/>
        </w:rPr>
        <w:t>. The business and affairs of the Corporation shall be managed by or under the direction of the Board. In addition to the powers and authority expressly conferred upon them by statute or by this Amended and Restated Certificate of Incorporation or the Bylaws of the Corporation, the directors are hereby empowered to exercise all such powers and do all such acts and things as may be exercised or done by the Corporation.</w:t>
      </w:r>
    </w:p>
    <w:p>
      <w:pPr>
        <w:pStyle w:val="TextBody"/>
        <w:spacing w:lineRule="auto" w:line="288" w:before="120" w:after="283"/>
        <w:ind w:left="0" w:right="0" w:firstLine="720"/>
        <w:jc w:val="both"/>
        <w:rPr/>
      </w:pPr>
      <w:r>
        <w:rPr>
          <w:rFonts w:ascii="Times New Roman;sans-serif" w:hAnsi="Times New Roman;sans-serif"/>
          <w:b/>
          <w:color w:val="010000"/>
          <w:sz w:val="20"/>
        </w:rPr>
        <w:t>2.</w:t>
      </w:r>
      <w:r>
        <w:rPr>
          <w:color w:val="000000"/>
        </w:rPr>
        <w:t xml:space="preserve"> </w:t>
      </w:r>
      <w:r>
        <w:rPr>
          <w:rFonts w:ascii="Times New Roman;sans-serif" w:hAnsi="Times New Roman;sans-serif"/>
          <w:b/>
          <w:color w:val="000000"/>
          <w:sz w:val="20"/>
          <w:u w:val="single"/>
        </w:rPr>
        <w:t>Number of Directors</w:t>
      </w:r>
      <w:r>
        <w:rPr>
          <w:rFonts w:ascii="Times New Roman;sans-serif" w:hAnsi="Times New Roman;sans-serif"/>
          <w:b w:val="false"/>
          <w:color w:val="000000"/>
          <w:sz w:val="20"/>
        </w:rPr>
        <w:t>. Subject to the rights of the holders of any series of Preferred Stock to elect additional directors under specified circumstances, the number of directors shall be fixed from time to time exclusively by resolution adopted by a majority of the Whole Board.</w:t>
      </w:r>
    </w:p>
    <w:p>
      <w:pPr>
        <w:pStyle w:val="TextBody"/>
        <w:spacing w:lineRule="auto" w:line="288" w:before="120" w:after="283"/>
        <w:ind w:left="0" w:right="0" w:firstLine="720"/>
        <w:jc w:val="both"/>
        <w:rPr/>
      </w:pPr>
      <w:r>
        <w:rPr>
          <w:rFonts w:ascii="Times New Roman;sans-serif" w:hAnsi="Times New Roman;sans-serif"/>
          <w:b/>
          <w:color w:val="010000"/>
          <w:sz w:val="20"/>
        </w:rPr>
        <w:t>3.</w:t>
      </w:r>
      <w:r>
        <w:rPr>
          <w:color w:val="000000"/>
        </w:rPr>
        <w:t xml:space="preserve"> </w:t>
      </w:r>
      <w:r>
        <w:rPr>
          <w:rFonts w:ascii="Times New Roman;sans-serif" w:hAnsi="Times New Roman;sans-serif"/>
          <w:b/>
          <w:color w:val="000000"/>
          <w:sz w:val="20"/>
          <w:u w:val="single"/>
        </w:rPr>
        <w:t>Classified Board</w:t>
      </w:r>
      <w:r>
        <w:rPr>
          <w:rFonts w:ascii="Times New Roman;sans-serif" w:hAnsi="Times New Roman;sans-serif"/>
          <w:b w:val="false"/>
          <w:color w:val="000000"/>
          <w:sz w:val="20"/>
        </w:rPr>
        <w:t>. Subject to the rights of the holders of any series of Preferred Stock to elect additional directors under specified circumstances, the directors shall be divided, with respect to the time for which they severally hold office, into three classes designated as Class I, Class II and Class III, respectively (the “</w:t>
      </w:r>
      <w:r>
        <w:rPr>
          <w:rFonts w:ascii="Times New Roman;sans-serif" w:hAnsi="Times New Roman;sans-serif"/>
          <w:b/>
          <w:i/>
          <w:color w:val="000000"/>
          <w:sz w:val="20"/>
        </w:rPr>
        <w:t>Classified</w:t>
      </w:r>
      <w:r>
        <w:rPr>
          <w:color w:val="000000"/>
        </w:rPr>
        <w:t xml:space="preserve"> </w:t>
      </w:r>
      <w:r>
        <w:rPr>
          <w:rFonts w:ascii="Times New Roman;sans-serif" w:hAnsi="Times New Roman;sans-serif"/>
          <w:b/>
          <w:i/>
          <w:color w:val="000000"/>
          <w:sz w:val="20"/>
        </w:rPr>
        <w:t>Board</w:t>
      </w:r>
      <w:r>
        <w:rPr>
          <w:rFonts w:ascii="Times New Roman;sans-serif" w:hAnsi="Times New Roman;sans-serif"/>
          <w:b w:val="false"/>
          <w:color w:val="000000"/>
          <w:sz w:val="20"/>
        </w:rPr>
        <w:t>). The Board may assign members of the Board already in office to the Classified Board, which assignments shall become effective at the same time the Classified Board becomes effective. Directors shall be assigned to each class in accordance with a resolution or resolutions adopted by the Board, with the number of directors in each class to be divided as nearly equal as reasonably possible. The initial term of office of the Class I directors shall expire at the Corporation's first annual meeting of stockholders following the closing of the Corporation's initial public offering pursuant to an effective registration statement under the Securities Act of 1933, as amended, relating to the offer and sale of Common Stock to the public (the “</w:t>
      </w:r>
      <w:r>
        <w:rPr>
          <w:rFonts w:ascii="Times New Roman;sans-serif" w:hAnsi="Times New Roman;sans-serif"/>
          <w:b/>
          <w:i/>
          <w:color w:val="000000"/>
          <w:sz w:val="20"/>
        </w:rPr>
        <w:t>Initial Public Offering</w:t>
      </w:r>
      <w:r>
        <w:rPr>
          <w:color w:val="000000"/>
        </w:rPr>
        <w:t>”</w:t>
      </w:r>
      <w:r>
        <w:rPr>
          <w:rFonts w:ascii="Times New Roman;sans-serif" w:hAnsi="Times New Roman;sans-serif"/>
          <w:b w:val="false"/>
          <w:color w:val="000000"/>
          <w:sz w:val="20"/>
        </w:rPr>
        <w:t>), the initial term of office of the Class II directors shall expire at the Corporation's second annual meeting of stockholders following the closing of the Initial Public Offering and the initial term of office of the Class III directors shall expire at the Corporation's third annual meeting of stockholders following the closing of the Initial Public Offering. At each annual meeting of stockholders following the closing of the Initial Public Offering, directors elected to succeed those directors of the class whose terms then expire shall be elected for a term of office to expire at the third succeeding annual meeting of stockholders after their election.</w:t>
      </w:r>
    </w:p>
    <w:p>
      <w:pPr>
        <w:pStyle w:val="TextBody"/>
        <w:spacing w:lineRule="auto" w:line="288" w:before="120" w:after="283"/>
        <w:ind w:left="0" w:right="0" w:firstLine="720"/>
        <w:jc w:val="both"/>
        <w:rPr/>
      </w:pPr>
      <w:r>
        <w:rPr>
          <w:rFonts w:ascii="Times New Roman;sans-serif" w:hAnsi="Times New Roman;sans-serif"/>
          <w:b/>
          <w:color w:val="010000"/>
          <w:sz w:val="20"/>
        </w:rPr>
        <w:t>4.</w:t>
      </w:r>
      <w:r>
        <w:rPr>
          <w:color w:val="000000"/>
        </w:rPr>
        <w:t xml:space="preserve"> </w:t>
      </w:r>
      <w:r>
        <w:rPr>
          <w:rFonts w:ascii="Times New Roman;sans-serif" w:hAnsi="Times New Roman;sans-serif"/>
          <w:b/>
          <w:color w:val="000000"/>
          <w:sz w:val="20"/>
          <w:u w:val="single"/>
        </w:rPr>
        <w:t>Term and Removal</w:t>
      </w:r>
      <w:r>
        <w:rPr>
          <w:rFonts w:ascii="Times New Roman;sans-serif" w:hAnsi="Times New Roman;sans-serif"/>
          <w:b w:val="false"/>
          <w:color w:val="000000"/>
          <w:sz w:val="20"/>
        </w:rPr>
        <w:t>. Each director shall hold office until such director's successor is elected and qualified, or until such director's earlier death, resignation or removal. Any director may resign at any time upon notice to the Corporation given in writing or by any electronic transmission permitted in the Corporation's Bylaws. Subject to the rights of the holders of any series of Preferred Stock, no director may be removed except for cause and only by the affirmative vote of the holders of at least two-thirds of the voting power of the then-outstanding shares of capital stock of the Corporation then entitled to vote at an election of directors voting together as a single class. No decrease in the authorized number of directors constituting the Board shall shorten the term of any incumbent director.</w:t>
      </w:r>
    </w:p>
    <w:p>
      <w:pPr>
        <w:pStyle w:val="TextBody"/>
        <w:spacing w:lineRule="auto" w:line="288" w:before="120" w:after="283"/>
        <w:ind w:left="0" w:right="0" w:firstLine="720"/>
        <w:jc w:val="both"/>
        <w:rPr/>
      </w:pPr>
      <w:r>
        <w:rPr>
          <w:rFonts w:ascii="Times New Roman;sans-serif" w:hAnsi="Times New Roman;sans-serif"/>
          <w:b/>
          <w:color w:val="010000"/>
          <w:sz w:val="20"/>
        </w:rPr>
        <w:t>5.</w:t>
      </w:r>
      <w:r>
        <w:rPr>
          <w:color w:val="000000"/>
        </w:rPr>
        <w:t xml:space="preserve"> </w:t>
      </w:r>
      <w:r>
        <w:rPr>
          <w:rFonts w:ascii="Times New Roman;sans-serif" w:hAnsi="Times New Roman;sans-serif"/>
          <w:b/>
          <w:color w:val="000000"/>
          <w:sz w:val="20"/>
          <w:u w:val="single"/>
        </w:rPr>
        <w:t>Board Vacancies</w:t>
      </w:r>
      <w:r>
        <w:rPr>
          <w:rFonts w:ascii="Times New Roman;sans-serif" w:hAnsi="Times New Roman;sans-serif"/>
          <w:b w:val="false"/>
          <w:color w:val="000000"/>
          <w:sz w:val="20"/>
        </w:rPr>
        <w:t xml:space="preserve">. Subject to the rights of the holders of any series of Preferred Stock, any vacancy occurring in the Board for any cause, and any newly created directorship resulting from any increase in the authorized number of directors, shall, unless (a) the Board determines by resolution that any such vacancies or newly created directorships shall be filled by the stockholders or (b) as otherwise provided by law, be filled only by the affirmative vote of a majority of the directors then in office, although less than a quorum, or by a sole remaining director, and not by the stockholders. Any director elected in accordance with the preceding sentence shall hold office for a term expiring at the annual meeting of stockholders at which the term of office of the class to which the director has been </w:t>
      </w:r>
      <w:r>
        <w:br w:type="page"/>
      </w:r>
    </w:p>
    <w:p>
      <w:pPr>
        <w:pStyle w:val="TextBody"/>
        <w:spacing w:before="0" w:after="0"/>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0" name="Frame4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v:rect>
            </w:pict>
          </mc:Fallback>
        </mc:AlternateConten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assigned expires or until such director's successor shall have been duly elected and qualified, or until such director's earlier death, resignation or removal.</w:t>
      </w:r>
    </w:p>
    <w:p>
      <w:pPr>
        <w:pStyle w:val="TextBody"/>
        <w:spacing w:lineRule="auto" w:line="288" w:before="120" w:after="283"/>
        <w:ind w:left="0" w:right="0" w:firstLine="720"/>
        <w:jc w:val="both"/>
        <w:rPr/>
      </w:pPr>
      <w:r>
        <w:rPr>
          <w:rFonts w:ascii="Times New Roman;sans-serif" w:hAnsi="Times New Roman;sans-serif"/>
          <w:b/>
          <w:color w:val="010000"/>
          <w:sz w:val="20"/>
        </w:rPr>
        <w:t>6.</w:t>
      </w:r>
      <w:r>
        <w:rPr>
          <w:color w:val="000000"/>
        </w:rPr>
        <w:t xml:space="preserve"> </w:t>
      </w:r>
      <w:r>
        <w:rPr>
          <w:rFonts w:ascii="Times New Roman;sans-serif" w:hAnsi="Times New Roman;sans-serif"/>
          <w:b/>
          <w:color w:val="000000"/>
          <w:sz w:val="20"/>
          <w:u w:val="single"/>
        </w:rPr>
        <w:t>Vote by Ballot</w:t>
      </w:r>
      <w:r>
        <w:rPr>
          <w:rFonts w:ascii="Times New Roman;sans-serif" w:hAnsi="Times New Roman;sans-serif"/>
          <w:b w:val="false"/>
          <w:color w:val="000000"/>
          <w:sz w:val="20"/>
        </w:rPr>
        <w:t>. Election of directors need not be by written ballot unless the Bylaws of the Corporation shall so provide.</w:t>
      </w:r>
    </w:p>
    <w:p>
      <w:pPr>
        <w:pStyle w:val="TextBody"/>
        <w:spacing w:lineRule="auto" w:line="288" w:before="180" w:after="283"/>
        <w:jc w:val="center"/>
        <w:rPr/>
      </w:pPr>
      <w:r>
        <w:rPr>
          <w:rFonts w:ascii="Times New Roman;sans-serif" w:hAnsi="Times New Roman;sans-serif"/>
          <w:b/>
          <w:color w:val="010000"/>
          <w:sz w:val="20"/>
        </w:rPr>
        <w:t xml:space="preserve">ARTICLE VII: </w:t>
      </w:r>
      <w:r>
        <w:rPr>
          <w:rFonts w:ascii="Times New Roman;sans-serif" w:hAnsi="Times New Roman;sans-serif"/>
          <w:b/>
          <w:color w:val="000000"/>
          <w:sz w:val="20"/>
        </w:rPr>
        <w:t>DIRECTOR AND OFFICER LIABILITY</w:t>
      </w:r>
    </w:p>
    <w:p>
      <w:pPr>
        <w:pStyle w:val="TextBody"/>
        <w:spacing w:lineRule="auto" w:line="288" w:before="120" w:after="283"/>
        <w:ind w:left="0" w:right="0" w:firstLine="720"/>
        <w:jc w:val="both"/>
        <w:rPr/>
      </w:pPr>
      <w:r>
        <w:rPr>
          <w:rFonts w:ascii="Times New Roman;sans-serif" w:hAnsi="Times New Roman;sans-serif"/>
          <w:b/>
          <w:color w:val="010000"/>
          <w:sz w:val="20"/>
        </w:rPr>
        <w:t>1.</w:t>
      </w:r>
      <w:r>
        <w:rPr>
          <w:color w:val="000000"/>
        </w:rPr>
        <w:t xml:space="preserve"> </w:t>
      </w:r>
      <w:r>
        <w:rPr>
          <w:rFonts w:ascii="Times New Roman;sans-serif" w:hAnsi="Times New Roman;sans-serif"/>
          <w:b/>
          <w:color w:val="000000"/>
          <w:sz w:val="20"/>
          <w:u w:val="single"/>
        </w:rPr>
        <w:t>Limitation of Liability</w:t>
      </w:r>
      <w:r>
        <w:rPr>
          <w:rFonts w:ascii="Times New Roman;sans-serif" w:hAnsi="Times New Roman;sans-serif"/>
          <w:b w:val="false"/>
          <w:color w:val="000000"/>
          <w:sz w:val="20"/>
        </w:rPr>
        <w:t>. To the fullest extent permitted by law, neither a director nor an officer of the Corporation shall be personally liable to the corporation or its stockholders for monetary damages for breach of fiduciary duty as a director or officer, as applicable. Without limiting the effect of the preceding sentence, if the DGCL is hereafter amended to authorize the further elimination or limitation of the liability of a director or officer, then the liability of a director or officer of the Corporation shall be eliminated or limited to the fullest extent permitted by the DGCL, as so amended.</w:t>
      </w:r>
    </w:p>
    <w:p>
      <w:pPr>
        <w:pStyle w:val="TextBody"/>
        <w:spacing w:lineRule="auto" w:line="288" w:before="120" w:after="283"/>
        <w:ind w:left="0" w:right="0" w:firstLine="720"/>
        <w:jc w:val="both"/>
        <w:rPr/>
      </w:pPr>
      <w:r>
        <w:rPr>
          <w:rFonts w:ascii="Times New Roman;sans-serif" w:hAnsi="Times New Roman;sans-serif"/>
          <w:b/>
          <w:color w:val="010000"/>
          <w:sz w:val="20"/>
        </w:rPr>
        <w:t>2.</w:t>
      </w:r>
      <w:r>
        <w:rPr>
          <w:color w:val="000000"/>
        </w:rPr>
        <w:t xml:space="preserve"> </w:t>
      </w:r>
      <w:r>
        <w:rPr>
          <w:rFonts w:ascii="Times New Roman;sans-serif" w:hAnsi="Times New Roman;sans-serif"/>
          <w:b/>
          <w:color w:val="000000"/>
          <w:sz w:val="20"/>
          <w:u w:val="single"/>
        </w:rPr>
        <w:t>Change in Rights</w:t>
      </w:r>
      <w:r>
        <w:rPr>
          <w:rFonts w:ascii="Times New Roman;sans-serif" w:hAnsi="Times New Roman;sans-serif"/>
          <w:b w:val="false"/>
          <w:color w:val="000000"/>
          <w:sz w:val="20"/>
        </w:rPr>
        <w:t>. Neither any amendment nor repeal of this Article VII, nor the adoption of any provision of this Amended and Restated Certificate of Incorporation inconsistent with this Article VII, shall eliminate, reduce or otherwise adversely affect any limitation on the personal liability of a director of the Corporation existing at the time of such amendment, repeal or adoption of such an inconsistent provision.</w:t>
      </w:r>
    </w:p>
    <w:p>
      <w:pPr>
        <w:pStyle w:val="TextBody"/>
        <w:spacing w:lineRule="auto" w:line="288" w:before="180" w:after="283"/>
        <w:jc w:val="center"/>
        <w:rPr/>
      </w:pPr>
      <w:r>
        <w:rPr>
          <w:rFonts w:ascii="Times New Roman;sans-serif" w:hAnsi="Times New Roman;sans-serif"/>
          <w:b/>
          <w:color w:val="010000"/>
          <w:sz w:val="20"/>
        </w:rPr>
        <w:t xml:space="preserve">ARTICLE VIII: </w:t>
      </w:r>
      <w:r>
        <w:rPr>
          <w:rFonts w:ascii="Times New Roman;sans-serif" w:hAnsi="Times New Roman;sans-serif"/>
          <w:b/>
          <w:color w:val="000000"/>
          <w:sz w:val="20"/>
        </w:rPr>
        <w:t>MATTERS RELATING TO STOCKHOLDERS</w:t>
      </w:r>
    </w:p>
    <w:p>
      <w:pPr>
        <w:pStyle w:val="TextBody"/>
        <w:spacing w:lineRule="auto" w:line="288" w:before="120" w:after="283"/>
        <w:ind w:left="0" w:right="0" w:firstLine="720"/>
        <w:jc w:val="both"/>
        <w:rPr/>
      </w:pPr>
      <w:r>
        <w:rPr>
          <w:rFonts w:ascii="Times New Roman;sans-serif" w:hAnsi="Times New Roman;sans-serif"/>
          <w:b/>
          <w:color w:val="010000"/>
          <w:sz w:val="20"/>
        </w:rPr>
        <w:t>1.</w:t>
      </w:r>
      <w:r>
        <w:rPr>
          <w:color w:val="000000"/>
        </w:rPr>
        <w:t xml:space="preserve"> </w:t>
      </w:r>
      <w:r>
        <w:rPr>
          <w:rFonts w:ascii="Times New Roman;sans-serif" w:hAnsi="Times New Roman;sans-serif"/>
          <w:b/>
          <w:color w:val="000000"/>
          <w:sz w:val="20"/>
          <w:u w:val="single"/>
        </w:rPr>
        <w:t>No Action by Written Consent of Stockholders</w:t>
      </w:r>
      <w:r>
        <w:rPr>
          <w:rFonts w:ascii="Times New Roman;sans-serif" w:hAnsi="Times New Roman;sans-serif"/>
          <w:b w:val="false"/>
          <w:color w:val="000000"/>
          <w:sz w:val="20"/>
        </w:rPr>
        <w:t>. Subject to the rights of any series of Preferred Stock, no action shall be taken by the stockholders of the Corporation except at a duly called annual or special meeting of stockholders and no action shall be taken by the stockholders by written consent.</w:t>
      </w:r>
    </w:p>
    <w:p>
      <w:pPr>
        <w:pStyle w:val="TextBody"/>
        <w:spacing w:lineRule="auto" w:line="288" w:before="120" w:after="283"/>
        <w:ind w:left="0" w:right="0" w:firstLine="720"/>
        <w:jc w:val="both"/>
        <w:rPr/>
      </w:pPr>
      <w:r>
        <w:rPr>
          <w:rFonts w:ascii="Times New Roman;sans-serif" w:hAnsi="Times New Roman;sans-serif"/>
          <w:b/>
          <w:color w:val="010000"/>
          <w:sz w:val="20"/>
        </w:rPr>
        <w:t>2.</w:t>
      </w:r>
      <w:r>
        <w:rPr>
          <w:color w:val="000000"/>
        </w:rPr>
        <w:t xml:space="preserve"> </w:t>
      </w:r>
      <w:r>
        <w:rPr>
          <w:rFonts w:ascii="Times New Roman;sans-serif" w:hAnsi="Times New Roman;sans-serif"/>
          <w:b/>
          <w:color w:val="000000"/>
          <w:sz w:val="20"/>
          <w:u w:val="single"/>
        </w:rPr>
        <w:t>Special Meeting of Stockholders</w:t>
      </w:r>
      <w:r>
        <w:rPr>
          <w:rFonts w:ascii="Times New Roman;sans-serif" w:hAnsi="Times New Roman;sans-serif"/>
          <w:b w:val="false"/>
          <w:color w:val="000000"/>
          <w:sz w:val="20"/>
        </w:rPr>
        <w:t>. Special meetings of the stockholders of the Corporation may be called only by the Chairperson of the Board, the Chief Executive Officer, the President or the Board acting pursuant to a resolution adopted by a majority of the Whole Board.</w:t>
      </w:r>
    </w:p>
    <w:p>
      <w:pPr>
        <w:pStyle w:val="TextBody"/>
        <w:spacing w:lineRule="auto" w:line="288" w:before="120" w:after="283"/>
        <w:ind w:left="0" w:right="0" w:firstLine="720"/>
        <w:jc w:val="both"/>
        <w:rPr/>
      </w:pPr>
      <w:r>
        <w:rPr>
          <w:rFonts w:ascii="Times New Roman;sans-serif" w:hAnsi="Times New Roman;sans-serif"/>
          <w:b/>
          <w:color w:val="010000"/>
          <w:sz w:val="20"/>
        </w:rPr>
        <w:t>3.</w:t>
      </w:r>
      <w:r>
        <w:rPr>
          <w:color w:val="000000"/>
        </w:rPr>
        <w:t xml:space="preserve"> </w:t>
      </w:r>
      <w:r>
        <w:rPr>
          <w:rFonts w:ascii="Times New Roman;sans-serif" w:hAnsi="Times New Roman;sans-serif"/>
          <w:b/>
          <w:color w:val="000000"/>
          <w:sz w:val="20"/>
          <w:u w:val="single"/>
        </w:rPr>
        <w:t>Advance Notice of Stockholder Nominations and Business Transacted at Special Meetings</w:t>
      </w:r>
      <w:r>
        <w:rPr>
          <w:rFonts w:ascii="Times New Roman;sans-serif" w:hAnsi="Times New Roman;sans-serif"/>
          <w:b w:val="false"/>
          <w:color w:val="000000"/>
          <w:sz w:val="20"/>
        </w:rPr>
        <w:t>. Advance notice of stockholder nominations for the election of directors of the Corporation and of business to be brought by stockholders before any meeting of stockholders of the Corporation shall be given in the manner provided in the Bylaws of the Corporation. Business transacted at special meetings of stockholders shall be confined to the purpose or purposes stated in the notice of meeting.</w:t>
      </w:r>
    </w:p>
    <w:p>
      <w:pPr>
        <w:pStyle w:val="TextBody"/>
        <w:spacing w:lineRule="auto" w:line="288" w:before="180" w:after="283"/>
        <w:jc w:val="center"/>
        <w:rPr/>
      </w:pPr>
      <w:r>
        <w:rPr>
          <w:rFonts w:ascii="Times New Roman;sans-serif" w:hAnsi="Times New Roman;sans-serif"/>
          <w:b/>
          <w:color w:val="010000"/>
          <w:sz w:val="20"/>
        </w:rPr>
        <w:t xml:space="preserve">ARTICLE IX: </w:t>
      </w:r>
      <w:r>
        <w:rPr>
          <w:rFonts w:ascii="Times New Roman;sans-serif" w:hAnsi="Times New Roman;sans-serif"/>
          <w:b/>
          <w:color w:val="000000"/>
          <w:sz w:val="20"/>
        </w:rPr>
        <w:t>CHOICE OF FORUM</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Unless the Corporation consents in writing to the selection of an alternative forum, the Court of Chancery of the State of Delaware shall be the sole and exclusive forum for (a) any derivative action or proceeding brought on behalf of the Corporation; (b) any action asserting a claim of breach of a fiduciary duty owed by, or other wrongdoing by, any director, officer or other employee of the Corporation to the Corporation or the Corporation's stockholders; (c) any action asserting a claim against the Corporation (or its directors, officers or other employees) arising pursuant to any provision of the DGCL, this Amended and Restated Certificate of Incorporation or the Bylaws; (d) any action to interpret, apply, enforce or determine the validity of this Amended and Restated Certificate of Incorporation or the Bylaws; or (e) any action asserting a claim against the Corporation governed by the internal affairs doctrine. Any person or entity purchasing or otherwise acquiring any interest in shares of capital stock of the Corporation shall be deemed to have notice of and to have consented to the provisions of this Article IX, Furthermore, and without limiting the generality of the foregoing, the Court of Chancery in the State of Delaware shall be the sole and exclusive forum for any stockholder (including a beneficial owner) to bring any internal corporate claims, as such term is defined and used in Section 115 of the DGCL, as may be amended.</w:t>
      </w:r>
    </w:p>
    <w:p>
      <w:pPr>
        <w:pStyle w:val="TextBody"/>
        <w:spacing w:lineRule="auto" w:line="288" w:before="180" w:after="283"/>
        <w:jc w:val="center"/>
        <w:rPr/>
      </w:pPr>
      <w:r>
        <w:rPr>
          <w:rFonts w:ascii="Times New Roman;sans-serif" w:hAnsi="Times New Roman;sans-serif"/>
          <w:b/>
          <w:color w:val="010000"/>
          <w:sz w:val="20"/>
        </w:rPr>
        <w:t xml:space="preserve">ARTICLE X: </w:t>
      </w:r>
      <w:r>
        <w:rPr>
          <w:rFonts w:ascii="Times New Roman;sans-serif" w:hAnsi="Times New Roman;sans-serif"/>
          <w:b/>
          <w:color w:val="000000"/>
          <w:sz w:val="20"/>
        </w:rPr>
        <w:t>AMENDMENT OF CERTIFICATE OF INCORPORATION</w:t>
      </w:r>
    </w:p>
    <w:p>
      <w:pPr>
        <w:pStyle w:val="TextBody"/>
        <w:spacing w:lineRule="auto" w:line="288" w:before="120" w:after="283"/>
        <w:ind w:left="0" w:right="0" w:firstLine="45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any provision of this Amended and Restated Certificate of Incorporation becomes or is declared on any ground by a court of competent jurisdiction to be illegal, unenforceable or void, portions of such provision, or such provision in its entirety, to the extent necessary, shall be severed from this Amended and Restated Certificate of Incorporation, and the court will replace such illegal, void or unenforceable provision of this Amended and Restated Certificate of Incorporation with a valid and enforceable provision that most accurately reflects the Corporation's intent, in order to achieve, to the maximum extent possible, the same economic, business and other purposes of the illegal, void or </w:t>
      </w:r>
      <w:r>
        <w:br w:type="page"/>
      </w:r>
    </w:p>
    <w:p>
      <w:pPr>
        <w:pStyle w:val="TextBody"/>
        <w:spacing w:before="0" w:after="0"/>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1" name="Frame4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v:rect>
            </w:pict>
          </mc:Fallback>
        </mc:AlternateContent>
      </w:r>
    </w:p>
    <w:p>
      <w:pPr>
        <w:pStyle w:val="TextBody"/>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unenforceable provision. The balance of this Amended and Restated Certificate of Incorporation shall be enforceable in accordance with its terms.</w:t>
      </w:r>
    </w:p>
    <w:p>
      <w:pPr>
        <w:pStyle w:val="TextBody"/>
        <w:spacing w:lineRule="auto" w:line="288" w:before="120" w:after="283"/>
        <w:ind w:left="0" w:right="0" w:firstLine="450"/>
        <w:jc w:val="both"/>
        <w:rPr/>
      </w:pPr>
      <w:r>
        <w:rPr>
          <w:rFonts w:ascii="Times New Roman;sans-serif" w:hAnsi="Times New Roman;sans-serif"/>
          <w:b w:val="false"/>
          <w:color w:val="000000"/>
          <w:sz w:val="20"/>
        </w:rPr>
        <w:t xml:space="preserve">The Corporation reserves the right to amend or repeal any provision contained in this Amended and Restated Certificate of Incorporation in the manner prescribed by the laws of the State of Delaware and all rights conferred upon stockholders are granted subject to this reservation; </w:t>
      </w:r>
      <w:r>
        <w:rPr>
          <w:rFonts w:ascii="Times New Roman;sans-serif" w:hAnsi="Times New Roman;sans-serif"/>
          <w:b w:val="false"/>
          <w:i/>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u w:val="single"/>
        </w:rPr>
        <w:t>however</w:t>
      </w:r>
      <w:r>
        <w:rPr>
          <w:rFonts w:ascii="Times New Roman;sans-serif" w:hAnsi="Times New Roman;sans-serif"/>
          <w:b w:val="false"/>
          <w:color w:val="000000"/>
          <w:sz w:val="20"/>
        </w:rPr>
        <w:t xml:space="preserve">, that, notwithstanding any other provision of this Amended and Restated Certificate of Incorporation or any provision of law that might otherwise permit a lesser vote or no vote, but in addition to any vote of the holders of any class or series of the stock of this Corporation required by law or by this Amended and Restated Certificate of Incorporation, the affirmative vote of the holders of at least two-thirds of the voting power of all of the then-outstanding shares of the capital stock of the Corporation entitled to vote generally in the election of directors, voting together as a single class, shall be required to amend or repeal any provision of this Amended and Restated Certificate of incorporation; </w:t>
      </w:r>
      <w:r>
        <w:rPr>
          <w:rFonts w:ascii="Times New Roman;sans-serif" w:hAnsi="Times New Roman;sans-serif"/>
          <w:b w:val="false"/>
          <w:i/>
          <w:color w:val="000000"/>
          <w:sz w:val="20"/>
          <w:u w:val="single"/>
        </w:rPr>
        <w:t>provided</w:t>
      </w:r>
      <w:r>
        <w:rPr>
          <w:rFonts w:ascii="Times New Roman;sans-serif" w:hAnsi="Times New Roman;sans-serif"/>
          <w:b w:val="false"/>
          <w:color w:val="000000"/>
          <w:sz w:val="20"/>
        </w:rPr>
        <w:t xml:space="preserve">, </w:t>
      </w:r>
      <w:r>
        <w:rPr>
          <w:rFonts w:ascii="Times New Roman;sans-serif" w:hAnsi="Times New Roman;sans-serif"/>
          <w:b w:val="false"/>
          <w:i/>
          <w:color w:val="000000"/>
          <w:sz w:val="20"/>
          <w:u w:val="single"/>
        </w:rPr>
        <w:t>further</w:t>
      </w:r>
      <w:r>
        <w:rPr>
          <w:rFonts w:ascii="Times New Roman;sans-serif" w:hAnsi="Times New Roman;sans-serif"/>
          <w:b w:val="false"/>
          <w:color w:val="000000"/>
          <w:sz w:val="20"/>
        </w:rPr>
        <w:t>, that if two-thirds of the Whole Board has approved such amendment or repeal of any provisions of this Certificate of Incorporation, then only the affirmative vote of the holders of at least a majority of the voting power of all of the then-outstanding shares of the capital stock of the Corporation entitled to vote thereon, voting together as a single class, shall be required to amend or repeal any provision of this Certificate of Incorporation.</w:t>
      </w:r>
    </w:p>
    <w:p>
      <w:pPr>
        <w:pStyle w:val="TextBody"/>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 * * * * * * * *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2" name="Frame4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v:rect>
            </w:pict>
          </mc:Fallback>
        </mc:AlternateContent>
      </w:r>
    </w:p>
    <w:p>
      <w:pPr>
        <w:pStyle w:val="TextBody"/>
        <w:spacing w:before="0" w:after="240"/>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jc w:val="center"/>
        <w:rPr/>
      </w:pPr>
      <w:r>
        <w:rPr/>
        <w:drawing>
          <wp:inline distT="0" distB="63500" distL="0" distR="0">
            <wp:extent cx="5829300" cy="7543800"/>
            <wp:effectExtent l="0" t="0" r="0" b="0"/>
            <wp:docPr id="5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 descr=""/>
                    <pic:cNvPicPr>
                      <a:picLocks noChangeAspect="1" noChangeArrowheads="1"/>
                    </pic:cNvPicPr>
                  </pic:nvPicPr>
                  <pic:blipFill>
                    <a:blip r:embed="rId5"/>
                    <a:stretch>
                      <a:fillRect/>
                    </a:stretch>
                  </pic:blipFill>
                  <pic:spPr bwMode="auto">
                    <a:xfrm>
                      <a:off x="0" y="0"/>
                      <a:ext cx="5829300" cy="7543800"/>
                    </a:xfrm>
                    <a:prstGeom prst="rect">
                      <a:avLst/>
                    </a:prstGeom>
                  </pic:spPr>
                </pic:pic>
              </a:graphicData>
            </a:graphic>
          </wp:inline>
        </w:drawing>
      </w:r>
      <w:r>
        <w:br w:type="page"/>
      </w:r>
    </w:p>
    <w:p>
      <w:pPr>
        <w:pStyle w:val="TextBody"/>
        <w:spacing w:before="0" w:after="0"/>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4" name="Frame5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jc w:val="center"/>
        <w:rPr/>
      </w:pPr>
      <w:r>
        <w:rPr/>
        <w:drawing>
          <wp:inline distT="0" distB="63500" distL="0" distR="0">
            <wp:extent cx="5829300" cy="7543800"/>
            <wp:effectExtent l="0" t="0" r="0" b="0"/>
            <wp:docPr id="5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 descr=""/>
                    <pic:cNvPicPr>
                      <a:picLocks noChangeAspect="1" noChangeArrowheads="1"/>
                    </pic:cNvPicPr>
                  </pic:nvPicPr>
                  <pic:blipFill>
                    <a:blip r:embed="rId6"/>
                    <a:stretch>
                      <a:fillRect/>
                    </a:stretch>
                  </pic:blipFill>
                  <pic:spPr bwMode="auto">
                    <a:xfrm>
                      <a:off x="0" y="0"/>
                      <a:ext cx="5829300" cy="7543800"/>
                    </a:xfrm>
                    <a:prstGeom prst="rect">
                      <a:avLst/>
                    </a:prstGeom>
                  </pic:spPr>
                </pic:pic>
              </a:graphicData>
            </a:graphic>
          </wp:inline>
        </w:drawing>
      </w:r>
      <w:r>
        <w:br w:type="page"/>
      </w:r>
    </w:p>
    <w:p>
      <w:pPr>
        <w:pStyle w:val="TextBody"/>
        <w:spacing w:before="0" w:after="283"/>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5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 w:name="Wingdings">
    <w:altName w:val="sans-serif"/>
    <w:charset w:val="00"/>
    <w:family w:val="auto"/>
    <w:pitch w:val="default"/>
  </w:font>
  <w:font w:name="Calibri">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51</Pages>
  <Words>25115</Words>
  <CharactersWithSpaces>159394</CharactersWithSpaces>
  <Paragraphs>1278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