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121285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7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107950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40" w:lineRule="exact"/>
        <w:rPr>
          <w:sz w:val="24"/>
          <w:szCs w:val="24"/>
          <w:color w:val="auto"/>
        </w:rPr>
      </w:pPr>
    </w:p>
    <w:p>
      <w:pPr>
        <w:ind w:left="860" w:hanging="800"/>
        <w:spacing w:after="0"/>
        <w:tabs>
          <w:tab w:leader="none" w:pos="8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2" w:lineRule="exact"/>
        <w:rPr>
          <w:sz w:val="24"/>
          <w:szCs w:val="24"/>
          <w:color w:val="auto"/>
        </w:rPr>
      </w:pPr>
    </w:p>
    <w:p>
      <w:pPr>
        <w:ind w:left="860" w:hanging="800"/>
        <w:spacing w:after="0"/>
        <w:tabs>
          <w:tab w:leader="none" w:pos="8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360"/>
        <w:spacing w:after="0"/>
        <w:tabs>
          <w:tab w:leader="none" w:pos="6640" w:val="left"/>
          <w:tab w:leader="none" w:pos="7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3634740</wp:posOffset>
            </wp:positionH>
            <wp:positionV relativeFrom="paragraph">
              <wp:posOffset>-20320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110490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6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ANAPTYSBIO,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105410</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15"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3740" w:type="dxa"/>
            <w:vAlign w:val="bottom"/>
          </w:tcPr>
          <w:p>
            <w:pPr>
              <w:jc w:val="center"/>
              <w:ind w:left="161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740" w:type="dxa"/>
            <w:vAlign w:val="bottom"/>
          </w:tcPr>
          <w:p>
            <w:pPr>
              <w:jc w:val="center"/>
              <w:ind w:right="1612"/>
              <w:spacing w:after="0"/>
              <w:rPr>
                <w:sz w:val="20"/>
                <w:szCs w:val="20"/>
                <w:color w:val="auto"/>
              </w:rPr>
            </w:pPr>
            <w:r>
              <w:rPr>
                <w:rFonts w:ascii="Times New Roman" w:cs="Times New Roman" w:eastAsia="Times New Roman" w:hAnsi="Times New Roman"/>
                <w:sz w:val="14"/>
                <w:szCs w:val="14"/>
                <w:b w:val="1"/>
                <w:bCs w:val="1"/>
                <w:color w:val="auto"/>
              </w:rPr>
              <w:t>20-3828755</w:t>
            </w:r>
          </w:p>
        </w:tc>
      </w:tr>
      <w:tr>
        <w:trPr>
          <w:trHeight w:val="128"/>
        </w:trPr>
        <w:tc>
          <w:tcPr>
            <w:tcW w:w="3740" w:type="dxa"/>
            <w:vAlign w:val="bottom"/>
          </w:tcPr>
          <w:p>
            <w:pPr>
              <w:jc w:val="center"/>
              <w:ind w:left="1612"/>
              <w:spacing w:after="0" w:line="128"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6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740" w:type="dxa"/>
            <w:vAlign w:val="bottom"/>
          </w:tcPr>
          <w:p>
            <w:pPr>
              <w:jc w:val="center"/>
              <w:ind w:right="1612"/>
              <w:spacing w:after="0" w:line="128"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3740" w:type="dxa"/>
            <w:vAlign w:val="bottom"/>
          </w:tcPr>
          <w:p>
            <w:pPr>
              <w:jc w:val="center"/>
              <w:ind w:left="1632"/>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40" w:type="dxa"/>
            <w:vAlign w:val="bottom"/>
          </w:tcPr>
          <w:p>
            <w:pPr>
              <w:jc w:val="center"/>
              <w:ind w:right="1612"/>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r>
      <w:tr>
        <w:trPr>
          <w:trHeight w:val="257"/>
        </w:trPr>
        <w:tc>
          <w:tcPr>
            <w:tcW w:w="3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10770 Wateridge Circle, Suite 210</w:t>
            </w:r>
          </w:p>
        </w:tc>
        <w:tc>
          <w:tcPr>
            <w:tcW w:w="3740" w:type="dxa"/>
            <w:vAlign w:val="bottom"/>
          </w:tcPr>
          <w:p>
            <w:pPr>
              <w:spacing w:after="0"/>
              <w:rPr>
                <w:sz w:val="22"/>
                <w:szCs w:val="22"/>
                <w:color w:val="auto"/>
              </w:rPr>
            </w:pPr>
          </w:p>
        </w:tc>
      </w:tr>
      <w:tr>
        <w:trPr>
          <w:trHeight w:val="175"/>
        </w:trPr>
        <w:tc>
          <w:tcPr>
            <w:tcW w:w="3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San Diego, CA 92121</w:t>
            </w:r>
          </w:p>
        </w:tc>
        <w:tc>
          <w:tcPr>
            <w:tcW w:w="3740" w:type="dxa"/>
            <w:vAlign w:val="bottom"/>
          </w:tcPr>
          <w:p>
            <w:pPr>
              <w:spacing w:after="0"/>
              <w:rPr>
                <w:sz w:val="15"/>
                <w:szCs w:val="15"/>
                <w:color w:val="auto"/>
              </w:rPr>
            </w:pPr>
          </w:p>
        </w:tc>
      </w:tr>
      <w:tr>
        <w:trPr>
          <w:trHeight w:val="175"/>
        </w:trPr>
        <w:tc>
          <w:tcPr>
            <w:tcW w:w="3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and zip code)</w:t>
            </w:r>
          </w:p>
        </w:tc>
        <w:tc>
          <w:tcPr>
            <w:tcW w:w="3740" w:type="dxa"/>
            <w:vAlign w:val="bottom"/>
          </w:tcPr>
          <w:p>
            <w:pPr>
              <w:spacing w:after="0"/>
              <w:rPr>
                <w:sz w:val="15"/>
                <w:szCs w:val="15"/>
                <w:color w:val="auto"/>
              </w:rPr>
            </w:pPr>
          </w:p>
        </w:tc>
      </w:tr>
      <w:tr>
        <w:trPr>
          <w:trHeight w:val="263"/>
        </w:trPr>
        <w:tc>
          <w:tcPr>
            <w:tcW w:w="3740" w:type="dxa"/>
            <w:vAlign w:val="bottom"/>
          </w:tcPr>
          <w:p>
            <w:pPr>
              <w:spacing w:after="0"/>
              <w:rPr>
                <w:sz w:val="22"/>
                <w:szCs w:val="22"/>
                <w:color w:val="auto"/>
              </w:rPr>
            </w:pPr>
          </w:p>
        </w:tc>
        <w:tc>
          <w:tcPr>
            <w:tcW w:w="33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(858) 362-6295</w:t>
            </w:r>
          </w:p>
        </w:tc>
        <w:tc>
          <w:tcPr>
            <w:tcW w:w="400" w:type="dxa"/>
            <w:vAlign w:val="bottom"/>
          </w:tcPr>
          <w:p>
            <w:pPr>
              <w:spacing w:after="0"/>
              <w:rPr>
                <w:sz w:val="22"/>
                <w:szCs w:val="22"/>
                <w:color w:val="auto"/>
              </w:rPr>
            </w:pPr>
          </w:p>
        </w:tc>
        <w:tc>
          <w:tcPr>
            <w:tcW w:w="3740" w:type="dxa"/>
            <w:vAlign w:val="bottom"/>
          </w:tcPr>
          <w:p>
            <w:pPr>
              <w:spacing w:after="0"/>
              <w:rPr>
                <w:sz w:val="22"/>
                <w:szCs w:val="22"/>
                <w:color w:val="auto"/>
              </w:rPr>
            </w:pPr>
          </w:p>
        </w:tc>
      </w:tr>
      <w:tr>
        <w:trPr>
          <w:trHeight w:val="203"/>
        </w:trPr>
        <w:tc>
          <w:tcPr>
            <w:tcW w:w="3740" w:type="dxa"/>
            <w:vAlign w:val="bottom"/>
          </w:tcPr>
          <w:p>
            <w:pPr>
              <w:spacing w:after="0"/>
              <w:rPr>
                <w:sz w:val="17"/>
                <w:szCs w:val="17"/>
                <w:color w:val="auto"/>
              </w:rPr>
            </w:pPr>
          </w:p>
        </w:tc>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40" w:type="dxa"/>
            <w:vAlign w:val="bottom"/>
          </w:tcPr>
          <w:p>
            <w:pPr>
              <w:spacing w:after="0"/>
              <w:rPr>
                <w:sz w:val="17"/>
                <w:szCs w:val="17"/>
                <w:color w:val="auto"/>
              </w:rPr>
            </w:pPr>
          </w:p>
        </w:tc>
      </w:tr>
      <w:tr>
        <w:trPr>
          <w:trHeight w:val="131"/>
        </w:trPr>
        <w:tc>
          <w:tcPr>
            <w:tcW w:w="37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740" w:type="dxa"/>
            <w:vAlign w:val="bottom"/>
          </w:tcPr>
          <w:p>
            <w:pPr>
              <w:spacing w:after="0"/>
              <w:rPr>
                <w:sz w:val="11"/>
                <w:szCs w:val="11"/>
                <w:color w:val="auto"/>
              </w:rPr>
            </w:pPr>
          </w:p>
        </w:tc>
      </w:tr>
      <w:tr>
        <w:trPr>
          <w:trHeight w:val="281"/>
        </w:trPr>
        <w:tc>
          <w:tcPr>
            <w:tcW w:w="3740" w:type="dxa"/>
            <w:vAlign w:val="bottom"/>
          </w:tcPr>
          <w:p>
            <w:pPr>
              <w:spacing w:after="0"/>
              <w:rPr>
                <w:sz w:val="24"/>
                <w:szCs w:val="24"/>
                <w:color w:val="auto"/>
              </w:rPr>
            </w:pPr>
          </w:p>
        </w:tc>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40" w:type="dxa"/>
            <w:vAlign w:val="bottom"/>
          </w:tcPr>
          <w:p>
            <w:pPr>
              <w:spacing w:after="0"/>
              <w:rPr>
                <w:sz w:val="24"/>
                <w:szCs w:val="24"/>
                <w:color w:val="auto"/>
              </w:rPr>
            </w:pPr>
          </w:p>
        </w:tc>
      </w:tr>
      <w:tr>
        <w:trPr>
          <w:trHeight w:val="121"/>
        </w:trPr>
        <w:tc>
          <w:tcPr>
            <w:tcW w:w="37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r>
      <w:tr>
        <w:trPr>
          <w:trHeight w:val="193"/>
        </w:trPr>
        <w:tc>
          <w:tcPr>
            <w:tcW w:w="3740" w:type="dxa"/>
            <w:vAlign w:val="bottom"/>
            <w:tcBorders>
              <w:left w:val="single" w:sz="8" w:color="auto"/>
              <w:bottom w:val="single" w:sz="8" w:color="auto"/>
            </w:tcBorders>
          </w:tcPr>
          <w:p>
            <w:pPr>
              <w:jc w:val="center"/>
              <w:ind w:left="272"/>
              <w:spacing w:after="0"/>
              <w:rPr>
                <w:sz w:val="20"/>
                <w:szCs w:val="20"/>
                <w:color w:val="auto"/>
              </w:rPr>
            </w:pPr>
            <w:r>
              <w:rPr>
                <w:rFonts w:ascii="Times New Roman" w:cs="Times New Roman" w:eastAsia="Times New Roman" w:hAnsi="Times New Roman"/>
                <w:sz w:val="14"/>
                <w:szCs w:val="14"/>
                <w:color w:val="auto"/>
              </w:rPr>
              <w:t>Title of each class</w:t>
            </w:r>
          </w:p>
        </w:tc>
        <w:tc>
          <w:tcPr>
            <w:tcW w:w="360" w:type="dxa"/>
            <w:vAlign w:val="bottom"/>
            <w:tcBorders>
              <w:bottom w:val="single" w:sz="8" w:color="auto"/>
              <w:right w:val="single" w:sz="8" w:color="auto"/>
            </w:tcBorders>
          </w:tcPr>
          <w:p>
            <w:pPr>
              <w:spacing w:after="0"/>
              <w:rPr>
                <w:sz w:val="16"/>
                <w:szCs w:val="16"/>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00" w:type="dxa"/>
            <w:vAlign w:val="bottom"/>
            <w:tcBorders>
              <w:bottom w:val="single" w:sz="8" w:color="auto"/>
            </w:tcBorders>
          </w:tcPr>
          <w:p>
            <w:pPr>
              <w:spacing w:after="0"/>
              <w:rPr>
                <w:sz w:val="16"/>
                <w:szCs w:val="16"/>
                <w:color w:val="auto"/>
              </w:rPr>
            </w:pPr>
          </w:p>
        </w:tc>
        <w:tc>
          <w:tcPr>
            <w:tcW w:w="3740" w:type="dxa"/>
            <w:vAlign w:val="bottom"/>
            <w:tcBorders>
              <w:bottom w:val="single" w:sz="8" w:color="auto"/>
              <w:right w:val="single" w:sz="8" w:color="auto"/>
            </w:tcBorders>
          </w:tcPr>
          <w:p>
            <w:pPr>
              <w:jc w:val="center"/>
              <w:ind w:right="352"/>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69"/>
        </w:trPr>
        <w:tc>
          <w:tcPr>
            <w:tcW w:w="3740" w:type="dxa"/>
            <w:vAlign w:val="bottom"/>
            <w:tcBorders>
              <w:left w:val="single" w:sz="8" w:color="auto"/>
              <w:bottom w:val="single" w:sz="8" w:color="auto"/>
            </w:tcBorders>
          </w:tcPr>
          <w:p>
            <w:pPr>
              <w:jc w:val="center"/>
              <w:ind w:left="292"/>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360" w:type="dxa"/>
            <w:vAlign w:val="bottom"/>
            <w:tcBorders>
              <w:bottom w:val="single" w:sz="8" w:color="auto"/>
              <w:right w:val="single" w:sz="8" w:color="auto"/>
            </w:tcBorders>
          </w:tcPr>
          <w:p>
            <w:pPr>
              <w:spacing w:after="0"/>
              <w:rPr>
                <w:sz w:val="14"/>
                <w:szCs w:val="14"/>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ANAB</w:t>
            </w:r>
          </w:p>
        </w:tc>
        <w:tc>
          <w:tcPr>
            <w:tcW w:w="40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352"/>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58" w:lineRule="exact"/>
        <w:rPr>
          <w:sz w:val="24"/>
          <w:szCs w:val="24"/>
          <w:color w:val="auto"/>
        </w:rPr>
      </w:pPr>
    </w:p>
    <w:p>
      <w:pPr>
        <w:ind w:right="160"/>
        <w:spacing w:after="0" w:line="21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1" w:lineRule="exact"/>
        <w:rPr>
          <w:sz w:val="24"/>
          <w:szCs w:val="24"/>
          <w:color w:val="auto"/>
        </w:rPr>
      </w:pPr>
    </w:p>
    <w:p>
      <w:pPr>
        <w:ind w:right="40"/>
        <w:spacing w:after="0" w:line="20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1" w:lineRule="exact"/>
        <w:rPr>
          <w:sz w:val="24"/>
          <w:szCs w:val="24"/>
          <w:color w:val="auto"/>
        </w:rPr>
      </w:pPr>
    </w:p>
    <w:p>
      <w:pPr>
        <w:ind w:right="340"/>
        <w:spacing w:after="0" w:line="3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60" w:type="dxa"/>
        <w:tblCellMar>
          <w:top w:w="0" w:type="dxa"/>
          <w:left w:w="0" w:type="dxa"/>
          <w:bottom w:w="0" w:type="dxa"/>
          <w:right w:w="0" w:type="dxa"/>
        </w:tblCellMar>
      </w:tblPr>
      <w:tr>
        <w:trPr>
          <w:trHeight w:val="242"/>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740" w:type="dxa"/>
            <w:vAlign w:val="bottom"/>
          </w:tcPr>
          <w:p>
            <w:pPr>
              <w:ind w:left="254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740" w:type="dxa"/>
            <w:vAlign w:val="bottom"/>
          </w:tcPr>
          <w:p>
            <w:pPr>
              <w:ind w:left="25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0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740" w:type="dxa"/>
            <w:vAlign w:val="bottom"/>
          </w:tcPr>
          <w:p>
            <w:pPr>
              <w:ind w:left="2540"/>
              <w:spacing w:after="0"/>
              <w:rPr>
                <w:sz w:val="20"/>
                <w:szCs w:val="20"/>
                <w:color w:val="auto"/>
              </w:rPr>
            </w:pPr>
            <w:r>
              <w:rPr>
                <w:rFonts w:ascii="Times New Roman" w:cs="Times New Roman" w:eastAsia="Times New Roman" w:hAnsi="Times New Roman"/>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0" w:lineRule="exact"/>
        <w:rPr>
          <w:sz w:val="24"/>
          <w:szCs w:val="24"/>
          <w:color w:val="auto"/>
        </w:rPr>
      </w:pPr>
    </w:p>
    <w:p>
      <w:pPr>
        <w:ind w:right="560"/>
        <w:spacing w:after="0" w:line="21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ind w:right="3560"/>
        <w:spacing w:after="0" w:line="23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7, 2026, there were 29,100,902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731520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Page Number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80" w:type="dxa"/>
            <w:vAlign w:val="bottom"/>
            <w:gridSpan w:val="10"/>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PART I. FINANCIAL INFORMATION</w:t>
            </w: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1.</w:t>
            </w:r>
          </w:p>
        </w:tc>
        <w:tc>
          <w:tcPr>
            <w:tcW w:w="86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Financial Statements (unaudited)</w:t>
            </w:r>
          </w:p>
        </w:tc>
        <w:tc>
          <w:tcPr>
            <w:tcW w:w="740" w:type="dxa"/>
            <w:vAlign w:val="bottom"/>
            <w:tcBorders>
              <w:right w:val="single" w:sz="8" w:color="CCEEFF"/>
            </w:tcBorders>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0000FF"/>
              </w:rPr>
              <w:t>1</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right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FF"/>
              <w:right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Balance Sheets as of March 31, 2026 and December 31, 2025</w:t>
            </w:r>
          </w:p>
        </w:tc>
        <w:tc>
          <w:tcPr>
            <w:tcW w:w="7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rPr>
              <w:t>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6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Three Months Ended March 31, 2026 and</w:t>
            </w:r>
          </w:p>
        </w:tc>
        <w:tc>
          <w:tcPr>
            <w:tcW w:w="600" w:type="dxa"/>
            <w:vAlign w:val="bottom"/>
            <w:tcBorders>
              <w:right w:val="single" w:sz="8" w:color="CCEEFF"/>
            </w:tcBorders>
            <w:vMerge w:val="restart"/>
            <w:shd w:val="clear" w:color="auto" w:fill="CCEEFF"/>
          </w:tcPr>
          <w:p>
            <w:pPr>
              <w:spacing w:after="0"/>
              <w:rPr>
                <w:sz w:val="19"/>
                <w:szCs w:val="19"/>
                <w:color w:val="auto"/>
              </w:rPr>
            </w:pPr>
          </w:p>
        </w:tc>
        <w:tc>
          <w:tcPr>
            <w:tcW w:w="1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0000FF"/>
              <w:bottom w:val="single" w:sz="8" w:color="0000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4"/>
              </w:rPr>
              <w:t>2025</w:t>
            </w:r>
          </w:p>
        </w:tc>
        <w:tc>
          <w:tcPr>
            <w:tcW w:w="240" w:type="dxa"/>
            <w:vAlign w:val="bottom"/>
            <w:tcBorders>
              <w:top w:val="single" w:sz="8" w:color="0000FF"/>
              <w:bottom w:val="single" w:sz="8" w:color="CCEEFF"/>
            </w:tcBorders>
            <w:shd w:val="clear" w:color="auto" w:fill="CCEEFF"/>
          </w:tcPr>
          <w:p>
            <w:pPr>
              <w:spacing w:after="0"/>
              <w:rPr>
                <w:sz w:val="17"/>
                <w:szCs w:val="17"/>
                <w:color w:val="auto"/>
              </w:rPr>
            </w:pPr>
          </w:p>
        </w:tc>
        <w:tc>
          <w:tcPr>
            <w:tcW w:w="180" w:type="dxa"/>
            <w:vAlign w:val="bottom"/>
            <w:tcBorders>
              <w:top w:val="single" w:sz="8" w:color="0000FF"/>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3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440" w:type="dxa"/>
            <w:vAlign w:val="bottom"/>
            <w:tcBorders>
              <w:top w:val="single" w:sz="8" w:color="0000FF"/>
              <w:bottom w:val="single" w:sz="8" w:color="CCEEFF"/>
            </w:tcBorders>
            <w:shd w:val="clear" w:color="auto" w:fill="CCEEFF"/>
          </w:tcPr>
          <w:p>
            <w:pPr>
              <w:spacing w:after="0"/>
              <w:rPr>
                <w:sz w:val="17"/>
                <w:szCs w:val="17"/>
                <w:color w:val="auto"/>
              </w:rPr>
            </w:pPr>
          </w:p>
        </w:tc>
        <w:tc>
          <w:tcPr>
            <w:tcW w:w="560" w:type="dxa"/>
            <w:vAlign w:val="bottom"/>
            <w:tcBorders>
              <w:top w:val="single" w:sz="8" w:color="0000FF"/>
              <w:bottom w:val="single" w:sz="8" w:color="CCEEFF"/>
            </w:tcBorders>
            <w:shd w:val="clear" w:color="auto" w:fill="CCEEFF"/>
          </w:tcPr>
          <w:p>
            <w:pPr>
              <w:spacing w:after="0"/>
              <w:rPr>
                <w:sz w:val="17"/>
                <w:szCs w:val="17"/>
                <w:color w:val="auto"/>
              </w:rPr>
            </w:pPr>
          </w:p>
        </w:tc>
        <w:tc>
          <w:tcPr>
            <w:tcW w:w="1040" w:type="dxa"/>
            <w:vAlign w:val="bottom"/>
            <w:tcBorders>
              <w:top w:val="single" w:sz="8" w:color="0000FF"/>
              <w:bottom w:val="single" w:sz="8" w:color="CCEEFF"/>
            </w:tcBorders>
            <w:shd w:val="clear" w:color="auto" w:fill="CCEEFF"/>
          </w:tcPr>
          <w:p>
            <w:pPr>
              <w:spacing w:after="0"/>
              <w:rPr>
                <w:sz w:val="17"/>
                <w:szCs w:val="17"/>
                <w:color w:val="auto"/>
              </w:rPr>
            </w:pPr>
          </w:p>
        </w:tc>
        <w:tc>
          <w:tcPr>
            <w:tcW w:w="840" w:type="dxa"/>
            <w:vAlign w:val="bottom"/>
            <w:tcBorders>
              <w:top w:val="single" w:sz="8" w:color="0000FF"/>
              <w:bottom w:val="single" w:sz="8" w:color="CCEEFF"/>
            </w:tcBorders>
            <w:shd w:val="clear" w:color="auto" w:fill="CCEEFF"/>
          </w:tcPr>
          <w:p>
            <w:pPr>
              <w:spacing w:after="0"/>
              <w:rPr>
                <w:sz w:val="17"/>
                <w:szCs w:val="17"/>
                <w:color w:val="auto"/>
              </w:rPr>
            </w:pPr>
          </w:p>
        </w:tc>
        <w:tc>
          <w:tcPr>
            <w:tcW w:w="140" w:type="dxa"/>
            <w:vAlign w:val="bottom"/>
            <w:tcBorders>
              <w:top w:val="single" w:sz="8" w:color="0000FF"/>
              <w:bottom w:val="single" w:sz="8" w:color="CCEEFF"/>
            </w:tcBorders>
            <w:shd w:val="clear" w:color="auto" w:fill="CCEEFF"/>
          </w:tcPr>
          <w:p>
            <w:pPr>
              <w:spacing w:after="0"/>
              <w:rPr>
                <w:sz w:val="17"/>
                <w:szCs w:val="17"/>
                <w:color w:val="auto"/>
              </w:rPr>
            </w:pPr>
          </w:p>
        </w:tc>
        <w:tc>
          <w:tcPr>
            <w:tcW w:w="1080" w:type="dxa"/>
            <w:vAlign w:val="bottom"/>
            <w:tcBorders>
              <w:top w:val="single" w:sz="8" w:color="0000FF"/>
              <w:bottom w:val="single" w:sz="8" w:color="CCEEFF"/>
            </w:tcBorders>
            <w:shd w:val="clear" w:color="auto" w:fill="CCEEFF"/>
          </w:tcPr>
          <w:p>
            <w:pPr>
              <w:spacing w:after="0"/>
              <w:rPr>
                <w:sz w:val="17"/>
                <w:szCs w:val="17"/>
                <w:color w:val="auto"/>
              </w:rPr>
            </w:pPr>
          </w:p>
        </w:tc>
        <w:tc>
          <w:tcPr>
            <w:tcW w:w="1040" w:type="dxa"/>
            <w:vAlign w:val="bottom"/>
            <w:tcBorders>
              <w:top w:val="single" w:sz="8" w:color="0000FF"/>
              <w:bottom w:val="single" w:sz="8" w:color="CCEEFF"/>
            </w:tcBorders>
            <w:shd w:val="clear" w:color="auto" w:fill="CCEEFF"/>
          </w:tcPr>
          <w:p>
            <w:pPr>
              <w:spacing w:after="0"/>
              <w:rPr>
                <w:sz w:val="17"/>
                <w:szCs w:val="17"/>
                <w:color w:val="auto"/>
              </w:rPr>
            </w:pPr>
          </w:p>
        </w:tc>
        <w:tc>
          <w:tcPr>
            <w:tcW w:w="36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60" w:type="dxa"/>
            <w:vAlign w:val="bottom"/>
            <w:tcBorders>
              <w:top w:val="single" w:sz="8" w:color="0000FF"/>
              <w:bottom w:val="single" w:sz="8" w:color="CCEEFF"/>
            </w:tcBorders>
            <w:shd w:val="clear" w:color="auto" w:fill="CCEEFF"/>
          </w:tcPr>
          <w:p>
            <w:pPr>
              <w:spacing w:after="0"/>
              <w:rPr>
                <w:sz w:val="17"/>
                <w:szCs w:val="17"/>
                <w:color w:val="auto"/>
              </w:rPr>
            </w:pPr>
          </w:p>
        </w:tc>
        <w:tc>
          <w:tcPr>
            <w:tcW w:w="1200" w:type="dxa"/>
            <w:vAlign w:val="bottom"/>
            <w:tcBorders>
              <w:top w:val="single" w:sz="8" w:color="0000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right w:val="single" w:sz="8" w:color="CCEEFF"/>
            </w:tcBorders>
            <w:vMerge w:val="continue"/>
            <w:shd w:val="clear" w:color="auto" w:fill="CCEEFF"/>
          </w:tcPr>
          <w:p>
            <w:pPr>
              <w:spacing w:after="0"/>
              <w:rPr>
                <w:sz w:val="17"/>
                <w:szCs w:val="17"/>
                <w:color w:val="auto"/>
              </w:rPr>
            </w:pPr>
          </w:p>
        </w:tc>
        <w:tc>
          <w:tcPr>
            <w:tcW w:w="140" w:type="dxa"/>
            <w:vAlign w:val="bottom"/>
            <w:tcBorders>
              <w:top w:val="single" w:sz="8" w:color="CCEEFF"/>
              <w:bottom w:val="single" w:sz="8" w:color="0000FF"/>
              <w:right w:val="single" w:sz="8" w:color="CCEEFF"/>
            </w:tcBorders>
            <w:vMerge w:val="continue"/>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Months Ended March 31, 2026</w:t>
            </w:r>
          </w:p>
        </w:tc>
        <w:tc>
          <w:tcPr>
            <w:tcW w:w="7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rPr>
              <w:t>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820" w:type="dxa"/>
            <w:vAlign w:val="bottom"/>
            <w:tcBorders>
              <w:bottom w:val="single" w:sz="8" w:color="0000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Three Months Ended March 31, 2025</w:t>
            </w:r>
          </w:p>
        </w:tc>
        <w:tc>
          <w:tcPr>
            <w:tcW w:w="1780" w:type="dxa"/>
            <w:vAlign w:val="bottom"/>
            <w:tcBorders>
              <w:bottom w:val="single" w:sz="8" w:color="CCEEFF"/>
            </w:tcBorders>
            <w:gridSpan w:val="4"/>
            <w:shd w:val="clear" w:color="auto" w:fill="CCEEFF"/>
          </w:tcPr>
          <w:p>
            <w:pPr>
              <w:spacing w:after="0"/>
              <w:rPr>
                <w:sz w:val="22"/>
                <w:szCs w:val="22"/>
                <w:color w:val="auto"/>
              </w:rPr>
            </w:pPr>
          </w:p>
        </w:tc>
        <w:tc>
          <w:tcPr>
            <w:tcW w:w="60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0000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2026 and 2025</w:t>
            </w:r>
          </w:p>
        </w:tc>
        <w:tc>
          <w:tcPr>
            <w:tcW w:w="7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rPr>
              <w:t>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0000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Notes to the Unaudited Consolidated Financial Statements</w:t>
            </w:r>
          </w:p>
        </w:tc>
        <w:tc>
          <w:tcPr>
            <w:tcW w:w="4400" w:type="dxa"/>
            <w:vAlign w:val="bottom"/>
            <w:tcBorders>
              <w:bottom w:val="single" w:sz="8" w:color="CCEEFF"/>
            </w:tcBorders>
            <w:gridSpan w:val="8"/>
            <w:shd w:val="clear" w:color="auto" w:fill="CCEEFF"/>
          </w:tcPr>
          <w:p>
            <w:pPr>
              <w:spacing w:after="0"/>
              <w:rPr>
                <w:sz w:val="22"/>
                <w:szCs w:val="22"/>
                <w:color w:val="auto"/>
              </w:rPr>
            </w:pPr>
          </w:p>
        </w:tc>
        <w:tc>
          <w:tcPr>
            <w:tcW w:w="60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0000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Item 2.</w:t>
            </w:r>
          </w:p>
        </w:tc>
        <w:tc>
          <w:tcPr>
            <w:tcW w:w="86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3.</w:t>
            </w:r>
          </w:p>
        </w:tc>
        <w:tc>
          <w:tcPr>
            <w:tcW w:w="86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27</w:t>
            </w: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right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FF"/>
              <w:right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Item 4.</w:t>
            </w:r>
          </w:p>
        </w:tc>
        <w:tc>
          <w:tcPr>
            <w:tcW w:w="86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80" w:type="dxa"/>
            <w:vAlign w:val="bottom"/>
            <w:gridSpan w:val="10"/>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9"/>
              </w:rPr>
              <w:t>PART II. OTHER INFORMATION</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Item 1.</w:t>
            </w:r>
          </w:p>
        </w:tc>
        <w:tc>
          <w:tcPr>
            <w:tcW w:w="86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1A.</w:t>
            </w:r>
          </w:p>
        </w:tc>
        <w:tc>
          <w:tcPr>
            <w:tcW w:w="86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right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FF"/>
              <w:right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Item 2.</w:t>
            </w:r>
          </w:p>
        </w:tc>
        <w:tc>
          <w:tcPr>
            <w:tcW w:w="86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3.</w:t>
            </w:r>
          </w:p>
        </w:tc>
        <w:tc>
          <w:tcPr>
            <w:tcW w:w="86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right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FF"/>
              <w:right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Item 4.</w:t>
            </w:r>
          </w:p>
        </w:tc>
        <w:tc>
          <w:tcPr>
            <w:tcW w:w="86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5.</w:t>
            </w:r>
          </w:p>
        </w:tc>
        <w:tc>
          <w:tcPr>
            <w:tcW w:w="86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right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FF"/>
              <w:right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Item 6.</w:t>
            </w:r>
          </w:p>
        </w:tc>
        <w:tc>
          <w:tcPr>
            <w:tcW w:w="86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FF"/>
                <w:w w:val="97"/>
              </w:rPr>
              <w:t>Exhibit Index</w:t>
            </w:r>
          </w:p>
        </w:tc>
        <w:tc>
          <w:tcPr>
            <w:tcW w:w="7620" w:type="dxa"/>
            <w:vAlign w:val="bottom"/>
            <w:gridSpan w:val="14"/>
            <w:shd w:val="clear" w:color="auto" w:fill="CCEEFF"/>
          </w:tcPr>
          <w:p>
            <w:pPr>
              <w:spacing w:after="0"/>
              <w:rPr>
                <w:sz w:val="19"/>
                <w:szCs w:val="19"/>
                <w:color w:val="auto"/>
              </w:rPr>
            </w:pPr>
          </w:p>
        </w:tc>
        <w:tc>
          <w:tcPr>
            <w:tcW w:w="1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right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0000FF"/>
              <w:right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00" w:type="dxa"/>
            <w:vAlign w:val="bottom"/>
            <w:gridSpan w:val="2"/>
          </w:tcPr>
          <w:p>
            <w:pPr>
              <w:spacing w:after="0"/>
              <w:rPr>
                <w:sz w:val="19"/>
                <w:szCs w:val="19"/>
                <w:color w:val="auto"/>
              </w:rPr>
            </w:pPr>
          </w:p>
        </w:tc>
        <w:tc>
          <w:tcPr>
            <w:tcW w:w="7620" w:type="dxa"/>
            <w:vAlign w:val="bottom"/>
            <w:gridSpan w:val="14"/>
          </w:tcPr>
          <w:p>
            <w:pPr>
              <w:spacing w:after="0"/>
              <w:rPr>
                <w:sz w:val="19"/>
                <w:szCs w:val="19"/>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60"/>
        </w:trPr>
        <w:tc>
          <w:tcPr>
            <w:tcW w:w="7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432"/>
              <w:spacing w:after="0" w:line="160"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r>
        <w:trPr>
          <w:trHeight w:val="183"/>
        </w:trPr>
        <w:tc>
          <w:tcPr>
            <w:tcW w:w="7520" w:type="dxa"/>
            <w:vAlign w:val="bottom"/>
            <w:shd w:val="clear" w:color="auto" w:fill="CFF0FC"/>
          </w:tcPr>
          <w:p>
            <w:pPr>
              <w:ind w:left="3440"/>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7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FF0FC"/>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248,469</w:t>
            </w:r>
          </w:p>
        </w:tc>
        <w:tc>
          <w:tcPr>
            <w:tcW w:w="320" w:type="dxa"/>
            <w:vAlign w:val="bottom"/>
            <w:gridSpan w:val="2"/>
            <w:shd w:val="clear" w:color="auto" w:fill="CFF0FC"/>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238,196</w:t>
            </w: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Receivables from collaborative partners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25,747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33,850</w:t>
            </w:r>
          </w:p>
        </w:tc>
      </w:tr>
      <w:tr>
        <w:trPr>
          <w:trHeight w:val="189"/>
        </w:trPr>
        <w:tc>
          <w:tcPr>
            <w:tcW w:w="7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37,986</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73,442</w:t>
            </w: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3,907</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4,762</w:t>
            </w:r>
          </w:p>
        </w:tc>
      </w:tr>
      <w:tr>
        <w:trPr>
          <w:trHeight w:val="183"/>
        </w:trPr>
        <w:tc>
          <w:tcPr>
            <w:tcW w:w="7520" w:type="dxa"/>
            <w:vAlign w:val="bottom"/>
            <w:shd w:val="clear" w:color="auto" w:fill="CFF0FC"/>
          </w:tcPr>
          <w:p>
            <w:pPr>
              <w:ind w:left="420"/>
              <w:spacing w:after="0" w:line="182" w:lineRule="exact"/>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316,109</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350,250</w:t>
            </w: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1,280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1,370</w:t>
            </w:r>
          </w:p>
        </w:tc>
      </w:tr>
      <w:tr>
        <w:trPr>
          <w:trHeight w:val="189"/>
        </w:trPr>
        <w:tc>
          <w:tcPr>
            <w:tcW w:w="7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12,039</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12,519</w:t>
            </w: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256</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256</w:t>
            </w:r>
          </w:p>
        </w:tc>
      </w:tr>
      <w:tr>
        <w:trPr>
          <w:trHeight w:val="223"/>
        </w:trPr>
        <w:tc>
          <w:tcPr>
            <w:tcW w:w="7520" w:type="dxa"/>
            <w:vAlign w:val="bottom"/>
            <w:shd w:val="clear" w:color="auto" w:fill="CFF0FC"/>
          </w:tcPr>
          <w:p>
            <w:pPr>
              <w:ind w:left="28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gridSpan w:val="2"/>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329,684</w:t>
            </w:r>
          </w:p>
        </w:tc>
        <w:tc>
          <w:tcPr>
            <w:tcW w:w="32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364,395</w:t>
            </w:r>
          </w:p>
        </w:tc>
      </w:tr>
      <w:tr>
        <w:trPr>
          <w:trHeight w:val="169"/>
        </w:trPr>
        <w:tc>
          <w:tcPr>
            <w:tcW w:w="7520" w:type="dxa"/>
            <w:vAlign w:val="bottom"/>
            <w:tcBorders>
              <w:top w:val="single" w:sz="8" w:color="CFF0FC"/>
            </w:tcBorders>
          </w:tcPr>
          <w:p>
            <w:pPr>
              <w:ind w:left="1820"/>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r>
      <w:tr>
        <w:trPr>
          <w:trHeight w:val="189"/>
        </w:trPr>
        <w:tc>
          <w:tcPr>
            <w:tcW w:w="7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7,517</w:t>
            </w:r>
          </w:p>
        </w:tc>
        <w:tc>
          <w:tcPr>
            <w:tcW w:w="32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3,871</w:t>
            </w:r>
          </w:p>
        </w:tc>
      </w:tr>
      <w:tr>
        <w:trPr>
          <w:trHeight w:val="189"/>
        </w:trPr>
        <w:tc>
          <w:tcPr>
            <w:tcW w:w="7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32,065</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32,674</w:t>
            </w: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2,120</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2,080</w:t>
            </w:r>
          </w:p>
        </w:tc>
      </w:tr>
      <w:tr>
        <w:trPr>
          <w:trHeight w:val="183"/>
        </w:trPr>
        <w:tc>
          <w:tcPr>
            <w:tcW w:w="7520" w:type="dxa"/>
            <w:vAlign w:val="bottom"/>
            <w:shd w:val="clear" w:color="auto" w:fill="CFF0FC"/>
          </w:tcPr>
          <w:p>
            <w:pPr>
              <w:ind w:left="420"/>
              <w:spacing w:after="0" w:line="182" w:lineRule="exact"/>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41,702</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38,625</w:t>
            </w: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Liability related to sale of future royalties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263,742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276,528</w:t>
            </w:r>
          </w:p>
        </w:tc>
      </w:tr>
      <w:tr>
        <w:trPr>
          <w:trHeight w:val="189"/>
        </w:trPr>
        <w:tc>
          <w:tcPr>
            <w:tcW w:w="7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11,493</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12,032</w:t>
            </w: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57"/>
        </w:trPr>
        <w:tc>
          <w:tcPr>
            <w:tcW w:w="752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8"/>
                <w:szCs w:val="18"/>
                <w:color w:val="auto"/>
              </w:rPr>
              <w:t>Preferred stock, $0.001 par value, 10,000 shares authorized and no shares, issued or outstanding at</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r>
      <w:tr>
        <w:trPr>
          <w:trHeight w:val="221"/>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752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Common stock, $0.001 par value, 500,000 shares authorized, 29,031 shares and 28,019 shares issued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21"/>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and outstanding at March 31, 2026 and December 31, 2025, respectively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r>
      <w:tr>
        <w:trPr>
          <w:trHeight w:val="189"/>
        </w:trPr>
        <w:tc>
          <w:tcPr>
            <w:tcW w:w="7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838,307</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809,765</w:t>
            </w: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w:t>
            </w:r>
          </w:p>
        </w:tc>
      </w:tr>
      <w:tr>
        <w:trPr>
          <w:trHeight w:val="189"/>
        </w:trPr>
        <w:tc>
          <w:tcPr>
            <w:tcW w:w="752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(825,443)</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(772,559)</w:t>
            </w:r>
          </w:p>
        </w:tc>
      </w:tr>
      <w:tr>
        <w:trPr>
          <w:trHeight w:val="183"/>
        </w:trPr>
        <w:tc>
          <w:tcPr>
            <w:tcW w:w="752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12,747</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37,210</w:t>
            </w:r>
          </w:p>
        </w:tc>
      </w:tr>
      <w:tr>
        <w:trPr>
          <w:trHeight w:val="203"/>
        </w:trPr>
        <w:tc>
          <w:tcPr>
            <w:tcW w:w="7520" w:type="dxa"/>
            <w:vAlign w:val="bottom"/>
            <w:shd w:val="clear" w:color="auto" w:fill="CFF0FC"/>
          </w:tcPr>
          <w:p>
            <w:pPr>
              <w:ind w:left="280"/>
              <w:spacing w:after="0" w:line="182"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329,684</w:t>
            </w:r>
          </w:p>
        </w:tc>
        <w:tc>
          <w:tcPr>
            <w:tcW w:w="32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364,395</w:t>
            </w:r>
          </w:p>
        </w:tc>
      </w:tr>
      <w:tr>
        <w:trPr>
          <w:trHeight w:val="20"/>
        </w:trPr>
        <w:tc>
          <w:tcPr>
            <w:tcW w:w="7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-2236470</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-2219325</wp:posOffset>
            </wp:positionV>
            <wp:extent cx="111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-281940</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9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83"/>
        </w:trPr>
        <w:tc>
          <w:tcPr>
            <w:tcW w:w="59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Collaboration revenue</w:t>
            </w:r>
          </w:p>
        </w:tc>
        <w:tc>
          <w:tcPr>
            <w:tcW w:w="2720" w:type="dxa"/>
            <w:vAlign w:val="bottom"/>
            <w:gridSpan w:val="2"/>
            <w:shd w:val="clear" w:color="auto" w:fill="CFF0FC"/>
          </w:tcPr>
          <w:p>
            <w:pPr>
              <w:jc w:val="right"/>
              <w:ind w:right="788"/>
              <w:spacing w:after="0" w:line="18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25,556</w:t>
            </w:r>
          </w:p>
        </w:tc>
        <w:tc>
          <w:tcPr>
            <w:tcW w:w="540" w:type="dxa"/>
            <w:vAlign w:val="bottom"/>
            <w:gridSpan w:val="2"/>
            <w:shd w:val="clear" w:color="auto" w:fill="CFF0FC"/>
          </w:tcPr>
          <w:p>
            <w:pPr>
              <w:jc w:val="right"/>
              <w:ind w:right="2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27,771</w:t>
            </w:r>
          </w:p>
        </w:tc>
      </w:tr>
      <w:tr>
        <w:trPr>
          <w:trHeight w:val="183"/>
        </w:trPr>
        <w:tc>
          <w:tcPr>
            <w:tcW w:w="598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Operating expenses:</w:t>
            </w:r>
          </w:p>
        </w:tc>
        <w:tc>
          <w:tcPr>
            <w:tcW w:w="1760" w:type="dxa"/>
            <w:vAlign w:val="bottom"/>
            <w:tcBorders>
              <w:top w:val="single" w:sz="8" w:color="CFF0FC"/>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189"/>
        </w:trPr>
        <w:tc>
          <w:tcPr>
            <w:tcW w:w="598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Research and development</w:t>
            </w:r>
          </w:p>
        </w:tc>
        <w:tc>
          <w:tcPr>
            <w:tcW w:w="17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33,991</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41,180</w:t>
            </w:r>
          </w:p>
        </w:tc>
      </w:tr>
      <w:tr>
        <w:trPr>
          <w:trHeight w:val="189"/>
        </w:trPr>
        <w:tc>
          <w:tcPr>
            <w:tcW w:w="59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General and administrative</w:t>
            </w:r>
          </w:p>
        </w:tc>
        <w:tc>
          <w:tcPr>
            <w:tcW w:w="17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26,202</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14,130</w:t>
            </w:r>
          </w:p>
        </w:tc>
      </w:tr>
      <w:tr>
        <w:trPr>
          <w:trHeight w:val="183"/>
        </w:trPr>
        <w:tc>
          <w:tcPr>
            <w:tcW w:w="5980" w:type="dxa"/>
            <w:vAlign w:val="bottom"/>
            <w:tcBorders>
              <w:bottom w:val="single" w:sz="8" w:color="CFF0FC"/>
            </w:tcBorders>
            <w:shd w:val="clear" w:color="auto" w:fill="CFF0FC"/>
          </w:tcPr>
          <w:p>
            <w:pPr>
              <w:ind w:left="420"/>
              <w:spacing w:after="0" w:line="182" w:lineRule="exact"/>
              <w:rPr>
                <w:sz w:val="20"/>
                <w:szCs w:val="20"/>
                <w:color w:val="auto"/>
              </w:rPr>
            </w:pPr>
            <w:r>
              <w:rPr>
                <w:rFonts w:ascii="Times New Roman" w:cs="Times New Roman" w:eastAsia="Times New Roman" w:hAnsi="Times New Roman"/>
                <w:sz w:val="18"/>
                <w:szCs w:val="18"/>
                <w:color w:val="auto"/>
              </w:rPr>
              <w:t>Total operating expenses</w:t>
            </w:r>
          </w:p>
        </w:tc>
        <w:tc>
          <w:tcPr>
            <w:tcW w:w="176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60,193</w:t>
            </w:r>
          </w:p>
        </w:tc>
        <w:tc>
          <w:tcPr>
            <w:tcW w:w="1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55,310</w:t>
            </w:r>
          </w:p>
        </w:tc>
      </w:tr>
      <w:tr>
        <w:trPr>
          <w:trHeight w:val="183"/>
        </w:trPr>
        <w:tc>
          <w:tcPr>
            <w:tcW w:w="5980" w:type="dxa"/>
            <w:vAlign w:val="bottom"/>
          </w:tcPr>
          <w:p>
            <w:pPr>
              <w:ind w:left="560"/>
              <w:spacing w:after="0" w:line="182" w:lineRule="exact"/>
              <w:rPr>
                <w:sz w:val="20"/>
                <w:szCs w:val="20"/>
                <w:color w:val="auto"/>
              </w:rPr>
            </w:pPr>
            <w:r>
              <w:rPr>
                <w:rFonts w:ascii="Times New Roman" w:cs="Times New Roman" w:eastAsia="Times New Roman" w:hAnsi="Times New Roman"/>
                <w:sz w:val="18"/>
                <w:szCs w:val="18"/>
                <w:color w:val="auto"/>
              </w:rPr>
              <w:t>Loss from operations</w:t>
            </w:r>
          </w:p>
        </w:tc>
        <w:tc>
          <w:tcPr>
            <w:tcW w:w="17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(34,637)</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(27,539)</w:t>
            </w:r>
          </w:p>
        </w:tc>
      </w:tr>
      <w:tr>
        <w:trPr>
          <w:trHeight w:val="183"/>
        </w:trPr>
        <w:tc>
          <w:tcPr>
            <w:tcW w:w="59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Other income (expense), net:</w:t>
            </w:r>
          </w:p>
        </w:tc>
        <w:tc>
          <w:tcPr>
            <w:tcW w:w="17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r>
      <w:tr>
        <w:trPr>
          <w:trHeight w:val="189"/>
        </w:trPr>
        <w:tc>
          <w:tcPr>
            <w:tcW w:w="59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1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2,653</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4,413</w:t>
            </w:r>
          </w:p>
        </w:tc>
      </w:tr>
      <w:tr>
        <w:trPr>
          <w:trHeight w:val="189"/>
        </w:trPr>
        <w:tc>
          <w:tcPr>
            <w:tcW w:w="598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17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(20,859)</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(18,061)</w:t>
            </w:r>
          </w:p>
        </w:tc>
      </w:tr>
      <w:tr>
        <w:trPr>
          <w:trHeight w:val="189"/>
        </w:trPr>
        <w:tc>
          <w:tcPr>
            <w:tcW w:w="59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(expense) income, net</w:t>
            </w:r>
          </w:p>
        </w:tc>
        <w:tc>
          <w:tcPr>
            <w:tcW w:w="17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1,902</w:t>
            </w:r>
          </w:p>
        </w:tc>
      </w:tr>
      <w:tr>
        <w:trPr>
          <w:trHeight w:val="183"/>
        </w:trPr>
        <w:tc>
          <w:tcPr>
            <w:tcW w:w="5980" w:type="dxa"/>
            <w:vAlign w:val="bottom"/>
            <w:tcBorders>
              <w:bottom w:val="single" w:sz="8" w:color="CFF0FC"/>
            </w:tcBorders>
            <w:shd w:val="clear" w:color="auto" w:fill="CFF0FC"/>
          </w:tcPr>
          <w:p>
            <w:pPr>
              <w:ind w:left="560"/>
              <w:spacing w:after="0" w:line="182" w:lineRule="exact"/>
              <w:rPr>
                <w:sz w:val="20"/>
                <w:szCs w:val="20"/>
                <w:color w:val="auto"/>
              </w:rPr>
            </w:pPr>
            <w:r>
              <w:rPr>
                <w:rFonts w:ascii="Times New Roman" w:cs="Times New Roman" w:eastAsia="Times New Roman" w:hAnsi="Times New Roman"/>
                <w:sz w:val="18"/>
                <w:szCs w:val="18"/>
                <w:color w:val="auto"/>
              </w:rPr>
              <w:t>Total other expense, net</w:t>
            </w:r>
          </w:p>
        </w:tc>
        <w:tc>
          <w:tcPr>
            <w:tcW w:w="176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(18,207)</w:t>
            </w:r>
          </w:p>
        </w:tc>
        <w:tc>
          <w:tcPr>
            <w:tcW w:w="1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(11,746)</w:t>
            </w:r>
          </w:p>
        </w:tc>
      </w:tr>
      <w:tr>
        <w:trPr>
          <w:trHeight w:val="183"/>
        </w:trPr>
        <w:tc>
          <w:tcPr>
            <w:tcW w:w="59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Loss before income taxes</w:t>
            </w:r>
          </w:p>
        </w:tc>
        <w:tc>
          <w:tcPr>
            <w:tcW w:w="1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(52,844)</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(39,285)</w:t>
            </w:r>
          </w:p>
        </w:tc>
      </w:tr>
      <w:tr>
        <w:trPr>
          <w:trHeight w:val="189"/>
        </w:trPr>
        <w:tc>
          <w:tcPr>
            <w:tcW w:w="5980" w:type="dxa"/>
            <w:vAlign w:val="bottom"/>
            <w:tcBorders>
              <w:bottom w:val="single" w:sz="8" w:color="CFF0FC"/>
            </w:tcBorders>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Provision for income taxes</w:t>
            </w:r>
          </w:p>
        </w:tc>
        <w:tc>
          <w:tcPr>
            <w:tcW w:w="176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(44)</w:t>
            </w:r>
          </w:p>
        </w:tc>
      </w:tr>
      <w:tr>
        <w:trPr>
          <w:trHeight w:val="183"/>
        </w:trPr>
        <w:tc>
          <w:tcPr>
            <w:tcW w:w="5980" w:type="dxa"/>
            <w:vAlign w:val="bottom"/>
          </w:tcPr>
          <w:p>
            <w:pPr>
              <w:ind w:left="560"/>
              <w:spacing w:after="0" w:line="182" w:lineRule="exact"/>
              <w:rPr>
                <w:sz w:val="20"/>
                <w:szCs w:val="20"/>
                <w:color w:val="auto"/>
              </w:rPr>
            </w:pPr>
            <w:r>
              <w:rPr>
                <w:rFonts w:ascii="Times New Roman" w:cs="Times New Roman" w:eastAsia="Times New Roman" w:hAnsi="Times New Roman"/>
                <w:sz w:val="18"/>
                <w:szCs w:val="18"/>
                <w:color w:val="auto"/>
              </w:rPr>
              <w:t>Net loss</w:t>
            </w:r>
          </w:p>
        </w:tc>
        <w:tc>
          <w:tcPr>
            <w:tcW w:w="17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(52,884)</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(39,329)</w:t>
            </w:r>
          </w:p>
        </w:tc>
      </w:tr>
      <w:tr>
        <w:trPr>
          <w:trHeight w:val="183"/>
        </w:trPr>
        <w:tc>
          <w:tcPr>
            <w:tcW w:w="59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Other comprehensive loss:</w:t>
            </w:r>
          </w:p>
        </w:tc>
        <w:tc>
          <w:tcPr>
            <w:tcW w:w="17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r>
      <w:tr>
        <w:trPr>
          <w:trHeight w:val="189"/>
        </w:trPr>
        <w:tc>
          <w:tcPr>
            <w:tcW w:w="59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17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(144)</w:t>
            </w:r>
          </w:p>
        </w:tc>
      </w:tr>
      <w:tr>
        <w:trPr>
          <w:trHeight w:val="223"/>
        </w:trPr>
        <w:tc>
          <w:tcPr>
            <w:tcW w:w="5980" w:type="dxa"/>
            <w:vAlign w:val="bottom"/>
            <w:shd w:val="clear" w:color="auto" w:fill="CFF0FC"/>
          </w:tcPr>
          <w:p>
            <w:pPr>
              <w:ind w:left="420"/>
              <w:spacing w:after="0" w:line="182" w:lineRule="exact"/>
              <w:rPr>
                <w:sz w:val="20"/>
                <w:szCs w:val="20"/>
                <w:color w:val="auto"/>
              </w:rPr>
            </w:pPr>
            <w:r>
              <w:rPr>
                <w:rFonts w:ascii="Times New Roman" w:cs="Times New Roman" w:eastAsia="Times New Roman" w:hAnsi="Times New Roman"/>
                <w:sz w:val="18"/>
                <w:szCs w:val="18"/>
                <w:color w:val="auto"/>
              </w:rPr>
              <w:t>Comprehensive loss</w:t>
            </w:r>
          </w:p>
        </w:tc>
        <w:tc>
          <w:tcPr>
            <w:tcW w:w="2720" w:type="dxa"/>
            <w:vAlign w:val="bottom"/>
            <w:gridSpan w:val="2"/>
            <w:shd w:val="clear" w:color="auto" w:fill="CFF0FC"/>
          </w:tcPr>
          <w:p>
            <w:pPr>
              <w:jc w:val="right"/>
              <w:ind w:right="788"/>
              <w:spacing w:after="0" w:line="18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(53,006)</w:t>
            </w:r>
          </w:p>
        </w:tc>
        <w:tc>
          <w:tcPr>
            <w:tcW w:w="540" w:type="dxa"/>
            <w:vAlign w:val="bottom"/>
            <w:gridSpan w:val="2"/>
            <w:shd w:val="clear" w:color="auto" w:fill="CFF0FC"/>
          </w:tcPr>
          <w:p>
            <w:pPr>
              <w:jc w:val="right"/>
              <w:ind w:right="2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(39,473)</w:t>
            </w:r>
          </w:p>
        </w:tc>
      </w:tr>
      <w:tr>
        <w:trPr>
          <w:trHeight w:val="169"/>
        </w:trPr>
        <w:tc>
          <w:tcPr>
            <w:tcW w:w="5980" w:type="dxa"/>
            <w:vAlign w:val="bottom"/>
            <w:tcBorders>
              <w:top w:val="single" w:sz="8" w:color="CFF0FC"/>
            </w:tcBorders>
          </w:tcPr>
          <w:p>
            <w:pPr>
              <w:spacing w:after="0" w:line="170" w:lineRule="exact"/>
              <w:rPr>
                <w:sz w:val="20"/>
                <w:szCs w:val="20"/>
                <w:color w:val="auto"/>
              </w:rPr>
            </w:pPr>
            <w:r>
              <w:rPr>
                <w:rFonts w:ascii="Times New Roman" w:cs="Times New Roman" w:eastAsia="Times New Roman" w:hAnsi="Times New Roman"/>
                <w:sz w:val="18"/>
                <w:szCs w:val="18"/>
                <w:color w:val="auto"/>
              </w:rPr>
              <w:t>Net loss per common share:</w:t>
            </w:r>
          </w:p>
        </w:tc>
        <w:tc>
          <w:tcPr>
            <w:tcW w:w="176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r>
      <w:tr>
        <w:trPr>
          <w:trHeight w:val="229"/>
        </w:trPr>
        <w:tc>
          <w:tcPr>
            <w:tcW w:w="598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Basic and diluted</w:t>
            </w:r>
          </w:p>
        </w:tc>
        <w:tc>
          <w:tcPr>
            <w:tcW w:w="2720" w:type="dxa"/>
            <w:vAlign w:val="bottom"/>
            <w:gridSpan w:val="2"/>
            <w:shd w:val="clear" w:color="auto" w:fill="CFF0FC"/>
          </w:tcPr>
          <w:p>
            <w:pPr>
              <w:jc w:val="right"/>
              <w:ind w:right="788"/>
              <w:spacing w:after="0" w:line="189"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(1.84)</w:t>
            </w:r>
          </w:p>
        </w:tc>
        <w:tc>
          <w:tcPr>
            <w:tcW w:w="540" w:type="dxa"/>
            <w:vAlign w:val="bottom"/>
            <w:gridSpan w:val="2"/>
            <w:shd w:val="clear" w:color="auto" w:fill="CFF0FC"/>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(1.28)</w:t>
            </w:r>
          </w:p>
        </w:tc>
      </w:tr>
      <w:tr>
        <w:trPr>
          <w:trHeight w:val="170"/>
        </w:trPr>
        <w:tc>
          <w:tcPr>
            <w:tcW w:w="5980" w:type="dxa"/>
            <w:vAlign w:val="bottom"/>
            <w:tcBorders>
              <w:top w:val="single" w:sz="8" w:color="CFF0FC"/>
            </w:tcBorders>
          </w:tcPr>
          <w:p>
            <w:pPr>
              <w:spacing w:after="0" w:line="170" w:lineRule="exact"/>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176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r>
      <w:tr>
        <w:trPr>
          <w:trHeight w:val="229"/>
        </w:trPr>
        <w:tc>
          <w:tcPr>
            <w:tcW w:w="5980" w:type="dxa"/>
            <w:vAlign w:val="bottom"/>
            <w:tcBorders>
              <w:bottom w:val="single" w:sz="8" w:color="CFF0FC"/>
            </w:tcBorders>
            <w:shd w:val="clear" w:color="auto" w:fill="CFF0FC"/>
          </w:tcPr>
          <w:p>
            <w:pPr>
              <w:ind w:left="280"/>
              <w:spacing w:after="0" w:line="189" w:lineRule="exact"/>
              <w:rPr>
                <w:sz w:val="20"/>
                <w:szCs w:val="20"/>
                <w:color w:val="auto"/>
              </w:rPr>
            </w:pPr>
            <w:r>
              <w:rPr>
                <w:rFonts w:ascii="Times New Roman" w:cs="Times New Roman" w:eastAsia="Times New Roman" w:hAnsi="Times New Roman"/>
                <w:sz w:val="18"/>
                <w:szCs w:val="18"/>
                <w:color w:val="auto"/>
              </w:rPr>
              <w:t>Basic and diluted</w:t>
            </w:r>
          </w:p>
        </w:tc>
        <w:tc>
          <w:tcPr>
            <w:tcW w:w="17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28,691</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30,644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-2553970</wp:posOffset>
            </wp:positionV>
            <wp:extent cx="111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-2056765</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-1310640</wp:posOffset>
            </wp:positionV>
            <wp:extent cx="111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-1062355</wp:posOffset>
            </wp:positionV>
            <wp:extent cx="111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-556895</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-539750</wp:posOffset>
            </wp:positionV>
            <wp:extent cx="111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-290830</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-273685</wp:posOffset>
            </wp:positionV>
            <wp:extent cx="111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40" w:type="dxa"/>
            <w:vAlign w:val="bottom"/>
          </w:tcPr>
          <w:p>
            <w:pPr>
              <w:spacing w:after="0"/>
              <w:rPr>
                <w:sz w:val="13"/>
                <w:szCs w:val="13"/>
                <w:color w:val="auto"/>
              </w:rPr>
            </w:pPr>
          </w:p>
        </w:tc>
        <w:tc>
          <w:tcPr>
            <w:tcW w:w="196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102"/>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4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3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96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380" w:type="dxa"/>
            <w:vAlign w:val="bottom"/>
            <w:gridSpan w:val="2"/>
            <w:vMerge w:val="continue"/>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2025</w:t>
            </w:r>
          </w:p>
        </w:tc>
        <w:tc>
          <w:tcPr>
            <w:tcW w:w="980" w:type="dxa"/>
            <w:vAlign w:val="bottom"/>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78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38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640" w:type="dxa"/>
            <w:vAlign w:val="bottom"/>
            <w:vMerge w:val="continue"/>
          </w:tcPr>
          <w:p>
            <w:pPr>
              <w:spacing w:after="0"/>
              <w:rPr>
                <w:sz w:val="14"/>
                <w:szCs w:val="14"/>
                <w:color w:val="auto"/>
              </w:rPr>
            </w:pPr>
          </w:p>
        </w:tc>
        <w:tc>
          <w:tcPr>
            <w:tcW w:w="9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28,019</w:t>
            </w:r>
          </w:p>
        </w:tc>
        <w:tc>
          <w:tcPr>
            <w:tcW w:w="2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28</w:t>
            </w:r>
          </w:p>
        </w:tc>
        <w:tc>
          <w:tcPr>
            <w:tcW w:w="200" w:type="dxa"/>
            <w:vAlign w:val="bottom"/>
          </w:tcPr>
          <w:p>
            <w:pPr>
              <w:spacing w:after="0"/>
              <w:rPr>
                <w:sz w:val="14"/>
                <w:szCs w:val="14"/>
                <w:color w:val="auto"/>
              </w:rPr>
            </w:pPr>
          </w:p>
        </w:tc>
        <w:tc>
          <w:tcPr>
            <w:tcW w:w="10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809,765</w:t>
            </w:r>
          </w:p>
        </w:tc>
        <w:tc>
          <w:tcPr>
            <w:tcW w:w="220" w:type="dxa"/>
            <w:vAlign w:val="bottom"/>
          </w:tcPr>
          <w:p>
            <w:pPr>
              <w:spacing w:after="0"/>
              <w:rPr>
                <w:sz w:val="14"/>
                <w:szCs w:val="14"/>
                <w:color w:val="auto"/>
              </w:rPr>
            </w:pPr>
          </w:p>
        </w:tc>
        <w:tc>
          <w:tcPr>
            <w:tcW w:w="12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(24)</w:t>
            </w:r>
          </w:p>
        </w:tc>
        <w:tc>
          <w:tcPr>
            <w:tcW w:w="200" w:type="dxa"/>
            <w:vAlign w:val="bottom"/>
          </w:tcPr>
          <w:p>
            <w:pPr>
              <w:spacing w:after="0"/>
              <w:rPr>
                <w:sz w:val="14"/>
                <w:szCs w:val="14"/>
                <w:color w:val="auto"/>
              </w:rPr>
            </w:pPr>
          </w:p>
        </w:tc>
        <w:tc>
          <w:tcPr>
            <w:tcW w:w="11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(772,559)</w:t>
            </w:r>
          </w:p>
        </w:tc>
        <w:tc>
          <w:tcPr>
            <w:tcW w:w="220" w:type="dxa"/>
            <w:vAlign w:val="bottom"/>
          </w:tcPr>
          <w:p>
            <w:pPr>
              <w:spacing w:after="0"/>
              <w:rPr>
                <w:sz w:val="14"/>
                <w:szCs w:val="14"/>
                <w:color w:val="auto"/>
              </w:rPr>
            </w:pPr>
          </w:p>
        </w:tc>
        <w:tc>
          <w:tcPr>
            <w:tcW w:w="11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37,210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5"/>
                <w:szCs w:val="15"/>
                <w:color w:val="auto"/>
              </w:rPr>
              <w:t>Issuance of common stock from exercises of options</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14,324</w:t>
            </w:r>
          </w:p>
        </w:tc>
        <w:tc>
          <w:tcPr>
            <w:tcW w:w="220" w:type="dxa"/>
            <w:vAlign w:val="bottom"/>
            <w:shd w:val="clear" w:color="auto" w:fill="CFF0FC"/>
          </w:tcPr>
          <w:p>
            <w:pPr>
              <w:spacing w:after="0"/>
              <w:rPr>
                <w:sz w:val="11"/>
                <w:szCs w:val="11"/>
                <w:color w:val="auto"/>
              </w:rPr>
            </w:pPr>
          </w:p>
        </w:tc>
        <w:tc>
          <w:tcPr>
            <w:tcW w:w="14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14,325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and employee stock purchase plan</w:t>
            </w:r>
          </w:p>
        </w:tc>
        <w:tc>
          <w:tcPr>
            <w:tcW w:w="98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1200" w:type="dxa"/>
            <w:vAlign w:val="bottom"/>
            <w:gridSpan w:val="2"/>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gridSpan w:val="2"/>
            <w:vMerge w:val="continue"/>
            <w:shd w:val="clear" w:color="auto" w:fill="CFF0FC"/>
          </w:tcPr>
          <w:p>
            <w:pPr>
              <w:spacing w:after="0"/>
              <w:rPr>
                <w:sz w:val="17"/>
                <w:szCs w:val="17"/>
                <w:color w:val="auto"/>
              </w:rPr>
            </w:pPr>
          </w:p>
        </w:tc>
        <w:tc>
          <w:tcPr>
            <w:tcW w:w="1380" w:type="dxa"/>
            <w:vAlign w:val="bottom"/>
            <w:gridSpan w:val="2"/>
            <w:vMerge w:val="continue"/>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Issuance of common stock upon vesting of restricted</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1"/>
                <w:szCs w:val="11"/>
                <w:color w:val="auto"/>
              </w:rPr>
            </w:pPr>
          </w:p>
        </w:tc>
        <w:tc>
          <w:tcPr>
            <w:tcW w:w="1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stock units and performance stock units</w:t>
            </w:r>
          </w:p>
        </w:tc>
        <w:tc>
          <w:tcPr>
            <w:tcW w:w="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14,218</w:t>
            </w:r>
          </w:p>
        </w:tc>
        <w:tc>
          <w:tcPr>
            <w:tcW w:w="22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2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14,218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Comprehensive loss, net</w:t>
            </w:r>
          </w:p>
        </w:tc>
        <w:tc>
          <w:tcPr>
            <w:tcW w:w="9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3"/>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(122)</w:t>
            </w:r>
          </w:p>
        </w:tc>
        <w:tc>
          <w:tcPr>
            <w:tcW w:w="1380" w:type="dxa"/>
            <w:vAlign w:val="bottom"/>
            <w:gridSpan w:val="2"/>
          </w:tcPr>
          <w:p>
            <w:pPr>
              <w:jc w:val="right"/>
              <w:ind w:right="2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175"/>
        </w:trPr>
        <w:tc>
          <w:tcPr>
            <w:tcW w:w="364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Net loss</w:t>
            </w:r>
          </w:p>
        </w:tc>
        <w:tc>
          <w:tcPr>
            <w:tcW w:w="98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(52,884)</w:t>
            </w:r>
          </w:p>
        </w:tc>
        <w:tc>
          <w:tcPr>
            <w:tcW w:w="1220" w:type="dxa"/>
            <w:vAlign w:val="bottom"/>
            <w:gridSpan w:val="2"/>
            <w:shd w:val="clear" w:color="auto" w:fill="CFF0FC"/>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(52,884)</w:t>
            </w:r>
          </w:p>
        </w:tc>
        <w:tc>
          <w:tcPr>
            <w:tcW w:w="0" w:type="dxa"/>
            <w:vAlign w:val="bottom"/>
          </w:tcPr>
          <w:p>
            <w:pPr>
              <w:spacing w:after="0"/>
              <w:rPr>
                <w:sz w:val="1"/>
                <w:szCs w:val="1"/>
                <w:color w:val="auto"/>
              </w:rPr>
            </w:pPr>
          </w:p>
        </w:tc>
      </w:tr>
      <w:tr>
        <w:trPr>
          <w:trHeight w:val="20"/>
        </w:trPr>
        <w:tc>
          <w:tcPr>
            <w:tcW w:w="36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4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Balance, March 31, 2026</w:t>
            </w:r>
          </w:p>
        </w:tc>
        <w:tc>
          <w:tcPr>
            <w:tcW w:w="9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29,031</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29</w:t>
            </w:r>
          </w:p>
        </w:tc>
        <w:tc>
          <w:tcPr>
            <w:tcW w:w="20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838,307</w:t>
            </w:r>
          </w:p>
        </w:tc>
        <w:tc>
          <w:tcPr>
            <w:tcW w:w="220" w:type="dxa"/>
            <w:vAlign w:val="bottom"/>
          </w:tcPr>
          <w:p>
            <w:pPr>
              <w:spacing w:after="0"/>
              <w:rPr>
                <w:sz w:val="14"/>
                <w:szCs w:val="14"/>
                <w:color w:val="auto"/>
              </w:rPr>
            </w:pPr>
          </w:p>
        </w:tc>
        <w:tc>
          <w:tcPr>
            <w:tcW w:w="1400" w:type="dxa"/>
            <w:vAlign w:val="bottom"/>
            <w:gridSpan w:val="2"/>
          </w:tcPr>
          <w:p>
            <w:pPr>
              <w:jc w:val="right"/>
              <w:ind w:right="160"/>
              <w:spacing w:after="0" w:line="169" w:lineRule="exact"/>
              <w:rPr>
                <w:sz w:val="20"/>
                <w:szCs w:val="20"/>
                <w:color w:val="auto"/>
              </w:rPr>
            </w:pPr>
            <w:r>
              <w:rPr>
                <w:rFonts w:ascii="Times New Roman" w:cs="Times New Roman" w:eastAsia="Times New Roman" w:hAnsi="Times New Roman"/>
                <w:sz w:val="16"/>
                <w:szCs w:val="16"/>
                <w:color w:val="auto"/>
              </w:rPr>
              <w:t>(146)</w:t>
            </w:r>
          </w:p>
        </w:tc>
        <w:tc>
          <w:tcPr>
            <w:tcW w:w="1380" w:type="dxa"/>
            <w:vAlign w:val="bottom"/>
            <w:gridSpan w:val="2"/>
          </w:tcPr>
          <w:p>
            <w:pPr>
              <w:jc w:val="right"/>
              <w:ind w:right="180"/>
              <w:spacing w:after="0" w:line="169" w:lineRule="exact"/>
              <w:rPr>
                <w:sz w:val="20"/>
                <w:szCs w:val="20"/>
                <w:color w:val="auto"/>
              </w:rPr>
            </w:pPr>
            <w:r>
              <w:rPr>
                <w:rFonts w:ascii="Times New Roman" w:cs="Times New Roman" w:eastAsia="Times New Roman" w:hAnsi="Times New Roman"/>
                <w:sz w:val="16"/>
                <w:szCs w:val="16"/>
                <w:color w:val="auto"/>
              </w:rPr>
              <w:t>(825,443)</w:t>
            </w: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12,747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-145415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-145415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-145415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-145415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-145415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96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640" w:type="dxa"/>
            <w:vAlign w:val="bottom"/>
          </w:tcPr>
          <w:p>
            <w:pPr>
              <w:spacing w:after="0"/>
              <w:rPr>
                <w:sz w:val="13"/>
                <w:szCs w:val="13"/>
                <w:color w:val="auto"/>
              </w:rPr>
            </w:pPr>
          </w:p>
        </w:tc>
        <w:tc>
          <w:tcPr>
            <w:tcW w:w="196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500"/>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80" w:type="dxa"/>
            <w:vAlign w:val="bottom"/>
            <w:gridSpan w:val="2"/>
          </w:tcPr>
          <w:p>
            <w:pPr>
              <w:jc w:val="right"/>
              <w:ind w:right="40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20" w:type="dxa"/>
            <w:vAlign w:val="bottom"/>
            <w:gridSpan w:val="2"/>
          </w:tcPr>
          <w:p>
            <w:pPr>
              <w:jc w:val="center"/>
              <w:ind w:right="140"/>
              <w:spacing w:after="0" w:line="14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980" w:type="dxa"/>
            <w:vAlign w:val="bottom"/>
            <w:tcBorders>
              <w:bottom w:val="single" w:sz="8" w:color="auto"/>
            </w:tcBorders>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78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bottom w:val="single" w:sz="8" w:color="auto"/>
            </w:tcBorders>
          </w:tcPr>
          <w:p>
            <w:pPr>
              <w:jc w:val="right"/>
              <w:ind w:right="20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2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200" w:type="dxa"/>
            <w:vAlign w:val="bottom"/>
          </w:tcPr>
          <w:p>
            <w:pPr>
              <w:spacing w:after="0"/>
              <w:rPr>
                <w:sz w:val="12"/>
                <w:szCs w:val="12"/>
                <w:color w:val="auto"/>
              </w:rPr>
            </w:pPr>
          </w:p>
        </w:tc>
        <w:tc>
          <w:tcPr>
            <w:tcW w:w="1160" w:type="dxa"/>
            <w:vAlign w:val="bottom"/>
            <w:tcBorders>
              <w:bottom w:val="single" w:sz="8" w:color="auto"/>
            </w:tcBorders>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4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9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30,473</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30</w:t>
            </w:r>
          </w:p>
        </w:tc>
        <w:tc>
          <w:tcPr>
            <w:tcW w:w="120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829,860</w:t>
            </w:r>
          </w:p>
        </w:tc>
        <w:tc>
          <w:tcPr>
            <w:tcW w:w="2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305</w:t>
            </w:r>
          </w:p>
        </w:tc>
        <w:tc>
          <w:tcPr>
            <w:tcW w:w="2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80"/>
              <w:spacing w:after="0" w:line="169" w:lineRule="exact"/>
              <w:rPr>
                <w:sz w:val="20"/>
                <w:szCs w:val="20"/>
                <w:color w:val="auto"/>
              </w:rPr>
            </w:pPr>
            <w:r>
              <w:rPr>
                <w:rFonts w:ascii="Times New Roman" w:cs="Times New Roman" w:eastAsia="Times New Roman" w:hAnsi="Times New Roman"/>
                <w:sz w:val="16"/>
                <w:szCs w:val="16"/>
                <w:color w:val="auto"/>
              </w:rPr>
              <w:t>(759,327)</w:t>
            </w:r>
          </w:p>
        </w:tc>
        <w:tc>
          <w:tcPr>
            <w:tcW w:w="11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70,868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Issuance of common stock from exercises of options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220" w:type="dxa"/>
            <w:vAlign w:val="bottom"/>
          </w:tcPr>
          <w:p>
            <w:pPr>
              <w:spacing w:after="0"/>
              <w:rPr>
                <w:sz w:val="12"/>
                <w:szCs w:val="12"/>
                <w:color w:val="auto"/>
              </w:rPr>
            </w:pPr>
          </w:p>
        </w:tc>
        <w:tc>
          <w:tcPr>
            <w:tcW w:w="1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and employee stock purchase plan</w:t>
            </w:r>
          </w:p>
        </w:tc>
        <w:tc>
          <w:tcPr>
            <w:tcW w:w="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4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6"/>
                <w:szCs w:val="16"/>
                <w:color w:val="auto"/>
              </w:rPr>
              <w:t>Issuance of common stock upon vesting of restricted</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units</w:t>
            </w:r>
          </w:p>
        </w:tc>
        <w:tc>
          <w:tcPr>
            <w:tcW w:w="98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1380" w:type="dxa"/>
            <w:vAlign w:val="bottom"/>
            <w:gridSpan w:val="2"/>
            <w:vMerge w:val="continue"/>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share settlement of restricted stock units</w:t>
            </w:r>
          </w:p>
        </w:tc>
        <w:tc>
          <w:tcPr>
            <w:tcW w:w="1180" w:type="dxa"/>
            <w:vAlign w:val="bottom"/>
            <w:gridSpan w:val="2"/>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(98)</w:t>
            </w:r>
          </w:p>
        </w:tc>
        <w:tc>
          <w:tcPr>
            <w:tcW w:w="780" w:type="dxa"/>
            <w:vAlign w:val="bottom"/>
          </w:tcPr>
          <w:p>
            <w:pPr>
              <w:spacing w:after="0"/>
              <w:rPr>
                <w:sz w:val="15"/>
                <w:szCs w:val="15"/>
                <w:color w:val="auto"/>
              </w:rPr>
            </w:pPr>
          </w:p>
        </w:tc>
        <w:tc>
          <w:tcPr>
            <w:tcW w:w="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(1,451)</w:t>
            </w:r>
          </w:p>
        </w:tc>
        <w:tc>
          <w:tcPr>
            <w:tcW w:w="1400" w:type="dxa"/>
            <w:vAlign w:val="bottom"/>
            <w:gridSpan w:val="2"/>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(1,451)</w:t>
            </w:r>
          </w:p>
        </w:tc>
        <w:tc>
          <w:tcPr>
            <w:tcW w:w="0" w:type="dxa"/>
            <w:vAlign w:val="bottom"/>
          </w:tcPr>
          <w:p>
            <w:pPr>
              <w:spacing w:after="0"/>
              <w:rPr>
                <w:sz w:val="1"/>
                <w:szCs w:val="1"/>
                <w:color w:val="auto"/>
              </w:rPr>
            </w:pPr>
          </w:p>
        </w:tc>
      </w:tr>
      <w:tr>
        <w:trPr>
          <w:trHeight w:val="176"/>
        </w:trPr>
        <w:tc>
          <w:tcPr>
            <w:tcW w:w="364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Repurchases and retirements of common stock</w:t>
            </w:r>
          </w:p>
        </w:tc>
        <w:tc>
          <w:tcPr>
            <w:tcW w:w="1180" w:type="dxa"/>
            <w:vAlign w:val="bottom"/>
            <w:gridSpan w:val="2"/>
            <w:shd w:val="clear" w:color="auto" w:fill="CFF0FC"/>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(293)</w:t>
            </w: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shd w:val="clear" w:color="auto" w:fill="CFF0FC"/>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(5,383)</w:t>
            </w:r>
          </w:p>
        </w:tc>
        <w:tc>
          <w:tcPr>
            <w:tcW w:w="1400" w:type="dxa"/>
            <w:vAlign w:val="bottom"/>
            <w:gridSpan w:val="2"/>
            <w:shd w:val="clear" w:color="auto" w:fill="CFF0FC"/>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2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(5,383)</w:t>
            </w:r>
          </w:p>
        </w:tc>
        <w:tc>
          <w:tcPr>
            <w:tcW w:w="0" w:type="dxa"/>
            <w:vAlign w:val="bottom"/>
          </w:tcPr>
          <w:p>
            <w:pPr>
              <w:spacing w:after="0"/>
              <w:rPr>
                <w:sz w:val="1"/>
                <w:szCs w:val="1"/>
                <w:color w:val="auto"/>
              </w:rPr>
            </w:pPr>
          </w:p>
        </w:tc>
      </w:tr>
      <w:tr>
        <w:trPr>
          <w:trHeight w:val="175"/>
        </w:trPr>
        <w:tc>
          <w:tcPr>
            <w:tcW w:w="36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180" w:type="dxa"/>
            <w:vAlign w:val="bottom"/>
            <w:gridSpan w:val="2"/>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5"/>
                <w:szCs w:val="15"/>
                <w:color w:val="auto"/>
              </w:rPr>
            </w:pPr>
          </w:p>
        </w:tc>
        <w:tc>
          <w:tcPr>
            <w:tcW w:w="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9,170</w:t>
            </w:r>
          </w:p>
        </w:tc>
        <w:tc>
          <w:tcPr>
            <w:tcW w:w="220" w:type="dxa"/>
            <w:vAlign w:val="bottom"/>
          </w:tcPr>
          <w:p>
            <w:pPr>
              <w:spacing w:after="0"/>
              <w:rPr>
                <w:sz w:val="15"/>
                <w:szCs w:val="15"/>
                <w:color w:val="auto"/>
              </w:rPr>
            </w:pPr>
          </w:p>
        </w:tc>
        <w:tc>
          <w:tcPr>
            <w:tcW w:w="1400" w:type="dxa"/>
            <w:vAlign w:val="bottom"/>
            <w:gridSpan w:val="2"/>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9,170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Comprehensive loss, net</w:t>
            </w:r>
          </w:p>
        </w:tc>
        <w:tc>
          <w:tcPr>
            <w:tcW w:w="1180" w:type="dxa"/>
            <w:vAlign w:val="bottom"/>
            <w:gridSpan w:val="2"/>
            <w:shd w:val="clear" w:color="auto" w:fill="CFF0FC"/>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(144)</w:t>
            </w:r>
          </w:p>
        </w:tc>
        <w:tc>
          <w:tcPr>
            <w:tcW w:w="1380" w:type="dxa"/>
            <w:vAlign w:val="bottom"/>
            <w:gridSpan w:val="2"/>
            <w:shd w:val="clear" w:color="auto" w:fill="CFF0FC"/>
          </w:tcPr>
          <w:p>
            <w:pPr>
              <w:jc w:val="right"/>
              <w:ind w:right="2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176"/>
        </w:trPr>
        <w:tc>
          <w:tcPr>
            <w:tcW w:w="36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3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(39,329)</w:t>
            </w:r>
          </w:p>
        </w:tc>
        <w:tc>
          <w:tcPr>
            <w:tcW w:w="122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(39,329)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4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Balance, March 31, 2025</w:t>
            </w:r>
          </w:p>
        </w:tc>
        <w:tc>
          <w:tcPr>
            <w:tcW w:w="9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30,388</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832,486</w:t>
            </w: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161</w:t>
            </w:r>
          </w:p>
        </w:tc>
        <w:tc>
          <w:tcPr>
            <w:tcW w:w="20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line="169" w:lineRule="exact"/>
              <w:rPr>
                <w:sz w:val="20"/>
                <w:szCs w:val="20"/>
                <w:color w:val="auto"/>
              </w:rPr>
            </w:pPr>
            <w:r>
              <w:rPr>
                <w:rFonts w:ascii="Times New Roman" w:cs="Times New Roman" w:eastAsia="Times New Roman" w:hAnsi="Times New Roman"/>
                <w:sz w:val="16"/>
                <w:szCs w:val="16"/>
                <w:color w:val="auto"/>
              </w:rPr>
              <w:t>(798,656)</w:t>
            </w:r>
          </w:p>
        </w:tc>
        <w:tc>
          <w:tcPr>
            <w:tcW w:w="11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34,021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-25400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-25400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-25400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3"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83"/>
        </w:trPr>
        <w:tc>
          <w:tcPr>
            <w:tcW w:w="77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r>
      <w:tr>
        <w:trPr>
          <w:trHeight w:val="189"/>
        </w:trPr>
        <w:tc>
          <w:tcPr>
            <w:tcW w:w="7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2"/>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(52,884)</w:t>
            </w:r>
          </w:p>
        </w:tc>
        <w:tc>
          <w:tcPr>
            <w:tcW w:w="52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(39,329)</w:t>
            </w:r>
          </w:p>
        </w:tc>
      </w:tr>
      <w:tr>
        <w:trPr>
          <w:trHeight w:val="189"/>
        </w:trPr>
        <w:tc>
          <w:tcPr>
            <w:tcW w:w="7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r>
      <w:tr>
        <w:trPr>
          <w:trHeight w:val="189"/>
        </w:trPr>
        <w:tc>
          <w:tcPr>
            <w:tcW w:w="77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6"/>
                <w:szCs w:val="16"/>
                <w:color w:val="auto"/>
              </w:rPr>
            </w:pPr>
          </w:p>
        </w:tc>
        <w:tc>
          <w:tcPr>
            <w:tcW w:w="7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146</w:t>
            </w:r>
          </w:p>
        </w:tc>
      </w:tr>
      <w:tr>
        <w:trPr>
          <w:trHeight w:val="189"/>
        </w:trPr>
        <w:tc>
          <w:tcPr>
            <w:tcW w:w="770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14,218</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9,170</w:t>
            </w:r>
          </w:p>
        </w:tc>
      </w:tr>
      <w:tr>
        <w:trPr>
          <w:trHeight w:val="189"/>
        </w:trPr>
        <w:tc>
          <w:tcPr>
            <w:tcW w:w="77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Accretion/amortization of investments, net</w:t>
            </w:r>
          </w:p>
        </w:tc>
        <w:tc>
          <w:tcPr>
            <w:tcW w:w="9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(1,667)</w:t>
            </w:r>
          </w:p>
        </w:tc>
      </w:tr>
      <w:tr>
        <w:trPr>
          <w:trHeight w:val="189"/>
        </w:trPr>
        <w:tc>
          <w:tcPr>
            <w:tcW w:w="770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Amortization of right-of-use assets – operating</w:t>
            </w:r>
          </w:p>
        </w:tc>
        <w:tc>
          <w:tcPr>
            <w:tcW w:w="9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480</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460</w:t>
            </w:r>
          </w:p>
        </w:tc>
      </w:tr>
      <w:tr>
        <w:trPr>
          <w:trHeight w:val="189"/>
        </w:trPr>
        <w:tc>
          <w:tcPr>
            <w:tcW w:w="77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Non-cash interest expense for sale of future royalties</w:t>
            </w:r>
          </w:p>
        </w:tc>
        <w:tc>
          <w:tcPr>
            <w:tcW w:w="980" w:type="dxa"/>
            <w:vAlign w:val="bottom"/>
          </w:tcPr>
          <w:p>
            <w:pPr>
              <w:spacing w:after="0"/>
              <w:rPr>
                <w:sz w:val="16"/>
                <w:szCs w:val="16"/>
                <w:color w:val="auto"/>
              </w:rPr>
            </w:pPr>
          </w:p>
        </w:tc>
        <w:tc>
          <w:tcPr>
            <w:tcW w:w="7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20,859</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18,061</w:t>
            </w:r>
          </w:p>
        </w:tc>
      </w:tr>
      <w:tr>
        <w:trPr>
          <w:trHeight w:val="189"/>
        </w:trPr>
        <w:tc>
          <w:tcPr>
            <w:tcW w:w="770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r>
      <w:tr>
        <w:trPr>
          <w:trHeight w:val="189"/>
        </w:trPr>
        <w:tc>
          <w:tcPr>
            <w:tcW w:w="770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Receivables from collaborative partners</w:t>
            </w:r>
          </w:p>
        </w:tc>
        <w:tc>
          <w:tcPr>
            <w:tcW w:w="980" w:type="dxa"/>
            <w:vAlign w:val="bottom"/>
          </w:tcPr>
          <w:p>
            <w:pPr>
              <w:spacing w:after="0"/>
              <w:rPr>
                <w:sz w:val="16"/>
                <w:szCs w:val="16"/>
                <w:color w:val="auto"/>
              </w:rPr>
            </w:pPr>
          </w:p>
        </w:tc>
        <w:tc>
          <w:tcPr>
            <w:tcW w:w="7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8,103</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22,881</w:t>
            </w:r>
          </w:p>
        </w:tc>
      </w:tr>
      <w:tr>
        <w:trPr>
          <w:trHeight w:val="189"/>
        </w:trPr>
        <w:tc>
          <w:tcPr>
            <w:tcW w:w="7700" w:type="dxa"/>
            <w:vAlign w:val="bottom"/>
            <w:shd w:val="clear" w:color="auto" w:fill="CFF0FC"/>
          </w:tcPr>
          <w:p>
            <w:pPr>
              <w:ind w:left="280"/>
              <w:spacing w:after="0" w:line="189" w:lineRule="exact"/>
              <w:rPr>
                <w:sz w:val="20"/>
                <w:szCs w:val="20"/>
                <w:color w:val="auto"/>
              </w:rPr>
            </w:pPr>
            <w:r>
              <w:rPr>
                <w:rFonts w:ascii="Times New Roman" w:cs="Times New Roman" w:eastAsia="Times New Roman" w:hAnsi="Times New Roman"/>
                <w:sz w:val="18"/>
                <w:szCs w:val="18"/>
                <w:color w:val="auto"/>
              </w:rPr>
              <w:t>Prepaid expenses and other assets</w:t>
            </w:r>
          </w:p>
        </w:tc>
        <w:tc>
          <w:tcPr>
            <w:tcW w:w="9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1,501</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530</w:t>
            </w:r>
          </w:p>
        </w:tc>
      </w:tr>
      <w:tr>
        <w:trPr>
          <w:trHeight w:val="189"/>
        </w:trPr>
        <w:tc>
          <w:tcPr>
            <w:tcW w:w="770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Accounts payable and other liabilities</w:t>
            </w:r>
          </w:p>
        </w:tc>
        <w:tc>
          <w:tcPr>
            <w:tcW w:w="9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(17,819)</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(24,034)</w:t>
            </w:r>
          </w:p>
        </w:tc>
      </w:tr>
      <w:tr>
        <w:trPr>
          <w:trHeight w:val="189"/>
        </w:trPr>
        <w:tc>
          <w:tcPr>
            <w:tcW w:w="7700" w:type="dxa"/>
            <w:vAlign w:val="bottom"/>
            <w:shd w:val="clear" w:color="auto" w:fill="CFF0FC"/>
          </w:tcPr>
          <w:p>
            <w:pPr>
              <w:ind w:left="280"/>
              <w:spacing w:after="0" w:line="189" w:lineRule="exact"/>
              <w:rPr>
                <w:sz w:val="20"/>
                <w:szCs w:val="20"/>
                <w:color w:val="auto"/>
              </w:rPr>
            </w:pPr>
            <w:r>
              <w:rPr>
                <w:rFonts w:ascii="Times New Roman" w:cs="Times New Roman" w:eastAsia="Times New Roman" w:hAnsi="Times New Roman"/>
                <w:sz w:val="18"/>
                <w:szCs w:val="18"/>
                <w:color w:val="auto"/>
              </w:rPr>
              <w:t>Deferred income</w:t>
            </w:r>
          </w:p>
        </w:tc>
        <w:tc>
          <w:tcPr>
            <w:tcW w:w="9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3,544</w:t>
            </w:r>
          </w:p>
        </w:tc>
      </w:tr>
      <w:tr>
        <w:trPr>
          <w:trHeight w:val="189"/>
        </w:trPr>
        <w:tc>
          <w:tcPr>
            <w:tcW w:w="770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(499)</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(462)</w:t>
            </w:r>
          </w:p>
        </w:tc>
      </w:tr>
      <w:tr>
        <w:trPr>
          <w:trHeight w:val="183"/>
        </w:trPr>
        <w:tc>
          <w:tcPr>
            <w:tcW w:w="7700" w:type="dxa"/>
            <w:vAlign w:val="bottom"/>
            <w:tcBorders>
              <w:bottom w:val="single" w:sz="8" w:color="CFF0FC"/>
            </w:tcBorders>
            <w:shd w:val="clear" w:color="auto" w:fill="CFF0FC"/>
          </w:tcPr>
          <w:p>
            <w:pPr>
              <w:ind w:left="420"/>
              <w:spacing w:after="0" w:line="182"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(25,919)</w:t>
            </w:r>
          </w:p>
        </w:tc>
        <w:tc>
          <w:tcPr>
            <w:tcW w:w="1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(10,700)</w:t>
            </w:r>
          </w:p>
        </w:tc>
      </w:tr>
      <w:tr>
        <w:trPr>
          <w:trHeight w:val="183"/>
        </w:trPr>
        <w:tc>
          <w:tcPr>
            <w:tcW w:w="770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9"/>
        </w:trPr>
        <w:tc>
          <w:tcPr>
            <w:tcW w:w="7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Purchase of investments</w:t>
            </w:r>
          </w:p>
        </w:tc>
        <w:tc>
          <w:tcPr>
            <w:tcW w:w="9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(122,547)</w:t>
            </w:r>
          </w:p>
        </w:tc>
      </w:tr>
      <w:tr>
        <w:trPr>
          <w:trHeight w:val="189"/>
        </w:trPr>
        <w:tc>
          <w:tcPr>
            <w:tcW w:w="7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Sales and maturities of investments</w:t>
            </w:r>
          </w:p>
        </w:tc>
        <w:tc>
          <w:tcPr>
            <w:tcW w:w="980" w:type="dxa"/>
            <w:vAlign w:val="bottom"/>
          </w:tcPr>
          <w:p>
            <w:pPr>
              <w:spacing w:after="0"/>
              <w:rPr>
                <w:sz w:val="16"/>
                <w:szCs w:val="16"/>
                <w:color w:val="auto"/>
              </w:rPr>
            </w:pPr>
          </w:p>
        </w:tc>
        <w:tc>
          <w:tcPr>
            <w:tcW w:w="7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35,000</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137,429</w:t>
            </w:r>
          </w:p>
        </w:tc>
      </w:tr>
      <w:tr>
        <w:trPr>
          <w:trHeight w:val="189"/>
        </w:trPr>
        <w:tc>
          <w:tcPr>
            <w:tcW w:w="770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Purchases of property and equipment</w:t>
            </w:r>
          </w:p>
        </w:tc>
        <w:tc>
          <w:tcPr>
            <w:tcW w:w="98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r>
      <w:tr>
        <w:trPr>
          <w:trHeight w:val="183"/>
        </w:trPr>
        <w:tc>
          <w:tcPr>
            <w:tcW w:w="7700" w:type="dxa"/>
            <w:vAlign w:val="bottom"/>
          </w:tcPr>
          <w:p>
            <w:pPr>
              <w:ind w:left="420"/>
              <w:spacing w:after="0" w:line="182" w:lineRule="exact"/>
              <w:rPr>
                <w:sz w:val="20"/>
                <w:szCs w:val="20"/>
                <w:color w:val="auto"/>
              </w:rPr>
            </w:pPr>
            <w:r>
              <w:rPr>
                <w:rFonts w:ascii="Times New Roman" w:cs="Times New Roman" w:eastAsia="Times New Roman" w:hAnsi="Times New Roman"/>
                <w:sz w:val="18"/>
                <w:szCs w:val="18"/>
                <w:color w:val="auto"/>
              </w:rPr>
              <w:t>Net cash provided by investing activities</w:t>
            </w:r>
          </w:p>
        </w:tc>
        <w:tc>
          <w:tcPr>
            <w:tcW w:w="9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34,983</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14,847</w:t>
            </w:r>
          </w:p>
        </w:tc>
      </w:tr>
      <w:tr>
        <w:trPr>
          <w:trHeight w:val="183"/>
        </w:trPr>
        <w:tc>
          <w:tcPr>
            <w:tcW w:w="77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r>
      <w:tr>
        <w:trPr>
          <w:trHeight w:val="189"/>
        </w:trPr>
        <w:tc>
          <w:tcPr>
            <w:tcW w:w="7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Proceeds from issuance of common stock</w:t>
            </w:r>
          </w:p>
        </w:tc>
        <w:tc>
          <w:tcPr>
            <w:tcW w:w="980" w:type="dxa"/>
            <w:vAlign w:val="bottom"/>
          </w:tcPr>
          <w:p>
            <w:pPr>
              <w:spacing w:after="0"/>
              <w:rPr>
                <w:sz w:val="16"/>
                <w:szCs w:val="16"/>
                <w:color w:val="auto"/>
              </w:rPr>
            </w:pPr>
          </w:p>
        </w:tc>
        <w:tc>
          <w:tcPr>
            <w:tcW w:w="7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14,021</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290</w:t>
            </w:r>
          </w:p>
        </w:tc>
      </w:tr>
      <w:tr>
        <w:trPr>
          <w:trHeight w:val="189"/>
        </w:trPr>
        <w:tc>
          <w:tcPr>
            <w:tcW w:w="7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Repurchase and retirements of common stock</w:t>
            </w:r>
          </w:p>
        </w:tc>
        <w:tc>
          <w:tcPr>
            <w:tcW w:w="9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(4,424)</w:t>
            </w:r>
          </w:p>
        </w:tc>
      </w:tr>
      <w:tr>
        <w:trPr>
          <w:trHeight w:val="189"/>
        </w:trPr>
        <w:tc>
          <w:tcPr>
            <w:tcW w:w="7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Payment for net share settlement of equity awards</w:t>
            </w:r>
          </w:p>
        </w:tc>
        <w:tc>
          <w:tcPr>
            <w:tcW w:w="980" w:type="dxa"/>
            <w:vAlign w:val="bottom"/>
          </w:tcPr>
          <w:p>
            <w:pPr>
              <w:spacing w:after="0"/>
              <w:rPr>
                <w:sz w:val="16"/>
                <w:szCs w:val="16"/>
                <w:color w:val="auto"/>
              </w:rPr>
            </w:pPr>
          </w:p>
        </w:tc>
        <w:tc>
          <w:tcPr>
            <w:tcW w:w="7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(1,451)</w:t>
            </w:r>
          </w:p>
        </w:tc>
      </w:tr>
      <w:tr>
        <w:trPr>
          <w:trHeight w:val="189"/>
        </w:trPr>
        <w:tc>
          <w:tcPr>
            <w:tcW w:w="770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Principal repayment of liability for sale of future royalties</w:t>
            </w:r>
          </w:p>
        </w:tc>
        <w:tc>
          <w:tcPr>
            <w:tcW w:w="98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(12,812)</w:t>
            </w:r>
          </w:p>
        </w:tc>
        <w:tc>
          <w:tcPr>
            <w:tcW w:w="1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(23,005)</w:t>
            </w:r>
          </w:p>
        </w:tc>
      </w:tr>
      <w:tr>
        <w:trPr>
          <w:trHeight w:val="183"/>
        </w:trPr>
        <w:tc>
          <w:tcPr>
            <w:tcW w:w="7700" w:type="dxa"/>
            <w:vAlign w:val="bottom"/>
          </w:tcPr>
          <w:p>
            <w:pPr>
              <w:ind w:left="420"/>
              <w:spacing w:after="0" w:line="182"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1,209</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(28,590)</w:t>
            </w:r>
          </w:p>
        </w:tc>
      </w:tr>
      <w:tr>
        <w:trPr>
          <w:trHeight w:val="183"/>
        </w:trPr>
        <w:tc>
          <w:tcPr>
            <w:tcW w:w="7700" w:type="dxa"/>
            <w:vAlign w:val="bottom"/>
            <w:shd w:val="clear" w:color="auto" w:fill="CFF0FC"/>
          </w:tcPr>
          <w:p>
            <w:pPr>
              <w:ind w:left="560"/>
              <w:spacing w:after="0" w:line="182"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10,273</w:t>
            </w: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(24,443)</w:t>
            </w:r>
          </w:p>
        </w:tc>
      </w:tr>
      <w:tr>
        <w:trPr>
          <w:trHeight w:val="189"/>
        </w:trPr>
        <w:tc>
          <w:tcPr>
            <w:tcW w:w="7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238,196</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123,080</w:t>
            </w:r>
          </w:p>
        </w:tc>
      </w:tr>
      <w:tr>
        <w:trPr>
          <w:trHeight w:val="223"/>
        </w:trPr>
        <w:tc>
          <w:tcPr>
            <w:tcW w:w="77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end of period</w:t>
            </w:r>
          </w:p>
        </w:tc>
        <w:tc>
          <w:tcPr>
            <w:tcW w:w="980" w:type="dxa"/>
            <w:vAlign w:val="bottom"/>
            <w:shd w:val="clear" w:color="auto" w:fill="CFF0FC"/>
          </w:tcPr>
          <w:p>
            <w:pPr>
              <w:jc w:val="right"/>
              <w:ind w:right="792"/>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248,469</w:t>
            </w:r>
          </w:p>
        </w:tc>
        <w:tc>
          <w:tcPr>
            <w:tcW w:w="520" w:type="dxa"/>
            <w:vAlign w:val="bottom"/>
            <w:gridSpan w:val="2"/>
            <w:shd w:val="clear" w:color="auto" w:fill="CFF0FC"/>
          </w:tcPr>
          <w:p>
            <w:pPr>
              <w:jc w:val="right"/>
              <w:ind w:right="2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98,637</w:t>
            </w:r>
          </w:p>
        </w:tc>
      </w:tr>
      <w:tr>
        <w:trPr>
          <w:trHeight w:val="170"/>
        </w:trPr>
        <w:tc>
          <w:tcPr>
            <w:tcW w:w="7700" w:type="dxa"/>
            <w:vAlign w:val="bottom"/>
            <w:tcBorders>
              <w:top w:val="single" w:sz="8" w:color="CFF0FC"/>
            </w:tcBorders>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r>
      <w:tr>
        <w:trPr>
          <w:trHeight w:val="189"/>
        </w:trPr>
        <w:tc>
          <w:tcPr>
            <w:tcW w:w="7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Interest portion of repayment for sale of future royalties</w:t>
            </w:r>
          </w:p>
        </w:tc>
        <w:tc>
          <w:tcPr>
            <w:tcW w:w="980" w:type="dxa"/>
            <w:vAlign w:val="bottom"/>
            <w:shd w:val="clear" w:color="auto" w:fill="CFF0FC"/>
          </w:tcPr>
          <w:p>
            <w:pPr>
              <w:jc w:val="right"/>
              <w:ind w:right="792"/>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20,833</w:t>
            </w:r>
          </w:p>
        </w:tc>
        <w:tc>
          <w:tcPr>
            <w:tcW w:w="52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18,100</w:t>
            </w:r>
          </w:p>
        </w:tc>
      </w:tr>
      <w:tr>
        <w:trPr>
          <w:trHeight w:val="189"/>
        </w:trPr>
        <w:tc>
          <w:tcPr>
            <w:tcW w:w="7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State income taxes paid</w:t>
            </w:r>
          </w:p>
        </w:tc>
        <w:tc>
          <w:tcPr>
            <w:tcW w:w="980" w:type="dxa"/>
            <w:vAlign w:val="bottom"/>
          </w:tcPr>
          <w:p>
            <w:pPr>
              <w:jc w:val="right"/>
              <w:ind w:right="792"/>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w:t>
            </w:r>
          </w:p>
        </w:tc>
        <w:tc>
          <w:tcPr>
            <w:tcW w:w="52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189"/>
        </w:trPr>
        <w:tc>
          <w:tcPr>
            <w:tcW w:w="7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r>
      <w:tr>
        <w:trPr>
          <w:trHeight w:val="189"/>
        </w:trPr>
        <w:tc>
          <w:tcPr>
            <w:tcW w:w="77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Amounts accrued for property and equipment</w:t>
            </w:r>
          </w:p>
        </w:tc>
        <w:tc>
          <w:tcPr>
            <w:tcW w:w="980" w:type="dxa"/>
            <w:vAlign w:val="bottom"/>
          </w:tcPr>
          <w:p>
            <w:pPr>
              <w:jc w:val="right"/>
              <w:ind w:right="792"/>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52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11</w:t>
            </w:r>
          </w:p>
        </w:tc>
      </w:tr>
      <w:tr>
        <w:trPr>
          <w:trHeight w:val="189"/>
        </w:trPr>
        <w:tc>
          <w:tcPr>
            <w:tcW w:w="770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Amounts accrued for repurchase of common stock</w:t>
            </w:r>
          </w:p>
        </w:tc>
        <w:tc>
          <w:tcPr>
            <w:tcW w:w="980" w:type="dxa"/>
            <w:vAlign w:val="bottom"/>
            <w:shd w:val="clear" w:color="auto" w:fill="CFF0FC"/>
          </w:tcPr>
          <w:p>
            <w:pPr>
              <w:jc w:val="right"/>
              <w:ind w:right="792"/>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959</w:t>
            </w:r>
          </w:p>
        </w:tc>
      </w:tr>
      <w:tr>
        <w:trPr>
          <w:trHeight w:val="234"/>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 related to issuance of common stock, upon exercise of stock options</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-2625725</wp:posOffset>
            </wp:positionV>
            <wp:extent cx="111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-2136775</wp:posOffset>
            </wp:positionV>
            <wp:extent cx="111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-1399540</wp:posOffset>
            </wp:positionV>
            <wp:extent cx="111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-894080</wp:posOffset>
            </wp:positionV>
            <wp:extent cx="111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-876935</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48" w:lineRule="exact"/>
        <w:rPr>
          <w:sz w:val="20"/>
          <w:szCs w:val="20"/>
          <w:color w:val="auto"/>
        </w:rPr>
      </w:pPr>
    </w:p>
    <w:p>
      <w:pPr>
        <w:ind w:right="80" w:firstLine="659"/>
        <w:spacing w:after="0" w:line="293" w:lineRule="auto"/>
        <w:rPr>
          <w:sz w:val="20"/>
          <w:szCs w:val="20"/>
          <w:color w:val="auto"/>
        </w:rPr>
      </w:pPr>
      <w:r>
        <w:rPr>
          <w:rFonts w:ascii="Times New Roman" w:cs="Times New Roman" w:eastAsia="Times New Roman" w:hAnsi="Times New Roman"/>
          <w:sz w:val="18"/>
          <w:szCs w:val="18"/>
          <w:color w:val="auto"/>
        </w:rPr>
        <w:t>AnaptysBio, Inc. (“we,” “us,” “our,” or the “Company”) was incorporated in the state of Delaware in November 2005. Prior to the separation described below, we were a clinical-stage biotechnology company focused on delivering innovative immunology therapeutics for autoimmune and inflammatory diseases. Our clinical-stage pipeline included rosnilimab, a selective pathogenic T cell depleter, for which we completed a Phase 2b trial for the treatment of moderate-to-severe rheumatoid arthritis (“RA”), ANB033, a CD122 antagonist, in a Phase 1b trial for celiac disease (“CeD”) and eosinophilic esophagitis (“EoE”), and ANB101, a BDCA2 modulator, in a Phase 1a trial. We also discovered and out-licensed, in financial collaborations, multiple therapeutic antibodies, including a PD-1 antagonist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(dostarlimab-gxly) 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to GSK and an IL-36R antagonist (imsidolimab) to Vanda Pharmaceuticals Inc. (“Vanda”). We recognize revenue from milestones and royalties achieved under our immuno-oncology collaboration with GSK and license and transition services revenue from our collaboration with Vanda.</w:t>
      </w:r>
    </w:p>
    <w:p>
      <w:pPr>
        <w:spacing w:after="0" w:line="71" w:lineRule="exact"/>
        <w:rPr>
          <w:sz w:val="20"/>
          <w:szCs w:val="20"/>
          <w:color w:val="auto"/>
        </w:rPr>
      </w:pPr>
    </w:p>
    <w:p>
      <w:pPr>
        <w:ind w:firstLine="659"/>
        <w:spacing w:after="0" w:line="312" w:lineRule="auto"/>
        <w:rPr>
          <w:sz w:val="20"/>
          <w:szCs w:val="20"/>
          <w:color w:val="auto"/>
        </w:rPr>
      </w:pPr>
      <w:r>
        <w:rPr>
          <w:rFonts w:ascii="Times New Roman" w:cs="Times New Roman" w:eastAsia="Times New Roman" w:hAnsi="Times New Roman"/>
          <w:sz w:val="17"/>
          <w:szCs w:val="17"/>
          <w:color w:val="auto"/>
        </w:rPr>
        <w:t>Since our inception, we have devoted our primary effort to research and development activities. Our financial support has been provided primarily from the sale of our common stock and royalty monetizations,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12 months from the issuance of our consolidated financial statements. The accompanying consolidated financial statements do not include any adjustments that might be necessary if we are unable to continue as a going concern.</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First Tracks Biotherapeutics Separation</w:t>
      </w:r>
    </w:p>
    <w:p>
      <w:pPr>
        <w:spacing w:after="0" w:line="162" w:lineRule="exact"/>
        <w:rPr>
          <w:sz w:val="20"/>
          <w:szCs w:val="20"/>
          <w:color w:val="auto"/>
        </w:rPr>
      </w:pPr>
    </w:p>
    <w:p>
      <w:pPr>
        <w:ind w:right="180" w:firstLine="659"/>
        <w:spacing w:after="0" w:line="293" w:lineRule="auto"/>
        <w:rPr>
          <w:sz w:val="20"/>
          <w:szCs w:val="20"/>
          <w:color w:val="auto"/>
        </w:rPr>
      </w:pPr>
      <w:r>
        <w:rPr>
          <w:rFonts w:ascii="Times New Roman" w:cs="Times New Roman" w:eastAsia="Times New Roman" w:hAnsi="Times New Roman"/>
          <w:sz w:val="18"/>
          <w:szCs w:val="18"/>
          <w:color w:val="auto"/>
        </w:rPr>
        <w:t xml:space="preserve">In September 2025, we announced that our board of directors (“Board of Directors”) approved plans to explore separating our business into two independent, publicly traded companies. We would hold and continue to manage the financial collaboration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with GSK and for imsidolimab with Vanda, with a focus on protecting and returning value of the royalties to its stockholders. The spun-out company would be a clinical-stage biotechnology company focused on the development and potential commercialization of innovative therapeutics for autoimmune and inflammatory diseases, including rosnilimab, ANB033 and ANB101. This separation was completed on April 20, 2026.</w:t>
      </w:r>
    </w:p>
    <w:p>
      <w:pPr>
        <w:spacing w:after="0" w:line="87" w:lineRule="exact"/>
        <w:rPr>
          <w:sz w:val="20"/>
          <w:szCs w:val="20"/>
          <w:color w:val="auto"/>
        </w:rPr>
      </w:pPr>
    </w:p>
    <w:p>
      <w:pPr>
        <w:ind w:right="140" w:firstLine="659"/>
        <w:spacing w:after="0" w:line="293" w:lineRule="auto"/>
        <w:rPr>
          <w:sz w:val="20"/>
          <w:szCs w:val="20"/>
          <w:color w:val="auto"/>
        </w:rPr>
      </w:pPr>
      <w:r>
        <w:rPr>
          <w:rFonts w:ascii="Times New Roman" w:cs="Times New Roman" w:eastAsia="Times New Roman" w:hAnsi="Times New Roman"/>
          <w:sz w:val="18"/>
          <w:szCs w:val="18"/>
          <w:color w:val="auto"/>
        </w:rPr>
        <w:t>In connection with the separation, we entered into a separation and distribution agreement (the “Separation and Distribution Agreement”) with First Tracks Biotherapeutics, Inc. (“First Tracks Biotherapeutics”). The Separation and Distribution Agreement identifies the assets transferred to (including the contracts assigned) or retained by, and the liabilities assumed or retained by, each of us and First Tracks Biotherapeutics. As the separation occurred after March 31, 2026, the results of First Tracks Biotherapeutics are included within continuing operations in our consolidated financial statements.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9" w:right="379" w:bottom="1440" w:gutter="0" w:footer="0" w:header="0"/>
        </w:sectPr>
      </w:pPr>
    </w:p>
    <w:bookmarkStart w:id="8" w:name="page9"/>
    <w:bookmarkEnd w:id="8"/>
    <w:p>
      <w:pPr>
        <w:ind w:left="280" w:right="7680" w:hanging="272"/>
        <w:spacing w:after="0" w:line="417" w:lineRule="auto"/>
        <w:tabs>
          <w:tab w:leader="none" w:pos="179"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firstLine="659"/>
        <w:spacing w:after="0" w:line="29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pursuant to the rules and regulations of the U.S. Securities and Exchange Commission (“SEC”). Certain information and note disclosures normally included in annual financial statements prepared in accordance with U.S. generally accepted accounting principles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Operating results for the three months ended March 31, 2026 are not necessarily indicative of the results that may be expected for the year ending December 31, 2026. The financial statements should be read in conjunction with our audited financial statements for the year ended December 31, 2025 included in our Annual Report on Form 10-K.</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48" w:lineRule="exact"/>
        <w:rPr>
          <w:sz w:val="20"/>
          <w:szCs w:val="20"/>
          <w:color w:val="auto"/>
        </w:rPr>
      </w:pPr>
    </w:p>
    <w:p>
      <w:pPr>
        <w:ind w:right="140" w:firstLine="659"/>
        <w:spacing w:after="0" w:line="297"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us and our wholly owned Australian subsidiary, which was deregistered with the Australian Securities &amp; Investments Commission as of June 30, 2025. The deregistration did not have a material impact on our consolidated financial statements. All intercompany accounts and transactions have been eliminated in consolidation. We operate in two reportable segments, and our functional and reporting currency is the U.S. dollar.</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ind w:right="80" w:firstLine="659"/>
        <w:spacing w:after="0" w:line="292"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Significant estimates relied upon in preparing these financial statements include estimates related to revenue recognition, accrued research and development expenses, stock-based compensation, and the liability related to the sale of future royalties. We evaluate our estimates and assumptions on an ongoing basis. Our actual results could differ from these estimates under different assumptions or conditions.</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48" w:lineRule="exact"/>
        <w:rPr>
          <w:sz w:val="20"/>
          <w:szCs w:val="20"/>
          <w:color w:val="auto"/>
        </w:rPr>
      </w:pPr>
    </w:p>
    <w:p>
      <w:pPr>
        <w:ind w:right="100" w:firstLine="656"/>
        <w:spacing w:after="0" w:line="297"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awards using the treasury stock method. For each period presented, there is no difference in the number of shares used to calculate basic and diluted net loss per share, as we are in a loss position for both periods and all shares are anti-dilutive.</w:t>
      </w:r>
    </w:p>
    <w:p>
      <w:pPr>
        <w:spacing w:after="0" w:line="69" w:lineRule="exact"/>
        <w:rPr>
          <w:sz w:val="20"/>
          <w:szCs w:val="20"/>
          <w:color w:val="auto"/>
        </w:rPr>
      </w:pPr>
    </w:p>
    <w:p>
      <w:pPr>
        <w:ind w:right="40" w:firstLine="659"/>
        <w:spacing w:after="0" w:line="313" w:lineRule="auto"/>
        <w:rPr>
          <w:sz w:val="20"/>
          <w:szCs w:val="20"/>
          <w:color w:val="auto"/>
        </w:rPr>
      </w:pPr>
      <w:r>
        <w:rPr>
          <w:rFonts w:ascii="Times New Roman" w:cs="Times New Roman" w:eastAsia="Times New Roman" w:hAnsi="Times New Roman"/>
          <w:sz w:val="18"/>
          <w:szCs w:val="18"/>
          <w:color w:val="auto"/>
        </w:rPr>
        <w:t>The following table sets forth the weighted-average outstanding potentially dilutive securities that have been excluded in the calculation of diluted net loss per share because to do so would be anti-dilutive (in common stock equivalent shares):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440" w:type="dxa"/>
            <w:vAlign w:val="bottom"/>
            <w:gridSpan w:val="3"/>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40" w:type="dxa"/>
            <w:vAlign w:val="bottom"/>
            <w:tcBorders>
              <w:bottom w:val="single" w:sz="8" w:color="auto"/>
            </w:tcBorders>
            <w:gridSpan w:val="3"/>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80" w:type="dxa"/>
            <w:vAlign w:val="bottom"/>
            <w:vMerge w:val="continue"/>
          </w:tcPr>
          <w:p>
            <w:pPr>
              <w:spacing w:after="0"/>
              <w:rPr>
                <w:sz w:val="12"/>
                <w:szCs w:val="12"/>
                <w:color w:val="auto"/>
              </w:rPr>
            </w:pPr>
          </w:p>
        </w:tc>
        <w:tc>
          <w:tcPr>
            <w:tcW w:w="1720" w:type="dxa"/>
            <w:vAlign w:val="bottom"/>
            <w:tcBorders>
              <w:bottom w:val="single" w:sz="8" w:color="auto"/>
            </w:tcBorders>
          </w:tcPr>
          <w:p>
            <w:pPr>
              <w:jc w:val="right"/>
              <w:ind w:right="6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3"/>
        </w:trPr>
        <w:tc>
          <w:tcPr>
            <w:tcW w:w="76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Options to purchase common stock</w:t>
            </w:r>
          </w:p>
        </w:tc>
        <w:tc>
          <w:tcPr>
            <w:tcW w:w="1720" w:type="dxa"/>
            <w:vAlign w:val="bottom"/>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7,072</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7,668</w:t>
            </w:r>
          </w:p>
        </w:tc>
        <w:tc>
          <w:tcPr>
            <w:tcW w:w="0" w:type="dxa"/>
            <w:vAlign w:val="bottom"/>
          </w:tcPr>
          <w:p>
            <w:pPr>
              <w:spacing w:after="0"/>
              <w:rPr>
                <w:sz w:val="1"/>
                <w:szCs w:val="1"/>
                <w:color w:val="auto"/>
              </w:rPr>
            </w:pPr>
          </w:p>
        </w:tc>
      </w:tr>
      <w:tr>
        <w:trPr>
          <w:trHeight w:val="189"/>
        </w:trPr>
        <w:tc>
          <w:tcPr>
            <w:tcW w:w="7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Stock awards</w:t>
            </w:r>
          </w:p>
        </w:tc>
        <w:tc>
          <w:tcPr>
            <w:tcW w:w="1720" w:type="dxa"/>
            <w:vAlign w:val="bottom"/>
            <w:tcBorders>
              <w:bottom w:val="single" w:sz="8" w:color="auto"/>
            </w:tcBorders>
          </w:tcPr>
          <w:p>
            <w:pPr>
              <w:jc w:val="right"/>
              <w:ind w:right="39"/>
              <w:spacing w:after="0" w:line="189" w:lineRule="exact"/>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8,405</w:t>
            </w: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8,349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w:t>
      </w:r>
    </w:p>
    <w:p>
      <w:pPr>
        <w:spacing w:after="0" w:line="148" w:lineRule="exact"/>
        <w:rPr>
          <w:sz w:val="20"/>
          <w:szCs w:val="20"/>
          <w:color w:val="auto"/>
        </w:rPr>
      </w:pPr>
    </w:p>
    <w:p>
      <w:pPr>
        <w:jc w:val="both"/>
        <w:ind w:right="320" w:firstLine="659"/>
        <w:spacing w:after="0" w:line="305" w:lineRule="auto"/>
        <w:rPr>
          <w:sz w:val="20"/>
          <w:szCs w:val="20"/>
          <w:color w:val="auto"/>
        </w:rPr>
      </w:pPr>
      <w:r>
        <w:rPr>
          <w:rFonts w:ascii="Times New Roman" w:cs="Times New Roman" w:eastAsia="Times New Roman" w:hAnsi="Times New Roman"/>
          <w:sz w:val="18"/>
          <w:szCs w:val="18"/>
          <w:color w:val="auto"/>
        </w:rPr>
        <w:t>We have implemented all new accounting pronouncements that are in effect and may have an impact on our consolidated financial statements. Unless otherwise discussed, we believe the impact of any recently issued pronouncements will not have a material impact on our consolidated financial statements.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46" w:lineRule="exact"/>
        <w:rPr>
          <w:sz w:val="20"/>
          <w:szCs w:val="20"/>
          <w:color w:val="auto"/>
        </w:rPr>
      </w:pPr>
    </w:p>
    <w:p>
      <w:pPr>
        <w:ind w:right="220" w:firstLine="659"/>
        <w:spacing w:after="0" w:line="294"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 Update (“ASU”) No. 2024-03,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Statement—Reporting Comprehensive Income—Expense Disaggregation Disclosures (Subtopic 220-40): Disaggregation of Income Statement Expenses, </w:t>
      </w:r>
      <w:r>
        <w:rPr>
          <w:rFonts w:ascii="Times New Roman" w:cs="Times New Roman" w:eastAsia="Times New Roman" w:hAnsi="Times New Roman"/>
          <w:sz w:val="18"/>
          <w:szCs w:val="18"/>
          <w:color w:val="auto"/>
        </w:rPr>
        <w:t>which requires disclosure about the types of costs and expenses included in certain expense captions presented on the income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new disclosure requirements are effective for annual reporting periods beginning after December 15, 2026, and interim reporting periods beginning after December 15, 2027. Early adoption is permitted. We are currently evaluating the provisions of this guidance and assessing the potential impact on our financial statement disclosures.</w:t>
      </w:r>
    </w:p>
    <w:p>
      <w:pPr>
        <w:spacing w:after="0" w:line="85" w:lineRule="exact"/>
        <w:rPr>
          <w:sz w:val="20"/>
          <w:szCs w:val="20"/>
          <w:color w:val="auto"/>
        </w:rPr>
      </w:pPr>
    </w:p>
    <w:p>
      <w:pPr>
        <w:ind w:right="260" w:firstLine="659"/>
        <w:spacing w:after="0" w:line="294"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period that have a material impact on the entity. ASU 2025-11 is effective for fiscal years beginning after December 15, 2027, including interim periods within those fiscal years, with early adoption permitted. We are currently evaluating the impact of adoption on our financial statement disclosures.</w:t>
      </w:r>
    </w:p>
    <w:p>
      <w:pPr>
        <w:spacing w:after="0" w:line="188" w:lineRule="exact"/>
        <w:rPr>
          <w:sz w:val="20"/>
          <w:szCs w:val="20"/>
          <w:color w:val="auto"/>
        </w:rPr>
      </w:pPr>
    </w:p>
    <w:p>
      <w:pPr>
        <w:ind w:left="300" w:right="6860" w:hanging="292"/>
        <w:spacing w:after="0" w:line="409" w:lineRule="auto"/>
        <w:tabs>
          <w:tab w:leader="none" w:pos="19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Balance Sheet Accounts and Supplemental Disclosures </w:t>
      </w:r>
      <w:r>
        <w:rPr>
          <w:rFonts w:ascii="Times New Roman" w:cs="Times New Roman" w:eastAsia="Times New Roman" w:hAnsi="Times New Roman"/>
          <w:sz w:val="18"/>
          <w:szCs w:val="18"/>
          <w:b w:val="1"/>
          <w:bCs w:val="1"/>
          <w:i w:val="1"/>
          <w:iCs w:val="1"/>
          <w:color w:val="auto"/>
        </w:rPr>
        <w:t>Property and Equipment, Net</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 of the following:</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83"/>
        </w:trPr>
        <w:tc>
          <w:tcPr>
            <w:tcW w:w="60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Laboratory equipment</w:t>
            </w:r>
          </w:p>
        </w:tc>
        <w:tc>
          <w:tcPr>
            <w:tcW w:w="1880" w:type="dxa"/>
            <w:vAlign w:val="bottom"/>
            <w:gridSpan w:val="2"/>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6,763</w:t>
            </w:r>
          </w:p>
        </w:tc>
        <w:tc>
          <w:tcPr>
            <w:tcW w:w="32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6,723</w:t>
            </w:r>
          </w:p>
        </w:tc>
        <w:tc>
          <w:tcPr>
            <w:tcW w:w="0" w:type="dxa"/>
            <w:vAlign w:val="bottom"/>
          </w:tcPr>
          <w:p>
            <w:pPr>
              <w:spacing w:after="0"/>
              <w:rPr>
                <w:sz w:val="1"/>
                <w:szCs w:val="1"/>
                <w:color w:val="auto"/>
              </w:rPr>
            </w:pPr>
          </w:p>
        </w:tc>
      </w:tr>
      <w:tr>
        <w:trPr>
          <w:trHeight w:val="189"/>
        </w:trPr>
        <w:tc>
          <w:tcPr>
            <w:tcW w:w="6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Office furniture and equipment</w:t>
            </w: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1,583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189"/>
        </w:trPr>
        <w:tc>
          <w:tcPr>
            <w:tcW w:w="60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Leasehold improvements</w:t>
            </w:r>
          </w:p>
        </w:tc>
        <w:tc>
          <w:tcPr>
            <w:tcW w:w="16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203</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183"/>
        </w:trPr>
        <w:tc>
          <w:tcPr>
            <w:tcW w:w="606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Property and equipment, gross</w:t>
            </w: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8,549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8,509</w:t>
            </w:r>
          </w:p>
        </w:tc>
        <w:tc>
          <w:tcPr>
            <w:tcW w:w="0" w:type="dxa"/>
            <w:vAlign w:val="bottom"/>
          </w:tcPr>
          <w:p>
            <w:pPr>
              <w:spacing w:after="0"/>
              <w:rPr>
                <w:sz w:val="1"/>
                <w:szCs w:val="1"/>
                <w:color w:val="auto"/>
              </w:rPr>
            </w:pPr>
          </w:p>
        </w:tc>
      </w:tr>
      <w:tr>
        <w:trPr>
          <w:trHeight w:val="189"/>
        </w:trPr>
        <w:tc>
          <w:tcPr>
            <w:tcW w:w="60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(7,269)</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(7,139)</w:t>
            </w:r>
          </w:p>
        </w:tc>
        <w:tc>
          <w:tcPr>
            <w:tcW w:w="0" w:type="dxa"/>
            <w:vAlign w:val="bottom"/>
          </w:tcPr>
          <w:p>
            <w:pPr>
              <w:spacing w:after="0"/>
              <w:rPr>
                <w:sz w:val="1"/>
                <w:szCs w:val="1"/>
                <w:color w:val="auto"/>
              </w:rPr>
            </w:pPr>
          </w:p>
        </w:tc>
      </w:tr>
      <w:tr>
        <w:trPr>
          <w:trHeight w:val="183"/>
        </w:trPr>
        <w:tc>
          <w:tcPr>
            <w:tcW w:w="606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Total property and equipment, net</w:t>
            </w:r>
          </w:p>
        </w:tc>
        <w:tc>
          <w:tcPr>
            <w:tcW w:w="1880" w:type="dxa"/>
            <w:vAlign w:val="bottom"/>
            <w:gridSpan w:val="2"/>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1,280</w:t>
            </w:r>
          </w:p>
        </w:tc>
        <w:tc>
          <w:tcPr>
            <w:tcW w:w="32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6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83"/>
        </w:trPr>
        <w:tc>
          <w:tcPr>
            <w:tcW w:w="60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Accrued compensation and related expenses</w:t>
            </w:r>
          </w:p>
        </w:tc>
        <w:tc>
          <w:tcPr>
            <w:tcW w:w="1880" w:type="dxa"/>
            <w:vAlign w:val="bottom"/>
            <w:gridSpan w:val="2"/>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5,534</w:t>
            </w:r>
          </w:p>
        </w:tc>
        <w:tc>
          <w:tcPr>
            <w:tcW w:w="32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11,094</w:t>
            </w:r>
          </w:p>
        </w:tc>
        <w:tc>
          <w:tcPr>
            <w:tcW w:w="0" w:type="dxa"/>
            <w:vAlign w:val="bottom"/>
          </w:tcPr>
          <w:p>
            <w:pPr>
              <w:spacing w:after="0"/>
              <w:rPr>
                <w:sz w:val="1"/>
                <w:szCs w:val="1"/>
                <w:color w:val="auto"/>
              </w:rPr>
            </w:pPr>
          </w:p>
        </w:tc>
      </w:tr>
      <w:tr>
        <w:trPr>
          <w:trHeight w:val="189"/>
        </w:trPr>
        <w:tc>
          <w:tcPr>
            <w:tcW w:w="6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Accrued professional fees and other expenses</w:t>
            </w: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8,357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4,796</w:t>
            </w: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Accrued research, development and manufacturing expenses</w:t>
            </w:r>
          </w:p>
        </w:tc>
        <w:tc>
          <w:tcPr>
            <w:tcW w:w="1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17,792</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16,402</w:t>
            </w:r>
          </w:p>
        </w:tc>
        <w:tc>
          <w:tcPr>
            <w:tcW w:w="0" w:type="dxa"/>
            <w:vAlign w:val="bottom"/>
          </w:tcPr>
          <w:p>
            <w:pPr>
              <w:spacing w:after="0"/>
              <w:rPr>
                <w:sz w:val="1"/>
                <w:szCs w:val="1"/>
                <w:color w:val="auto"/>
              </w:rPr>
            </w:pPr>
          </w:p>
        </w:tc>
      </w:tr>
      <w:tr>
        <w:trPr>
          <w:trHeight w:val="189"/>
        </w:trPr>
        <w:tc>
          <w:tcPr>
            <w:tcW w:w="6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Accrued for repurchase of common stock</w:t>
            </w:r>
          </w:p>
        </w:tc>
        <w:tc>
          <w:tcPr>
            <w:tcW w:w="1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382</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Total accrued expenses</w:t>
            </w:r>
          </w:p>
        </w:tc>
        <w:tc>
          <w:tcPr>
            <w:tcW w:w="16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32,065</w:t>
            </w:r>
          </w:p>
        </w:tc>
        <w:tc>
          <w:tcPr>
            <w:tcW w:w="32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32,674</w:t>
            </w: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-1851025</wp:posOffset>
            </wp:positionV>
            <wp:extent cx="1111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-1602105</wp:posOffset>
            </wp:positionV>
            <wp:extent cx="1111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68" w:lineRule="exact"/>
        <w:rPr>
          <w:sz w:val="20"/>
          <w:szCs w:val="20"/>
          <w:color w:val="auto"/>
        </w:rPr>
      </w:pPr>
    </w:p>
    <w:p>
      <w:pPr>
        <w:ind w:left="300" w:right="6900" w:hanging="292"/>
        <w:spacing w:after="0" w:line="417" w:lineRule="auto"/>
        <w:tabs>
          <w:tab w:leader="none" w:pos="196"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Collaborative Research and Development Agreements </w:t>
      </w:r>
      <w:r>
        <w:rPr>
          <w:rFonts w:ascii="Times New Roman" w:cs="Times New Roman" w:eastAsia="Times New Roman" w:hAnsi="Times New Roman"/>
          <w:sz w:val="18"/>
          <w:szCs w:val="18"/>
          <w:b w:val="1"/>
          <w:bCs w:val="1"/>
          <w:i w:val="1"/>
          <w:iCs w:val="1"/>
          <w:color w:val="auto"/>
        </w:rPr>
        <w:t>GSK Collaboration</w:t>
      </w:r>
    </w:p>
    <w:p>
      <w:pPr>
        <w:ind w:right="200" w:firstLine="659"/>
        <w:spacing w:after="0" w:line="297" w:lineRule="auto"/>
        <w:rPr>
          <w:sz w:val="20"/>
          <w:szCs w:val="20"/>
          <w:color w:val="auto"/>
        </w:rPr>
      </w:pPr>
      <w:r>
        <w:rPr>
          <w:rFonts w:ascii="Times New Roman" w:cs="Times New Roman" w:eastAsia="Times New Roman" w:hAnsi="Times New Roman"/>
          <w:sz w:val="18"/>
          <w:szCs w:val="18"/>
          <w:color w:val="auto"/>
        </w:rPr>
        <w:t xml:space="preserve">In March 2014, we entered into a Collaboration and Exclusive License Agreement (the “GSK Agreement”) with TESARO, Inc. (“Tesaro”), an oncology-focused biopharmaceutical company now a part of GSK (Tesaro and GSK are hereinafter referred to, collectively, as “GSK”). Currently, under the GSK Agreement, GSK is developing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(dostarlimab) as a monotherapy and in combination with additional therapies, for various solid tumor indications.</w:t>
      </w:r>
    </w:p>
    <w:p>
      <w:pPr>
        <w:spacing w:after="0" w:line="67" w:lineRule="exact"/>
        <w:rPr>
          <w:sz w:val="20"/>
          <w:szCs w:val="20"/>
          <w:color w:val="auto"/>
        </w:rPr>
      </w:pPr>
    </w:p>
    <w:p>
      <w:pPr>
        <w:ind w:right="140" w:firstLine="659"/>
        <w:spacing w:after="0" w:line="295" w:lineRule="auto"/>
        <w:rPr>
          <w:sz w:val="20"/>
          <w:szCs w:val="20"/>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the remaining development program under the GSK Agreement, we are eligible to receive milestone payments if a European regulatory submission and approval in a second indication is achieved. On October 23, 2020, Amendment No. 3 to the GSK Agreement (the “GSK Amendment No. 3”) was agreed to by both parties to permit GSK to conduct development and commercialization in combination with any third party molecules of Zejula, an oral, once-daily poly (ADP-ribose) polymerase (PARP) inhibitor (“Zejula”). Under GSK Amendment No. 3, we were granted increased royalties upon sales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equal to 8% of net sales (as defined in the GSK Agreement) below $1.0 billion, 12% of net sales between $1.0 billion and $1.5 billion, 20% of net sales between $1.5 billion and $2.5 billion and 25% of net sales above $2.5 billion. Unless earlier terminated by either party upon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0" w:name="page11"/>
    <w:bookmarkEnd w:id="10"/>
    <w:p>
      <w:pPr>
        <w:ind w:right="160"/>
        <w:spacing w:after="0" w:line="313" w:lineRule="auto"/>
        <w:rPr>
          <w:sz w:val="20"/>
          <w:szCs w:val="20"/>
          <w:color w:val="auto"/>
        </w:rPr>
      </w:pPr>
      <w:r>
        <w:rPr>
          <w:rFonts w:ascii="Times New Roman" w:cs="Times New Roman" w:eastAsia="Times New Roman" w:hAnsi="Times New Roman"/>
          <w:sz w:val="18"/>
          <w:szCs w:val="18"/>
          <w:color w:val="auto"/>
        </w:rPr>
        <w:t>specified circumstances, the GSK Agreement will terminate, with respect to each specific developed product, upon the later of the 12th anniversary of the first commercial sale of the product or the expiration of the last to expire of any patent.</w:t>
      </w:r>
    </w:p>
    <w:p>
      <w:pPr>
        <w:spacing w:after="0" w:line="68" w:lineRule="exact"/>
        <w:rPr>
          <w:sz w:val="20"/>
          <w:szCs w:val="20"/>
          <w:color w:val="auto"/>
        </w:rPr>
      </w:pPr>
    </w:p>
    <w:p>
      <w:pPr>
        <w:ind w:firstLine="659"/>
        <w:spacing w:after="0" w:line="293" w:lineRule="auto"/>
        <w:rPr>
          <w:sz w:val="20"/>
          <w:szCs w:val="20"/>
          <w:color w:val="auto"/>
        </w:rPr>
      </w:pPr>
      <w:r>
        <w:rPr>
          <w:rFonts w:ascii="Times New Roman" w:cs="Times New Roman" w:eastAsia="Times New Roman" w:hAnsi="Times New Roman"/>
          <w:sz w:val="18"/>
          <w:szCs w:val="18"/>
          <w:color w:val="auto"/>
        </w:rPr>
        <w:t>We assessed these arrangements in accordance with Accounting Standards Codification (“ASC”) 606 and concluded that the contract counterparty, GSK, is a customer. We identified the following material promises under the GSK Agreement: (1) the licenses under certain patent rights and transfer of certain development and regulatory information, (2) research and development (“R&amp;D”) services, and (3) joint 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w:t>
      </w:r>
    </w:p>
    <w:p>
      <w:pPr>
        <w:spacing w:after="0" w:line="71" w:lineRule="exact"/>
        <w:rPr>
          <w:sz w:val="20"/>
          <w:szCs w:val="20"/>
          <w:color w:val="auto"/>
        </w:rPr>
      </w:pPr>
    </w:p>
    <w:p>
      <w:pPr>
        <w:ind w:right="580" w:firstLine="659"/>
        <w:spacing w:after="0" w:line="346" w:lineRule="auto"/>
        <w:rPr>
          <w:sz w:val="20"/>
          <w:szCs w:val="20"/>
          <w:color w:val="auto"/>
        </w:rPr>
      </w:pPr>
      <w:r>
        <w:rPr>
          <w:rFonts w:ascii="Times New Roman" w:cs="Times New Roman" w:eastAsia="Times New Roman" w:hAnsi="Times New Roman"/>
          <w:sz w:val="17"/>
          <w:szCs w:val="17"/>
          <w:color w:val="auto"/>
        </w:rPr>
        <w:t>As of March 31, 2026, the transaction price for the GSK Agreement and its associated amendments includes the upfront payment, research reimbursement revenue and milestones and royalties earned to date, which are allocated in their entirety to the single performance obligation.</w:t>
      </w:r>
    </w:p>
    <w:p>
      <w:pPr>
        <w:spacing w:after="0" w:line="42" w:lineRule="exact"/>
        <w:rPr>
          <w:sz w:val="20"/>
          <w:szCs w:val="20"/>
          <w:color w:val="auto"/>
        </w:rPr>
      </w:pPr>
    </w:p>
    <w:p>
      <w:pPr>
        <w:ind w:right="100" w:firstLine="659"/>
        <w:spacing w:after="0" w:line="291" w:lineRule="auto"/>
        <w:rPr>
          <w:sz w:val="20"/>
          <w:szCs w:val="20"/>
          <w:color w:val="auto"/>
        </w:rPr>
      </w:pPr>
      <w:r>
        <w:rPr>
          <w:rFonts w:ascii="Times New Roman" w:cs="Times New Roman" w:eastAsia="Times New Roman" w:hAnsi="Times New Roman"/>
          <w:sz w:val="18"/>
          <w:szCs w:val="18"/>
          <w:color w:val="auto"/>
        </w:rPr>
        <w:t xml:space="preserve">We recognized $25.5 million in royalty revenue during the three months ended March 31, 2026 related to GSK’s net sales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and Zejula during the period, which we estimate based on either GSK’s prior sales experience or actuals. Of the royalty revenue recognized during the three months ended March 31, 2026, $24.6 million is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non-cash revenue related to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(as amended), and $0.9 million is Zejula non-cash revenue related to the Zejula Royalty Monetization Agreement, each of such agreements as described in Note 5. We recognized $18.1 million in royalty revenue during the three months ended March 31, 2025, related to GSK’s net sales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and Zejula during the period based on GSK’s prior sales experience or actuals. Of the royalty revenue recognized during the three months ended March 31, 2025, $17.2 million is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non-cash revenue related to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(as amended) and $0.9 million is Zejula non-cash revenue related to the Zejula Royalty Monetization Agreement. GSK reports sales information to us on a one quarter lag and differences between actual and estimated royalty revenues will be adjusted in the following quarter.</w:t>
      </w:r>
    </w:p>
    <w:p>
      <w:pPr>
        <w:spacing w:after="0" w:line="79" w:lineRule="exact"/>
        <w:rPr>
          <w:sz w:val="20"/>
          <w:szCs w:val="20"/>
          <w:color w:val="auto"/>
        </w:rPr>
      </w:pPr>
    </w:p>
    <w:p>
      <w:pPr>
        <w:ind w:right="140" w:firstLine="659"/>
        <w:spacing w:after="0" w:line="297" w:lineRule="auto"/>
        <w:rPr>
          <w:sz w:val="20"/>
          <w:szCs w:val="20"/>
          <w:color w:val="auto"/>
        </w:rPr>
      </w:pPr>
      <w:r>
        <w:rPr>
          <w:rFonts w:ascii="Times New Roman" w:cs="Times New Roman" w:eastAsia="Times New Roman" w:hAnsi="Times New Roman"/>
          <w:sz w:val="18"/>
          <w:szCs w:val="18"/>
          <w:color w:val="auto"/>
        </w:rPr>
        <w:t>No clinical or sales milestones were recognized during the three months ended March 31, 2026 and 2025. No other future clinical or regulatory milestones have been included in the transaction price, as all future milestone amounts were subject to the revenue constraint. As part of the constraint evaluation, we considered numerous factors including the fact that the receipt of milestones is outside of our control and contingent upon regulatory filing and approval in a second indication, an outcome that is difficult to predict, and GSK’s efforts. We will re-evaluate the variable transaction price in each reporting period and as uncertain events are resolved or other changes in circumstances occur.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Milestones under the GSK Agreement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120" w:type="dxa"/>
            <w:vAlign w:val="bottom"/>
            <w:gridSpan w:val="3"/>
          </w:tcPr>
          <w:p>
            <w:pPr>
              <w:jc w:val="center"/>
              <w:ind w:right="1312"/>
              <w:spacing w:after="0"/>
              <w:rPr>
                <w:sz w:val="20"/>
                <w:szCs w:val="20"/>
                <w:color w:val="auto"/>
              </w:rPr>
            </w:pPr>
            <w:r>
              <w:rPr>
                <w:rFonts w:ascii="Times New Roman" w:cs="Times New Roman" w:eastAsia="Times New Roman" w:hAnsi="Times New Roman"/>
                <w:sz w:val="14"/>
                <w:szCs w:val="14"/>
                <w:b w:val="1"/>
                <w:bCs w:val="1"/>
                <w:color w:val="auto"/>
              </w:rPr>
              <w:t>PD-1</w:t>
            </w:r>
          </w:p>
        </w:tc>
        <w:tc>
          <w:tcPr>
            <w:tcW w:w="0" w:type="dxa"/>
            <w:vAlign w:val="bottom"/>
          </w:tcPr>
          <w:p>
            <w:pPr>
              <w:spacing w:after="0"/>
              <w:rPr>
                <w:sz w:val="1"/>
                <w:szCs w:val="1"/>
                <w:color w:val="auto"/>
              </w:rPr>
            </w:pPr>
          </w:p>
        </w:tc>
      </w:tr>
      <w:tr>
        <w:trPr>
          <w:trHeight w:val="162"/>
        </w:trPr>
        <w:tc>
          <w:tcPr>
            <w:tcW w:w="7740" w:type="dxa"/>
            <w:vAlign w:val="bottom"/>
          </w:tcPr>
          <w:p>
            <w:pPr>
              <w:spacing w:after="0"/>
              <w:rPr>
                <w:sz w:val="14"/>
                <w:szCs w:val="14"/>
                <w:color w:val="auto"/>
              </w:rPr>
            </w:pPr>
          </w:p>
        </w:tc>
        <w:tc>
          <w:tcPr>
            <w:tcW w:w="3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Jemperli</w:t>
            </w:r>
            <w:r>
              <w:rPr>
                <w:rFonts w:ascii="Times New Roman" w:cs="Times New Roman" w:eastAsia="Times New Roman" w:hAnsi="Times New Roman"/>
                <w:sz w:val="14"/>
                <w:szCs w:val="14"/>
                <w:b w:val="1"/>
                <w:bCs w:val="1"/>
                <w:color w:val="auto"/>
              </w:rPr>
              <w:t>/Dostarlimab)</w:t>
            </w:r>
          </w:p>
        </w:tc>
        <w:tc>
          <w:tcPr>
            <w:tcW w:w="0" w:type="dxa"/>
            <w:vAlign w:val="bottom"/>
          </w:tcPr>
          <w:p>
            <w:pPr>
              <w:spacing w:after="0"/>
              <w:rPr>
                <w:sz w:val="1"/>
                <w:szCs w:val="1"/>
                <w:color w:val="auto"/>
              </w:rPr>
            </w:pPr>
          </w:p>
        </w:tc>
      </w:tr>
      <w:tr>
        <w:trPr>
          <w:trHeight w:val="131"/>
        </w:trPr>
        <w:tc>
          <w:tcPr>
            <w:tcW w:w="7740" w:type="dxa"/>
            <w:vAlign w:val="bottom"/>
          </w:tcPr>
          <w:p>
            <w:pPr>
              <w:spacing w:after="0"/>
              <w:rPr>
                <w:sz w:val="11"/>
                <w:szCs w:val="11"/>
                <w:color w:val="auto"/>
              </w:rPr>
            </w:pPr>
          </w:p>
        </w:tc>
        <w:tc>
          <w:tcPr>
            <w:tcW w:w="13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60"/>
        </w:trPr>
        <w:tc>
          <w:tcPr>
            <w:tcW w:w="774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Milestone Event</w:t>
            </w:r>
          </w:p>
        </w:tc>
        <w:tc>
          <w:tcPr>
            <w:tcW w:w="138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183"/>
        </w:trPr>
        <w:tc>
          <w:tcPr>
            <w:tcW w:w="7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Initiated in vivo toxicology studies using good laboratory practices (GLPs)</w:t>
            </w:r>
          </w:p>
        </w:tc>
        <w:tc>
          <w:tcPr>
            <w:tcW w:w="1380" w:type="dxa"/>
            <w:vAlign w:val="bottom"/>
            <w:shd w:val="clear" w:color="auto" w:fill="CFF0FC"/>
          </w:tcPr>
          <w:p>
            <w:pPr>
              <w:jc w:val="center"/>
              <w:ind w:left="192"/>
              <w:spacing w:after="0" w:line="182" w:lineRule="exact"/>
              <w:rPr>
                <w:sz w:val="20"/>
                <w:szCs w:val="20"/>
                <w:color w:val="auto"/>
              </w:rPr>
            </w:pPr>
            <w:r>
              <w:rPr>
                <w:rFonts w:ascii="Times New Roman" w:cs="Times New Roman" w:eastAsia="Times New Roman" w:hAnsi="Times New Roman"/>
                <w:sz w:val="18"/>
                <w:szCs w:val="18"/>
                <w:color w:val="auto"/>
                <w:w w:val="96"/>
              </w:rPr>
              <w:t>$1.0M</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60" w:type="dxa"/>
            <w:vAlign w:val="bottom"/>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color w:val="auto"/>
              </w:rPr>
              <w:t>Q2'15</w:t>
            </w:r>
          </w:p>
        </w:tc>
        <w:tc>
          <w:tcPr>
            <w:tcW w:w="0" w:type="dxa"/>
            <w:vAlign w:val="bottom"/>
          </w:tcPr>
          <w:p>
            <w:pPr>
              <w:spacing w:after="0"/>
              <w:rPr>
                <w:sz w:val="1"/>
                <w:szCs w:val="1"/>
                <w:color w:val="auto"/>
              </w:rPr>
            </w:pP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IND clearance from the FDA</w:t>
            </w:r>
          </w:p>
        </w:tc>
        <w:tc>
          <w:tcPr>
            <w:tcW w:w="1380" w:type="dxa"/>
            <w:vAlign w:val="bottom"/>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6"/>
              </w:rPr>
              <w:t>$4.0M</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Q1'16</w:t>
            </w: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Phase 2 clinical trial initiation</w:t>
            </w:r>
          </w:p>
        </w:tc>
        <w:tc>
          <w:tcPr>
            <w:tcW w:w="1380" w:type="dxa"/>
            <w:vAlign w:val="bottom"/>
            <w:shd w:val="clear" w:color="auto" w:fill="CFF0FC"/>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6"/>
              </w:rPr>
              <w:t>$3.0M</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6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Q2'17</w:t>
            </w:r>
          </w:p>
        </w:tc>
        <w:tc>
          <w:tcPr>
            <w:tcW w:w="0" w:type="dxa"/>
            <w:vAlign w:val="bottom"/>
          </w:tcPr>
          <w:p>
            <w:pPr>
              <w:spacing w:after="0"/>
              <w:rPr>
                <w:sz w:val="1"/>
                <w:szCs w:val="1"/>
                <w:color w:val="auto"/>
              </w:rPr>
            </w:pPr>
          </w:p>
        </w:tc>
      </w:tr>
      <w:tr>
        <w:trPr>
          <w:trHeight w:val="157"/>
        </w:trPr>
        <w:tc>
          <w:tcPr>
            <w:tcW w:w="77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Phase 3 clinical trial initiation - first indication</w:t>
            </w:r>
          </w:p>
        </w:tc>
        <w:tc>
          <w:tcPr>
            <w:tcW w:w="1380" w:type="dxa"/>
            <w:vAlign w:val="bottom"/>
          </w:tcPr>
          <w:p>
            <w:pPr>
              <w:jc w:val="center"/>
              <w:ind w:left="192"/>
              <w:spacing w:after="0" w:line="157" w:lineRule="exact"/>
              <w:rPr>
                <w:sz w:val="20"/>
                <w:szCs w:val="20"/>
                <w:color w:val="auto"/>
              </w:rPr>
            </w:pPr>
            <w:r>
              <w:rPr>
                <w:rFonts w:ascii="Times New Roman" w:cs="Times New Roman" w:eastAsia="Times New Roman" w:hAnsi="Times New Roman"/>
                <w:sz w:val="18"/>
                <w:szCs w:val="18"/>
                <w:color w:val="auto"/>
                <w:w w:val="96"/>
              </w:rPr>
              <w:t>$5.0M</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color w:val="auto"/>
              </w:rPr>
              <w:t>Q3'18</w:t>
            </w:r>
          </w:p>
        </w:tc>
        <w:tc>
          <w:tcPr>
            <w:tcW w:w="0" w:type="dxa"/>
            <w:vAlign w:val="bottom"/>
          </w:tcPr>
          <w:p>
            <w:pPr>
              <w:spacing w:after="0"/>
              <w:rPr>
                <w:sz w:val="1"/>
                <w:szCs w:val="1"/>
                <w:color w:val="auto"/>
              </w:rPr>
            </w:pPr>
          </w:p>
        </w:tc>
      </w:tr>
      <w:tr>
        <w:trPr>
          <w:trHeight w:val="180"/>
        </w:trPr>
        <w:tc>
          <w:tcPr>
            <w:tcW w:w="77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Phase 3 clinical trial initiation - second indication</w:t>
            </w:r>
          </w:p>
        </w:tc>
        <w:tc>
          <w:tcPr>
            <w:tcW w:w="1380" w:type="dxa"/>
            <w:vAlign w:val="bottom"/>
          </w:tcPr>
          <w:p>
            <w:pPr>
              <w:jc w:val="center"/>
              <w:ind w:left="192"/>
              <w:spacing w:after="0" w:line="181" w:lineRule="exact"/>
              <w:rPr>
                <w:sz w:val="20"/>
                <w:szCs w:val="20"/>
                <w:color w:val="auto"/>
              </w:rPr>
            </w:pPr>
            <w:r>
              <w:rPr>
                <w:rFonts w:ascii="Times New Roman" w:cs="Times New Roman" w:eastAsia="Times New Roman" w:hAnsi="Times New Roman"/>
                <w:sz w:val="18"/>
                <w:szCs w:val="18"/>
                <w:color w:val="auto"/>
                <w:w w:val="96"/>
              </w:rPr>
              <w:t>$5.0M</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Q2'19</w:t>
            </w:r>
          </w:p>
        </w:tc>
        <w:tc>
          <w:tcPr>
            <w:tcW w:w="0" w:type="dxa"/>
            <w:vAlign w:val="bottom"/>
          </w:tcPr>
          <w:p>
            <w:pPr>
              <w:spacing w:after="0"/>
              <w:rPr>
                <w:sz w:val="1"/>
                <w:szCs w:val="1"/>
                <w:color w:val="auto"/>
              </w:rPr>
            </w:pP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Filing of the first BLA</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 first indication</w:t>
            </w:r>
          </w:p>
        </w:tc>
        <w:tc>
          <w:tcPr>
            <w:tcW w:w="1380" w:type="dxa"/>
            <w:vAlign w:val="bottom"/>
          </w:tcPr>
          <w:p>
            <w:pPr>
              <w:jc w:val="center"/>
              <w:ind w:left="172"/>
              <w:spacing w:after="0" w:line="189" w:lineRule="exact"/>
              <w:rPr>
                <w:sz w:val="20"/>
                <w:szCs w:val="20"/>
                <w:color w:val="auto"/>
              </w:rPr>
            </w:pPr>
            <w:r>
              <w:rPr>
                <w:rFonts w:ascii="Times New Roman" w:cs="Times New Roman" w:eastAsia="Times New Roman" w:hAnsi="Times New Roman"/>
                <w:sz w:val="18"/>
                <w:szCs w:val="18"/>
                <w:color w:val="auto"/>
                <w:w w:val="99"/>
              </w:rPr>
              <w:t>$10.0M</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Q1'20</w:t>
            </w:r>
          </w:p>
        </w:tc>
        <w:tc>
          <w:tcPr>
            <w:tcW w:w="0" w:type="dxa"/>
            <w:vAlign w:val="bottom"/>
          </w:tcPr>
          <w:p>
            <w:pPr>
              <w:spacing w:after="0"/>
              <w:rPr>
                <w:sz w:val="1"/>
                <w:szCs w:val="1"/>
                <w:color w:val="auto"/>
              </w:rPr>
            </w:pP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7"/>
                <w:szCs w:val="17"/>
                <w:color w:val="auto"/>
              </w:rPr>
              <w:t>Filing of the first MAA</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 first indication</w:t>
            </w:r>
          </w:p>
        </w:tc>
        <w:tc>
          <w:tcPr>
            <w:tcW w:w="1380" w:type="dxa"/>
            <w:vAlign w:val="bottom"/>
          </w:tcPr>
          <w:p>
            <w:pPr>
              <w:jc w:val="center"/>
              <w:ind w:left="192"/>
              <w:spacing w:after="0" w:line="198" w:lineRule="exact"/>
              <w:rPr>
                <w:sz w:val="20"/>
                <w:szCs w:val="20"/>
                <w:color w:val="auto"/>
              </w:rPr>
            </w:pPr>
            <w:r>
              <w:rPr>
                <w:rFonts w:ascii="Times New Roman" w:cs="Times New Roman" w:eastAsia="Times New Roman" w:hAnsi="Times New Roman"/>
                <w:sz w:val="18"/>
                <w:szCs w:val="18"/>
                <w:color w:val="auto"/>
                <w:w w:val="96"/>
              </w:rPr>
              <w:t>$5.0M</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Q1'20</w:t>
            </w:r>
          </w:p>
        </w:tc>
        <w:tc>
          <w:tcPr>
            <w:tcW w:w="0" w:type="dxa"/>
            <w:vAlign w:val="bottom"/>
          </w:tcPr>
          <w:p>
            <w:pPr>
              <w:spacing w:after="0"/>
              <w:rPr>
                <w:sz w:val="1"/>
                <w:szCs w:val="1"/>
                <w:color w:val="auto"/>
              </w:rPr>
            </w:pPr>
          </w:p>
        </w:tc>
      </w:tr>
      <w:tr>
        <w:trPr>
          <w:trHeight w:val="221"/>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Filing of the first BLA - second indication</w:t>
            </w:r>
          </w:p>
        </w:tc>
        <w:tc>
          <w:tcPr>
            <w:tcW w:w="13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$10.0M</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Q1'21</w:t>
            </w: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First BLA approval - first indication</w:t>
            </w:r>
          </w:p>
        </w:tc>
        <w:tc>
          <w:tcPr>
            <w:tcW w:w="1380" w:type="dxa"/>
            <w:vAlign w:val="bottom"/>
            <w:shd w:val="clear" w:color="auto" w:fill="CFF0FC"/>
          </w:tcPr>
          <w:p>
            <w:pPr>
              <w:jc w:val="center"/>
              <w:ind w:left="172"/>
              <w:spacing w:after="0" w:line="189" w:lineRule="exact"/>
              <w:rPr>
                <w:sz w:val="20"/>
                <w:szCs w:val="20"/>
                <w:color w:val="auto"/>
              </w:rPr>
            </w:pPr>
            <w:r>
              <w:rPr>
                <w:rFonts w:ascii="Times New Roman" w:cs="Times New Roman" w:eastAsia="Times New Roman" w:hAnsi="Times New Roman"/>
                <w:sz w:val="18"/>
                <w:szCs w:val="18"/>
                <w:color w:val="auto"/>
                <w:w w:val="99"/>
              </w:rPr>
              <w:t>$20.0M</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6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Q2'21</w:t>
            </w:r>
          </w:p>
        </w:tc>
        <w:tc>
          <w:tcPr>
            <w:tcW w:w="0" w:type="dxa"/>
            <w:vAlign w:val="bottom"/>
          </w:tcPr>
          <w:p>
            <w:pPr>
              <w:spacing w:after="0"/>
              <w:rPr>
                <w:sz w:val="1"/>
                <w:szCs w:val="1"/>
                <w:color w:val="auto"/>
              </w:rPr>
            </w:pPr>
          </w:p>
        </w:tc>
      </w:tr>
      <w:tr>
        <w:trPr>
          <w:trHeight w:val="157"/>
        </w:trPr>
        <w:tc>
          <w:tcPr>
            <w:tcW w:w="77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First MAA approval - first indication</w:t>
            </w:r>
          </w:p>
        </w:tc>
        <w:tc>
          <w:tcPr>
            <w:tcW w:w="1380" w:type="dxa"/>
            <w:vAlign w:val="bottom"/>
          </w:tcPr>
          <w:p>
            <w:pPr>
              <w:jc w:val="center"/>
              <w:ind w:left="172"/>
              <w:spacing w:after="0" w:line="157" w:lineRule="exact"/>
              <w:rPr>
                <w:sz w:val="20"/>
                <w:szCs w:val="20"/>
                <w:color w:val="auto"/>
              </w:rPr>
            </w:pPr>
            <w:r>
              <w:rPr>
                <w:rFonts w:ascii="Times New Roman" w:cs="Times New Roman" w:eastAsia="Times New Roman" w:hAnsi="Times New Roman"/>
                <w:sz w:val="18"/>
                <w:szCs w:val="18"/>
                <w:color w:val="auto"/>
                <w:w w:val="99"/>
              </w:rPr>
              <w:t>$10.0M</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color w:val="auto"/>
              </w:rPr>
              <w:t>Q2'21</w:t>
            </w:r>
          </w:p>
        </w:tc>
        <w:tc>
          <w:tcPr>
            <w:tcW w:w="0" w:type="dxa"/>
            <w:vAlign w:val="bottom"/>
          </w:tcPr>
          <w:p>
            <w:pPr>
              <w:spacing w:after="0"/>
              <w:rPr>
                <w:sz w:val="1"/>
                <w:szCs w:val="1"/>
                <w:color w:val="auto"/>
              </w:rPr>
            </w:pPr>
          </w:p>
        </w:tc>
      </w:tr>
      <w:tr>
        <w:trPr>
          <w:trHeight w:val="180"/>
        </w:trPr>
        <w:tc>
          <w:tcPr>
            <w:tcW w:w="77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First BLA approval - second indication</w:t>
            </w:r>
          </w:p>
        </w:tc>
        <w:tc>
          <w:tcPr>
            <w:tcW w:w="1380" w:type="dxa"/>
            <w:vAlign w:val="bottom"/>
          </w:tcPr>
          <w:p>
            <w:pPr>
              <w:jc w:val="center"/>
              <w:ind w:left="172"/>
              <w:spacing w:after="0" w:line="181" w:lineRule="exact"/>
              <w:rPr>
                <w:sz w:val="20"/>
                <w:szCs w:val="20"/>
                <w:color w:val="auto"/>
              </w:rPr>
            </w:pPr>
            <w:r>
              <w:rPr>
                <w:rFonts w:ascii="Times New Roman" w:cs="Times New Roman" w:eastAsia="Times New Roman" w:hAnsi="Times New Roman"/>
                <w:sz w:val="18"/>
                <w:szCs w:val="18"/>
                <w:color w:val="auto"/>
                <w:w w:val="99"/>
              </w:rPr>
              <w:t>$20.0M</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Q3'21</w:t>
            </w:r>
          </w:p>
        </w:tc>
        <w:tc>
          <w:tcPr>
            <w:tcW w:w="0" w:type="dxa"/>
            <w:vAlign w:val="bottom"/>
          </w:tcPr>
          <w:p>
            <w:pPr>
              <w:spacing w:after="0"/>
              <w:rPr>
                <w:sz w:val="1"/>
                <w:szCs w:val="1"/>
                <w:color w:val="auto"/>
              </w:rPr>
            </w:pP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Filing of the first MAA - second indication</w:t>
            </w:r>
            <w:r>
              <w:rPr>
                <w:rFonts w:ascii="Times New Roman" w:cs="Times New Roman" w:eastAsia="Times New Roman" w:hAnsi="Times New Roman"/>
                <w:sz w:val="21"/>
                <w:szCs w:val="21"/>
                <w:color w:val="auto"/>
                <w:vertAlign w:val="superscript"/>
              </w:rPr>
              <w:t>(3)</w:t>
            </w:r>
          </w:p>
        </w:tc>
        <w:tc>
          <w:tcPr>
            <w:tcW w:w="1380" w:type="dxa"/>
            <w:vAlign w:val="bottom"/>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6"/>
              </w:rPr>
              <w:t>$5.0M</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First MAA approval - second indication</w:t>
            </w:r>
            <w:r>
              <w:rPr>
                <w:rFonts w:ascii="Times New Roman" w:cs="Times New Roman" w:eastAsia="Times New Roman" w:hAnsi="Times New Roman"/>
                <w:sz w:val="21"/>
                <w:szCs w:val="21"/>
                <w:color w:val="auto"/>
                <w:vertAlign w:val="superscript"/>
              </w:rPr>
              <w:t>(3)</w:t>
            </w:r>
          </w:p>
        </w:tc>
        <w:tc>
          <w:tcPr>
            <w:tcW w:w="1380" w:type="dxa"/>
            <w:vAlign w:val="bottom"/>
          </w:tcPr>
          <w:p>
            <w:pPr>
              <w:jc w:val="center"/>
              <w:ind w:left="172"/>
              <w:spacing w:after="0" w:line="189" w:lineRule="exact"/>
              <w:rPr>
                <w:sz w:val="20"/>
                <w:szCs w:val="20"/>
                <w:color w:val="auto"/>
              </w:rPr>
            </w:pPr>
            <w:r>
              <w:rPr>
                <w:rFonts w:ascii="Times New Roman" w:cs="Times New Roman" w:eastAsia="Times New Roman" w:hAnsi="Times New Roman"/>
                <w:sz w:val="18"/>
                <w:szCs w:val="18"/>
                <w:color w:val="auto"/>
                <w:w w:val="99"/>
              </w:rPr>
              <w:t>$10.0M</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First commercial sales milestone</w:t>
            </w:r>
            <w:r>
              <w:rPr>
                <w:rFonts w:ascii="Times New Roman" w:cs="Times New Roman" w:eastAsia="Times New Roman" w:hAnsi="Times New Roman"/>
                <w:sz w:val="21"/>
                <w:szCs w:val="21"/>
                <w:color w:val="auto"/>
                <w:vertAlign w:val="superscript"/>
              </w:rPr>
              <w:t>(3)</w:t>
            </w:r>
          </w:p>
        </w:tc>
        <w:tc>
          <w:tcPr>
            <w:tcW w:w="1380" w:type="dxa"/>
            <w:vAlign w:val="bottom"/>
          </w:tcPr>
          <w:p>
            <w:pPr>
              <w:jc w:val="center"/>
              <w:ind w:left="172"/>
              <w:spacing w:after="0" w:line="189" w:lineRule="exact"/>
              <w:rPr>
                <w:sz w:val="20"/>
                <w:szCs w:val="20"/>
                <w:color w:val="auto"/>
              </w:rPr>
            </w:pPr>
            <w:r>
              <w:rPr>
                <w:rFonts w:ascii="Times New Roman" w:cs="Times New Roman" w:eastAsia="Times New Roman" w:hAnsi="Times New Roman"/>
                <w:sz w:val="18"/>
                <w:szCs w:val="18"/>
                <w:color w:val="auto"/>
                <w:w w:val="99"/>
              </w:rPr>
              <w:t>$15.0M</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Q3'24</w:t>
            </w:r>
          </w:p>
        </w:tc>
        <w:tc>
          <w:tcPr>
            <w:tcW w:w="0" w:type="dxa"/>
            <w:vAlign w:val="bottom"/>
          </w:tcPr>
          <w:p>
            <w:pPr>
              <w:spacing w:after="0"/>
              <w:rPr>
                <w:sz w:val="1"/>
                <w:szCs w:val="1"/>
                <w:color w:val="auto"/>
              </w:rPr>
            </w:pP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Second commercial sales milestone</w:t>
            </w:r>
            <w:r>
              <w:rPr>
                <w:rFonts w:ascii="Times New Roman" w:cs="Times New Roman" w:eastAsia="Times New Roman" w:hAnsi="Times New Roman"/>
                <w:sz w:val="21"/>
                <w:szCs w:val="21"/>
                <w:color w:val="auto"/>
                <w:vertAlign w:val="superscript"/>
              </w:rPr>
              <w:t>(3)</w:t>
            </w:r>
          </w:p>
        </w:tc>
        <w:tc>
          <w:tcPr>
            <w:tcW w:w="1380" w:type="dxa"/>
            <w:vAlign w:val="bottom"/>
          </w:tcPr>
          <w:p>
            <w:pPr>
              <w:jc w:val="center"/>
              <w:ind w:left="172"/>
              <w:spacing w:after="0" w:line="189" w:lineRule="exact"/>
              <w:rPr>
                <w:sz w:val="20"/>
                <w:szCs w:val="20"/>
                <w:color w:val="auto"/>
              </w:rPr>
            </w:pPr>
            <w:r>
              <w:rPr>
                <w:rFonts w:ascii="Times New Roman" w:cs="Times New Roman" w:eastAsia="Times New Roman" w:hAnsi="Times New Roman"/>
                <w:sz w:val="18"/>
                <w:szCs w:val="18"/>
                <w:color w:val="auto"/>
                <w:w w:val="99"/>
              </w:rPr>
              <w:t>$25.0M</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Q4'24</w:t>
            </w:r>
          </w:p>
        </w:tc>
        <w:tc>
          <w:tcPr>
            <w:tcW w:w="0" w:type="dxa"/>
            <w:vAlign w:val="bottom"/>
          </w:tcPr>
          <w:p>
            <w:pPr>
              <w:spacing w:after="0"/>
              <w:rPr>
                <w:sz w:val="1"/>
                <w:szCs w:val="1"/>
                <w:color w:val="auto"/>
              </w:rPr>
            </w:pP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Third commercial sales milestone</w:t>
            </w:r>
            <w:r>
              <w:rPr>
                <w:rFonts w:ascii="Times New Roman" w:cs="Times New Roman" w:eastAsia="Times New Roman" w:hAnsi="Times New Roman"/>
                <w:sz w:val="21"/>
                <w:szCs w:val="21"/>
                <w:color w:val="auto"/>
                <w:vertAlign w:val="superscript"/>
              </w:rPr>
              <w:t>(3)</w:t>
            </w:r>
          </w:p>
        </w:tc>
        <w:tc>
          <w:tcPr>
            <w:tcW w:w="1380" w:type="dxa"/>
            <w:vAlign w:val="bottom"/>
          </w:tcPr>
          <w:p>
            <w:pPr>
              <w:jc w:val="center"/>
              <w:ind w:left="172"/>
              <w:spacing w:after="0" w:line="189" w:lineRule="exact"/>
              <w:rPr>
                <w:sz w:val="20"/>
                <w:szCs w:val="20"/>
                <w:color w:val="auto"/>
              </w:rPr>
            </w:pPr>
            <w:r>
              <w:rPr>
                <w:rFonts w:ascii="Times New Roman" w:cs="Times New Roman" w:eastAsia="Times New Roman" w:hAnsi="Times New Roman"/>
                <w:sz w:val="18"/>
                <w:szCs w:val="18"/>
                <w:color w:val="auto"/>
                <w:w w:val="99"/>
              </w:rPr>
              <w:t>$50.0M</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Q3'25</w:t>
            </w:r>
          </w:p>
        </w:tc>
        <w:tc>
          <w:tcPr>
            <w:tcW w:w="0" w:type="dxa"/>
            <w:vAlign w:val="bottom"/>
          </w:tcPr>
          <w:p>
            <w:pPr>
              <w:spacing w:after="0"/>
              <w:rPr>
                <w:sz w:val="1"/>
                <w:szCs w:val="1"/>
                <w:color w:val="auto"/>
              </w:rPr>
            </w:pPr>
          </w:p>
        </w:tc>
      </w:tr>
      <w:tr>
        <w:trPr>
          <w:trHeight w:val="229"/>
        </w:trPr>
        <w:tc>
          <w:tcPr>
            <w:tcW w:w="774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Fourth commercial sales milestone</w:t>
            </w:r>
            <w:r>
              <w:rPr>
                <w:rFonts w:ascii="Times New Roman" w:cs="Times New Roman" w:eastAsia="Times New Roman" w:hAnsi="Times New Roman"/>
                <w:sz w:val="24"/>
                <w:szCs w:val="24"/>
                <w:color w:val="auto"/>
                <w:vertAlign w:val="superscript"/>
              </w:rPr>
              <w:t>(4)</w:t>
            </w:r>
          </w:p>
        </w:tc>
        <w:tc>
          <w:tcPr>
            <w:tcW w:w="13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$75.0M</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Q4'25</w:t>
            </w:r>
          </w:p>
        </w:tc>
        <w:tc>
          <w:tcPr>
            <w:tcW w:w="0" w:type="dxa"/>
            <w:vAlign w:val="bottom"/>
          </w:tcPr>
          <w:p>
            <w:pPr>
              <w:spacing w:after="0"/>
              <w:rPr>
                <w:sz w:val="1"/>
                <w:szCs w:val="1"/>
                <w:color w:val="auto"/>
              </w:rPr>
            </w:pPr>
          </w:p>
        </w:tc>
      </w:tr>
      <w:tr>
        <w:trPr>
          <w:trHeight w:val="189"/>
        </w:trPr>
        <w:tc>
          <w:tcPr>
            <w:tcW w:w="7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Milestones recognized through March 31, 2026</w:t>
            </w:r>
          </w:p>
        </w:tc>
        <w:tc>
          <w:tcPr>
            <w:tcW w:w="1380" w:type="dxa"/>
            <w:vAlign w:val="bottom"/>
            <w:shd w:val="clear" w:color="auto" w:fill="CFF0FC"/>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rPr>
              <w:t>$258.0M</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6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Milestones that may be recognized in the future</w:t>
            </w:r>
          </w:p>
        </w:tc>
        <w:tc>
          <w:tcPr>
            <w:tcW w:w="13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$15.0M</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-1948180</wp:posOffset>
            </wp:positionV>
            <wp:extent cx="7132320"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-1708150</wp:posOffset>
            </wp:positionV>
            <wp:extent cx="7132320" cy="12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-1228090</wp:posOffset>
            </wp:positionV>
            <wp:extent cx="7132320"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-988060</wp:posOffset>
            </wp:positionV>
            <wp:extent cx="7132320"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-748030</wp:posOffset>
            </wp:positionV>
            <wp:extent cx="7132320"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-508000</wp:posOffset>
            </wp:positionV>
            <wp:extent cx="7132320"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99"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Biologics License Application (“BLA”)</w:t>
      </w:r>
    </w:p>
    <w:p>
      <w:pPr>
        <w:spacing w:after="0" w:line="85" w:lineRule="exact"/>
        <w:rPr>
          <w:rFonts w:ascii="Times New Roman" w:cs="Times New Roman" w:eastAsia="Times New Roman" w:hAnsi="Times New Roman"/>
          <w:sz w:val="24"/>
          <w:szCs w:val="24"/>
          <w:color w:val="auto"/>
          <w:vertAlign w:val="superscript"/>
        </w:rPr>
      </w:pPr>
    </w:p>
    <w:p>
      <w:pPr>
        <w:ind w:left="520" w:hanging="512"/>
        <w:spacing w:after="0" w:line="231" w:lineRule="auto"/>
        <w:tabs>
          <w:tab w:leader="none" w:pos="52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Marketing Authorization Application (“MAA”)</w:t>
      </w:r>
    </w:p>
    <w:p>
      <w:pPr>
        <w:spacing w:after="0" w:line="114" w:lineRule="exact"/>
        <w:rPr>
          <w:rFonts w:ascii="Times New Roman" w:cs="Times New Roman" w:eastAsia="Times New Roman" w:hAnsi="Times New Roman"/>
          <w:sz w:val="24"/>
          <w:szCs w:val="24"/>
          <w:color w:val="auto"/>
          <w:vertAlign w:val="superscript"/>
        </w:rPr>
      </w:pPr>
    </w:p>
    <w:p>
      <w:pPr>
        <w:ind w:left="520" w:right="80" w:hanging="512"/>
        <w:spacing w:after="0" w:line="262" w:lineRule="auto"/>
        <w:tabs>
          <w:tab w:leader="none" w:pos="52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the filing and approval of the first MAA for a second indication and first three commercial sales milestones are included as part of the royalty monetization agreement with Sagard (as defined below). For more information, see Note 5. Cash is generally received within 30 days of milestone achievement.</w:t>
      </w:r>
    </w:p>
    <w:p>
      <w:pPr>
        <w:spacing w:after="0" w:line="110" w:lineRule="exact"/>
        <w:rPr>
          <w:rFonts w:ascii="Times New Roman" w:cs="Times New Roman" w:eastAsia="Times New Roman" w:hAnsi="Times New Roman"/>
          <w:sz w:val="24"/>
          <w:szCs w:val="24"/>
          <w:color w:val="auto"/>
          <w:vertAlign w:val="superscript"/>
        </w:rPr>
      </w:pPr>
    </w:p>
    <w:p>
      <w:pPr>
        <w:ind w:left="520" w:right="180" w:hanging="512"/>
        <w:spacing w:after="0" w:line="238" w:lineRule="auto"/>
        <w:tabs>
          <w:tab w:leader="none" w:pos="52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we retained the rights to a $75.0 million sales milestone when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annual net sales exceeded $1.0 billion. We received the cash milestone payment in December 2025.</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currently party to litigation with GSK with respect to the GSK Agreement. See Item 1. “Legal Proceedings” for additional information.</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Vanda Collaboration</w:t>
      </w:r>
    </w:p>
    <w:p>
      <w:pPr>
        <w:spacing w:after="0" w:line="162" w:lineRule="exact"/>
        <w:rPr>
          <w:sz w:val="20"/>
          <w:szCs w:val="20"/>
          <w:color w:val="auto"/>
        </w:rPr>
      </w:pPr>
    </w:p>
    <w:p>
      <w:pPr>
        <w:ind w:right="160" w:firstLine="659"/>
        <w:spacing w:after="0" w:line="297" w:lineRule="auto"/>
        <w:rPr>
          <w:sz w:val="20"/>
          <w:szCs w:val="20"/>
          <w:color w:val="auto"/>
        </w:rPr>
      </w:pPr>
      <w:r>
        <w:rPr>
          <w:rFonts w:ascii="Times New Roman" w:cs="Times New Roman" w:eastAsia="Times New Roman" w:hAnsi="Times New Roman"/>
          <w:sz w:val="18"/>
          <w:szCs w:val="18"/>
          <w:color w:val="auto"/>
        </w:rPr>
        <w:t>On January 31, 2025, we entered into an Exclusive License Agreement (the “Vanda License Agreement”) with Vanda pursuant to which we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spacing w:after="0" w:line="69" w:lineRule="exact"/>
        <w:rPr>
          <w:sz w:val="20"/>
          <w:szCs w:val="20"/>
          <w:color w:val="auto"/>
        </w:rPr>
      </w:pPr>
    </w:p>
    <w:p>
      <w:pPr>
        <w:ind w:right="260" w:firstLine="659"/>
        <w:spacing w:after="0" w:line="306" w:lineRule="auto"/>
        <w:rPr>
          <w:sz w:val="20"/>
          <w:szCs w:val="20"/>
          <w:color w:val="auto"/>
        </w:rPr>
      </w:pPr>
      <w:r>
        <w:rPr>
          <w:rFonts w:ascii="Times New Roman" w:cs="Times New Roman" w:eastAsia="Times New Roman" w:hAnsi="Times New Roman"/>
          <w:sz w:val="17"/>
          <w:szCs w:val="17"/>
          <w:color w:val="auto"/>
        </w:rPr>
        <w:t>Pursuant to the terms of the Vanda License Agreement, we received an upfront payment of $10.0 million for the license and a $5.0 million payment for existing drug supply. We allocated the total transaction price of $15.0 million on a relative standalone selling price in accordance with ASC</w:t>
      </w:r>
    </w:p>
    <w:p>
      <w:pPr>
        <w:spacing w:after="0" w:line="1" w:lineRule="exact"/>
        <w:rPr>
          <w:sz w:val="20"/>
          <w:szCs w:val="20"/>
          <w:color w:val="auto"/>
        </w:rPr>
      </w:pPr>
    </w:p>
    <w:p>
      <w:pPr>
        <w:ind w:right="20" w:firstLine="8"/>
        <w:spacing w:after="0" w:line="306" w:lineRule="auto"/>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three months ended March 31, 2026, we recognized no license revenue and less than $0.1 million of transition services revenue. During the three months ended March 31, 2025, we recognized $9.6 million of license revenue and $0.1 million of transition services revenue, under ASC 606, and</w:t>
      </w:r>
    </w:p>
    <w:p>
      <w:pPr>
        <w:spacing w:after="0" w:line="1" w:lineRule="exact"/>
        <w:rPr>
          <w:rFonts w:ascii="Times New Roman" w:cs="Times New Roman" w:eastAsia="Times New Roman" w:hAnsi="Times New Roman"/>
          <w:sz w:val="17"/>
          <w:szCs w:val="17"/>
          <w:color w:val="auto"/>
        </w:rPr>
      </w:pPr>
    </w:p>
    <w:p>
      <w:pPr>
        <w:ind w:right="34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recognized $1.9 million related to existing drug supply transferred to Vanda, under ASC 610. We expensed the $2.5 million of related transaction costs within general and administrative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right="100"/>
        <w:spacing w:after="0" w:line="313" w:lineRule="auto"/>
        <w:rPr>
          <w:sz w:val="20"/>
          <w:szCs w:val="20"/>
          <w:color w:val="auto"/>
        </w:rPr>
      </w:pPr>
      <w:r>
        <w:rPr>
          <w:rFonts w:ascii="Times New Roman" w:cs="Times New Roman" w:eastAsia="Times New Roman" w:hAnsi="Times New Roman"/>
          <w:sz w:val="18"/>
          <w:szCs w:val="18"/>
          <w:color w:val="auto"/>
        </w:rPr>
        <w:t>expenses, during the three months ended March 31, 2025, as we elected the practical expedient to expense the transaction costs as incurred as the expected amortization period was less than a year.</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also eligible to receive a 10% royalty on net sales, as well as the following milestones under the Vanda License Agreement: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16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 Recognized</w:t>
            </w:r>
          </w:p>
        </w:tc>
      </w:tr>
      <w:tr>
        <w:trPr>
          <w:trHeight w:val="151"/>
        </w:trPr>
        <w:tc>
          <w:tcPr>
            <w:tcW w:w="7740" w:type="dxa"/>
            <w:vAlign w:val="bottom"/>
            <w:shd w:val="clear" w:color="auto" w:fill="CFF0FC"/>
          </w:tcPr>
          <w:p>
            <w:pPr>
              <w:spacing w:after="0" w:line="150" w:lineRule="exact"/>
              <w:rPr>
                <w:sz w:val="20"/>
                <w:szCs w:val="20"/>
                <w:color w:val="auto"/>
              </w:rPr>
            </w:pPr>
            <w:r>
              <w:rPr>
                <w:rFonts w:ascii="Times New Roman" w:cs="Times New Roman" w:eastAsia="Times New Roman" w:hAnsi="Times New Roman"/>
                <w:sz w:val="17"/>
                <w:szCs w:val="17"/>
                <w:color w:val="auto"/>
              </w:rPr>
              <w:t>FDA regulatory approval for marketing of first licensed product in the USA for the treatment of active</w:t>
            </w:r>
          </w:p>
        </w:tc>
        <w:tc>
          <w:tcPr>
            <w:tcW w:w="1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r>
      <w:tr>
        <w:trPr>
          <w:trHeight w:val="221"/>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flares in GPP</w:t>
            </w: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$5.0M</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Regulatory approval for marketing of the first licensed product in the EU</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$5.0M</w:t>
            </w:r>
          </w:p>
        </w:tc>
        <w:tc>
          <w:tcPr>
            <w:tcW w:w="18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Commercial sales first exceed $100.0 million</w:t>
            </w:r>
          </w:p>
        </w:tc>
        <w:tc>
          <w:tcPr>
            <w:tcW w:w="166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$25.0M</w:t>
            </w:r>
          </w:p>
        </w:tc>
        <w:tc>
          <w:tcPr>
            <w:tcW w:w="180" w:type="dxa"/>
            <w:vAlign w:val="bottom"/>
            <w:shd w:val="clear" w:color="auto" w:fill="CFF0FC"/>
          </w:tcPr>
          <w:p>
            <w:pPr>
              <w:spacing w:after="0"/>
              <w:rPr>
                <w:sz w:val="16"/>
                <w:szCs w:val="16"/>
                <w:color w:val="auto"/>
              </w:rPr>
            </w:pPr>
          </w:p>
        </w:tc>
        <w:tc>
          <w:tcPr>
            <w:tcW w:w="166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r>
      <w:tr>
        <w:trPr>
          <w:trHeight w:val="189"/>
        </w:trPr>
        <w:tc>
          <w:tcPr>
            <w:tcW w:w="7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Milestones recognized through March 31, 2026</w:t>
            </w:r>
          </w:p>
        </w:tc>
        <w:tc>
          <w:tcPr>
            <w:tcW w:w="166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6"/>
                <w:szCs w:val="16"/>
                <w:color w:val="auto"/>
              </w:rPr>
            </w:pPr>
          </w:p>
        </w:tc>
        <w:tc>
          <w:tcPr>
            <w:tcW w:w="166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Milestones that may be recognized in the future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$35.0M</w:t>
            </w: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66" w:lineRule="exact"/>
        <w:rPr>
          <w:sz w:val="20"/>
          <w:szCs w:val="20"/>
          <w:color w:val="auto"/>
        </w:rPr>
      </w:pPr>
    </w:p>
    <w:p>
      <w:pPr>
        <w:jc w:val="both"/>
        <w:ind w:right="240" w:firstLine="659"/>
        <w:spacing w:after="0" w:line="329" w:lineRule="auto"/>
        <w:rPr>
          <w:sz w:val="20"/>
          <w:szCs w:val="20"/>
          <w:color w:val="auto"/>
        </w:rPr>
      </w:pPr>
      <w:r>
        <w:rPr>
          <w:rFonts w:ascii="Times New Roman" w:cs="Times New Roman" w:eastAsia="Times New Roman" w:hAnsi="Times New Roman"/>
          <w:sz w:val="18"/>
          <w:szCs w:val="18"/>
          <w:color w:val="auto"/>
        </w:rPr>
        <w:t>The Separation and Distribution Agreement provides that any and all rights to receive milestone payments under the Vanda License Agreement will be allocated to First Tracks Biotherapeutics.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Centessa</w:t>
      </w:r>
    </w:p>
    <w:p>
      <w:pPr>
        <w:spacing w:after="0" w:line="148" w:lineRule="exact"/>
        <w:rPr>
          <w:sz w:val="20"/>
          <w:szCs w:val="20"/>
          <w:color w:val="auto"/>
        </w:rPr>
      </w:pPr>
    </w:p>
    <w:p>
      <w:pPr>
        <w:ind w:right="40" w:firstLine="659"/>
        <w:spacing w:after="0" w:line="302" w:lineRule="auto"/>
        <w:rPr>
          <w:sz w:val="20"/>
          <w:szCs w:val="20"/>
          <w:color w:val="auto"/>
        </w:rPr>
      </w:pPr>
      <w:r>
        <w:rPr>
          <w:rFonts w:ascii="Times New Roman" w:cs="Times New Roman" w:eastAsia="Times New Roman" w:hAnsi="Times New Roman"/>
          <w:sz w:val="18"/>
          <w:szCs w:val="18"/>
          <w:color w:val="auto"/>
        </w:rPr>
        <w:t>On November 24, 2023, we entered into an exclusive license agreement (as amended, the “Centessa Agreement”) with Centessa Pharmaceuticals (UK) Limited (“Centessa”), pursuant to which we acquired the exclusive global development and commercialization rights to a blood dendritic cell antigen 2 (BDCA2) modulator antibody portfolio, including lead asset CBS004 (renamed ANB101) and the related family of antibodies, for the treatment of autoimmune and inflammatory diseases.</w:t>
      </w:r>
    </w:p>
    <w:p>
      <w:pPr>
        <w:spacing w:after="0" w:line="65" w:lineRule="exact"/>
        <w:rPr>
          <w:sz w:val="20"/>
          <w:szCs w:val="20"/>
          <w:color w:val="auto"/>
        </w:rPr>
      </w:pPr>
    </w:p>
    <w:p>
      <w:pPr>
        <w:ind w:right="80" w:firstLine="659"/>
        <w:spacing w:after="0" w:line="297" w:lineRule="auto"/>
        <w:rPr>
          <w:sz w:val="20"/>
          <w:szCs w:val="20"/>
          <w:color w:val="auto"/>
        </w:rPr>
      </w:pPr>
      <w:r>
        <w:rPr>
          <w:rFonts w:ascii="Times New Roman" w:cs="Times New Roman" w:eastAsia="Times New Roman" w:hAnsi="Times New Roman"/>
          <w:sz w:val="18"/>
          <w:szCs w:val="18"/>
          <w:color w:val="auto"/>
        </w:rPr>
        <w:t>In connection with the Centessa Agreement, we paid Centessa an upfront cash payment of $4.0 million and an additional cash payment of $3.0 million as reimbursement to Centessa for manufacturing costs incurred. There were $0.3 million in transaction costs incurred. The total transaction amount of $7.3 million was expensed as in-process research and development and classified as an operating activity in the statement of cash flows. We accounted for the transaction as an asset acquisition as the set of acquired assets did not constitute a business.</w:t>
      </w:r>
    </w:p>
    <w:p>
      <w:pPr>
        <w:spacing w:after="0" w:line="82" w:lineRule="exact"/>
        <w:rPr>
          <w:sz w:val="20"/>
          <w:szCs w:val="20"/>
          <w:color w:val="auto"/>
        </w:rPr>
      </w:pPr>
    </w:p>
    <w:p>
      <w:pPr>
        <w:ind w:right="200" w:firstLine="659"/>
        <w:spacing w:after="0" w:line="297" w:lineRule="auto"/>
        <w:rPr>
          <w:sz w:val="20"/>
          <w:szCs w:val="20"/>
          <w:color w:val="auto"/>
        </w:rPr>
      </w:pPr>
      <w:r>
        <w:rPr>
          <w:rFonts w:ascii="Times New Roman" w:cs="Times New Roman" w:eastAsia="Times New Roman" w:hAnsi="Times New Roman"/>
          <w:sz w:val="18"/>
          <w:szCs w:val="18"/>
          <w:color w:val="auto"/>
        </w:rPr>
        <w:t>Under the terms of the Centessa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As of March 31, 2026, achievement of the milestone is not probable and, therefore, we have not recognized a liability for the associated $10.0 million contingent consideration.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Sale of Future Royalties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Jemperli Royalty Monetization Agreement</w:t>
      </w:r>
    </w:p>
    <w:p>
      <w:pPr>
        <w:spacing w:after="0" w:line="146" w:lineRule="exact"/>
        <w:rPr>
          <w:sz w:val="20"/>
          <w:szCs w:val="20"/>
          <w:color w:val="auto"/>
        </w:rPr>
      </w:pPr>
    </w:p>
    <w:p>
      <w:pPr>
        <w:ind w:right="360" w:firstLine="659"/>
        <w:spacing w:after="0" w:line="306" w:lineRule="auto"/>
        <w:rPr>
          <w:sz w:val="20"/>
          <w:szCs w:val="20"/>
          <w:color w:val="auto"/>
        </w:rPr>
      </w:pPr>
      <w:r>
        <w:rPr>
          <w:rFonts w:ascii="Times New Roman" w:cs="Times New Roman" w:eastAsia="Times New Roman" w:hAnsi="Times New Roman"/>
          <w:sz w:val="18"/>
          <w:szCs w:val="18"/>
          <w:color w:val="auto"/>
        </w:rPr>
        <w:t>In October 2021, we signed a royalty monetization agreement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with Sagard Healthcare Royalty Partners, LP (“Sagard”). Under the terms of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we received $250.0 million in exchange for royalties and milestones payable to us under our GSK collaboration on annual global net sales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w:t>
      </w:r>
    </w:p>
    <w:p>
      <w:pPr>
        <w:spacing w:after="0" w:line="59" w:lineRule="exact"/>
        <w:rPr>
          <w:sz w:val="20"/>
          <w:szCs w:val="20"/>
          <w:color w:val="auto"/>
        </w:rPr>
      </w:pPr>
    </w:p>
    <w:p>
      <w:pPr>
        <w:ind w:right="40" w:firstLine="659"/>
        <w:spacing w:after="0" w:line="292" w:lineRule="auto"/>
        <w:rPr>
          <w:sz w:val="20"/>
          <w:szCs w:val="20"/>
          <w:color w:val="auto"/>
        </w:rPr>
      </w:pPr>
      <w:r>
        <w:rPr>
          <w:rFonts w:ascii="Times New Roman" w:cs="Times New Roman" w:eastAsia="Times New Roman" w:hAnsi="Times New Roman"/>
          <w:sz w:val="18"/>
          <w:szCs w:val="18"/>
          <w:color w:val="auto"/>
        </w:rPr>
        <w:t xml:space="preserve">In May 2024, we entered into an amendment to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Amendment No. 1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Amendment”) under which we sold additional receivables to Sagard in exchange for $50.0 million.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Amendment includes all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sales, including any product containing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whether or not such product constitutes a combination product, and the threshold amounts of aggregate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royalties and milestones to be received by Sagard under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Amendment is either $600.0 million if received by the end of March 31, 2031, or $675.0 million if received thereafter. Once either of these thresholds are met,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and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Amendment will expire, resulting in us regaining all subsequent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royalties and milestones. As of March 31, 2026, Sagard has received a total of $249.3 million in royalties and milestones.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ind w:right="80" w:firstLine="659"/>
        <w:spacing w:after="0" w:line="294" w:lineRule="auto"/>
        <w:rPr>
          <w:sz w:val="20"/>
          <w:szCs w:val="20"/>
          <w:color w:val="auto"/>
        </w:rPr>
      </w:pPr>
      <w:r>
        <w:rPr>
          <w:rFonts w:ascii="Times New Roman" w:cs="Times New Roman" w:eastAsia="Times New Roman" w:hAnsi="Times New Roman"/>
          <w:sz w:val="18"/>
          <w:szCs w:val="18"/>
          <w:color w:val="auto"/>
        </w:rPr>
        <w:t xml:space="preserve">The proceeds received from Sagard of $250.0 million and $50.0 million were recorded as a nonrecourse liability, net of transaction costs of $0.4 million and $0.1 million, which will be amortized over the estimated life of the arrangement using the effective interest rate method. The aggregate future estimated payments, less the $299.5 million, net of proceeds, will be recognized as non-cash interest expense over the life of the agreement. Royalty and milestone revenue will be recognized as earned on net sales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and these payments to Sagard will be recorded as a reduction of the liability when paid. As such payments are made to Sagard, the balance of the liability will be effectively repaid over the life of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w:t>
      </w:r>
    </w:p>
    <w:p>
      <w:pPr>
        <w:spacing w:after="0" w:line="70" w:lineRule="exact"/>
        <w:rPr>
          <w:sz w:val="20"/>
          <w:szCs w:val="20"/>
          <w:color w:val="auto"/>
        </w:rPr>
      </w:pPr>
    </w:p>
    <w:p>
      <w:pPr>
        <w:ind w:right="80" w:firstLine="659"/>
        <w:spacing w:after="0" w:line="294" w:lineRule="auto"/>
        <w:rPr>
          <w:sz w:val="20"/>
          <w:szCs w:val="20"/>
          <w:color w:val="auto"/>
        </w:rPr>
      </w:pPr>
      <w:r>
        <w:rPr>
          <w:rFonts w:ascii="Times New Roman" w:cs="Times New Roman" w:eastAsia="Times New Roman" w:hAnsi="Times New Roman"/>
          <w:sz w:val="18"/>
          <w:szCs w:val="18"/>
          <w:color w:val="auto"/>
        </w:rPr>
        <w:t xml:space="preserve">We estimate the effective interest rate used to record non-cash interest expense under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based on the estimate of future royalty payments to be received by Sagard. As of March 31, 2026, the estimated effective rate under the agreement was 34.9%. Over the life of the arrangement, the actual effective interest rate will be affected by the amount and the timing of the royalty payments received by Sagard and changes in our forecasted royalties. At each reporting date, we will reassess our estimate of total future royalty payments to be received and if such payments are materially different than our prior estimates, we will prospectively adjust the imputed interest rate and the related amortization of the royalty obligation.</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sales milestones were recognized during the three months ended March 31, 2026 and 2025.</w:t>
      </w:r>
    </w:p>
    <w:p>
      <w:pPr>
        <w:spacing w:after="0" w:line="142" w:lineRule="exact"/>
        <w:rPr>
          <w:sz w:val="20"/>
          <w:szCs w:val="20"/>
          <w:color w:val="auto"/>
        </w:rPr>
      </w:pPr>
    </w:p>
    <w:p>
      <w:pPr>
        <w:ind w:right="100" w:firstLine="659"/>
        <w:spacing w:after="0" w:line="298" w:lineRule="auto"/>
        <w:rPr>
          <w:sz w:val="20"/>
          <w:szCs w:val="20"/>
          <w:color w:val="auto"/>
        </w:rPr>
      </w:pPr>
      <w:r>
        <w:rPr>
          <w:rFonts w:ascii="Times New Roman" w:cs="Times New Roman" w:eastAsia="Times New Roman" w:hAnsi="Times New Roman"/>
          <w:sz w:val="18"/>
          <w:szCs w:val="18"/>
          <w:color w:val="auto"/>
        </w:rPr>
        <w:t xml:space="preserve">We recognized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non-cash royalty revenue of approximately $24.6 million and $17.2 million during the three months ended March 31, 2026 and 2025, respectively, and non-cash interest expense of approximately $20.9 million and $17.8 million during the three months ended March 31, 2026 and 2025, respectively. The interest and amortization of issuance costs are reflected as non-cash interest expense for the sale of future royalties in the Consolidated Statements of Operations.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account for the three months ended March 31, 2026: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182"/>
        </w:trPr>
        <w:tc>
          <w:tcPr>
            <w:tcW w:w="92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 xml:space="preserve">Liability related to sale of future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royalties and milestones - balance at 12/31/2025</w:t>
            </w:r>
          </w:p>
        </w:tc>
        <w:tc>
          <w:tcPr>
            <w:tcW w:w="280" w:type="dxa"/>
            <w:vAlign w:val="bottom"/>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252,563</w:t>
            </w:r>
          </w:p>
        </w:tc>
      </w:tr>
      <w:tr>
        <w:trPr>
          <w:trHeight w:val="157"/>
        </w:trPr>
        <w:tc>
          <w:tcPr>
            <w:tcW w:w="9240" w:type="dxa"/>
            <w:vAlign w:val="bottom"/>
          </w:tcPr>
          <w:p>
            <w:pPr>
              <w:ind w:left="180"/>
              <w:spacing w:after="0" w:line="157" w:lineRule="exact"/>
              <w:rPr>
                <w:sz w:val="20"/>
                <w:szCs w:val="20"/>
                <w:color w:val="auto"/>
              </w:rPr>
            </w:pPr>
            <w:r>
              <w:rPr>
                <w:rFonts w:ascii="Times New Roman" w:cs="Times New Roman" w:eastAsia="Times New Roman" w:hAnsi="Times New Roman"/>
                <w:sz w:val="18"/>
                <w:szCs w:val="18"/>
                <w:color w:val="auto"/>
              </w:rPr>
              <w:t>Amortization of issuance costs</w:t>
            </w:r>
          </w:p>
        </w:tc>
        <w:tc>
          <w:tcPr>
            <w:tcW w:w="280" w:type="dxa"/>
            <w:vAlign w:val="bottom"/>
          </w:tcPr>
          <w:p>
            <w:pPr>
              <w:spacing w:after="0"/>
              <w:rPr>
                <w:sz w:val="13"/>
                <w:szCs w:val="13"/>
                <w:color w:val="auto"/>
              </w:rPr>
            </w:pPr>
          </w:p>
        </w:tc>
        <w:tc>
          <w:tcPr>
            <w:tcW w:w="1720" w:type="dxa"/>
            <w:vAlign w:val="bottom"/>
          </w:tcPr>
          <w:p>
            <w:pPr>
              <w:jc w:val="right"/>
              <w:ind w:right="53"/>
              <w:spacing w:after="0" w:line="157" w:lineRule="exact"/>
              <w:rPr>
                <w:sz w:val="20"/>
                <w:szCs w:val="20"/>
                <w:color w:val="auto"/>
              </w:rPr>
            </w:pPr>
            <w:r>
              <w:rPr>
                <w:rFonts w:ascii="Times New Roman" w:cs="Times New Roman" w:eastAsia="Times New Roman" w:hAnsi="Times New Roman"/>
                <w:sz w:val="18"/>
                <w:szCs w:val="18"/>
                <w:color w:val="auto"/>
              </w:rPr>
              <w:t>35</w:t>
            </w:r>
          </w:p>
        </w:tc>
      </w:tr>
      <w:tr>
        <w:trPr>
          <w:trHeight w:val="180"/>
        </w:trPr>
        <w:tc>
          <w:tcPr>
            <w:tcW w:w="924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Royalty and milestone payments to Sagard</w:t>
            </w:r>
          </w:p>
        </w:tc>
        <w:tc>
          <w:tcPr>
            <w:tcW w:w="280" w:type="dxa"/>
            <w:vAlign w:val="bottom"/>
          </w:tcPr>
          <w:p>
            <w:pPr>
              <w:spacing w:after="0"/>
              <w:rPr>
                <w:sz w:val="15"/>
                <w:szCs w:val="15"/>
                <w:color w:val="auto"/>
              </w:rPr>
            </w:pPr>
          </w:p>
        </w:tc>
        <w:tc>
          <w:tcPr>
            <w:tcW w:w="17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(32,628)</w:t>
            </w:r>
          </w:p>
        </w:tc>
      </w:tr>
      <w:tr>
        <w:trPr>
          <w:trHeight w:val="230"/>
        </w:trPr>
        <w:tc>
          <w:tcPr>
            <w:tcW w:w="9240" w:type="dxa"/>
            <w:vAlign w:val="bottom"/>
          </w:tcPr>
          <w:p>
            <w:pPr>
              <w:ind w:left="180"/>
              <w:spacing w:after="0" w:line="229" w:lineRule="exact"/>
              <w:rPr>
                <w:sz w:val="20"/>
                <w:szCs w:val="20"/>
                <w:color w:val="auto"/>
              </w:rPr>
            </w:pPr>
            <w:r>
              <w:rPr>
                <w:rFonts w:ascii="Times New Roman" w:cs="Times New Roman" w:eastAsia="Times New Roman" w:hAnsi="Times New Roman"/>
                <w:sz w:val="18"/>
                <w:szCs w:val="18"/>
                <w:color w:val="auto"/>
              </w:rPr>
              <w:t>Non-cash interest expense recognized</w:t>
            </w:r>
            <w:r>
              <w:rPr>
                <w:rFonts w:ascii="Times New Roman" w:cs="Times New Roman" w:eastAsia="Times New Roman" w:hAnsi="Times New Roman"/>
                <w:sz w:val="24"/>
                <w:szCs w:val="24"/>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20,854</w:t>
            </w:r>
          </w:p>
        </w:tc>
      </w:tr>
      <w:tr>
        <w:trPr>
          <w:trHeight w:val="223"/>
        </w:trPr>
        <w:tc>
          <w:tcPr>
            <w:tcW w:w="92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Liability related to sale of future royalties and milestones - ending balance</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240,824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77"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the non-cash interest expense recognized, none was negative amortization for the three months ended March 31, 2026.</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Zejula Royalty Monetization Agreement</w:t>
      </w:r>
    </w:p>
    <w:p>
      <w:pPr>
        <w:spacing w:after="0" w:line="162" w:lineRule="exact"/>
        <w:rPr>
          <w:sz w:val="20"/>
          <w:szCs w:val="20"/>
          <w:color w:val="auto"/>
        </w:rPr>
      </w:pPr>
    </w:p>
    <w:p>
      <w:pPr>
        <w:ind w:right="480" w:firstLine="659"/>
        <w:spacing w:after="0" w:line="313" w:lineRule="auto"/>
        <w:rPr>
          <w:sz w:val="20"/>
          <w:szCs w:val="20"/>
          <w:color w:val="auto"/>
        </w:rPr>
      </w:pPr>
      <w:r>
        <w:rPr>
          <w:rFonts w:ascii="Times New Roman" w:cs="Times New Roman" w:eastAsia="Times New Roman" w:hAnsi="Times New Roman"/>
          <w:sz w:val="18"/>
          <w:szCs w:val="18"/>
          <w:color w:val="auto"/>
        </w:rPr>
        <w:t>In October 2020, in connection with GSK Amendment No. 3, GSK agreed, under the terms of a settlement agreement (the “GSK Settlement Agreement”), to pay us a royalty of 0.5% on all GSK net sales of Zejula starting January 1, 2021.</w:t>
      </w:r>
    </w:p>
    <w:p>
      <w:pPr>
        <w:spacing w:after="0" w:line="54"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auto"/>
        </w:rPr>
        <w:t>In September 2022, we signed a purchase and sale agreement (the “Zejula Royalty Monetization Agreement”) with a wholly owned subsidiary of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proceeds received from DRI of $35.0 million were recorded as a nonrecourse liability, net of transaction costs of $0.2 million, which will be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amortized over the estimated life of the arrangement using the effective interest rate method. Royalty revenue will be recognized as earned on net sales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Zejula, and these royalty payments to DRI will be recorded as a reduction of the liability when paid. The aggregate future estimated payments, less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$34.8 million, of net proceeds, will be recorded as non-cash interest expense over the life of the agreement. As such payments are made to DRI, the balance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liability will be effectively repaid over the life of the Zejula Royalty Monetization Agreement.</w:t>
      </w:r>
    </w:p>
    <w:p>
      <w:pPr>
        <w:spacing w:after="0" w:line="158" w:lineRule="exact"/>
        <w:rPr>
          <w:sz w:val="20"/>
          <w:szCs w:val="20"/>
          <w:color w:val="auto"/>
        </w:rPr>
      </w:pPr>
    </w:p>
    <w:p>
      <w:pPr>
        <w:jc w:val="both"/>
        <w:ind w:right="180" w:firstLine="659"/>
        <w:spacing w:after="0" w:line="297" w:lineRule="auto"/>
        <w:rPr>
          <w:sz w:val="20"/>
          <w:szCs w:val="20"/>
          <w:color w:val="auto"/>
        </w:rPr>
      </w:pPr>
      <w:r>
        <w:rPr>
          <w:rFonts w:ascii="Times New Roman" w:cs="Times New Roman" w:eastAsia="Times New Roman" w:hAnsi="Times New Roman"/>
          <w:sz w:val="18"/>
          <w:szCs w:val="18"/>
          <w:color w:val="auto"/>
        </w:rPr>
        <w:t>We recognized Zejula non-cash royalty revenue of approximately $0.9 million during each of the three months ended March 31, 2026 and 2025 and recognized negative non-cash interest expense of less than $0.1 million during the three months ended March 31, 2026 and non-cash interest expense of $0.2 million for the three months ended March 31, 2025. The interest and amortization of issuance costs are reflected as non-cash interest expense for the sale of future royalties in the Consolidated Statements of Operations.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account for the three months ended March 31, 2026:</w:t>
      </w:r>
    </w:p>
    <w:p>
      <w:pPr>
        <w:sectPr>
          <w:pgSz w:w="11900" w:h="16838" w:orient="portrait"/>
          <w:cols w:equalWidth="0" w:num="1">
            <w:col w:w="11240"/>
          </w:cols>
          <w:pgMar w:left="320" w:top="891" w:right="339" w:bottom="1440" w:gutter="0" w:footer="0" w:header="0"/>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ind w:left="180" w:right="2160" w:hanging="166"/>
        <w:spacing w:after="0" w:line="219" w:lineRule="auto"/>
        <w:rPr>
          <w:sz w:val="20"/>
          <w:szCs w:val="20"/>
          <w:color w:val="auto"/>
        </w:rPr>
      </w:pPr>
      <w:r>
        <w:rPr>
          <w:rFonts w:ascii="Times New Roman" w:cs="Times New Roman" w:eastAsia="Times New Roman" w:hAnsi="Times New Roman"/>
          <w:sz w:val="18"/>
          <w:szCs w:val="18"/>
          <w:color w:val="auto"/>
        </w:rPr>
        <w:t>Liability related to sale of future Zejula royalties and milestones - balance at 12/31/2025 Amortization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20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80"/>
        <w:spacing w:after="0" w:line="219" w:lineRule="auto"/>
        <w:rPr>
          <w:sz w:val="20"/>
          <w:szCs w:val="20"/>
          <w:color w:val="auto"/>
        </w:rPr>
      </w:pPr>
      <w:r>
        <w:rPr>
          <w:rFonts w:ascii="Times New Roman" w:cs="Times New Roman" w:eastAsia="Times New Roman" w:hAnsi="Times New Roman"/>
          <w:sz w:val="18"/>
          <w:szCs w:val="18"/>
          <w:color w:val="auto"/>
        </w:rPr>
        <w:t>Royalty and milestone payments to DRI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200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80"/>
        <w:spacing w:after="0" w:line="184" w:lineRule="auto"/>
        <w:rPr>
          <w:sz w:val="20"/>
          <w:szCs w:val="20"/>
          <w:color w:val="auto"/>
        </w:rPr>
      </w:pPr>
      <w:r>
        <w:rPr>
          <w:rFonts w:ascii="Times New Roman" w:cs="Times New Roman" w:eastAsia="Times New Roman" w:hAnsi="Times New Roman"/>
          <w:sz w:val="17"/>
          <w:szCs w:val="17"/>
          <w:color w:val="auto"/>
        </w:rPr>
        <w:t>Non-cash interest expense recognized</w:t>
      </w:r>
      <w:r>
        <w:rPr>
          <w:rFonts w:ascii="Times New Roman" w:cs="Times New Roman" w:eastAsia="Times New Roman" w:hAnsi="Times New Roman"/>
          <w:sz w:val="23"/>
          <w:szCs w:val="23"/>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Liability related to sale of future royalties and milestones - 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12687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ind w:left="1380" w:hanging="1378"/>
        <w:spacing w:after="0" w:line="235" w:lineRule="auto"/>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23,965</w:t>
      </w:r>
    </w:p>
    <w:p>
      <w:pPr>
        <w:ind w:left="1780"/>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jc w:val="right"/>
        <w:ind w:right="60"/>
        <w:spacing w:after="0" w:line="219" w:lineRule="auto"/>
        <w:rPr>
          <w:sz w:val="20"/>
          <w:szCs w:val="20"/>
          <w:color w:val="auto"/>
        </w:rPr>
      </w:pPr>
      <w:r>
        <w:rPr>
          <w:rFonts w:ascii="Times New Roman" w:cs="Times New Roman" w:eastAsia="Times New Roman" w:hAnsi="Times New Roman"/>
          <w:sz w:val="18"/>
          <w:szCs w:val="18"/>
          <w:color w:val="auto"/>
        </w:rPr>
        <w:t>(1,017)</w:t>
      </w:r>
    </w:p>
    <w:p>
      <w:pPr>
        <w:jc w:val="right"/>
        <w:ind w:right="60"/>
        <w:spacing w:after="0" w:line="235" w:lineRule="auto"/>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12687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ind w:left="1380" w:hanging="1378"/>
        <w:spacing w:after="0"/>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22,918</w:t>
      </w:r>
    </w:p>
    <w:p>
      <w:pPr>
        <w:spacing w:after="0" w:line="177" w:lineRule="exact"/>
        <w:rPr>
          <w:sz w:val="20"/>
          <w:szCs w:val="20"/>
          <w:color w:val="auto"/>
        </w:rPr>
      </w:pPr>
    </w:p>
    <w:p>
      <w:pPr>
        <w:sectPr>
          <w:pgSz w:w="11900" w:h="16838" w:orient="portrait"/>
          <w:cols w:equalWidth="0" w:num="2">
            <w:col w:w="8520" w:space="720"/>
            <w:col w:w="2000"/>
          </w:cols>
          <w:pgMar w:left="320" w:top="891" w:right="339" w:bottom="1440" w:gutter="0" w:footer="0" w:header="0"/>
          <w:type w:val="continuous"/>
        </w:sectPr>
      </w:pPr>
    </w:p>
    <w:p>
      <w:pPr>
        <w:ind w:left="520" w:hanging="512"/>
        <w:spacing w:after="0"/>
        <w:tabs>
          <w:tab w:leader="none" w:pos="5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the non-cash interest expense recognized, none was negative amortization for the three months ended March 31,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 and Available-for-Sale Investments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48" w:lineRule="exact"/>
        <w:rPr>
          <w:sz w:val="20"/>
          <w:szCs w:val="20"/>
          <w:color w:val="auto"/>
        </w:rPr>
      </w:pPr>
    </w:p>
    <w:p>
      <w:pPr>
        <w:jc w:val="both"/>
        <w:ind w:right="80" w:firstLine="659"/>
        <w:spacing w:after="0" w:line="305" w:lineRule="auto"/>
        <w:rPr>
          <w:sz w:val="20"/>
          <w:szCs w:val="20"/>
          <w:color w:val="auto"/>
        </w:rPr>
      </w:pPr>
      <w:r>
        <w:rPr>
          <w:rFonts w:ascii="Times New Roman" w:cs="Times New Roman" w:eastAsia="Times New Roman" w:hAnsi="Times New Roman"/>
          <w:sz w:val="18"/>
          <w:szCs w:val="18"/>
          <w:color w:val="auto"/>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spacing w:after="0" w:line="61" w:lineRule="exact"/>
        <w:rPr>
          <w:sz w:val="20"/>
          <w:szCs w:val="20"/>
          <w:color w:val="auto"/>
        </w:rPr>
      </w:pPr>
    </w:p>
    <w:p>
      <w:pPr>
        <w:ind w:right="80" w:firstLine="659"/>
        <w:spacing w:after="0" w:line="30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44" w:lineRule="exact"/>
        <w:rPr>
          <w:sz w:val="20"/>
          <w:szCs w:val="20"/>
          <w:color w:val="auto"/>
        </w:rPr>
      </w:pPr>
    </w:p>
    <w:p>
      <w:pPr>
        <w:ind w:right="20" w:firstLine="659"/>
        <w:spacing w:after="0" w:line="305"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activities, therefore requiring an entity to develop its own assumptions.</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48" w:lineRule="exact"/>
        <w:rPr>
          <w:sz w:val="20"/>
          <w:szCs w:val="20"/>
          <w:color w:val="auto"/>
        </w:rPr>
      </w:pPr>
    </w:p>
    <w:p>
      <w:pPr>
        <w:ind w:right="20" w:firstLine="659"/>
        <w:spacing w:after="0" w:line="329" w:lineRule="auto"/>
        <w:rPr>
          <w:sz w:val="20"/>
          <w:szCs w:val="20"/>
          <w:color w:val="auto"/>
        </w:rPr>
      </w:pPr>
      <w:r>
        <w:rPr>
          <w:rFonts w:ascii="Times New Roman" w:cs="Times New Roman" w:eastAsia="Times New Roman" w:hAnsi="Times New Roman"/>
          <w:sz w:val="18"/>
          <w:szCs w:val="18"/>
          <w:color w:val="auto"/>
        </w:rPr>
        <w:t>The following table summarizes our assets and liabilities that require fair value measurements on a recurring basis and their respective input levels based on the fair value hierarchy: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 Measurements at End of Period Using:</w:t>
            </w: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Quoted Market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Prices for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260" w:type="dxa"/>
            <w:vAlign w:val="bottom"/>
            <w:tcBorders>
              <w:bottom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5"/>
                <w:szCs w:val="15"/>
                <w:color w:val="auto"/>
              </w:rPr>
            </w:pPr>
          </w:p>
        </w:tc>
        <w:tc>
          <w:tcPr>
            <w:tcW w:w="1260" w:type="dxa"/>
            <w:vAlign w:val="bottom"/>
            <w:tcBorders>
              <w:bottom w:val="single" w:sz="8" w:color="auto"/>
            </w:tcBorders>
            <w:gridSpan w:val="2"/>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42"/>
        </w:trPr>
        <w:tc>
          <w:tcPr>
            <w:tcW w:w="4360" w:type="dxa"/>
            <w:vAlign w:val="bottom"/>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At March 31, 2026</w:t>
            </w: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Money market funds</w:t>
            </w:r>
            <w:r>
              <w:rPr>
                <w:rFonts w:ascii="Times New Roman" w:cs="Times New Roman" w:eastAsia="Times New Roman" w:hAnsi="Times New Roman"/>
                <w:sz w:val="21"/>
                <w:szCs w:val="21"/>
                <w:color w:val="auto"/>
                <w:vertAlign w:val="superscript"/>
              </w:rPr>
              <w:t>(1)</w:t>
            </w:r>
          </w:p>
        </w:tc>
        <w:tc>
          <w:tcPr>
            <w:tcW w:w="162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177,701</w:t>
            </w:r>
          </w:p>
        </w:tc>
        <w:tc>
          <w:tcPr>
            <w:tcW w:w="320" w:type="dxa"/>
            <w:vAlign w:val="bottom"/>
            <w:gridSpan w:val="2"/>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177,701</w:t>
            </w:r>
          </w:p>
        </w:tc>
        <w:tc>
          <w:tcPr>
            <w:tcW w:w="3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Mutual funds</w:t>
            </w:r>
            <w:r>
              <w:rPr>
                <w:rFonts w:ascii="Times New Roman" w:cs="Times New Roman" w:eastAsia="Times New Roman" w:hAnsi="Times New Roman"/>
                <w:sz w:val="21"/>
                <w:szCs w:val="21"/>
                <w:color w:val="auto"/>
                <w:vertAlign w:val="superscript"/>
              </w:rPr>
              <w:t>(1)</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65,104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65,104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U.S. Treasury securities</w:t>
            </w:r>
            <w:r>
              <w:rPr>
                <w:rFonts w:ascii="Times New Roman" w:cs="Times New Roman" w:eastAsia="Times New Roman" w:hAnsi="Times New Roman"/>
                <w:sz w:val="21"/>
                <w:szCs w:val="21"/>
                <w:color w:val="auto"/>
                <w:vertAlign w:val="superscript"/>
              </w:rPr>
              <w:t>(2)</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32,960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32,960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43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Commercial and corporate obligations</w:t>
            </w:r>
            <w:r>
              <w:rPr>
                <w:rFonts w:ascii="Times New Roman" w:cs="Times New Roman" w:eastAsia="Times New Roman" w:hAnsi="Times New Roman"/>
                <w:sz w:val="22"/>
                <w:szCs w:val="22"/>
                <w:color w:val="auto"/>
                <w:vertAlign w:val="superscript"/>
              </w:rPr>
              <w:t>(2)</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4"/>
              <w:spacing w:after="0" w:line="194" w:lineRule="exact"/>
              <w:rPr>
                <w:sz w:val="20"/>
                <w:szCs w:val="20"/>
                <w:color w:val="auto"/>
              </w:rPr>
            </w:pPr>
            <w:r>
              <w:rPr>
                <w:rFonts w:ascii="Times New Roman" w:cs="Times New Roman" w:eastAsia="Times New Roman" w:hAnsi="Times New Roman"/>
                <w:sz w:val="18"/>
                <w:szCs w:val="18"/>
                <w:color w:val="auto"/>
              </w:rPr>
              <w:t>5,026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4"/>
              <w:spacing w:after="0" w:line="194"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5"/>
              <w:spacing w:after="0" w:line="194" w:lineRule="exact"/>
              <w:rPr>
                <w:sz w:val="20"/>
                <w:szCs w:val="20"/>
                <w:color w:val="auto"/>
              </w:rPr>
            </w:pPr>
            <w:r>
              <w:rPr>
                <w:rFonts w:ascii="Times New Roman" w:cs="Times New Roman" w:eastAsia="Times New Roman" w:hAnsi="Times New Roman"/>
                <w:sz w:val="18"/>
                <w:szCs w:val="18"/>
                <w:color w:val="auto"/>
              </w:rPr>
              <w:t>5,026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8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436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At December 31, 2025</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Money market funds</w:t>
            </w:r>
            <w:r>
              <w:rPr>
                <w:rFonts w:ascii="Times New Roman" w:cs="Times New Roman" w:eastAsia="Times New Roman" w:hAnsi="Times New Roman"/>
                <w:sz w:val="21"/>
                <w:szCs w:val="21"/>
                <w:color w:val="auto"/>
                <w:vertAlign w:val="superscript"/>
              </w:rPr>
              <w:t>(1)</w:t>
            </w:r>
          </w:p>
        </w:tc>
        <w:tc>
          <w:tcPr>
            <w:tcW w:w="162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140,380</w:t>
            </w:r>
          </w:p>
        </w:tc>
        <w:tc>
          <w:tcPr>
            <w:tcW w:w="320" w:type="dxa"/>
            <w:vAlign w:val="bottom"/>
            <w:gridSpan w:val="2"/>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140,380</w:t>
            </w:r>
          </w:p>
        </w:tc>
        <w:tc>
          <w:tcPr>
            <w:tcW w:w="3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Mutual funds</w:t>
            </w:r>
            <w:r>
              <w:rPr>
                <w:rFonts w:ascii="Times New Roman" w:cs="Times New Roman" w:eastAsia="Times New Roman" w:hAnsi="Times New Roman"/>
                <w:sz w:val="21"/>
                <w:szCs w:val="21"/>
                <w:color w:val="auto"/>
                <w:vertAlign w:val="superscript"/>
              </w:rPr>
              <w:t>(1)</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91,359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91,359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U.S. Treasury securities</w:t>
            </w:r>
            <w:r>
              <w:rPr>
                <w:rFonts w:ascii="Times New Roman" w:cs="Times New Roman" w:eastAsia="Times New Roman" w:hAnsi="Times New Roman"/>
                <w:sz w:val="21"/>
                <w:szCs w:val="21"/>
                <w:color w:val="auto"/>
                <w:vertAlign w:val="superscript"/>
              </w:rPr>
              <w:t>(2)</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63,268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63,268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4"/>
                <w:szCs w:val="24"/>
                <w:color w:val="auto"/>
                <w:vertAlign w:val="superscript"/>
              </w:rPr>
              <w:t>(2)</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10,174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10,174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-1254760</wp:posOffset>
            </wp:positionV>
            <wp:extent cx="7132320"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-1014730</wp:posOffset>
            </wp:positionV>
            <wp:extent cx="7132320" cy="1200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-774700</wp:posOffset>
            </wp:positionV>
            <wp:extent cx="7132320"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-534670</wp:posOffset>
            </wp:positionV>
            <wp:extent cx="7132320"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43"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Included in cash and cash equivalents in the accompanying consolidated balance sheets.</w:t>
      </w:r>
    </w:p>
    <w:p>
      <w:pPr>
        <w:spacing w:after="0" w:line="88" w:lineRule="exact"/>
        <w:rPr>
          <w:rFonts w:ascii="Times New Roman" w:cs="Times New Roman" w:eastAsia="Times New Roman" w:hAnsi="Times New Roman"/>
          <w:sz w:val="24"/>
          <w:szCs w:val="24"/>
          <w:color w:val="auto"/>
          <w:vertAlign w:val="superscript"/>
        </w:rPr>
      </w:pPr>
    </w:p>
    <w:p>
      <w:pPr>
        <w:ind w:left="520" w:hanging="512"/>
        <w:spacing w:after="0"/>
        <w:tabs>
          <w:tab w:leader="none" w:pos="52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Included in short-term in the accompanying consolidated balance sheets.</w:t>
      </w:r>
    </w:p>
    <w:p>
      <w:pPr>
        <w:spacing w:after="0" w:line="117" w:lineRule="exact"/>
        <w:rPr>
          <w:sz w:val="20"/>
          <w:szCs w:val="20"/>
          <w:color w:val="auto"/>
        </w:rPr>
      </w:pPr>
    </w:p>
    <w:p>
      <w:pPr>
        <w:ind w:right="300" w:firstLine="659"/>
        <w:spacing w:after="0" w:line="313"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our financial instruments for which it is practicable to estimate that value: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5" w:name="page16"/>
    <w:bookmarkEnd w:id="15"/>
    <w:p>
      <w:pPr>
        <w:ind w:right="100" w:firstLine="659"/>
        <w:spacing w:after="0" w:line="306" w:lineRule="auto"/>
        <w:rPr>
          <w:sz w:val="20"/>
          <w:szCs w:val="20"/>
          <w:color w:val="auto"/>
        </w:rPr>
      </w:pPr>
      <w:r>
        <w:rPr>
          <w:rFonts w:ascii="Times New Roman" w:cs="Times New Roman" w:eastAsia="Times New Roman" w:hAnsi="Times New Roman"/>
          <w:sz w:val="18"/>
          <w:szCs w:val="18"/>
          <w:i w:val="1"/>
          <w:iCs w:val="1"/>
          <w:color w:val="auto"/>
        </w:rPr>
        <w:t xml:space="preserve">Marketable Securities. </w:t>
      </w:r>
      <w:r>
        <w:rPr>
          <w:rFonts w:ascii="Times New Roman" w:cs="Times New Roman" w:eastAsia="Times New Roman" w:hAnsi="Times New Roman"/>
          <w:sz w:val="18"/>
          <w:szCs w:val="18"/>
          <w:color w:val="auto"/>
        </w:rPr>
        <w:t>For fair values determined by Level 1 inputs, which utilize quoted prices in active markets for identical assets, the level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Other Financial Instruments</w:t>
      </w:r>
    </w:p>
    <w:p>
      <w:pPr>
        <w:spacing w:after="0" w:line="162" w:lineRule="exact"/>
        <w:rPr>
          <w:sz w:val="20"/>
          <w:szCs w:val="20"/>
          <w:color w:val="auto"/>
        </w:rPr>
      </w:pPr>
    </w:p>
    <w:p>
      <w:pPr>
        <w:ind w:right="380" w:firstLine="659"/>
        <w:spacing w:after="0" w:line="313" w:lineRule="auto"/>
        <w:rPr>
          <w:sz w:val="20"/>
          <w:szCs w:val="20"/>
          <w:color w:val="auto"/>
        </w:rPr>
      </w:pPr>
      <w:r>
        <w:rPr>
          <w:rFonts w:ascii="Times New Roman" w:cs="Times New Roman" w:eastAsia="Times New Roman" w:hAnsi="Times New Roman"/>
          <w:sz w:val="18"/>
          <w:szCs w:val="18"/>
          <w:color w:val="auto"/>
        </w:rPr>
        <w:t>The carrying amounts of certain of our financial instruments, including cash and cash equivalents, receivables, accounts payable, and accrued expenses approximate fair value due to their short-term nature.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Investments</w:t>
      </w:r>
    </w:p>
    <w:p>
      <w:pPr>
        <w:spacing w:after="0" w:line="162"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short-term and long-term investments as of March 31, 2026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0"/>
        </w:trPr>
        <w:tc>
          <w:tcPr>
            <w:tcW w:w="47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398"/>
              <w:spacing w:after="0" w:line="16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518"/>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69"/>
        </w:trPr>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8"/>
        </w:trPr>
        <w:tc>
          <w:tcPr>
            <w:tcW w:w="47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Commercial and corporate obligations</w:t>
            </w:r>
            <w:r>
              <w:rPr>
                <w:rFonts w:ascii="Times New Roman" w:cs="Times New Roman" w:eastAsia="Times New Roman" w:hAnsi="Times New Roman"/>
                <w:sz w:val="17"/>
                <w:szCs w:val="17"/>
                <w:color w:val="auto"/>
                <w:vertAlign w:val="superscript"/>
              </w:rPr>
              <w:t>(1)</w:t>
            </w:r>
          </w:p>
        </w:tc>
        <w:tc>
          <w:tcPr>
            <w:tcW w:w="1860" w:type="dxa"/>
            <w:vAlign w:val="bottom"/>
          </w:tcPr>
          <w:p>
            <w:pPr>
              <w:spacing w:after="0"/>
              <w:rPr>
                <w:sz w:val="12"/>
                <w:szCs w:val="12"/>
                <w:color w:val="auto"/>
              </w:rPr>
            </w:pPr>
          </w:p>
        </w:tc>
        <w:tc>
          <w:tcPr>
            <w:tcW w:w="200" w:type="dxa"/>
            <w:vAlign w:val="bottom"/>
          </w:tcPr>
          <w:p>
            <w:pPr>
              <w:jc w:val="right"/>
              <w:ind w:right="36"/>
              <w:spacing w:after="0" w:line="149"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58"/>
              <w:spacing w:after="0" w:line="149" w:lineRule="exact"/>
              <w:rPr>
                <w:sz w:val="20"/>
                <w:szCs w:val="20"/>
                <w:color w:val="auto"/>
              </w:rPr>
            </w:pPr>
            <w:r>
              <w:rPr>
                <w:rFonts w:ascii="Times New Roman" w:cs="Times New Roman" w:eastAsia="Times New Roman" w:hAnsi="Times New Roman"/>
                <w:sz w:val="17"/>
                <w:szCs w:val="17"/>
                <w:color w:val="auto"/>
              </w:rPr>
              <w:t>5,018</w:t>
            </w:r>
          </w:p>
        </w:tc>
        <w:tc>
          <w:tcPr>
            <w:tcW w:w="160" w:type="dxa"/>
            <w:vAlign w:val="bottom"/>
          </w:tcPr>
          <w:p>
            <w:pPr>
              <w:spacing w:after="0"/>
              <w:rPr>
                <w:sz w:val="12"/>
                <w:szCs w:val="12"/>
                <w:color w:val="auto"/>
              </w:rPr>
            </w:pPr>
          </w:p>
        </w:tc>
        <w:tc>
          <w:tcPr>
            <w:tcW w:w="200" w:type="dxa"/>
            <w:vAlign w:val="bottom"/>
          </w:tcPr>
          <w:p>
            <w:pPr>
              <w:jc w:val="right"/>
              <w:ind w:right="36"/>
              <w:spacing w:after="0" w:line="149"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40"/>
              <w:spacing w:after="0" w:line="149" w:lineRule="exact"/>
              <w:rPr>
                <w:sz w:val="20"/>
                <w:szCs w:val="20"/>
                <w:color w:val="auto"/>
              </w:rPr>
            </w:pPr>
            <w:r>
              <w:rPr>
                <w:rFonts w:ascii="Times New Roman" w:cs="Times New Roman" w:eastAsia="Times New Roman" w:hAnsi="Times New Roman"/>
                <w:sz w:val="17"/>
                <w:szCs w:val="17"/>
                <w:color w:val="auto"/>
              </w:rPr>
              <w:t>8</w:t>
            </w:r>
          </w:p>
        </w:tc>
        <w:tc>
          <w:tcPr>
            <w:tcW w:w="140" w:type="dxa"/>
            <w:vAlign w:val="bottom"/>
          </w:tcPr>
          <w:p>
            <w:pPr>
              <w:spacing w:after="0"/>
              <w:rPr>
                <w:sz w:val="12"/>
                <w:szCs w:val="12"/>
                <w:color w:val="auto"/>
              </w:rPr>
            </w:pPr>
          </w:p>
        </w:tc>
        <w:tc>
          <w:tcPr>
            <w:tcW w:w="200" w:type="dxa"/>
            <w:vAlign w:val="bottom"/>
          </w:tcPr>
          <w:p>
            <w:pPr>
              <w:jc w:val="right"/>
              <w:ind w:right="16"/>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ind w:right="38"/>
              <w:spacing w:after="0" w:line="149" w:lineRule="exact"/>
              <w:rPr>
                <w:sz w:val="20"/>
                <w:szCs w:val="20"/>
                <w:color w:val="auto"/>
              </w:rPr>
            </w:pPr>
            <w:r>
              <w:rPr>
                <w:rFonts w:ascii="Times New Roman" w:cs="Times New Roman" w:eastAsia="Times New Roman" w:hAnsi="Times New Roman"/>
                <w:sz w:val="17"/>
                <w:szCs w:val="17"/>
                <w:color w:val="auto"/>
              </w:rPr>
              <w:t>5,026</w:t>
            </w:r>
          </w:p>
        </w:tc>
      </w:tr>
      <w:tr>
        <w:trPr>
          <w:trHeight w:val="230"/>
        </w:trPr>
        <w:tc>
          <w:tcPr>
            <w:tcW w:w="478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4"/>
                <w:szCs w:val="24"/>
                <w:color w:val="auto"/>
                <w:vertAlign w:val="superscript"/>
              </w:rPr>
              <w:t>(2)</w:t>
            </w:r>
          </w:p>
        </w:tc>
        <w:tc>
          <w:tcPr>
            <w:tcW w:w="1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32,907</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32,960</w:t>
            </w:r>
          </w:p>
        </w:tc>
      </w:tr>
      <w:tr>
        <w:trPr>
          <w:trHeight w:val="203"/>
        </w:trPr>
        <w:tc>
          <w:tcPr>
            <w:tcW w:w="4780" w:type="dxa"/>
            <w:vAlign w:val="bottom"/>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2060" w:type="dxa"/>
            <w:vAlign w:val="bottom"/>
            <w:gridSpan w:val="2"/>
            <w:shd w:val="clear" w:color="auto" w:fill="CFF0FC"/>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8"/>
              <w:spacing w:after="0" w:line="182" w:lineRule="exact"/>
              <w:rPr>
                <w:sz w:val="20"/>
                <w:szCs w:val="20"/>
                <w:color w:val="auto"/>
              </w:rPr>
            </w:pPr>
            <w:r>
              <w:rPr>
                <w:rFonts w:ascii="Times New Roman" w:cs="Times New Roman" w:eastAsia="Times New Roman" w:hAnsi="Times New Roman"/>
                <w:sz w:val="18"/>
                <w:szCs w:val="18"/>
                <w:color w:val="auto"/>
              </w:rPr>
              <w:t>37,925</w:t>
            </w:r>
          </w:p>
        </w:tc>
        <w:tc>
          <w:tcPr>
            <w:tcW w:w="360" w:type="dxa"/>
            <w:vAlign w:val="bottom"/>
            <w:gridSpan w:val="2"/>
            <w:shd w:val="clear" w:color="auto" w:fill="CFF0FC"/>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61</w:t>
            </w:r>
          </w:p>
        </w:tc>
        <w:tc>
          <w:tcPr>
            <w:tcW w:w="340" w:type="dxa"/>
            <w:vAlign w:val="bottom"/>
            <w:gridSpan w:val="2"/>
            <w:shd w:val="clear" w:color="auto" w:fill="CFF0FC"/>
          </w:tcPr>
          <w:p>
            <w:pPr>
              <w:jc w:val="right"/>
              <w:ind w:right="16"/>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8"/>
              <w:spacing w:after="0" w:line="182" w:lineRule="exact"/>
              <w:rPr>
                <w:sz w:val="20"/>
                <w:szCs w:val="20"/>
                <w:color w:val="auto"/>
              </w:rPr>
            </w:pPr>
            <w:r>
              <w:rPr>
                <w:rFonts w:ascii="Times New Roman" w:cs="Times New Roman" w:eastAsia="Times New Roman" w:hAnsi="Times New Roman"/>
                <w:sz w:val="18"/>
                <w:szCs w:val="18"/>
                <w:color w:val="auto"/>
              </w:rPr>
              <w:t>37,986</w:t>
            </w: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18" w:lineRule="exact"/>
        <w:rPr>
          <w:sz w:val="20"/>
          <w:szCs w:val="20"/>
          <w:color w:val="auto"/>
        </w:rPr>
      </w:pPr>
    </w:p>
    <w:p>
      <w:pPr>
        <w:ind w:left="520" w:right="260" w:hanging="512"/>
        <w:spacing w:after="0" w:line="237" w:lineRule="auto"/>
        <w:tabs>
          <w:tab w:leader="none" w:pos="52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our outstanding commercial and corporate obligations, $5.0 million have maturity dates of less than one year and $0.0 million have a maturity date of between one to two years as of March 31, 2026.</w:t>
      </w:r>
    </w:p>
    <w:p>
      <w:pPr>
        <w:spacing w:after="0" w:line="130" w:lineRule="exact"/>
        <w:rPr>
          <w:rFonts w:ascii="Times New Roman" w:cs="Times New Roman" w:eastAsia="Times New Roman" w:hAnsi="Times New Roman"/>
          <w:sz w:val="24"/>
          <w:szCs w:val="24"/>
          <w:color w:val="auto"/>
          <w:vertAlign w:val="superscript"/>
        </w:rPr>
      </w:pPr>
    </w:p>
    <w:p>
      <w:pPr>
        <w:ind w:left="520" w:right="620" w:hanging="512"/>
        <w:spacing w:after="0" w:line="237" w:lineRule="auto"/>
        <w:tabs>
          <w:tab w:leader="none" w:pos="52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our outstanding U.S. Treasury securities, $33.0 million have maturity dates of less than one year and $0.0 million have a maturity date of between one to two years as of March 31, 2026.</w:t>
      </w:r>
    </w:p>
    <w:p>
      <w:pPr>
        <w:spacing w:after="0" w:line="131" w:lineRule="exact"/>
        <w:rPr>
          <w:sz w:val="20"/>
          <w:szCs w:val="20"/>
          <w:color w:val="auto"/>
        </w:rPr>
      </w:pPr>
    </w:p>
    <w:p>
      <w:pPr>
        <w:ind w:right="100" w:firstLine="656"/>
        <w:spacing w:after="0" w:line="313" w:lineRule="auto"/>
        <w:rPr>
          <w:sz w:val="20"/>
          <w:szCs w:val="20"/>
          <w:color w:val="auto"/>
        </w:rPr>
      </w:pPr>
      <w:r>
        <w:rPr>
          <w:rFonts w:ascii="Times New Roman" w:cs="Times New Roman" w:eastAsia="Times New Roman" w:hAnsi="Times New Roman"/>
          <w:sz w:val="18"/>
          <w:szCs w:val="18"/>
          <w:color w:val="auto"/>
        </w:rPr>
        <w:t>The aggregate market value, cost basis, and gross unrealized gains and losses of available-for-sale investments by security type, classified in cash equivalents, short-term, and long-term investments as of December 31, 2025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0"/>
        </w:trPr>
        <w:tc>
          <w:tcPr>
            <w:tcW w:w="47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398"/>
              <w:spacing w:after="0" w:line="16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518"/>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69"/>
        </w:trPr>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9"/>
        </w:trPr>
        <w:tc>
          <w:tcPr>
            <w:tcW w:w="478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Commercial and corporate obligations</w:t>
            </w:r>
            <w:r>
              <w:rPr>
                <w:rFonts w:ascii="Times New Roman" w:cs="Times New Roman" w:eastAsia="Times New Roman" w:hAnsi="Times New Roman"/>
                <w:sz w:val="17"/>
                <w:szCs w:val="17"/>
                <w:color w:val="auto"/>
                <w:vertAlign w:val="superscript"/>
              </w:rPr>
              <w:t>(1)</w:t>
            </w: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ind w:right="58"/>
              <w:spacing w:after="0" w:line="149" w:lineRule="exact"/>
              <w:rPr>
                <w:sz w:val="20"/>
                <w:szCs w:val="20"/>
                <w:color w:val="auto"/>
              </w:rPr>
            </w:pPr>
            <w:r>
              <w:rPr>
                <w:rFonts w:ascii="Times New Roman" w:cs="Times New Roman" w:eastAsia="Times New Roman" w:hAnsi="Times New Roman"/>
                <w:sz w:val="17"/>
                <w:szCs w:val="17"/>
                <w:color w:val="auto"/>
              </w:rPr>
              <w:t>10,152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40"/>
              <w:spacing w:after="0" w:line="149" w:lineRule="exact"/>
              <w:rPr>
                <w:sz w:val="20"/>
                <w:szCs w:val="20"/>
                <w:color w:val="auto"/>
              </w:rPr>
            </w:pPr>
            <w:r>
              <w:rPr>
                <w:rFonts w:ascii="Times New Roman" w:cs="Times New Roman" w:eastAsia="Times New Roman" w:hAnsi="Times New Roman"/>
                <w:sz w:val="17"/>
                <w:szCs w:val="17"/>
                <w:color w:val="auto"/>
              </w:rPr>
              <w:t>22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38"/>
              <w:spacing w:after="0" w:line="149" w:lineRule="exact"/>
              <w:rPr>
                <w:sz w:val="20"/>
                <w:szCs w:val="20"/>
                <w:color w:val="auto"/>
              </w:rPr>
            </w:pPr>
            <w:r>
              <w:rPr>
                <w:rFonts w:ascii="Times New Roman" w:cs="Times New Roman" w:eastAsia="Times New Roman" w:hAnsi="Times New Roman"/>
                <w:sz w:val="17"/>
                <w:szCs w:val="17"/>
                <w:color w:val="auto"/>
              </w:rPr>
              <w:t>10,174</w:t>
            </w:r>
          </w:p>
        </w:tc>
      </w:tr>
      <w:tr>
        <w:trPr>
          <w:trHeight w:val="229"/>
        </w:trPr>
        <w:tc>
          <w:tcPr>
            <w:tcW w:w="478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4"/>
                <w:szCs w:val="24"/>
                <w:color w:val="auto"/>
                <w:vertAlign w:val="superscript"/>
              </w:rPr>
              <w:t>(2)</w:t>
            </w:r>
          </w:p>
        </w:tc>
        <w:tc>
          <w:tcPr>
            <w:tcW w:w="1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63,107</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63,268</w:t>
            </w:r>
          </w:p>
        </w:tc>
      </w:tr>
      <w:tr>
        <w:trPr>
          <w:trHeight w:val="203"/>
        </w:trPr>
        <w:tc>
          <w:tcPr>
            <w:tcW w:w="4780" w:type="dxa"/>
            <w:vAlign w:val="bottom"/>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206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8"/>
              <w:spacing w:after="0" w:line="182" w:lineRule="exact"/>
              <w:rPr>
                <w:sz w:val="20"/>
                <w:szCs w:val="20"/>
                <w:color w:val="auto"/>
              </w:rPr>
            </w:pPr>
            <w:r>
              <w:rPr>
                <w:rFonts w:ascii="Times New Roman" w:cs="Times New Roman" w:eastAsia="Times New Roman" w:hAnsi="Times New Roman"/>
                <w:sz w:val="18"/>
                <w:szCs w:val="18"/>
                <w:color w:val="auto"/>
              </w:rPr>
              <w:t>73,259</w:t>
            </w:r>
          </w:p>
        </w:tc>
        <w:tc>
          <w:tcPr>
            <w:tcW w:w="36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183</w:t>
            </w:r>
          </w:p>
        </w:tc>
        <w:tc>
          <w:tcPr>
            <w:tcW w:w="340" w:type="dxa"/>
            <w:vAlign w:val="bottom"/>
            <w:gridSpan w:val="2"/>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8"/>
              <w:spacing w:after="0" w:line="182" w:lineRule="exact"/>
              <w:rPr>
                <w:sz w:val="20"/>
                <w:szCs w:val="20"/>
                <w:color w:val="auto"/>
              </w:rPr>
            </w:pPr>
            <w:r>
              <w:rPr>
                <w:rFonts w:ascii="Times New Roman" w:cs="Times New Roman" w:eastAsia="Times New Roman" w:hAnsi="Times New Roman"/>
                <w:sz w:val="18"/>
                <w:szCs w:val="18"/>
                <w:color w:val="auto"/>
              </w:rPr>
              <w:t>73,442</w:t>
            </w: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26" w:lineRule="exact"/>
        <w:rPr>
          <w:sz w:val="20"/>
          <w:szCs w:val="20"/>
          <w:color w:val="auto"/>
        </w:rPr>
      </w:pPr>
    </w:p>
    <w:p>
      <w:pPr>
        <w:ind w:left="520" w:right="160" w:hanging="512"/>
        <w:spacing w:after="0" w:line="249" w:lineRule="auto"/>
        <w:tabs>
          <w:tab w:leader="none" w:pos="52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our outstanding commercial and corporate obligations, $10.2 million have maturity dates of less than one year and $0.0 million have a maturity date of between one to two years as of December 31, 2025.</w:t>
      </w:r>
    </w:p>
    <w:p>
      <w:pPr>
        <w:spacing w:after="0" w:line="106" w:lineRule="exact"/>
        <w:rPr>
          <w:rFonts w:ascii="Times New Roman" w:cs="Times New Roman" w:eastAsia="Times New Roman" w:hAnsi="Times New Roman"/>
          <w:sz w:val="24"/>
          <w:szCs w:val="24"/>
          <w:color w:val="auto"/>
          <w:vertAlign w:val="superscript"/>
        </w:rPr>
      </w:pPr>
    </w:p>
    <w:p>
      <w:pPr>
        <w:ind w:left="520" w:right="620" w:hanging="512"/>
        <w:spacing w:after="0" w:line="237" w:lineRule="auto"/>
        <w:tabs>
          <w:tab w:leader="none" w:pos="52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our outstanding U.S. Treasury securities, $63.3 million have maturity dates of less than one year and $0.0 million have a maturity date of between one to two years as of December 31, 2025.</w:t>
      </w:r>
    </w:p>
    <w:p>
      <w:pPr>
        <w:spacing w:after="0" w:line="131" w:lineRule="exact"/>
        <w:rPr>
          <w:sz w:val="20"/>
          <w:szCs w:val="20"/>
          <w:color w:val="auto"/>
        </w:rPr>
      </w:pPr>
    </w:p>
    <w:p>
      <w:pPr>
        <w:ind w:right="700" w:firstLine="659"/>
        <w:spacing w:after="0" w:line="313" w:lineRule="auto"/>
        <w:rPr>
          <w:sz w:val="20"/>
          <w:szCs w:val="20"/>
          <w:color w:val="auto"/>
        </w:rPr>
      </w:pPr>
      <w:r>
        <w:rPr>
          <w:rFonts w:ascii="Times New Roman" w:cs="Times New Roman" w:eastAsia="Times New Roman" w:hAnsi="Times New Roman"/>
          <w:sz w:val="18"/>
          <w:szCs w:val="18"/>
          <w:color w:val="auto"/>
        </w:rPr>
        <w:t>There were no available-for-sale investments in an unrealized loss position as of March 31, 2026 or December 31, 2025. Accordingly, no allowance for credit losses was recorded.</w:t>
      </w:r>
    </w:p>
    <w:p>
      <w:pPr>
        <w:spacing w:after="0" w:line="172" w:lineRule="exact"/>
        <w:rPr>
          <w:sz w:val="20"/>
          <w:szCs w:val="20"/>
          <w:color w:val="auto"/>
        </w:rPr>
      </w:pPr>
    </w:p>
    <w:p>
      <w:pPr>
        <w:ind w:left="300" w:right="9420" w:hanging="292"/>
        <w:spacing w:after="0" w:line="433" w:lineRule="auto"/>
        <w:tabs>
          <w:tab w:leader="none" w:pos="196"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Common Stock</w:t>
      </w: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Of the 500,000,000 shares of common stock authorized, 29,030,784 shares were issued and outstanding as of March 31, 2026.</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48" w:lineRule="exact"/>
        <w:rPr>
          <w:sz w:val="20"/>
          <w:szCs w:val="20"/>
          <w:color w:val="auto"/>
        </w:rPr>
      </w:pPr>
    </w:p>
    <w:p>
      <w:pPr>
        <w:ind w:right="20" w:firstLine="659"/>
        <w:spacing w:after="0" w:line="302" w:lineRule="auto"/>
        <w:rPr>
          <w:sz w:val="20"/>
          <w:szCs w:val="20"/>
          <w:color w:val="auto"/>
        </w:rPr>
      </w:pPr>
      <w:r>
        <w:rPr>
          <w:rFonts w:ascii="Times New Roman" w:cs="Times New Roman" w:eastAsia="Times New Roman" w:hAnsi="Times New Roman"/>
          <w:sz w:val="18"/>
          <w:szCs w:val="18"/>
          <w:color w:val="auto"/>
        </w:rPr>
        <w:t>In March 2025, our Board of Directors authorized a stock repurchase program (the “2025 Repurchase Program”) to repurchase up to $75.0 million of our outstanding common stock. In November 2025, our Board of Directors authorized an amendment to the 2025 Repurchase Program, under which an additional $100.0 million of our outstanding common stock may be repurchased. During the three months ended March 31, 2026, there were no repurchases made and the 2025 Repurchase Program expired on March 31, 2026.</w:t>
      </w:r>
    </w:p>
    <w:p>
      <w:pPr>
        <w:spacing w:after="0" w:line="65" w:lineRule="exact"/>
        <w:rPr>
          <w:sz w:val="20"/>
          <w:szCs w:val="20"/>
          <w:color w:val="auto"/>
        </w:rPr>
      </w:pPr>
    </w:p>
    <w:p>
      <w:pPr>
        <w:ind w:right="180" w:firstLine="659"/>
        <w:spacing w:after="0" w:line="305" w:lineRule="auto"/>
        <w:rPr>
          <w:sz w:val="20"/>
          <w:szCs w:val="20"/>
          <w:color w:val="auto"/>
        </w:rPr>
      </w:pPr>
      <w:r>
        <w:rPr>
          <w:rFonts w:ascii="Times New Roman" w:cs="Times New Roman" w:eastAsia="Times New Roman" w:hAnsi="Times New Roman"/>
          <w:sz w:val="18"/>
          <w:szCs w:val="18"/>
          <w:color w:val="auto"/>
        </w:rPr>
        <w:t>In March 2026, our Board of Directors authorized a stock repurchase program (the “2026 Repurchase Program”) to repurchase up to $100.0 million of our outstanding common stock. As of March 31, 2026, $100.0 million remained available for future shares of common stock to be repurchased under the 2026 Repurchase Program.</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Sales Agreement</w:t>
      </w:r>
    </w:p>
    <w:p>
      <w:pPr>
        <w:spacing w:after="0" w:line="162" w:lineRule="exact"/>
        <w:rPr>
          <w:sz w:val="20"/>
          <w:szCs w:val="20"/>
          <w:color w:val="auto"/>
        </w:rPr>
      </w:pPr>
    </w:p>
    <w:p>
      <w:pPr>
        <w:ind w:right="120" w:firstLine="656"/>
        <w:spacing w:after="0" w:line="297" w:lineRule="auto"/>
        <w:rPr>
          <w:sz w:val="20"/>
          <w:szCs w:val="20"/>
          <w:color w:val="auto"/>
        </w:rPr>
      </w:pPr>
      <w:r>
        <w:rPr>
          <w:rFonts w:ascii="Times New Roman" w:cs="Times New Roman" w:eastAsia="Times New Roman" w:hAnsi="Times New Roman"/>
          <w:sz w:val="18"/>
          <w:szCs w:val="18"/>
          <w:color w:val="auto"/>
        </w:rPr>
        <w:t>In November 2024, we entered into an open market sales agreement (the “Open Market Sales Agreement”) with TD Securities (USA) LLC (“TD Cowen”), under which we may offer and sell shares of our common stock up to an aggregate offering of $100.0 million through TD Cowen as our sales agent. Our prior sales agreement with TD Cowen terminated upon effectiveness of the registration statement on the Form S-3 we filed in connection with the Open Market Sales Agreement. The Open Market Sales Agreement was terminated in March 2026 with no shares sold.</w:t>
      </w:r>
    </w:p>
    <w:p>
      <w:pPr>
        <w:spacing w:after="0" w:line="173" w:lineRule="exact"/>
        <w:rPr>
          <w:sz w:val="20"/>
          <w:szCs w:val="20"/>
          <w:color w:val="auto"/>
        </w:rPr>
      </w:pPr>
    </w:p>
    <w:p>
      <w:pPr>
        <w:ind w:left="300" w:right="8920" w:hanging="292"/>
        <w:spacing w:after="0" w:line="441" w:lineRule="auto"/>
        <w:tabs>
          <w:tab w:leader="none" w:pos="196"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 Incentive Plans </w:t>
      </w:r>
      <w:r>
        <w:rPr>
          <w:rFonts w:ascii="Times New Roman" w:cs="Times New Roman" w:eastAsia="Times New Roman" w:hAnsi="Times New Roman"/>
          <w:sz w:val="17"/>
          <w:szCs w:val="17"/>
          <w:b w:val="1"/>
          <w:bCs w:val="1"/>
          <w:i w:val="1"/>
          <w:iCs w:val="1"/>
          <w:color w:val="auto"/>
        </w:rPr>
        <w:t>2017 Equity Incentive Plan</w:t>
      </w:r>
    </w:p>
    <w:p>
      <w:pPr>
        <w:spacing w:after="0" w:line="1" w:lineRule="exact"/>
        <w:rPr>
          <w:sz w:val="20"/>
          <w:szCs w:val="20"/>
          <w:color w:val="auto"/>
        </w:rPr>
      </w:pPr>
    </w:p>
    <w:p>
      <w:pPr>
        <w:ind w:firstLine="659"/>
        <w:spacing w:after="0" w:line="292" w:lineRule="auto"/>
        <w:rPr>
          <w:sz w:val="20"/>
          <w:szCs w:val="20"/>
          <w:color w:val="auto"/>
        </w:rPr>
      </w:pPr>
      <w:r>
        <w:rPr>
          <w:rFonts w:ascii="Times New Roman" w:cs="Times New Roman" w:eastAsia="Times New Roman" w:hAnsi="Times New Roman"/>
          <w:sz w:val="18"/>
          <w:szCs w:val="18"/>
          <w:color w:val="auto"/>
        </w:rPr>
        <w:t>In January 2017, our Board of Directors and stockholders approved and adopted the 2017 Equity Incentive Plan (the “2017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were to be automatically increased each January 1, beginning on January 1, 2018, by 4% of the aggregate number of outstanding shares of our common stock as of the immediately preceding December 31 or such lesser number as determined by our Board of Directors. At our annual stockholder meeting on June 12, 2024, the 2017 Plan was amended, eliminating the automatic annual share increase and the number of shares available for issuance was increased by 2,700,000 shares. At our annual stockholder meeting on June 17, 2025, the 2017 Plan was amended and restated to further increase the number of shares available for issuance by 1,650,000 shares. All future share increases will require stockholder approval. As of March 31, 2026, 1,813,795 shares were available for future issuance.</w:t>
      </w:r>
    </w:p>
    <w:p>
      <w:pPr>
        <w:spacing w:after="0" w:line="200" w:lineRule="exact"/>
        <w:rPr>
          <w:sz w:val="20"/>
          <w:szCs w:val="20"/>
          <w:color w:val="auto"/>
        </w:rPr>
      </w:pP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62" w:lineRule="exact"/>
        <w:rPr>
          <w:sz w:val="20"/>
          <w:szCs w:val="20"/>
          <w:color w:val="auto"/>
        </w:rPr>
      </w:pPr>
    </w:p>
    <w:p>
      <w:pPr>
        <w:ind w:right="60" w:firstLine="659"/>
        <w:spacing w:after="0" w:line="292" w:lineRule="auto"/>
        <w:rPr>
          <w:sz w:val="20"/>
          <w:szCs w:val="20"/>
          <w:color w:val="auto"/>
        </w:rPr>
      </w:pPr>
      <w:r>
        <w:rPr>
          <w:rFonts w:ascii="Times New Roman" w:cs="Times New Roman" w:eastAsia="Times New Roman" w:hAnsi="Times New Roman"/>
          <w:sz w:val="18"/>
          <w:szCs w:val="18"/>
          <w:color w:val="auto"/>
        </w:rPr>
        <w:t>In January 2017, our Board of Directors and stockholders approved and adopted the 2017 Employee Stock Purchase Plan (“ESPP”). In addition, the number of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Board of Directors determined that due to sufficient shares being available in the ESPP, the number of shares available as of January 1, 2025 and January 1, 2026 would not increase. As of March 31, 2026, 294,081 shares have been issued under the ESPP and 1,804,726 shares were available for future issuance under the ESPP. Total cash received from the ESPP was approximately $0.8 million during the three months ended March 31, 2026.</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48" w:lineRule="exact"/>
        <w:rPr>
          <w:sz w:val="20"/>
          <w:szCs w:val="20"/>
          <w:color w:val="auto"/>
        </w:rPr>
      </w:pPr>
    </w:p>
    <w:p>
      <w:pPr>
        <w:ind w:right="40" w:firstLine="659"/>
        <w:spacing w:after="0" w:line="305" w:lineRule="auto"/>
        <w:rPr>
          <w:sz w:val="20"/>
          <w:szCs w:val="20"/>
          <w:color w:val="auto"/>
        </w:rPr>
      </w:pPr>
      <w:r>
        <w:rPr>
          <w:rFonts w:ascii="Times New Roman" w:cs="Times New Roman" w:eastAsia="Times New Roman" w:hAnsi="Times New Roman"/>
          <w:sz w:val="18"/>
          <w:szCs w:val="18"/>
          <w:color w:val="auto"/>
        </w:rPr>
        <w:t>Stock options granted to employees and non-employees generally vest over a four-year period while stock options granted to directors generally vest over a one-year period. Each stock option award has a maximum term of 10 years from the date of grant, subject to earlier cancellation prior to vesting upon cessation of service to us. A summary of the activity related to stock option awards during the three months ended March 31, 2026 is as follows: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3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44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3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0"/>
        </w:trPr>
        <w:tc>
          <w:tcPr>
            <w:tcW w:w="5340" w:type="dxa"/>
            <w:vAlign w:val="bottom"/>
          </w:tcPr>
          <w:p>
            <w:pPr>
              <w:spacing w:after="0"/>
              <w:rPr>
                <w:sz w:val="13"/>
                <w:szCs w:val="13"/>
                <w:color w:val="auto"/>
              </w:rPr>
            </w:pPr>
          </w:p>
        </w:tc>
        <w:tc>
          <w:tcPr>
            <w:tcW w:w="1440" w:type="dxa"/>
            <w:vAlign w:val="bottom"/>
          </w:tcPr>
          <w:p>
            <w:pPr>
              <w:jc w:val="center"/>
              <w:ind w:right="56"/>
              <w:spacing w:after="0" w:line="160"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3"/>
                <w:szCs w:val="13"/>
                <w:color w:val="auto"/>
              </w:rPr>
            </w:pPr>
          </w:p>
        </w:tc>
        <w:tc>
          <w:tcPr>
            <w:tcW w:w="1380" w:type="dxa"/>
            <w:vAlign w:val="bottom"/>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6"/>
        </w:trPr>
        <w:tc>
          <w:tcPr>
            <w:tcW w:w="5340" w:type="dxa"/>
            <w:vAlign w:val="bottom"/>
          </w:tcPr>
          <w:p>
            <w:pPr>
              <w:spacing w:after="0"/>
              <w:rPr>
                <w:sz w:val="15"/>
                <w:szCs w:val="15"/>
                <w:color w:val="auto"/>
              </w:rPr>
            </w:pPr>
          </w:p>
        </w:tc>
        <w:tc>
          <w:tcPr>
            <w:tcW w:w="14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83"/>
        </w:trPr>
        <w:tc>
          <w:tcPr>
            <w:tcW w:w="53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1, 2026</w:t>
            </w:r>
          </w:p>
        </w:tc>
        <w:tc>
          <w:tcPr>
            <w:tcW w:w="1440" w:type="dxa"/>
            <w:vAlign w:val="bottom"/>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6,897,768</w:t>
            </w:r>
          </w:p>
        </w:tc>
        <w:tc>
          <w:tcPr>
            <w:tcW w:w="28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23.35</w:t>
            </w:r>
          </w:p>
        </w:tc>
        <w:tc>
          <w:tcPr>
            <w:tcW w:w="1500" w:type="dxa"/>
            <w:vAlign w:val="bottom"/>
            <w:gridSpan w:val="2"/>
            <w:shd w:val="clear" w:color="auto" w:fill="CFF0FC"/>
          </w:tcPr>
          <w:p>
            <w:pPr>
              <w:jc w:val="right"/>
              <w:ind w:right="48"/>
              <w:spacing w:after="0" w:line="182" w:lineRule="exact"/>
              <w:rPr>
                <w:sz w:val="20"/>
                <w:szCs w:val="20"/>
                <w:color w:val="auto"/>
              </w:rPr>
            </w:pPr>
            <w:r>
              <w:rPr>
                <w:rFonts w:ascii="Times New Roman" w:cs="Times New Roman" w:eastAsia="Times New Roman" w:hAnsi="Times New Roman"/>
                <w:sz w:val="18"/>
                <w:szCs w:val="18"/>
                <w:color w:val="auto"/>
              </w:rPr>
              <w:t>6.93</w:t>
            </w:r>
          </w:p>
        </w:tc>
        <w:tc>
          <w:tcPr>
            <w:tcW w:w="32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180,434</w:t>
            </w:r>
          </w:p>
        </w:tc>
        <w:tc>
          <w:tcPr>
            <w:tcW w:w="0" w:type="dxa"/>
            <w:vAlign w:val="bottom"/>
          </w:tcPr>
          <w:p>
            <w:pPr>
              <w:spacing w:after="0"/>
              <w:rPr>
                <w:sz w:val="1"/>
                <w:szCs w:val="1"/>
                <w:color w:val="auto"/>
              </w:rPr>
            </w:pPr>
          </w:p>
        </w:tc>
      </w:tr>
      <w:tr>
        <w:trPr>
          <w:trHeight w:val="189"/>
        </w:trPr>
        <w:tc>
          <w:tcPr>
            <w:tcW w:w="5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668,400</w:t>
            </w:r>
          </w:p>
        </w:tc>
        <w:tc>
          <w:tcPr>
            <w:tcW w:w="2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43.91</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Exercises</w:t>
            </w:r>
          </w:p>
        </w:tc>
        <w:tc>
          <w:tcPr>
            <w:tcW w:w="14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(563,316)</w:t>
            </w:r>
          </w:p>
        </w:tc>
        <w:tc>
          <w:tcPr>
            <w:tcW w:w="28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24.02</w:t>
            </w:r>
          </w:p>
        </w:tc>
        <w:tc>
          <w:tcPr>
            <w:tcW w:w="1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Forfeitures and cancellations</w:t>
            </w:r>
          </w:p>
        </w:tc>
        <w:tc>
          <w:tcPr>
            <w:tcW w:w="14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(220,188)</w:t>
            </w:r>
          </w:p>
        </w:tc>
        <w:tc>
          <w:tcPr>
            <w:tcW w:w="2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21.77</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shd w:val="clear" w:color="auto" w:fill="CFF0FC"/>
          </w:tcPr>
          <w:p>
            <w:pPr>
              <w:ind w:left="100"/>
              <w:spacing w:after="0" w:line="169" w:lineRule="exact"/>
              <w:rPr>
                <w:sz w:val="20"/>
                <w:szCs w:val="20"/>
                <w:color w:val="auto"/>
              </w:rPr>
            </w:pPr>
            <w:r>
              <w:rPr>
                <w:rFonts w:ascii="Times New Roman" w:cs="Times New Roman" w:eastAsia="Times New Roman" w:hAnsi="Times New Roman"/>
                <w:sz w:val="18"/>
                <w:szCs w:val="18"/>
                <w:color w:val="auto"/>
              </w:rPr>
              <w:t>Outstanding at March 31, 2026</w:t>
            </w:r>
          </w:p>
        </w:tc>
        <w:tc>
          <w:tcPr>
            <w:tcW w:w="1440" w:type="dxa"/>
            <w:vAlign w:val="bottom"/>
            <w:tcBorders>
              <w:bottom w:val="single" w:sz="8" w:color="auto"/>
            </w:tcBorders>
            <w:shd w:val="clear" w:color="auto" w:fill="CFF0FC"/>
          </w:tcPr>
          <w:p>
            <w:pPr>
              <w:jc w:val="right"/>
              <w:ind w:right="56"/>
              <w:spacing w:after="0" w:line="169" w:lineRule="exact"/>
              <w:rPr>
                <w:sz w:val="20"/>
                <w:szCs w:val="20"/>
                <w:color w:val="auto"/>
              </w:rPr>
            </w:pPr>
            <w:r>
              <w:rPr>
                <w:rFonts w:ascii="Times New Roman" w:cs="Times New Roman" w:eastAsia="Times New Roman" w:hAnsi="Times New Roman"/>
                <w:sz w:val="18"/>
                <w:szCs w:val="18"/>
                <w:color w:val="auto"/>
              </w:rPr>
              <w:t>6,782,664</w:t>
            </w:r>
          </w:p>
        </w:tc>
        <w:tc>
          <w:tcPr>
            <w:tcW w:w="280" w:type="dxa"/>
            <w:vAlign w:val="bottom"/>
            <w:tcBorders>
              <w:bottom w:val="single" w:sz="8" w:color="CFF0FC"/>
            </w:tcBorders>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ind w:right="37"/>
              <w:spacing w:after="0" w:line="169" w:lineRule="exact"/>
              <w:rPr>
                <w:sz w:val="20"/>
                <w:szCs w:val="20"/>
                <w:color w:val="auto"/>
              </w:rPr>
            </w:pPr>
            <w:r>
              <w:rPr>
                <w:rFonts w:ascii="Times New Roman" w:cs="Times New Roman" w:eastAsia="Times New Roman" w:hAnsi="Times New Roman"/>
                <w:sz w:val="18"/>
                <w:szCs w:val="18"/>
                <w:color w:val="auto"/>
              </w:rPr>
              <w:t>25.37</w:t>
            </w:r>
          </w:p>
        </w:tc>
        <w:tc>
          <w:tcPr>
            <w:tcW w:w="1500" w:type="dxa"/>
            <w:vAlign w:val="bottom"/>
            <w:tcBorders>
              <w:bottom w:val="single" w:sz="8" w:color="CFF0FC"/>
            </w:tcBorders>
            <w:gridSpan w:val="2"/>
            <w:shd w:val="clear" w:color="auto" w:fill="CFF0FC"/>
          </w:tcPr>
          <w:p>
            <w:pPr>
              <w:jc w:val="right"/>
              <w:ind w:right="48"/>
              <w:spacing w:after="0" w:line="169" w:lineRule="exact"/>
              <w:rPr>
                <w:sz w:val="20"/>
                <w:szCs w:val="20"/>
                <w:color w:val="auto"/>
              </w:rPr>
            </w:pPr>
            <w:r>
              <w:rPr>
                <w:rFonts w:ascii="Times New Roman" w:cs="Times New Roman" w:eastAsia="Times New Roman" w:hAnsi="Times New Roman"/>
                <w:sz w:val="18"/>
                <w:szCs w:val="18"/>
                <w:color w:val="auto"/>
              </w:rPr>
              <w:t>7.07</w:t>
            </w:r>
          </w:p>
        </w:tc>
        <w:tc>
          <w:tcPr>
            <w:tcW w:w="320" w:type="dxa"/>
            <w:vAlign w:val="bottom"/>
            <w:tcBorders>
              <w:bottom w:val="single" w:sz="8" w:color="CFF0FC"/>
            </w:tcBorders>
            <w:gridSpan w:val="2"/>
            <w:shd w:val="clear" w:color="auto" w:fill="CFF0FC"/>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8"/>
                <w:szCs w:val="18"/>
                <w:color w:val="auto"/>
              </w:rPr>
              <w:t>209,513</w:t>
            </w:r>
          </w:p>
        </w:tc>
        <w:tc>
          <w:tcPr>
            <w:tcW w:w="0" w:type="dxa"/>
            <w:vAlign w:val="bottom"/>
          </w:tcPr>
          <w:p>
            <w:pPr>
              <w:spacing w:after="0"/>
              <w:rPr>
                <w:sz w:val="1"/>
                <w:szCs w:val="1"/>
                <w:color w:val="auto"/>
              </w:rPr>
            </w:pPr>
          </w:p>
        </w:tc>
      </w:tr>
      <w:tr>
        <w:trPr>
          <w:trHeight w:val="215"/>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4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3,926,781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26.11</w:t>
            </w:r>
          </w:p>
        </w:tc>
        <w:tc>
          <w:tcPr>
            <w:tcW w:w="15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6.15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120,688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-173990</wp:posOffset>
            </wp:positionV>
            <wp:extent cx="946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-156845</wp:posOffset>
            </wp:positionV>
            <wp:extent cx="946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cash received from the exercise of stock options was approximately $13.2 million during the three months ended March 31, 2026.</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Time-Based Restricted Stock Units</w:t>
      </w:r>
    </w:p>
    <w:p>
      <w:pPr>
        <w:spacing w:after="0" w:line="148" w:lineRule="exact"/>
        <w:rPr>
          <w:sz w:val="20"/>
          <w:szCs w:val="20"/>
          <w:color w:val="auto"/>
        </w:rPr>
      </w:pPr>
    </w:p>
    <w:p>
      <w:pPr>
        <w:ind w:right="80" w:firstLine="659"/>
        <w:spacing w:after="0" w:line="297" w:lineRule="auto"/>
        <w:rPr>
          <w:sz w:val="20"/>
          <w:szCs w:val="20"/>
          <w:color w:val="auto"/>
        </w:rPr>
      </w:pPr>
      <w:r>
        <w:rPr>
          <w:rFonts w:ascii="Times New Roman" w:cs="Times New Roman" w:eastAsia="Times New Roman" w:hAnsi="Times New Roman"/>
          <w:sz w:val="18"/>
          <w:szCs w:val="18"/>
          <w:color w:val="auto"/>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3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4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3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4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2"/>
                <w:szCs w:val="12"/>
                <w:color w:val="auto"/>
              </w:rPr>
            </w:pPr>
          </w:p>
        </w:tc>
        <w:tc>
          <w:tcPr>
            <w:tcW w:w="13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87"/>
        </w:trPr>
        <w:tc>
          <w:tcPr>
            <w:tcW w:w="5340" w:type="dxa"/>
            <w:vAlign w:val="bottom"/>
          </w:tcPr>
          <w:p>
            <w:pPr>
              <w:spacing w:after="0"/>
              <w:rPr>
                <w:sz w:val="16"/>
                <w:szCs w:val="16"/>
                <w:color w:val="auto"/>
              </w:rPr>
            </w:pPr>
          </w:p>
        </w:tc>
        <w:tc>
          <w:tcPr>
            <w:tcW w:w="1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83"/>
        </w:trPr>
        <w:tc>
          <w:tcPr>
            <w:tcW w:w="53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1, 2026</w:t>
            </w:r>
          </w:p>
        </w:tc>
        <w:tc>
          <w:tcPr>
            <w:tcW w:w="1440" w:type="dxa"/>
            <w:vAlign w:val="bottom"/>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1,373,205</w:t>
            </w:r>
          </w:p>
        </w:tc>
        <w:tc>
          <w:tcPr>
            <w:tcW w:w="32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18.95</w:t>
            </w:r>
          </w:p>
        </w:tc>
        <w:tc>
          <w:tcPr>
            <w:tcW w:w="1500" w:type="dxa"/>
            <w:vAlign w:val="bottom"/>
            <w:gridSpan w:val="2"/>
            <w:shd w:val="clear" w:color="auto" w:fill="CFF0FC"/>
          </w:tcPr>
          <w:p>
            <w:pPr>
              <w:jc w:val="right"/>
              <w:ind w:right="48"/>
              <w:spacing w:after="0" w:line="182" w:lineRule="exact"/>
              <w:rPr>
                <w:sz w:val="20"/>
                <w:szCs w:val="20"/>
                <w:color w:val="auto"/>
              </w:rPr>
            </w:pPr>
            <w:r>
              <w:rPr>
                <w:rFonts w:ascii="Times New Roman" w:cs="Times New Roman" w:eastAsia="Times New Roman" w:hAnsi="Times New Roman"/>
                <w:sz w:val="18"/>
                <w:szCs w:val="18"/>
                <w:color w:val="auto"/>
              </w:rPr>
              <w:t>1.17</w:t>
            </w:r>
          </w:p>
        </w:tc>
        <w:tc>
          <w:tcPr>
            <w:tcW w:w="32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66,573</w:t>
            </w:r>
          </w:p>
        </w:tc>
        <w:tc>
          <w:tcPr>
            <w:tcW w:w="0" w:type="dxa"/>
            <w:vAlign w:val="bottom"/>
          </w:tcPr>
          <w:p>
            <w:pPr>
              <w:spacing w:after="0"/>
              <w:rPr>
                <w:sz w:val="1"/>
                <w:szCs w:val="1"/>
                <w:color w:val="auto"/>
              </w:rPr>
            </w:pPr>
          </w:p>
        </w:tc>
      </w:tr>
      <w:tr>
        <w:trPr>
          <w:trHeight w:val="189"/>
        </w:trPr>
        <w:tc>
          <w:tcPr>
            <w:tcW w:w="5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496,380</w:t>
            </w:r>
          </w:p>
        </w:tc>
        <w:tc>
          <w:tcPr>
            <w:tcW w:w="32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44.05</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Released</w:t>
            </w:r>
          </w:p>
        </w:tc>
        <w:tc>
          <w:tcPr>
            <w:tcW w:w="14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(387,435)</w:t>
            </w:r>
          </w:p>
        </w:tc>
        <w:tc>
          <w:tcPr>
            <w:tcW w:w="32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19.45</w:t>
            </w:r>
          </w:p>
        </w:tc>
        <w:tc>
          <w:tcPr>
            <w:tcW w:w="1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Forfeitures and cancellations</w:t>
            </w:r>
          </w:p>
        </w:tc>
        <w:tc>
          <w:tcPr>
            <w:tcW w:w="14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(87,720)</w:t>
            </w:r>
          </w:p>
        </w:tc>
        <w:tc>
          <w:tcPr>
            <w:tcW w:w="32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22.89</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Outstanding at March 31, 2026</w:t>
            </w:r>
          </w:p>
        </w:tc>
        <w:tc>
          <w:tcPr>
            <w:tcW w:w="1440" w:type="dxa"/>
            <w:vAlign w:val="bottom"/>
            <w:tcBorders>
              <w:bottom w:val="single" w:sz="8" w:color="auto"/>
            </w:tcBorders>
            <w:shd w:val="clear" w:color="auto" w:fill="CFF0FC"/>
          </w:tcPr>
          <w:p>
            <w:pPr>
              <w:jc w:val="right"/>
              <w:ind w:right="56"/>
              <w:spacing w:after="0" w:line="169" w:lineRule="exact"/>
              <w:rPr>
                <w:sz w:val="20"/>
                <w:szCs w:val="20"/>
                <w:color w:val="auto"/>
              </w:rPr>
            </w:pPr>
            <w:r>
              <w:rPr>
                <w:rFonts w:ascii="Times New Roman" w:cs="Times New Roman" w:eastAsia="Times New Roman" w:hAnsi="Times New Roman"/>
                <w:sz w:val="18"/>
                <w:szCs w:val="18"/>
                <w:color w:val="auto"/>
              </w:rPr>
              <w:t>1,394,430</w:t>
            </w:r>
          </w:p>
        </w:tc>
        <w:tc>
          <w:tcPr>
            <w:tcW w:w="320" w:type="dxa"/>
            <w:vAlign w:val="bottom"/>
            <w:tcBorders>
              <w:bottom w:val="single" w:sz="8" w:color="CFF0FC"/>
            </w:tcBorders>
            <w:gridSpan w:val="2"/>
            <w:shd w:val="clear" w:color="auto" w:fill="CFF0FC"/>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37"/>
              <w:spacing w:after="0" w:line="169" w:lineRule="exact"/>
              <w:rPr>
                <w:sz w:val="20"/>
                <w:szCs w:val="20"/>
                <w:color w:val="auto"/>
              </w:rPr>
            </w:pPr>
            <w:r>
              <w:rPr>
                <w:rFonts w:ascii="Times New Roman" w:cs="Times New Roman" w:eastAsia="Times New Roman" w:hAnsi="Times New Roman"/>
                <w:sz w:val="18"/>
                <w:szCs w:val="18"/>
                <w:color w:val="auto"/>
              </w:rPr>
              <w:t>27.50</w:t>
            </w:r>
          </w:p>
        </w:tc>
        <w:tc>
          <w:tcPr>
            <w:tcW w:w="1500" w:type="dxa"/>
            <w:vAlign w:val="bottom"/>
            <w:tcBorders>
              <w:bottom w:val="single" w:sz="8" w:color="CFF0FC"/>
            </w:tcBorders>
            <w:gridSpan w:val="2"/>
            <w:shd w:val="clear" w:color="auto" w:fill="CFF0FC"/>
          </w:tcPr>
          <w:p>
            <w:pPr>
              <w:jc w:val="right"/>
              <w:ind w:right="48"/>
              <w:spacing w:after="0" w:line="169" w:lineRule="exact"/>
              <w:rPr>
                <w:sz w:val="20"/>
                <w:szCs w:val="20"/>
                <w:color w:val="auto"/>
              </w:rPr>
            </w:pPr>
            <w:r>
              <w:rPr>
                <w:rFonts w:ascii="Times New Roman" w:cs="Times New Roman" w:eastAsia="Times New Roman" w:hAnsi="Times New Roman"/>
                <w:sz w:val="18"/>
                <w:szCs w:val="18"/>
                <w:color w:val="auto"/>
              </w:rPr>
              <w:t>1.66</w:t>
            </w:r>
          </w:p>
        </w:tc>
        <w:tc>
          <w:tcPr>
            <w:tcW w:w="320" w:type="dxa"/>
            <w:vAlign w:val="bottom"/>
            <w:tcBorders>
              <w:bottom w:val="single" w:sz="8" w:color="CFF0FC"/>
            </w:tcBorders>
            <w:gridSpan w:val="2"/>
            <w:shd w:val="clear" w:color="auto" w:fill="CFF0FC"/>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8"/>
                <w:szCs w:val="18"/>
                <w:color w:val="auto"/>
              </w:rPr>
              <w:t>77,335</w:t>
            </w:r>
          </w:p>
        </w:tc>
        <w:tc>
          <w:tcPr>
            <w:tcW w:w="0" w:type="dxa"/>
            <w:vAlign w:val="bottom"/>
          </w:tcPr>
          <w:p>
            <w:pPr>
              <w:spacing w:after="0"/>
              <w:rPr>
                <w:sz w:val="1"/>
                <w:szCs w:val="1"/>
                <w:color w:val="auto"/>
              </w:rPr>
            </w:pPr>
          </w:p>
        </w:tc>
      </w:tr>
      <w:tr>
        <w:trPr>
          <w:trHeight w:val="215"/>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RSU expected to vest at March 31, 2026</w:t>
            </w:r>
          </w:p>
        </w:tc>
        <w:tc>
          <w:tcPr>
            <w:tcW w:w="14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1,394,430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27.50</w:t>
            </w:r>
          </w:p>
        </w:tc>
        <w:tc>
          <w:tcPr>
            <w:tcW w:w="15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77,335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-173990</wp:posOffset>
            </wp:positionV>
            <wp:extent cx="946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-156845</wp:posOffset>
            </wp:positionV>
            <wp:extent cx="946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48" w:lineRule="exact"/>
        <w:rPr>
          <w:sz w:val="20"/>
          <w:szCs w:val="20"/>
          <w:color w:val="auto"/>
        </w:rPr>
      </w:pPr>
    </w:p>
    <w:p>
      <w:pPr>
        <w:ind w:right="500" w:firstLine="659"/>
        <w:spacing w:after="0" w:line="329" w:lineRule="auto"/>
        <w:rPr>
          <w:sz w:val="20"/>
          <w:szCs w:val="20"/>
          <w:color w:val="auto"/>
        </w:rPr>
      </w:pPr>
      <w:r>
        <w:rPr>
          <w:rFonts w:ascii="Times New Roman" w:cs="Times New Roman" w:eastAsia="Times New Roman" w:hAnsi="Times New Roman"/>
          <w:sz w:val="18"/>
          <w:szCs w:val="18"/>
          <w:color w:val="auto"/>
        </w:rPr>
        <w:t>A Performance Stock Unit (“PSU”) represents one equivalent share of our common stock to be issued after achievement of the performance metrics specified in the grant. The following table presents a summary of activity with respect to our PSUs: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2860" w:type="dxa"/>
            <w:vAlign w:val="bottom"/>
            <w:gridSpan w:val="5"/>
          </w:tcPr>
          <w:p>
            <w:pPr>
              <w:jc w:val="right"/>
              <w:ind w:right="743"/>
              <w:spacing w:after="0"/>
              <w:rPr>
                <w:sz w:val="20"/>
                <w:szCs w:val="20"/>
                <w:color w:val="auto"/>
              </w:rPr>
            </w:pPr>
            <w:r>
              <w:rPr>
                <w:rFonts w:ascii="Times New Roman" w:cs="Times New Roman" w:eastAsia="Times New Roman" w:hAnsi="Times New Roman"/>
                <w:sz w:val="14"/>
                <w:szCs w:val="14"/>
                <w:b w:val="1"/>
                <w:bCs w:val="1"/>
                <w:color w:val="auto"/>
              </w:rPr>
              <w:t>Market-Based PSUs</w:t>
            </w:r>
          </w:p>
        </w:tc>
        <w:tc>
          <w:tcPr>
            <w:tcW w:w="220" w:type="dxa"/>
            <w:vAlign w:val="bottom"/>
          </w:tcPr>
          <w:p>
            <w:pPr>
              <w:spacing w:after="0"/>
              <w:rPr>
                <w:sz w:val="15"/>
                <w:szCs w:val="15"/>
                <w:color w:val="auto"/>
              </w:rPr>
            </w:pPr>
          </w:p>
        </w:tc>
        <w:tc>
          <w:tcPr>
            <w:tcW w:w="2760" w:type="dxa"/>
            <w:vAlign w:val="bottom"/>
            <w:gridSpan w:val="5"/>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Performance-Based PSUs</w:t>
            </w:r>
          </w:p>
        </w:tc>
        <w:tc>
          <w:tcPr>
            <w:tcW w:w="220" w:type="dxa"/>
            <w:vAlign w:val="bottom"/>
          </w:tcPr>
          <w:p>
            <w:pPr>
              <w:spacing w:after="0"/>
              <w:rPr>
                <w:sz w:val="15"/>
                <w:szCs w:val="15"/>
                <w:color w:val="auto"/>
              </w:rPr>
            </w:pPr>
          </w:p>
        </w:tc>
        <w:tc>
          <w:tcPr>
            <w:tcW w:w="2920" w:type="dxa"/>
            <w:vAlign w:val="bottom"/>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Total PSUs</w:t>
            </w:r>
          </w:p>
        </w:tc>
      </w:tr>
      <w:tr>
        <w:trPr>
          <w:trHeight w:val="117"/>
        </w:trPr>
        <w:tc>
          <w:tcPr>
            <w:tcW w:w="226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23"/>
              <w:spacing w:after="0" w:line="118" w:lineRule="exact"/>
              <w:rPr>
                <w:sz w:val="20"/>
                <w:szCs w:val="20"/>
                <w:color w:val="auto"/>
              </w:rPr>
            </w:pPr>
            <w:r>
              <w:rPr>
                <w:rFonts w:ascii="Times New Roman" w:cs="Times New Roman" w:eastAsia="Times New Roman" w:hAnsi="Times New Roman"/>
                <w:sz w:val="13"/>
                <w:szCs w:val="13"/>
                <w:b w:val="1"/>
                <w:bCs w:val="1"/>
                <w:color w:val="auto"/>
              </w:rPr>
              <w:t>Weighted-Average</w:t>
            </w:r>
          </w:p>
        </w:tc>
        <w:tc>
          <w:tcPr>
            <w:tcW w:w="2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Weighted-Average</w:t>
            </w:r>
          </w:p>
        </w:tc>
        <w:tc>
          <w:tcPr>
            <w:tcW w:w="2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ind w:right="23"/>
              <w:spacing w:after="0" w:line="118" w:lineRule="exact"/>
              <w:rPr>
                <w:sz w:val="20"/>
                <w:szCs w:val="20"/>
                <w:color w:val="auto"/>
              </w:rPr>
            </w:pPr>
            <w:r>
              <w:rPr>
                <w:rFonts w:ascii="Times New Roman" w:cs="Times New Roman" w:eastAsia="Times New Roman" w:hAnsi="Times New Roman"/>
                <w:sz w:val="13"/>
                <w:szCs w:val="13"/>
                <w:b w:val="1"/>
                <w:bCs w:val="1"/>
                <w:color w:val="auto"/>
              </w:rPr>
              <w:t>Weighted-Average</w:t>
            </w:r>
          </w:p>
        </w:tc>
        <w:tc>
          <w:tcPr>
            <w:tcW w:w="100" w:type="dxa"/>
            <w:vAlign w:val="bottom"/>
          </w:tcPr>
          <w:p>
            <w:pPr>
              <w:spacing w:after="0"/>
              <w:rPr>
                <w:sz w:val="10"/>
                <w:szCs w:val="10"/>
                <w:color w:val="auto"/>
              </w:rPr>
            </w:pPr>
          </w:p>
        </w:tc>
      </w:tr>
      <w:tr>
        <w:trPr>
          <w:trHeight w:val="162"/>
        </w:trPr>
        <w:tc>
          <w:tcPr>
            <w:tcW w:w="2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3"/>
        </w:trPr>
        <w:tc>
          <w:tcPr>
            <w:tcW w:w="2260" w:type="dxa"/>
            <w:vAlign w:val="bottom"/>
          </w:tcPr>
          <w:p>
            <w:pPr>
              <w:spacing w:after="0"/>
              <w:rPr>
                <w:sz w:val="15"/>
                <w:szCs w:val="15"/>
                <w:color w:val="auto"/>
              </w:rPr>
            </w:pPr>
          </w:p>
        </w:tc>
        <w:tc>
          <w:tcPr>
            <w:tcW w:w="1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183"/>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at January 1, 2026</w:t>
            </w:r>
          </w:p>
        </w:tc>
        <w:tc>
          <w:tcPr>
            <w:tcW w:w="126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478,000</w:t>
            </w:r>
          </w:p>
        </w:tc>
        <w:tc>
          <w:tcPr>
            <w:tcW w:w="16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24.69</w:t>
            </w:r>
          </w:p>
        </w:tc>
        <w:tc>
          <w:tcPr>
            <w:tcW w:w="2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ind w:right="33"/>
              <w:spacing w:after="0" w:line="183"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478,000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6"/>
                <w:szCs w:val="16"/>
                <w:color w:val="auto"/>
              </w:rPr>
              <w:t>24.69</w:t>
            </w:r>
          </w:p>
        </w:tc>
        <w:tc>
          <w:tcPr>
            <w:tcW w:w="100" w:type="dxa"/>
            <w:vAlign w:val="bottom"/>
            <w:shd w:val="clear" w:color="auto" w:fill="CFF0FC"/>
          </w:tcPr>
          <w:p>
            <w:pPr>
              <w:spacing w:after="0"/>
              <w:rPr>
                <w:sz w:val="15"/>
                <w:szCs w:val="15"/>
                <w:color w:val="auto"/>
              </w:rPr>
            </w:pPr>
          </w:p>
        </w:tc>
      </w:tr>
      <w:tr>
        <w:trPr>
          <w:trHeight w:val="189"/>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34,300</w:t>
            </w:r>
          </w:p>
        </w:tc>
        <w:tc>
          <w:tcPr>
            <w:tcW w:w="160" w:type="dxa"/>
            <w:vAlign w:val="bottom"/>
          </w:tcPr>
          <w:p>
            <w:pPr>
              <w:spacing w:after="0"/>
              <w:rPr>
                <w:sz w:val="16"/>
                <w:szCs w:val="16"/>
                <w:color w:val="auto"/>
              </w:rPr>
            </w:pPr>
          </w:p>
        </w:tc>
        <w:tc>
          <w:tcPr>
            <w:tcW w:w="260" w:type="dxa"/>
            <w:vAlign w:val="bottom"/>
            <w:gridSpan w:val="2"/>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34,300</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100" w:type="dxa"/>
            <w:vAlign w:val="bottom"/>
          </w:tcPr>
          <w:p>
            <w:pPr>
              <w:spacing w:after="0"/>
              <w:rPr>
                <w:sz w:val="16"/>
                <w:szCs w:val="16"/>
                <w:color w:val="auto"/>
              </w:rPr>
            </w:pPr>
          </w:p>
        </w:tc>
      </w:tr>
      <w:tr>
        <w:trPr>
          <w:trHeight w:val="189"/>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Released</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(34,300)</w:t>
            </w:r>
          </w:p>
        </w:tc>
        <w:tc>
          <w:tcPr>
            <w:tcW w:w="2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16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(34,300)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100" w:type="dxa"/>
            <w:vAlign w:val="bottom"/>
            <w:shd w:val="clear" w:color="auto" w:fill="CFF0FC"/>
          </w:tcPr>
          <w:p>
            <w:pPr>
              <w:spacing w:after="0"/>
              <w:rPr>
                <w:sz w:val="16"/>
                <w:szCs w:val="16"/>
                <w:color w:val="auto"/>
              </w:rPr>
            </w:pPr>
          </w:p>
        </w:tc>
      </w:tr>
      <w:tr>
        <w:trPr>
          <w:trHeight w:val="175"/>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Forfeitures</w:t>
            </w:r>
          </w:p>
        </w:tc>
        <w:tc>
          <w:tcPr>
            <w:tcW w:w="142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(6,500)</w:t>
            </w:r>
          </w:p>
        </w:tc>
        <w:tc>
          <w:tcPr>
            <w:tcW w:w="18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24.69</w:t>
            </w:r>
          </w:p>
        </w:tc>
        <w:tc>
          <w:tcPr>
            <w:tcW w:w="220" w:type="dxa"/>
            <w:vAlign w:val="bottom"/>
          </w:tcPr>
          <w:p>
            <w:pPr>
              <w:spacing w:after="0"/>
              <w:rPr>
                <w:sz w:val="15"/>
                <w:szCs w:val="15"/>
                <w:color w:val="auto"/>
              </w:rPr>
            </w:pPr>
          </w:p>
        </w:tc>
        <w:tc>
          <w:tcPr>
            <w:tcW w:w="1380" w:type="dxa"/>
            <w:vAlign w:val="bottom"/>
            <w:gridSpan w:val="2"/>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33"/>
              <w:spacing w:after="0" w:line="175"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3"/>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(6,500)</w:t>
            </w:r>
          </w:p>
        </w:tc>
        <w:tc>
          <w:tcPr>
            <w:tcW w:w="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24.69</w:t>
            </w:r>
          </w:p>
        </w:tc>
        <w:tc>
          <w:tcPr>
            <w:tcW w:w="100" w:type="dxa"/>
            <w:vAlign w:val="bottom"/>
          </w:tcPr>
          <w:p>
            <w:pPr>
              <w:spacing w:after="0"/>
              <w:rPr>
                <w:sz w:val="15"/>
                <w:szCs w:val="15"/>
                <w:color w:val="auto"/>
              </w:rPr>
            </w:pPr>
          </w:p>
        </w:tc>
      </w:tr>
      <w:tr>
        <w:trPr>
          <w:trHeight w:val="209"/>
        </w:trPr>
        <w:tc>
          <w:tcPr>
            <w:tcW w:w="226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Outstanding at March 31, 2026</w:t>
            </w:r>
          </w:p>
        </w:tc>
        <w:tc>
          <w:tcPr>
            <w:tcW w:w="12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471,500</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24.69</w:t>
            </w:r>
          </w:p>
        </w:tc>
        <w:tc>
          <w:tcPr>
            <w:tcW w:w="2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gridSpan w:val="2"/>
            <w:shd w:val="clear" w:color="auto" w:fill="CFF0FC"/>
          </w:tcPr>
          <w:p>
            <w:pPr>
              <w:jc w:val="right"/>
              <w:ind w:right="33"/>
              <w:spacing w:after="0" w:line="155"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471,500</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24.69</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-24765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-7620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Market-Based Awards</w:t>
      </w:r>
    </w:p>
    <w:p>
      <w:pPr>
        <w:spacing w:after="0" w:line="160" w:lineRule="exact"/>
        <w:rPr>
          <w:sz w:val="20"/>
          <w:szCs w:val="20"/>
          <w:color w:val="auto"/>
        </w:rPr>
      </w:pPr>
    </w:p>
    <w:p>
      <w:pPr>
        <w:jc w:val="both"/>
        <w:ind w:right="320" w:firstLine="659"/>
        <w:spacing w:after="0" w:line="297" w:lineRule="auto"/>
        <w:rPr>
          <w:sz w:val="20"/>
          <w:szCs w:val="20"/>
          <w:color w:val="auto"/>
        </w:rPr>
      </w:pPr>
      <w:r>
        <w:rPr>
          <w:rFonts w:ascii="Times New Roman" w:cs="Times New Roman" w:eastAsia="Times New Roman" w:hAnsi="Times New Roman"/>
          <w:sz w:val="18"/>
          <w:szCs w:val="18"/>
          <w:color w:val="auto"/>
        </w:rPr>
        <w:t>The fair value of our PSUs is estimated as of the grant date of July 22, 2024, based upon the expected achievement of the performance metrics specified in the grant and the closing market price of our common stock on the date of grant. The grant date fair value is estimated using a Monte Carlo simulation using the following assumptions: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3"/>
                <w:szCs w:val="13"/>
                <w:color w:val="auto"/>
              </w:rPr>
            </w:pPr>
          </w:p>
        </w:tc>
        <w:tc>
          <w:tcPr>
            <w:tcW w:w="21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8"/>
        </w:trPr>
        <w:tc>
          <w:tcPr>
            <w:tcW w:w="9140" w:type="dxa"/>
            <w:vAlign w:val="bottom"/>
          </w:tcPr>
          <w:p>
            <w:pPr>
              <w:spacing w:after="0"/>
              <w:rPr>
                <w:sz w:val="12"/>
                <w:szCs w:val="12"/>
                <w:color w:val="auto"/>
              </w:rPr>
            </w:pPr>
          </w:p>
        </w:tc>
        <w:tc>
          <w:tcPr>
            <w:tcW w:w="210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9140" w:type="dxa"/>
            <w:vAlign w:val="bottom"/>
          </w:tcPr>
          <w:p>
            <w:pPr>
              <w:spacing w:after="0"/>
              <w:rPr>
                <w:sz w:val="15"/>
                <w:szCs w:val="15"/>
                <w:color w:val="auto"/>
              </w:rPr>
            </w:pPr>
          </w:p>
        </w:tc>
        <w:tc>
          <w:tcPr>
            <w:tcW w:w="21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183"/>
        </w:trPr>
        <w:tc>
          <w:tcPr>
            <w:tcW w:w="91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Volatility of common stock</w:t>
            </w:r>
          </w:p>
        </w:tc>
        <w:tc>
          <w:tcPr>
            <w:tcW w:w="21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59.0%</w:t>
            </w:r>
          </w:p>
        </w:tc>
      </w:tr>
      <w:tr>
        <w:trPr>
          <w:trHeight w:val="189"/>
        </w:trPr>
        <w:tc>
          <w:tcPr>
            <w:tcW w:w="9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Risk-free interest rate</w:t>
            </w:r>
          </w:p>
        </w:tc>
        <w:tc>
          <w:tcPr>
            <w:tcW w:w="2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w:t>
            </w:r>
          </w:p>
        </w:tc>
      </w:tr>
      <w:tr>
        <w:trPr>
          <w:trHeight w:val="189"/>
        </w:trPr>
        <w:tc>
          <w:tcPr>
            <w:tcW w:w="91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Contract term (in years)</w:t>
            </w:r>
          </w:p>
        </w:tc>
        <w:tc>
          <w:tcPr>
            <w:tcW w:w="2100" w:type="dxa"/>
            <w:vAlign w:val="bottom"/>
            <w:shd w:val="clear" w:color="auto" w:fill="CFF0FC"/>
          </w:tcPr>
          <w:p>
            <w:pPr>
              <w:jc w:val="right"/>
              <w:ind w:right="99"/>
              <w:spacing w:after="0" w:line="189" w:lineRule="exact"/>
              <w:rPr>
                <w:sz w:val="20"/>
                <w:szCs w:val="20"/>
                <w:color w:val="auto"/>
              </w:rPr>
            </w:pPr>
            <w:r>
              <w:rPr>
                <w:rFonts w:ascii="Times New Roman" w:cs="Times New Roman" w:eastAsia="Times New Roman" w:hAnsi="Times New Roman"/>
                <w:sz w:val="18"/>
                <w:szCs w:val="18"/>
                <w:color w:val="auto"/>
              </w:rPr>
              <w:t>3.9</w:t>
            </w:r>
          </w:p>
        </w:tc>
      </w:tr>
    </w:tbl>
    <w:p>
      <w:pPr>
        <w:spacing w:after="0" w:line="292" w:lineRule="exact"/>
        <w:rPr>
          <w:sz w:val="20"/>
          <w:szCs w:val="20"/>
          <w:color w:val="auto"/>
        </w:rPr>
      </w:pPr>
    </w:p>
    <w:p>
      <w:pPr>
        <w:ind w:right="60" w:firstLine="659"/>
        <w:spacing w:after="0" w:line="330" w:lineRule="auto"/>
        <w:rPr>
          <w:sz w:val="20"/>
          <w:szCs w:val="20"/>
          <w:color w:val="auto"/>
        </w:rPr>
      </w:pPr>
      <w:r>
        <w:rPr>
          <w:rFonts w:ascii="Times New Roman" w:cs="Times New Roman" w:eastAsia="Times New Roman" w:hAnsi="Times New Roman"/>
          <w:sz w:val="17"/>
          <w:szCs w:val="17"/>
          <w:color w:val="auto"/>
        </w:rPr>
        <w:t>The compensation expense for the awards is recognized over the requisite service period regardless of whether the market conditions are achieved and will only be adjusted for pre-vesting forfeitures due to the termination of the recipient’s employment with the company prior to the expiration of the requisite service period. The requisite service period over which the compensation expense will be recognized is July 22, 2024 through July 1, 2028.</w:t>
      </w:r>
    </w:p>
    <w:p>
      <w:pPr>
        <w:spacing w:after="0" w:line="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Performance-Based PSUs</w:t>
      </w:r>
    </w:p>
    <w:p>
      <w:pPr>
        <w:spacing w:after="0" w:line="160" w:lineRule="exact"/>
        <w:rPr>
          <w:sz w:val="20"/>
          <w:szCs w:val="20"/>
          <w:color w:val="auto"/>
        </w:rPr>
      </w:pPr>
    </w:p>
    <w:p>
      <w:pPr>
        <w:jc w:val="both"/>
        <w:ind w:right="260" w:firstLine="659"/>
        <w:spacing w:after="0" w:line="305" w:lineRule="auto"/>
        <w:rPr>
          <w:sz w:val="20"/>
          <w:szCs w:val="20"/>
          <w:color w:val="auto"/>
        </w:rPr>
      </w:pPr>
      <w:r>
        <w:rPr>
          <w:rFonts w:ascii="Times New Roman" w:cs="Times New Roman" w:eastAsia="Times New Roman" w:hAnsi="Times New Roman"/>
          <w:sz w:val="18"/>
          <w:szCs w:val="18"/>
          <w:color w:val="auto"/>
        </w:rPr>
        <w:t>The performance-based stock units granted in 2026 vested in March 2026 based upon (i) continued service through the vesting date and (ii) the achievement of specific performance targets, as approved by the Board of Directors. There was no unrecognized compensation expense as of March 31, 2026.</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2" w:lineRule="exact"/>
        <w:rPr>
          <w:sz w:val="20"/>
          <w:szCs w:val="20"/>
          <w:color w:val="auto"/>
        </w:rPr>
      </w:pPr>
    </w:p>
    <w:p>
      <w:pPr>
        <w:ind w:right="240" w:firstLine="659"/>
        <w:spacing w:after="0" w:line="294" w:lineRule="auto"/>
        <w:rPr>
          <w:sz w:val="20"/>
          <w:szCs w:val="20"/>
          <w:color w:val="auto"/>
        </w:rPr>
      </w:pPr>
      <w:r>
        <w:rPr>
          <w:rFonts w:ascii="Times New Roman" w:cs="Times New Roman" w:eastAsia="Times New Roman" w:hAnsi="Times New Roman"/>
          <w:sz w:val="18"/>
          <w:szCs w:val="18"/>
          <w:color w:val="auto"/>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were determined on the date of grant using the Black-Scholes option valuation model with the following weighted-average assumptions:</w:t>
      </w:r>
    </w:p>
    <w:p>
      <w:pPr>
        <w:spacing w:after="0" w:line="241"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60" w:type="dxa"/>
            <w:vAlign w:val="bottom"/>
            <w:tcBorders>
              <w:top w:val="single" w:sz="8" w:color="auto"/>
              <w:bottom w:val="single" w:sz="8" w:color="auto"/>
            </w:tcBorders>
          </w:tcPr>
          <w:p>
            <w:pPr>
              <w:jc w:val="right"/>
              <w:ind w:right="6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83"/>
        </w:trPr>
        <w:tc>
          <w:tcPr>
            <w:tcW w:w="880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Risk-free interest rate</w:t>
            </w:r>
          </w:p>
        </w:tc>
        <w:tc>
          <w:tcPr>
            <w:tcW w:w="6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3.9%</w:t>
            </w:r>
          </w:p>
        </w:tc>
        <w:tc>
          <w:tcPr>
            <w:tcW w:w="184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4.5%</w:t>
            </w:r>
          </w:p>
        </w:tc>
      </w:tr>
      <w:tr>
        <w:trPr>
          <w:trHeight w:val="189"/>
        </w:trPr>
        <w:tc>
          <w:tcPr>
            <w:tcW w:w="88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84.0%</w:t>
            </w:r>
          </w:p>
        </w:tc>
        <w:tc>
          <w:tcPr>
            <w:tcW w:w="1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81.8%</w:t>
            </w:r>
          </w:p>
        </w:tc>
      </w:tr>
      <w:tr>
        <w:trPr>
          <w:trHeight w:val="189"/>
        </w:trPr>
        <w:tc>
          <w:tcPr>
            <w:tcW w:w="88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Expected dividend yield</w:t>
            </w:r>
          </w:p>
        </w:tc>
        <w:tc>
          <w:tcPr>
            <w:tcW w:w="6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16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88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Expected term (in years)</w:t>
            </w:r>
          </w:p>
        </w:tc>
        <w:tc>
          <w:tcPr>
            <w:tcW w:w="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6.35</w:t>
            </w:r>
          </w:p>
        </w:tc>
        <w:tc>
          <w:tcPr>
            <w:tcW w:w="1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6.35</w:t>
            </w:r>
          </w:p>
        </w:tc>
      </w:tr>
      <w:tr>
        <w:trPr>
          <w:trHeight w:val="189"/>
        </w:trPr>
        <w:tc>
          <w:tcPr>
            <w:tcW w:w="88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6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$32.67</w:t>
            </w:r>
          </w:p>
        </w:tc>
        <w:tc>
          <w:tcPr>
            <w:tcW w:w="18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$10.95</w:t>
            </w:r>
          </w:p>
        </w:tc>
      </w:tr>
    </w:tbl>
    <w:p>
      <w:pPr>
        <w:spacing w:after="0" w:line="238" w:lineRule="exact"/>
        <w:rPr>
          <w:sz w:val="20"/>
          <w:szCs w:val="20"/>
          <w:color w:val="auto"/>
        </w:rPr>
      </w:pPr>
    </w:p>
    <w:p>
      <w:pPr>
        <w:ind w:right="60" w:firstLine="659"/>
        <w:spacing w:after="0" w:line="297" w:lineRule="auto"/>
        <w:rPr>
          <w:sz w:val="20"/>
          <w:szCs w:val="20"/>
          <w:color w:val="auto"/>
        </w:rPr>
      </w:pPr>
      <w:r>
        <w:rPr>
          <w:rFonts w:ascii="Times New Roman" w:cs="Times New Roman" w:eastAsia="Times New Roman" w:hAnsi="Times New Roman"/>
          <w:sz w:val="18"/>
          <w:szCs w:val="18"/>
          <w:color w:val="auto"/>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Expected volatility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69" w:lineRule="exact"/>
        <w:rPr>
          <w:sz w:val="20"/>
          <w:szCs w:val="20"/>
          <w:color w:val="auto"/>
        </w:rPr>
      </w:pPr>
    </w:p>
    <w:p>
      <w:pPr>
        <w:ind w:right="500" w:firstLine="659"/>
        <w:spacing w:after="0" w:line="329" w:lineRule="auto"/>
        <w:rPr>
          <w:sz w:val="20"/>
          <w:szCs w:val="20"/>
          <w:color w:val="auto"/>
        </w:rPr>
      </w:pPr>
      <w:r>
        <w:rPr>
          <w:rFonts w:ascii="Times New Roman" w:cs="Times New Roman" w:eastAsia="Times New Roman" w:hAnsi="Times New Roman"/>
          <w:sz w:val="18"/>
          <w:szCs w:val="18"/>
          <w:color w:val="auto"/>
        </w:rPr>
        <w:t>Total non-cash stock-based compensation expense for all stock awards that was recognized in the consolidated statements of operations and comprehensive loss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vMerge w:val="continue"/>
          </w:tcPr>
          <w:p>
            <w:pPr>
              <w:spacing w:after="0"/>
              <w:rPr>
                <w:sz w:val="12"/>
                <w:szCs w:val="12"/>
                <w:color w:val="auto"/>
              </w:rPr>
            </w:pPr>
          </w:p>
        </w:tc>
        <w:tc>
          <w:tcPr>
            <w:tcW w:w="40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3"/>
        </w:trPr>
        <w:tc>
          <w:tcPr>
            <w:tcW w:w="3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Research and development</w:t>
            </w:r>
          </w:p>
        </w:tc>
        <w:tc>
          <w:tcPr>
            <w:tcW w:w="4360" w:type="dxa"/>
            <w:vAlign w:val="bottom"/>
            <w:gridSpan w:val="2"/>
            <w:shd w:val="clear" w:color="auto" w:fill="CFF0FC"/>
          </w:tcPr>
          <w:p>
            <w:pPr>
              <w:jc w:val="right"/>
              <w:ind w:right="2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4,551</w:t>
            </w:r>
          </w:p>
        </w:tc>
        <w:tc>
          <w:tcPr>
            <w:tcW w:w="740" w:type="dxa"/>
            <w:vAlign w:val="bottom"/>
            <w:gridSpan w:val="2"/>
            <w:shd w:val="clear" w:color="auto" w:fill="CFF0FC"/>
          </w:tcPr>
          <w:p>
            <w:pPr>
              <w:jc w:val="right"/>
              <w:ind w:right="4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4,407</w:t>
            </w: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General and administrative</w:t>
            </w:r>
          </w:p>
        </w:tc>
        <w:tc>
          <w:tcPr>
            <w:tcW w:w="4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
              <w:spacing w:after="0" w:line="189" w:lineRule="exact"/>
              <w:rPr>
                <w:sz w:val="20"/>
                <w:szCs w:val="20"/>
                <w:color w:val="auto"/>
              </w:rPr>
            </w:pPr>
            <w:r>
              <w:rPr>
                <w:rFonts w:ascii="Times New Roman" w:cs="Times New Roman" w:eastAsia="Times New Roman" w:hAnsi="Times New Roman"/>
                <w:sz w:val="18"/>
                <w:szCs w:val="18"/>
                <w:color w:val="auto"/>
              </w:rPr>
              <w:t>9,667</w:t>
            </w:r>
          </w:p>
        </w:tc>
        <w:tc>
          <w:tcPr>
            <w:tcW w:w="1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4,763</w:t>
            </w: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4360" w:type="dxa"/>
            <w:vAlign w:val="bottom"/>
            <w:gridSpan w:val="2"/>
            <w:shd w:val="clear" w:color="auto" w:fill="CFF0FC"/>
          </w:tcPr>
          <w:p>
            <w:pPr>
              <w:jc w:val="right"/>
              <w:ind w:right="2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14,218</w:t>
            </w:r>
          </w:p>
        </w:tc>
        <w:tc>
          <w:tcPr>
            <w:tcW w:w="740" w:type="dxa"/>
            <w:vAlign w:val="bottom"/>
            <w:gridSpan w:val="2"/>
            <w:shd w:val="clear" w:color="auto" w:fill="CFF0FC"/>
          </w:tcPr>
          <w:p>
            <w:pPr>
              <w:jc w:val="right"/>
              <w:ind w:right="4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9,170</w:t>
            </w:r>
          </w:p>
        </w:tc>
        <w:tc>
          <w:tcPr>
            <w:tcW w:w="0" w:type="dxa"/>
            <w:vAlign w:val="bottom"/>
          </w:tcPr>
          <w:p>
            <w:pPr>
              <w:spacing w:after="0"/>
              <w:rPr>
                <w:sz w:val="1"/>
                <w:szCs w:val="1"/>
                <w:color w:val="auto"/>
              </w:rPr>
            </w:pPr>
          </w:p>
        </w:tc>
      </w:tr>
      <w:tr>
        <w:trPr>
          <w:trHeight w:val="642"/>
        </w:trPr>
        <w:tc>
          <w:tcPr>
            <w:tcW w:w="3740" w:type="dxa"/>
            <w:vAlign w:val="bottom"/>
            <w:tcBorders>
              <w:top w:val="single" w:sz="8" w:color="CFF0FC"/>
            </w:tcBorders>
          </w:tcPr>
          <w:p>
            <w:pPr>
              <w:spacing w:after="0"/>
              <w:rPr>
                <w:sz w:val="24"/>
                <w:szCs w:val="24"/>
                <w:color w:val="auto"/>
              </w:rPr>
            </w:pPr>
          </w:p>
        </w:tc>
        <w:tc>
          <w:tcPr>
            <w:tcW w:w="400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7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-693420</wp:posOffset>
            </wp:positionV>
            <wp:extent cx="1111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-676275</wp:posOffset>
            </wp:positionV>
            <wp:extent cx="1111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9" w:name="page20"/>
    <w:bookmarkEnd w:id="19"/>
    <w:p>
      <w:pPr>
        <w:ind w:right="160" w:firstLine="659"/>
        <w:spacing w:after="0" w:line="297" w:lineRule="auto"/>
        <w:rPr>
          <w:sz w:val="20"/>
          <w:szCs w:val="20"/>
          <w:color w:val="auto"/>
        </w:rPr>
      </w:pPr>
      <w:r>
        <w:rPr>
          <w:rFonts w:ascii="Times New Roman" w:cs="Times New Roman" w:eastAsia="Times New Roman" w:hAnsi="Times New Roman"/>
          <w:sz w:val="18"/>
          <w:szCs w:val="18"/>
          <w:color w:val="auto"/>
        </w:rPr>
        <w:t>At March 31, 2026, there was $48.8 million of unrecognized compensation cost related to unvested stock option awards, which is expected to be recognized over a remaining weighted average vesting period of 2.48 years, $34.3 million of unrecognized cost related to unvested RSU awards, which is expected to be recognized over a period of 2.58 years and $6.5 million of unrecognized cost related to unvested PSU awards, which is expected to be recognized over a period of 2.00 years.</w:t>
      </w:r>
    </w:p>
    <w:p>
      <w:pPr>
        <w:spacing w:after="0" w:line="82" w:lineRule="exact"/>
        <w:rPr>
          <w:sz w:val="20"/>
          <w:szCs w:val="20"/>
          <w:color w:val="auto"/>
        </w:rPr>
      </w:pPr>
    </w:p>
    <w:p>
      <w:pPr>
        <w:ind w:right="60" w:firstLine="659"/>
        <w:spacing w:after="0" w:line="297" w:lineRule="auto"/>
        <w:rPr>
          <w:sz w:val="20"/>
          <w:szCs w:val="20"/>
          <w:color w:val="auto"/>
        </w:rPr>
      </w:pPr>
      <w:r>
        <w:rPr>
          <w:rFonts w:ascii="Times New Roman" w:cs="Times New Roman" w:eastAsia="Times New Roman" w:hAnsi="Times New Roman"/>
          <w:sz w:val="18"/>
          <w:szCs w:val="18"/>
          <w:color w:val="auto"/>
        </w:rPr>
        <w:t>On March 26, 2026, our then Chief Financial Officer and Chief Legal Officer entered into transition and separation agreements, conditioned upon and effective on the Spin-Off (as defined below). In connection with their transition and separation agreements, we modified certain equity awards and recognized approximately $2.0 million in non-cash stock-based compensation expense during the three months ended March 31, 2026.</w:t>
      </w:r>
    </w:p>
    <w:p>
      <w:pPr>
        <w:spacing w:after="0" w:line="186" w:lineRule="exact"/>
        <w:rPr>
          <w:sz w:val="20"/>
          <w:szCs w:val="20"/>
          <w:color w:val="auto"/>
        </w:rPr>
      </w:pPr>
    </w:p>
    <w:p>
      <w:pPr>
        <w:ind w:left="300" w:right="8500" w:hanging="292"/>
        <w:spacing w:after="0" w:line="417" w:lineRule="auto"/>
        <w:tabs>
          <w:tab w:leader="none" w:pos="196"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Operating Leases</w:t>
      </w:r>
    </w:p>
    <w:p>
      <w:pPr>
        <w:ind w:firstLine="659"/>
        <w:spacing w:after="0" w:line="289" w:lineRule="auto"/>
        <w:rPr>
          <w:sz w:val="20"/>
          <w:szCs w:val="20"/>
          <w:color w:val="auto"/>
        </w:rPr>
      </w:pPr>
      <w:r>
        <w:rPr>
          <w:rFonts w:ascii="Times New Roman" w:cs="Times New Roman" w:eastAsia="Times New Roman" w:hAnsi="Times New Roman"/>
          <w:sz w:val="18"/>
          <w:szCs w:val="18"/>
          <w:color w:val="auto"/>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on April 30, 2028 with the payment of a termination fee of $3.8 million plus 15 months of operating expenses and real property taxes. The exercise of the lease extension option is at our sole discretion, which we currently do not anticipate exercising and as such was not recognized as part of the right-of-use asset (the “ROU asset”) and lease liability. The monthly base rent was initially $4.20 per rentable square foot and is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consolidated balance sheets. The ROU asset includes adjustments for prepayments, initial direct costs, and lease incentives. As of March 31, 2026, we have recorded $0.3 million as a security deposit in accordance with the terms of the Lease Agreement.</w:t>
      </w:r>
    </w:p>
    <w:p>
      <w:pPr>
        <w:spacing w:after="0" w:line="93" w:lineRule="exact"/>
        <w:rPr>
          <w:sz w:val="20"/>
          <w:szCs w:val="20"/>
          <w:color w:val="auto"/>
        </w:rPr>
      </w:pPr>
    </w:p>
    <w:p>
      <w:pPr>
        <w:ind w:right="60" w:firstLine="659"/>
        <w:spacing w:after="0" w:line="293" w:lineRule="auto"/>
        <w:rPr>
          <w:sz w:val="20"/>
          <w:szCs w:val="20"/>
          <w:color w:val="auto"/>
        </w:rPr>
      </w:pPr>
      <w:r>
        <w:rPr>
          <w:rFonts w:ascii="Times New Roman" w:cs="Times New Roman" w:eastAsia="Times New Roman" w:hAnsi="Times New Roman"/>
          <w:sz w:val="18"/>
          <w:szCs w:val="18"/>
          <w:color w:val="auto"/>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4.0% and the weighted-average remaining lease term is approximately 5.4 years.</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non-cancellable office lease costs are included in our consolidated statements of cash flow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5"/>
                <w:szCs w:val="15"/>
                <w:color w:val="auto"/>
              </w:rPr>
            </w:pPr>
          </w:p>
        </w:tc>
        <w:tc>
          <w:tcPr>
            <w:tcW w:w="28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Classification on the Cash Flow</w:t>
            </w:r>
          </w:p>
        </w:tc>
        <w:tc>
          <w:tcPr>
            <w:tcW w:w="140" w:type="dxa"/>
            <w:vAlign w:val="bottom"/>
            <w:vMerge w:val="restart"/>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6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284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3"/>
        </w:trPr>
        <w:tc>
          <w:tcPr>
            <w:tcW w:w="56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shd w:val="clear" w:color="auto" w:fill="CFF0FC"/>
          </w:tcPr>
          <w:p>
            <w:pPr>
              <w:spacing w:after="0"/>
              <w:rPr>
                <w:sz w:val="15"/>
                <w:szCs w:val="15"/>
                <w:color w:val="auto"/>
              </w:rPr>
            </w:pPr>
          </w:p>
        </w:tc>
        <w:tc>
          <w:tcPr>
            <w:tcW w:w="3120" w:type="dxa"/>
            <w:vAlign w:val="bottom"/>
            <w:gridSpan w:val="3"/>
            <w:shd w:val="clear" w:color="auto" w:fill="CFF0FC"/>
          </w:tcPr>
          <w:p>
            <w:pPr>
              <w:ind w:left="2100"/>
              <w:spacing w:after="0" w:line="182" w:lineRule="exact"/>
              <w:rPr>
                <w:sz w:val="20"/>
                <w:szCs w:val="20"/>
                <w:color w:val="auto"/>
              </w:rPr>
            </w:pPr>
            <w:r>
              <w:rPr>
                <w:rFonts w:ascii="Times New Roman" w:cs="Times New Roman" w:eastAsia="Times New Roman" w:hAnsi="Times New Roman"/>
                <w:sz w:val="18"/>
                <w:szCs w:val="18"/>
                <w:color w:val="auto"/>
              </w:rPr>
              <w:t>Operating  $</w:t>
            </w:r>
          </w:p>
        </w:tc>
        <w:tc>
          <w:tcPr>
            <w:tcW w:w="1020" w:type="dxa"/>
            <w:vAlign w:val="bottom"/>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619</w:t>
            </w:r>
          </w:p>
        </w:tc>
        <w:tc>
          <w:tcPr>
            <w:tcW w:w="38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 w:type="dxa"/>
            <w:vAlign w:val="bottom"/>
          </w:tcPr>
          <w:p>
            <w:pPr>
              <w:spacing w:after="0"/>
              <w:rPr>
                <w:sz w:val="20"/>
                <w:szCs w:val="20"/>
                <w:color w:val="auto"/>
              </w:rPr>
            </w:pPr>
          </w:p>
        </w:tc>
        <w:tc>
          <w:tcPr>
            <w:tcW w:w="312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Operating</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639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2026, the future minimum annual obligations for the Company’s operating lease liabilities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 (in thousands)</w:t>
            </w:r>
          </w:p>
        </w:tc>
        <w:tc>
          <w:tcPr>
            <w:tcW w:w="5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9"/>
        </w:trPr>
        <w:tc>
          <w:tcPr>
            <w:tcW w:w="40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5900" w:type="dxa"/>
            <w:vAlign w:val="bottom"/>
            <w:gridSpan w:val="2"/>
            <w:shd w:val="clear" w:color="auto" w:fill="CFF0FC"/>
          </w:tcPr>
          <w:p>
            <w:pPr>
              <w:jc w:val="right"/>
              <w:ind w:right="6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1,968</w:t>
            </w:r>
          </w:p>
        </w:tc>
      </w:tr>
      <w:tr>
        <w:trPr>
          <w:trHeight w:val="189"/>
        </w:trPr>
        <w:tc>
          <w:tcPr>
            <w:tcW w:w="40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2027</w:t>
            </w:r>
          </w:p>
        </w:tc>
        <w:tc>
          <w:tcPr>
            <w:tcW w:w="5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2,685</w:t>
            </w:r>
          </w:p>
        </w:tc>
      </w:tr>
      <w:tr>
        <w:trPr>
          <w:trHeight w:val="189"/>
        </w:trPr>
        <w:tc>
          <w:tcPr>
            <w:tcW w:w="40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2028</w:t>
            </w:r>
          </w:p>
        </w:tc>
        <w:tc>
          <w:tcPr>
            <w:tcW w:w="5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2,766</w:t>
            </w:r>
          </w:p>
        </w:tc>
      </w:tr>
      <w:tr>
        <w:trPr>
          <w:trHeight w:val="189"/>
        </w:trPr>
        <w:tc>
          <w:tcPr>
            <w:tcW w:w="40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2029</w:t>
            </w:r>
          </w:p>
        </w:tc>
        <w:tc>
          <w:tcPr>
            <w:tcW w:w="5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2,849</w:t>
            </w:r>
          </w:p>
        </w:tc>
      </w:tr>
      <w:tr>
        <w:trPr>
          <w:trHeight w:val="189"/>
        </w:trPr>
        <w:tc>
          <w:tcPr>
            <w:tcW w:w="40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2030</w:t>
            </w:r>
          </w:p>
        </w:tc>
        <w:tc>
          <w:tcPr>
            <w:tcW w:w="5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2,934</w:t>
            </w:r>
          </w:p>
        </w:tc>
      </w:tr>
      <w:tr>
        <w:trPr>
          <w:trHeight w:val="189"/>
        </w:trPr>
        <w:tc>
          <w:tcPr>
            <w:tcW w:w="40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Thereafter</w:t>
            </w:r>
          </w:p>
        </w:tc>
        <w:tc>
          <w:tcPr>
            <w:tcW w:w="51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2,005</w:t>
            </w:r>
          </w:p>
        </w:tc>
      </w:tr>
      <w:tr>
        <w:trPr>
          <w:trHeight w:val="183"/>
        </w:trPr>
        <w:tc>
          <w:tcPr>
            <w:tcW w:w="40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minimum payments required</w:t>
            </w:r>
          </w:p>
        </w:tc>
        <w:tc>
          <w:tcPr>
            <w:tcW w:w="5900" w:type="dxa"/>
            <w:vAlign w:val="bottom"/>
            <w:gridSpan w:val="2"/>
            <w:shd w:val="clear" w:color="auto" w:fill="CFF0FC"/>
          </w:tcPr>
          <w:p>
            <w:pPr>
              <w:jc w:val="right"/>
              <w:ind w:right="6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15,207</w:t>
            </w:r>
          </w:p>
        </w:tc>
      </w:tr>
      <w:tr>
        <w:trPr>
          <w:trHeight w:val="189"/>
        </w:trPr>
        <w:tc>
          <w:tcPr>
            <w:tcW w:w="40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Less: imputed interest</w:t>
            </w:r>
          </w:p>
        </w:tc>
        <w:tc>
          <w:tcPr>
            <w:tcW w:w="51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(1,594)</w:t>
            </w:r>
          </w:p>
        </w:tc>
      </w:tr>
      <w:tr>
        <w:trPr>
          <w:trHeight w:val="223"/>
        </w:trPr>
        <w:tc>
          <w:tcPr>
            <w:tcW w:w="40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5900" w:type="dxa"/>
            <w:vAlign w:val="bottom"/>
            <w:gridSpan w:val="2"/>
            <w:shd w:val="clear" w:color="auto" w:fill="CFF0FC"/>
          </w:tcPr>
          <w:p>
            <w:pPr>
              <w:jc w:val="right"/>
              <w:ind w:right="6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13,613</w:t>
            </w:r>
          </w:p>
        </w:tc>
      </w:tr>
      <w:tr>
        <w:trPr>
          <w:trHeight w:val="777"/>
        </w:trPr>
        <w:tc>
          <w:tcPr>
            <w:tcW w:w="4080" w:type="dxa"/>
            <w:vAlign w:val="bottom"/>
            <w:tcBorders>
              <w:top w:val="single" w:sz="8" w:color="CFF0FC"/>
            </w:tcBorders>
          </w:tcPr>
          <w:p>
            <w:pPr>
              <w:spacing w:after="0"/>
              <w:rPr>
                <w:sz w:val="24"/>
                <w:szCs w:val="24"/>
                <w:color w:val="auto"/>
              </w:rPr>
            </w:pPr>
          </w:p>
        </w:tc>
        <w:tc>
          <w:tcPr>
            <w:tcW w:w="5160" w:type="dxa"/>
            <w:vAlign w:val="bottom"/>
            <w:tcBorders>
              <w:top w:val="single" w:sz="8" w:color="CFF0FC"/>
            </w:tcBorders>
          </w:tcPr>
          <w:p>
            <w:pPr>
              <w:jc w:val="right"/>
              <w:ind w:right="3430"/>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385"/>
        </w:trPr>
        <w:tc>
          <w:tcPr>
            <w:tcW w:w="40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10. Segment Reporting</w:t>
      </w:r>
    </w:p>
    <w:p>
      <w:pPr>
        <w:spacing w:after="0" w:line="148" w:lineRule="exact"/>
        <w:rPr>
          <w:sz w:val="20"/>
          <w:szCs w:val="20"/>
          <w:color w:val="auto"/>
        </w:rPr>
      </w:pPr>
    </w:p>
    <w:p>
      <w:pPr>
        <w:ind w:right="60" w:firstLine="659"/>
        <w:spacing w:after="0" w:line="294" w:lineRule="auto"/>
        <w:rPr>
          <w:sz w:val="20"/>
          <w:szCs w:val="20"/>
          <w:color w:val="auto"/>
        </w:rPr>
      </w:pPr>
      <w:r>
        <w:rPr>
          <w:rFonts w:ascii="Times New Roman" w:cs="Times New Roman" w:eastAsia="Times New Roman" w:hAnsi="Times New Roman"/>
          <w:sz w:val="18"/>
          <w:szCs w:val="18"/>
          <w:color w:val="auto"/>
        </w:rPr>
        <w:t xml:space="preserve">During fiscal year 2025, in connection with the proposed separation of our operations into two independent, publicly traded companies, our Chief Executive Officer, who is our chief operating decision maker (“CODM”), revised the information he regularly reviews in evaluating the allocation of resources and assessing operating performance. As a result of these changes, we updated our segment reporting to reflect two operating segments: Biopharma and Royalty Management. Our Biopharma segment focuses on the development and potential commercialization of innovative immunology therapeutics for autoimmune and inflammatory diseases and our Royalty Management segment manages the financial collaboration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with GSK and for imsidolimab with Vanda.</w:t>
      </w:r>
    </w:p>
    <w:p>
      <w:pPr>
        <w:spacing w:after="0" w:line="85" w:lineRule="exact"/>
        <w:rPr>
          <w:sz w:val="20"/>
          <w:szCs w:val="20"/>
          <w:color w:val="auto"/>
        </w:rPr>
      </w:pPr>
    </w:p>
    <w:p>
      <w:pPr>
        <w:jc w:val="both"/>
        <w:ind w:right="120" w:firstLine="659"/>
        <w:spacing w:after="0" w:line="305" w:lineRule="auto"/>
        <w:rPr>
          <w:sz w:val="20"/>
          <w:szCs w:val="20"/>
          <w:color w:val="auto"/>
        </w:rPr>
      </w:pPr>
      <w:r>
        <w:rPr>
          <w:rFonts w:ascii="Times New Roman" w:cs="Times New Roman" w:eastAsia="Times New Roman" w:hAnsi="Times New Roman"/>
          <w:sz w:val="18"/>
          <w:szCs w:val="18"/>
          <w:color w:val="auto"/>
        </w:rPr>
        <w:t>Segment profit or loss is measured as the net loss and is used to monitor results. Our Royalty Management segment revenue consists of non-cash royalties and milestones, and is derived from collaboration agreements. For more information, see Note 4. We do not report identifiable assets by segment as this is not a metric used by our CODM to allocate resources or evaluate performance.</w:t>
      </w:r>
    </w:p>
    <w:p>
      <w:pPr>
        <w:spacing w:after="0" w:line="61" w:lineRule="exact"/>
        <w:rPr>
          <w:sz w:val="20"/>
          <w:szCs w:val="20"/>
          <w:color w:val="auto"/>
        </w:rPr>
      </w:pPr>
    </w:p>
    <w:p>
      <w:pPr>
        <w:ind w:right="580" w:firstLine="659"/>
        <w:spacing w:after="0" w:line="313" w:lineRule="auto"/>
        <w:rPr>
          <w:sz w:val="20"/>
          <w:szCs w:val="20"/>
          <w:color w:val="auto"/>
        </w:rPr>
      </w:pPr>
      <w:r>
        <w:rPr>
          <w:rFonts w:ascii="Times New Roman" w:cs="Times New Roman" w:eastAsia="Times New Roman" w:hAnsi="Times New Roman"/>
          <w:sz w:val="18"/>
          <w:szCs w:val="18"/>
          <w:color w:val="auto"/>
        </w:rPr>
        <w:t>The following tables present our segment information for the three months ended March 31, 2026 and 2025 and are a summary of segment revenue, loss and our significant expenses. Prior periods have been recast to conform to the newly identified segments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Biopharma</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jc w:val="right"/>
              <w:ind w:right="452"/>
              <w:spacing w:after="0" w:line="118" w:lineRule="exact"/>
              <w:rPr>
                <w:sz w:val="20"/>
                <w:szCs w:val="20"/>
                <w:color w:val="auto"/>
              </w:rPr>
            </w:pPr>
            <w:r>
              <w:rPr>
                <w:rFonts w:ascii="Times New Roman" w:cs="Times New Roman" w:eastAsia="Times New Roman" w:hAnsi="Times New Roman"/>
                <w:sz w:val="13"/>
                <w:szCs w:val="13"/>
                <w:b w:val="1"/>
                <w:bCs w:val="1"/>
                <w:color w:val="auto"/>
              </w:rPr>
              <w:t>Royalty</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Collaboration revenue</w:t>
            </w:r>
          </w:p>
        </w:tc>
        <w:tc>
          <w:tcPr>
            <w:tcW w:w="202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25,556</w:t>
            </w:r>
          </w:p>
        </w:tc>
        <w:tc>
          <w:tcPr>
            <w:tcW w:w="480" w:type="dxa"/>
            <w:vAlign w:val="bottom"/>
            <w:gridSpan w:val="2"/>
            <w:shd w:val="clear" w:color="auto" w:fill="CFF0FC"/>
          </w:tcPr>
          <w:p>
            <w:pPr>
              <w:jc w:val="right"/>
              <w:ind w:right="2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25,556</w:t>
            </w:r>
          </w:p>
        </w:tc>
        <w:tc>
          <w:tcPr>
            <w:tcW w:w="0" w:type="dxa"/>
            <w:vAlign w:val="bottom"/>
          </w:tcPr>
          <w:p>
            <w:pPr>
              <w:spacing w:after="0"/>
              <w:rPr>
                <w:sz w:val="1"/>
                <w:szCs w:val="1"/>
                <w:color w:val="auto"/>
              </w:rPr>
            </w:pPr>
          </w:p>
        </w:tc>
      </w:tr>
      <w:tr>
        <w:trPr>
          <w:trHeight w:val="183"/>
        </w:trPr>
        <w:tc>
          <w:tcPr>
            <w:tcW w:w="482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Operating expenses:</w:t>
            </w:r>
          </w:p>
        </w:tc>
        <w:tc>
          <w:tcPr>
            <w:tcW w:w="18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External R&amp;D</w:t>
            </w:r>
          </w:p>
        </w:tc>
        <w:tc>
          <w:tcPr>
            <w:tcW w:w="1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ANB033</w:t>
            </w: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9,299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9,299</w:t>
            </w: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240"/>
              <w:spacing w:after="0" w:line="189" w:lineRule="exact"/>
              <w:rPr>
                <w:sz w:val="20"/>
                <w:szCs w:val="20"/>
                <w:color w:val="auto"/>
              </w:rPr>
            </w:pPr>
            <w:r>
              <w:rPr>
                <w:rFonts w:ascii="Times New Roman" w:cs="Times New Roman" w:eastAsia="Times New Roman" w:hAnsi="Times New Roman"/>
                <w:sz w:val="18"/>
                <w:szCs w:val="18"/>
                <w:color w:val="auto"/>
              </w:rPr>
              <w:t>Rosnilimab</w:t>
            </w:r>
          </w:p>
        </w:tc>
        <w:tc>
          <w:tcPr>
            <w:tcW w:w="1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4,594</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4,594</w:t>
            </w:r>
          </w:p>
        </w:tc>
        <w:tc>
          <w:tcPr>
            <w:tcW w:w="0" w:type="dxa"/>
            <w:vAlign w:val="bottom"/>
          </w:tcPr>
          <w:p>
            <w:pPr>
              <w:spacing w:after="0"/>
              <w:rPr>
                <w:sz w:val="1"/>
                <w:szCs w:val="1"/>
                <w:color w:val="auto"/>
              </w:rPr>
            </w:pPr>
          </w:p>
        </w:tc>
      </w:tr>
      <w:tr>
        <w:trPr>
          <w:trHeight w:val="189"/>
        </w:trPr>
        <w:tc>
          <w:tcPr>
            <w:tcW w:w="48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ANB101</w:t>
            </w: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1,484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240"/>
              <w:spacing w:after="0" w:line="189" w:lineRule="exact"/>
              <w:rPr>
                <w:sz w:val="20"/>
                <w:szCs w:val="20"/>
                <w:color w:val="auto"/>
              </w:rPr>
            </w:pPr>
            <w:r>
              <w:rPr>
                <w:rFonts w:ascii="Times New Roman" w:cs="Times New Roman" w:eastAsia="Times New Roman" w:hAnsi="Times New Roman"/>
                <w:sz w:val="18"/>
                <w:szCs w:val="18"/>
                <w:color w:val="auto"/>
              </w:rPr>
              <w:t>ANB032</w:t>
            </w:r>
          </w:p>
        </w:tc>
        <w:tc>
          <w:tcPr>
            <w:tcW w:w="1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57"/>
        </w:trPr>
        <w:tc>
          <w:tcPr>
            <w:tcW w:w="4820" w:type="dxa"/>
            <w:vAlign w:val="bottom"/>
          </w:tcPr>
          <w:p>
            <w:pPr>
              <w:ind w:left="240"/>
              <w:spacing w:after="0" w:line="157" w:lineRule="exact"/>
              <w:rPr>
                <w:sz w:val="20"/>
                <w:szCs w:val="20"/>
                <w:color w:val="auto"/>
              </w:rPr>
            </w:pPr>
            <w:r>
              <w:rPr>
                <w:rFonts w:ascii="Times New Roman" w:cs="Times New Roman" w:eastAsia="Times New Roman" w:hAnsi="Times New Roman"/>
                <w:sz w:val="18"/>
                <w:szCs w:val="18"/>
                <w:color w:val="auto"/>
              </w:rPr>
              <w:t>Imsidolimab</w:t>
            </w:r>
          </w:p>
        </w:tc>
        <w:tc>
          <w:tcPr>
            <w:tcW w:w="1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52"/>
              <w:spacing w:after="0" w:line="157"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32"/>
              <w:spacing w:after="0" w:line="157"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31"/>
              <w:spacing w:after="0" w:line="157"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82"/>
        </w:trPr>
        <w:tc>
          <w:tcPr>
            <w:tcW w:w="482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Preclinical and other unallocated costs</w:t>
            </w: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3,296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3,296</w:t>
            </w:r>
          </w:p>
        </w:tc>
        <w:tc>
          <w:tcPr>
            <w:tcW w:w="0" w:type="dxa"/>
            <w:vAlign w:val="bottom"/>
          </w:tcPr>
          <w:p>
            <w:pPr>
              <w:spacing w:after="0"/>
              <w:rPr>
                <w:sz w:val="1"/>
                <w:szCs w:val="1"/>
                <w:color w:val="auto"/>
              </w:rPr>
            </w:pPr>
          </w:p>
        </w:tc>
      </w:tr>
      <w:tr>
        <w:trPr>
          <w:trHeight w:val="38"/>
        </w:trPr>
        <w:tc>
          <w:tcPr>
            <w:tcW w:w="4820" w:type="dxa"/>
            <w:vAlign w:val="bottom"/>
            <w:vMerge w:val="restart"/>
          </w:tcPr>
          <w:p>
            <w:pPr>
              <w:ind w:left="240"/>
              <w:spacing w:after="0" w:line="202" w:lineRule="exact"/>
              <w:rPr>
                <w:sz w:val="20"/>
                <w:szCs w:val="20"/>
                <w:color w:val="auto"/>
              </w:rPr>
            </w:pPr>
            <w:r>
              <w:rPr>
                <w:rFonts w:ascii="Times New Roman" w:cs="Times New Roman" w:eastAsia="Times New Roman" w:hAnsi="Times New Roman"/>
                <w:sz w:val="17"/>
                <w:szCs w:val="17"/>
                <w:color w:val="auto"/>
              </w:rPr>
              <w:t>Total External R&amp;D</w:t>
            </w:r>
            <w:r>
              <w:rPr>
                <w:rFonts w:ascii="Times New Roman" w:cs="Times New Roman" w:eastAsia="Times New Roman" w:hAnsi="Times New Roman"/>
                <w:sz w:val="23"/>
                <w:szCs w:val="23"/>
                <w:color w:val="auto"/>
                <w:vertAlign w:val="superscript"/>
              </w:rPr>
              <w:t>(1)</w:t>
            </w:r>
          </w:p>
        </w:tc>
        <w:tc>
          <w:tcPr>
            <w:tcW w:w="1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4820" w:type="dxa"/>
            <w:vAlign w:val="bottom"/>
            <w:vMerge w:val="continue"/>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6"/>
                <w:szCs w:val="16"/>
                <w:color w:val="auto"/>
              </w:rPr>
              <w:t>18,642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31"/>
              <w:spacing w:after="0" w:line="144" w:lineRule="exact"/>
              <w:rPr>
                <w:sz w:val="20"/>
                <w:szCs w:val="20"/>
                <w:color w:val="auto"/>
              </w:rPr>
            </w:pPr>
            <w:r>
              <w:rPr>
                <w:rFonts w:ascii="Times New Roman" w:cs="Times New Roman" w:eastAsia="Times New Roman" w:hAnsi="Times New Roman"/>
                <w:sz w:val="16"/>
                <w:szCs w:val="16"/>
                <w:color w:val="auto"/>
              </w:rPr>
              <w:t>18,663</w:t>
            </w:r>
          </w:p>
        </w:tc>
        <w:tc>
          <w:tcPr>
            <w:tcW w:w="0" w:type="dxa"/>
            <w:vAlign w:val="bottom"/>
          </w:tcPr>
          <w:p>
            <w:pPr>
              <w:spacing w:after="0"/>
              <w:rPr>
                <w:sz w:val="1"/>
                <w:szCs w:val="1"/>
                <w:color w:val="auto"/>
              </w:rPr>
            </w:pPr>
          </w:p>
        </w:tc>
      </w:tr>
      <w:tr>
        <w:trPr>
          <w:trHeight w:val="38"/>
        </w:trPr>
        <w:tc>
          <w:tcPr>
            <w:tcW w:w="4820" w:type="dxa"/>
            <w:vAlign w:val="bottom"/>
            <w:vMerge w:val="restart"/>
          </w:tcPr>
          <w:p>
            <w:pPr>
              <w:ind w:left="240"/>
              <w:spacing w:after="0" w:line="241" w:lineRule="exact"/>
              <w:rPr>
                <w:sz w:val="20"/>
                <w:szCs w:val="20"/>
                <w:color w:val="auto"/>
              </w:rPr>
            </w:pPr>
            <w:r>
              <w:rPr>
                <w:rFonts w:ascii="Times New Roman" w:cs="Times New Roman" w:eastAsia="Times New Roman" w:hAnsi="Times New Roman"/>
                <w:sz w:val="18"/>
                <w:szCs w:val="18"/>
                <w:color w:val="auto"/>
              </w:rPr>
              <w:t>Total Internal R&amp;D</w:t>
            </w:r>
            <w:r>
              <w:rPr>
                <w:rFonts w:ascii="Times New Roman" w:cs="Times New Roman" w:eastAsia="Times New Roman" w:hAnsi="Times New Roman"/>
                <w:sz w:val="24"/>
                <w:szCs w:val="24"/>
                <w:color w:val="auto"/>
                <w:vertAlign w:val="superscript"/>
              </w:rPr>
              <w:t>(2)</w:t>
            </w:r>
          </w:p>
        </w:tc>
        <w:tc>
          <w:tcPr>
            <w:tcW w:w="1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82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15,313</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15,328</w:t>
            </w:r>
          </w:p>
        </w:tc>
        <w:tc>
          <w:tcPr>
            <w:tcW w:w="0" w:type="dxa"/>
            <w:vAlign w:val="bottom"/>
          </w:tcPr>
          <w:p>
            <w:pPr>
              <w:spacing w:after="0"/>
              <w:rPr>
                <w:sz w:val="1"/>
                <w:szCs w:val="1"/>
                <w:color w:val="auto"/>
              </w:rPr>
            </w:pPr>
          </w:p>
        </w:tc>
      </w:tr>
      <w:tr>
        <w:trPr>
          <w:trHeight w:val="183"/>
        </w:trPr>
        <w:tc>
          <w:tcPr>
            <w:tcW w:w="482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Total R&amp;D</w:t>
            </w: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33,955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33,991</w:t>
            </w:r>
          </w:p>
        </w:tc>
        <w:tc>
          <w:tcPr>
            <w:tcW w:w="0" w:type="dxa"/>
            <w:vAlign w:val="bottom"/>
          </w:tcPr>
          <w:p>
            <w:pPr>
              <w:spacing w:after="0"/>
              <w:rPr>
                <w:sz w:val="1"/>
                <w:szCs w:val="1"/>
                <w:color w:val="auto"/>
              </w:rPr>
            </w:pPr>
          </w:p>
        </w:tc>
      </w:tr>
      <w:tr>
        <w:trPr>
          <w:trHeight w:val="338"/>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External G&amp;A</w:t>
            </w:r>
            <w:r>
              <w:rPr>
                <w:rFonts w:ascii="Times New Roman" w:cs="Times New Roman" w:eastAsia="Times New Roman" w:hAnsi="Times New Roman"/>
                <w:sz w:val="24"/>
                <w:szCs w:val="24"/>
                <w:color w:val="auto"/>
                <w:vertAlign w:val="superscript"/>
              </w:rPr>
              <w:t>(3)</w:t>
            </w: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8,721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3,398</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12,119</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line="229" w:lineRule="exact"/>
              <w:rPr>
                <w:sz w:val="20"/>
                <w:szCs w:val="20"/>
                <w:color w:val="auto"/>
              </w:rPr>
            </w:pPr>
            <w:r>
              <w:rPr>
                <w:rFonts w:ascii="Times New Roman" w:cs="Times New Roman" w:eastAsia="Times New Roman" w:hAnsi="Times New Roman"/>
                <w:sz w:val="18"/>
                <w:szCs w:val="18"/>
                <w:color w:val="auto"/>
              </w:rPr>
              <w:t>Internal G&amp;A</w:t>
            </w:r>
            <w:r>
              <w:rPr>
                <w:rFonts w:ascii="Times New Roman" w:cs="Times New Roman" w:eastAsia="Times New Roman" w:hAnsi="Times New Roman"/>
                <w:sz w:val="24"/>
                <w:szCs w:val="24"/>
                <w:color w:val="auto"/>
                <w:vertAlign w:val="superscript"/>
              </w:rPr>
              <w:t>(2)</w:t>
            </w:r>
          </w:p>
        </w:tc>
        <w:tc>
          <w:tcPr>
            <w:tcW w:w="1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10,135</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3,948</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14,083</w:t>
            </w:r>
          </w:p>
        </w:tc>
        <w:tc>
          <w:tcPr>
            <w:tcW w:w="0" w:type="dxa"/>
            <w:vAlign w:val="bottom"/>
          </w:tcPr>
          <w:p>
            <w:pPr>
              <w:spacing w:after="0"/>
              <w:rPr>
                <w:sz w:val="1"/>
                <w:szCs w:val="1"/>
                <w:color w:val="auto"/>
              </w:rPr>
            </w:pPr>
          </w:p>
        </w:tc>
      </w:tr>
      <w:tr>
        <w:trPr>
          <w:trHeight w:val="183"/>
        </w:trPr>
        <w:tc>
          <w:tcPr>
            <w:tcW w:w="482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Total G&amp;A</w:t>
            </w: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18,856</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7,346</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26,202</w:t>
            </w:r>
          </w:p>
        </w:tc>
        <w:tc>
          <w:tcPr>
            <w:tcW w:w="0" w:type="dxa"/>
            <w:vAlign w:val="bottom"/>
          </w:tcPr>
          <w:p>
            <w:pPr>
              <w:spacing w:after="0"/>
              <w:rPr>
                <w:sz w:val="1"/>
                <w:szCs w:val="1"/>
                <w:color w:val="auto"/>
              </w:rPr>
            </w:pPr>
          </w:p>
        </w:tc>
      </w:tr>
      <w:tr>
        <w:trPr>
          <w:trHeight w:val="183"/>
        </w:trPr>
        <w:tc>
          <w:tcPr>
            <w:tcW w:w="4820" w:type="dxa"/>
            <w:vAlign w:val="bottom"/>
            <w:tcBorders>
              <w:bottom w:val="single" w:sz="8" w:color="CFF0FC"/>
            </w:tcBorders>
            <w:shd w:val="clear" w:color="auto" w:fill="CFF0FC"/>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 operating expenses</w:t>
            </w:r>
          </w:p>
        </w:tc>
        <w:tc>
          <w:tcPr>
            <w:tcW w:w="18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52,811</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7,382</w:t>
            </w:r>
          </w:p>
        </w:tc>
        <w:tc>
          <w:tcPr>
            <w:tcW w:w="1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60,193</w:t>
            </w:r>
          </w:p>
        </w:tc>
        <w:tc>
          <w:tcPr>
            <w:tcW w:w="0" w:type="dxa"/>
            <w:vAlign w:val="bottom"/>
          </w:tcPr>
          <w:p>
            <w:pPr>
              <w:spacing w:after="0"/>
              <w:rPr>
                <w:sz w:val="1"/>
                <w:szCs w:val="1"/>
                <w:color w:val="auto"/>
              </w:rPr>
            </w:pPr>
          </w:p>
        </w:tc>
      </w:tr>
      <w:tr>
        <w:trPr>
          <w:trHeight w:val="183"/>
        </w:trPr>
        <w:tc>
          <w:tcPr>
            <w:tcW w:w="482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(Loss) income from operations</w:t>
            </w: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(52,811)</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18,174</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(34,637)</w:t>
            </w:r>
          </w:p>
        </w:tc>
        <w:tc>
          <w:tcPr>
            <w:tcW w:w="0" w:type="dxa"/>
            <w:vAlign w:val="bottom"/>
          </w:tcPr>
          <w:p>
            <w:pPr>
              <w:spacing w:after="0"/>
              <w:rPr>
                <w:sz w:val="1"/>
                <w:szCs w:val="1"/>
                <w:color w:val="auto"/>
              </w:rPr>
            </w:pPr>
          </w:p>
        </w:tc>
      </w:tr>
      <w:tr>
        <w:trPr>
          <w:trHeight w:val="183"/>
        </w:trPr>
        <w:tc>
          <w:tcPr>
            <w:tcW w:w="482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2,328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2,653</w:t>
            </w: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240"/>
              <w:spacing w:after="0" w:line="189" w:lineRule="exact"/>
              <w:rPr>
                <w:sz w:val="20"/>
                <w:szCs w:val="20"/>
                <w:color w:val="auto"/>
              </w:rPr>
            </w:pPr>
            <w:r>
              <w:rPr>
                <w:rFonts w:ascii="Times New Roman" w:cs="Times New Roman" w:eastAsia="Times New Roman" w:hAnsi="Times New Roman"/>
                <w:sz w:val="18"/>
                <w:szCs w:val="18"/>
                <w:color w:val="auto"/>
              </w:rPr>
              <w:t>Non-cash interest expense</w:t>
            </w:r>
          </w:p>
        </w:tc>
        <w:tc>
          <w:tcPr>
            <w:tcW w:w="1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(20,859)</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(20,859)</w:t>
            </w:r>
          </w:p>
        </w:tc>
        <w:tc>
          <w:tcPr>
            <w:tcW w:w="0" w:type="dxa"/>
            <w:vAlign w:val="bottom"/>
          </w:tcPr>
          <w:p>
            <w:pPr>
              <w:spacing w:after="0"/>
              <w:rPr>
                <w:sz w:val="1"/>
                <w:szCs w:val="1"/>
                <w:color w:val="auto"/>
              </w:rPr>
            </w:pPr>
          </w:p>
        </w:tc>
      </w:tr>
      <w:tr>
        <w:trPr>
          <w:trHeight w:val="189"/>
        </w:trPr>
        <w:tc>
          <w:tcPr>
            <w:tcW w:w="48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Other expense, net</w:t>
            </w:r>
          </w:p>
        </w:tc>
        <w:tc>
          <w:tcPr>
            <w:tcW w:w="1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4820" w:type="dxa"/>
            <w:vAlign w:val="bottom"/>
            <w:tcBorders>
              <w:bottom w:val="single" w:sz="8" w:color="CFF0FC"/>
            </w:tcBorders>
            <w:shd w:val="clear" w:color="auto" w:fill="CFF0FC"/>
          </w:tcPr>
          <w:p>
            <w:pPr>
              <w:ind w:left="240"/>
              <w:spacing w:after="0" w:line="182"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18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2,327</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(20,534)</w:t>
            </w:r>
          </w:p>
        </w:tc>
        <w:tc>
          <w:tcPr>
            <w:tcW w:w="1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(18,207)</w:t>
            </w: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Loss before income taxes</w:t>
            </w:r>
          </w:p>
        </w:tc>
        <w:tc>
          <w:tcPr>
            <w:tcW w:w="18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(50,484)</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(2,360)</w:t>
            </w:r>
          </w:p>
        </w:tc>
        <w:tc>
          <w:tcPr>
            <w:tcW w:w="1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(52,844)</w:t>
            </w:r>
          </w:p>
        </w:tc>
        <w:tc>
          <w:tcPr>
            <w:tcW w:w="0" w:type="dxa"/>
            <w:vAlign w:val="bottom"/>
          </w:tcPr>
          <w:p>
            <w:pPr>
              <w:spacing w:after="0"/>
              <w:rPr>
                <w:sz w:val="1"/>
                <w:szCs w:val="1"/>
                <w:color w:val="auto"/>
              </w:rPr>
            </w:pPr>
          </w:p>
        </w:tc>
      </w:tr>
      <w:tr>
        <w:trPr>
          <w:trHeight w:val="183"/>
        </w:trPr>
        <w:tc>
          <w:tcPr>
            <w:tcW w:w="482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Provision for income taxes</w:t>
            </w: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shd w:val="clear" w:color="auto" w:fill="CFF0FC"/>
          </w:tcPr>
          <w:p>
            <w:pPr>
              <w:ind w:left="240"/>
              <w:spacing w:after="0" w:line="182" w:lineRule="exact"/>
              <w:rPr>
                <w:sz w:val="20"/>
                <w:szCs w:val="20"/>
                <w:color w:val="auto"/>
              </w:rPr>
            </w:pPr>
            <w:r>
              <w:rPr>
                <w:rFonts w:ascii="Times New Roman" w:cs="Times New Roman" w:eastAsia="Times New Roman" w:hAnsi="Times New Roman"/>
                <w:sz w:val="18"/>
                <w:szCs w:val="18"/>
                <w:color w:val="auto"/>
              </w:rPr>
              <w:t>Segment net loss</w:t>
            </w:r>
          </w:p>
        </w:tc>
        <w:tc>
          <w:tcPr>
            <w:tcW w:w="1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(50,484)</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(2,400)</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(52,884)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-3256915</wp:posOffset>
            </wp:positionV>
            <wp:extent cx="1028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-3256915</wp:posOffset>
            </wp:positionV>
            <wp:extent cx="939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-2407920</wp:posOffset>
            </wp:positionV>
            <wp:extent cx="7132320"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-2150745</wp:posOffset>
            </wp:positionV>
            <wp:extent cx="7132320"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-1285240</wp:posOffset>
            </wp:positionV>
            <wp:extent cx="102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-1285240</wp:posOffset>
            </wp:positionV>
            <wp:extent cx="939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-539750</wp:posOffset>
            </wp:positionV>
            <wp:extent cx="1028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-539750</wp:posOffset>
            </wp:positionV>
            <wp:extent cx="93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-282575</wp:posOffset>
            </wp:positionV>
            <wp:extent cx="1028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-282575</wp:posOffset>
            </wp:positionV>
            <wp:extent cx="93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1028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1028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93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93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18" w:lineRule="exact"/>
        <w:rPr>
          <w:sz w:val="20"/>
          <w:szCs w:val="20"/>
          <w:color w:val="auto"/>
        </w:rPr>
      </w:pPr>
    </w:p>
    <w:p>
      <w:pPr>
        <w:ind w:left="520" w:right="280" w:hanging="512"/>
        <w:spacing w:after="0" w:line="249" w:lineRule="auto"/>
        <w:tabs>
          <w:tab w:leader="none" w:pos="52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External R&amp;D consists of costs associated with our research and development activities, including drug discovery efforts, preclinical and clinical development of our programs, manufacturing, and allocated facility-related costs.</w:t>
      </w:r>
    </w:p>
    <w:p>
      <w:pPr>
        <w:spacing w:after="0" w:line="64" w:lineRule="exact"/>
        <w:rPr>
          <w:rFonts w:ascii="Times New Roman" w:cs="Times New Roman" w:eastAsia="Times New Roman" w:hAnsi="Times New Roman"/>
          <w:sz w:val="24"/>
          <w:szCs w:val="24"/>
          <w:color w:val="auto"/>
          <w:vertAlign w:val="superscript"/>
        </w:rPr>
      </w:pPr>
    </w:p>
    <w:p>
      <w:pPr>
        <w:ind w:left="520" w:hanging="512"/>
        <w:spacing w:after="0"/>
        <w:tabs>
          <w:tab w:leader="none" w:pos="52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Internal R&amp;D and G&amp;A consist of salaries and wages, stock-based compensation, recruiting and other employee benefits.</w:t>
      </w:r>
    </w:p>
    <w:p>
      <w:pPr>
        <w:spacing w:after="0" w:line="116" w:lineRule="exact"/>
        <w:rPr>
          <w:rFonts w:ascii="Times New Roman" w:cs="Times New Roman" w:eastAsia="Times New Roman" w:hAnsi="Times New Roman"/>
          <w:sz w:val="24"/>
          <w:szCs w:val="24"/>
          <w:color w:val="auto"/>
          <w:vertAlign w:val="superscript"/>
        </w:rPr>
      </w:pPr>
    </w:p>
    <w:p>
      <w:pPr>
        <w:ind w:left="520" w:right="160" w:hanging="512"/>
        <w:spacing w:after="0" w:line="249" w:lineRule="auto"/>
        <w:tabs>
          <w:tab w:leader="none" w:pos="52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External G&amp;A consists of general and administrative expenses including transaction costs, legal services, insurance, professional fees for auditing, tax, and market research, and allocated facility-related costs not otherwise included in research and development expenses.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Biopharma</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right"/>
              <w:ind w:right="452"/>
              <w:spacing w:after="0" w:line="131" w:lineRule="exact"/>
              <w:rPr>
                <w:sz w:val="20"/>
                <w:szCs w:val="20"/>
                <w:color w:val="auto"/>
              </w:rPr>
            </w:pPr>
            <w:r>
              <w:rPr>
                <w:rFonts w:ascii="Times New Roman" w:cs="Times New Roman" w:eastAsia="Times New Roman" w:hAnsi="Times New Roman"/>
                <w:sz w:val="14"/>
                <w:szCs w:val="14"/>
                <w:b w:val="1"/>
                <w:bCs w:val="1"/>
                <w:color w:val="auto"/>
              </w:rPr>
              <w:t>Royalty</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92"/>
              <w:spacing w:after="0" w:line="160" w:lineRule="exact"/>
              <w:rPr>
                <w:sz w:val="20"/>
                <w:szCs w:val="20"/>
                <w:color w:val="auto"/>
              </w:rPr>
            </w:pPr>
            <w:r>
              <w:rPr>
                <w:rFonts w:ascii="Times New Roman" w:cs="Times New Roman" w:eastAsia="Times New Roman" w:hAnsi="Times New Roman"/>
                <w:sz w:val="14"/>
                <w:szCs w:val="14"/>
                <w:b w:val="1"/>
                <w:bCs w:val="1"/>
                <w:color w:val="auto"/>
              </w:rPr>
              <w:t>Management</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8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Collaboration revenue</w:t>
            </w:r>
          </w:p>
        </w:tc>
        <w:tc>
          <w:tcPr>
            <w:tcW w:w="202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27,771</w:t>
            </w:r>
          </w:p>
        </w:tc>
        <w:tc>
          <w:tcPr>
            <w:tcW w:w="480" w:type="dxa"/>
            <w:vAlign w:val="bottom"/>
            <w:gridSpan w:val="2"/>
            <w:shd w:val="clear" w:color="auto" w:fill="CFF0FC"/>
          </w:tcPr>
          <w:p>
            <w:pPr>
              <w:jc w:val="right"/>
              <w:ind w:right="2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27,771</w:t>
            </w:r>
          </w:p>
        </w:tc>
        <w:tc>
          <w:tcPr>
            <w:tcW w:w="0" w:type="dxa"/>
            <w:vAlign w:val="bottom"/>
          </w:tcPr>
          <w:p>
            <w:pPr>
              <w:spacing w:after="0"/>
              <w:rPr>
                <w:sz w:val="1"/>
                <w:szCs w:val="1"/>
                <w:color w:val="auto"/>
              </w:rPr>
            </w:pPr>
          </w:p>
        </w:tc>
      </w:tr>
      <w:tr>
        <w:trPr>
          <w:trHeight w:val="183"/>
        </w:trPr>
        <w:tc>
          <w:tcPr>
            <w:tcW w:w="482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Operating expenses:</w:t>
            </w:r>
          </w:p>
        </w:tc>
        <w:tc>
          <w:tcPr>
            <w:tcW w:w="18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External R&amp;D</w:t>
            </w:r>
          </w:p>
        </w:tc>
        <w:tc>
          <w:tcPr>
            <w:tcW w:w="1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Rosnilimab</w:t>
            </w: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15,026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15,026</w:t>
            </w: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240"/>
              <w:spacing w:after="0" w:line="189" w:lineRule="exact"/>
              <w:rPr>
                <w:sz w:val="20"/>
                <w:szCs w:val="20"/>
                <w:color w:val="auto"/>
              </w:rPr>
            </w:pPr>
            <w:r>
              <w:rPr>
                <w:rFonts w:ascii="Times New Roman" w:cs="Times New Roman" w:eastAsia="Times New Roman" w:hAnsi="Times New Roman"/>
                <w:sz w:val="18"/>
                <w:szCs w:val="18"/>
                <w:color w:val="auto"/>
              </w:rPr>
              <w:t>ANB032</w:t>
            </w:r>
          </w:p>
        </w:tc>
        <w:tc>
          <w:tcPr>
            <w:tcW w:w="1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3,536</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3,536</w:t>
            </w:r>
          </w:p>
        </w:tc>
        <w:tc>
          <w:tcPr>
            <w:tcW w:w="0" w:type="dxa"/>
            <w:vAlign w:val="bottom"/>
          </w:tcPr>
          <w:p>
            <w:pPr>
              <w:spacing w:after="0"/>
              <w:rPr>
                <w:sz w:val="1"/>
                <w:szCs w:val="1"/>
                <w:color w:val="auto"/>
              </w:rPr>
            </w:pPr>
          </w:p>
        </w:tc>
      </w:tr>
      <w:tr>
        <w:trPr>
          <w:trHeight w:val="189"/>
        </w:trPr>
        <w:tc>
          <w:tcPr>
            <w:tcW w:w="48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ANB033</w:t>
            </w: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3,803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3,803</w:t>
            </w: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240"/>
              <w:spacing w:after="0" w:line="189" w:lineRule="exact"/>
              <w:rPr>
                <w:sz w:val="20"/>
                <w:szCs w:val="20"/>
                <w:color w:val="auto"/>
              </w:rPr>
            </w:pPr>
            <w:r>
              <w:rPr>
                <w:rFonts w:ascii="Times New Roman" w:cs="Times New Roman" w:eastAsia="Times New Roman" w:hAnsi="Times New Roman"/>
                <w:sz w:val="18"/>
                <w:szCs w:val="18"/>
                <w:color w:val="auto"/>
              </w:rPr>
              <w:t>ANB101</w:t>
            </w:r>
          </w:p>
        </w:tc>
        <w:tc>
          <w:tcPr>
            <w:tcW w:w="1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1,481</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157"/>
        </w:trPr>
        <w:tc>
          <w:tcPr>
            <w:tcW w:w="4820" w:type="dxa"/>
            <w:vAlign w:val="bottom"/>
          </w:tcPr>
          <w:p>
            <w:pPr>
              <w:ind w:left="240"/>
              <w:spacing w:after="0" w:line="157" w:lineRule="exact"/>
              <w:rPr>
                <w:sz w:val="20"/>
                <w:szCs w:val="20"/>
                <w:color w:val="auto"/>
              </w:rPr>
            </w:pPr>
            <w:r>
              <w:rPr>
                <w:rFonts w:ascii="Times New Roman" w:cs="Times New Roman" w:eastAsia="Times New Roman" w:hAnsi="Times New Roman"/>
                <w:sz w:val="18"/>
                <w:szCs w:val="18"/>
                <w:color w:val="auto"/>
              </w:rPr>
              <w:t>Imsidolimab</w:t>
            </w:r>
          </w:p>
        </w:tc>
        <w:tc>
          <w:tcPr>
            <w:tcW w:w="1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52"/>
              <w:spacing w:after="0" w:line="157"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182"/>
        </w:trPr>
        <w:tc>
          <w:tcPr>
            <w:tcW w:w="482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Preclinical and other unallocated costs</w:t>
            </w: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3,932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3,932</w:t>
            </w:r>
          </w:p>
        </w:tc>
        <w:tc>
          <w:tcPr>
            <w:tcW w:w="0" w:type="dxa"/>
            <w:vAlign w:val="bottom"/>
          </w:tcPr>
          <w:p>
            <w:pPr>
              <w:spacing w:after="0"/>
              <w:rPr>
                <w:sz w:val="1"/>
                <w:szCs w:val="1"/>
                <w:color w:val="auto"/>
              </w:rPr>
            </w:pPr>
          </w:p>
        </w:tc>
      </w:tr>
      <w:tr>
        <w:trPr>
          <w:trHeight w:val="38"/>
        </w:trPr>
        <w:tc>
          <w:tcPr>
            <w:tcW w:w="4820" w:type="dxa"/>
            <w:vAlign w:val="bottom"/>
            <w:vMerge w:val="restart"/>
          </w:tcPr>
          <w:p>
            <w:pPr>
              <w:ind w:left="240"/>
              <w:spacing w:after="0" w:line="202" w:lineRule="exact"/>
              <w:rPr>
                <w:sz w:val="20"/>
                <w:szCs w:val="20"/>
                <w:color w:val="auto"/>
              </w:rPr>
            </w:pPr>
            <w:r>
              <w:rPr>
                <w:rFonts w:ascii="Times New Roman" w:cs="Times New Roman" w:eastAsia="Times New Roman" w:hAnsi="Times New Roman"/>
                <w:sz w:val="17"/>
                <w:szCs w:val="17"/>
                <w:color w:val="auto"/>
              </w:rPr>
              <w:t>Total External R&amp;D</w:t>
            </w:r>
            <w:r>
              <w:rPr>
                <w:rFonts w:ascii="Times New Roman" w:cs="Times New Roman" w:eastAsia="Times New Roman" w:hAnsi="Times New Roman"/>
                <w:sz w:val="23"/>
                <w:szCs w:val="23"/>
                <w:color w:val="auto"/>
                <w:vertAlign w:val="superscript"/>
              </w:rPr>
              <w:t>(1)</w:t>
            </w:r>
          </w:p>
        </w:tc>
        <w:tc>
          <w:tcPr>
            <w:tcW w:w="1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4820" w:type="dxa"/>
            <w:vAlign w:val="bottom"/>
            <w:vMerge w:val="continue"/>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6"/>
                <w:szCs w:val="16"/>
                <w:color w:val="auto"/>
              </w:rPr>
              <w:t>27,778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rPr>
              <w:t>(189)</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31"/>
              <w:spacing w:after="0" w:line="144" w:lineRule="exact"/>
              <w:rPr>
                <w:sz w:val="20"/>
                <w:szCs w:val="20"/>
                <w:color w:val="auto"/>
              </w:rPr>
            </w:pPr>
            <w:r>
              <w:rPr>
                <w:rFonts w:ascii="Times New Roman" w:cs="Times New Roman" w:eastAsia="Times New Roman" w:hAnsi="Times New Roman"/>
                <w:sz w:val="16"/>
                <w:szCs w:val="16"/>
                <w:color w:val="auto"/>
              </w:rPr>
              <w:t>27,589</w:t>
            </w:r>
          </w:p>
        </w:tc>
        <w:tc>
          <w:tcPr>
            <w:tcW w:w="0" w:type="dxa"/>
            <w:vAlign w:val="bottom"/>
          </w:tcPr>
          <w:p>
            <w:pPr>
              <w:spacing w:after="0"/>
              <w:rPr>
                <w:sz w:val="1"/>
                <w:szCs w:val="1"/>
                <w:color w:val="auto"/>
              </w:rPr>
            </w:pPr>
          </w:p>
        </w:tc>
      </w:tr>
      <w:tr>
        <w:trPr>
          <w:trHeight w:val="38"/>
        </w:trPr>
        <w:tc>
          <w:tcPr>
            <w:tcW w:w="4820" w:type="dxa"/>
            <w:vAlign w:val="bottom"/>
            <w:vMerge w:val="restart"/>
          </w:tcPr>
          <w:p>
            <w:pPr>
              <w:ind w:left="240"/>
              <w:spacing w:after="0" w:line="241" w:lineRule="exact"/>
              <w:rPr>
                <w:sz w:val="20"/>
                <w:szCs w:val="20"/>
                <w:color w:val="auto"/>
              </w:rPr>
            </w:pPr>
            <w:r>
              <w:rPr>
                <w:rFonts w:ascii="Times New Roman" w:cs="Times New Roman" w:eastAsia="Times New Roman" w:hAnsi="Times New Roman"/>
                <w:sz w:val="18"/>
                <w:szCs w:val="18"/>
                <w:color w:val="auto"/>
              </w:rPr>
              <w:t>Total Internal R&amp;D</w:t>
            </w:r>
            <w:r>
              <w:rPr>
                <w:rFonts w:ascii="Times New Roman" w:cs="Times New Roman" w:eastAsia="Times New Roman" w:hAnsi="Times New Roman"/>
                <w:sz w:val="24"/>
                <w:szCs w:val="24"/>
                <w:color w:val="auto"/>
                <w:vertAlign w:val="superscript"/>
              </w:rPr>
              <w:t>(2)</w:t>
            </w:r>
          </w:p>
        </w:tc>
        <w:tc>
          <w:tcPr>
            <w:tcW w:w="1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82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13,687</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13,591</w:t>
            </w:r>
          </w:p>
        </w:tc>
        <w:tc>
          <w:tcPr>
            <w:tcW w:w="0" w:type="dxa"/>
            <w:vAlign w:val="bottom"/>
          </w:tcPr>
          <w:p>
            <w:pPr>
              <w:spacing w:after="0"/>
              <w:rPr>
                <w:sz w:val="1"/>
                <w:szCs w:val="1"/>
                <w:color w:val="auto"/>
              </w:rPr>
            </w:pPr>
          </w:p>
        </w:tc>
      </w:tr>
      <w:tr>
        <w:trPr>
          <w:trHeight w:val="183"/>
        </w:trPr>
        <w:tc>
          <w:tcPr>
            <w:tcW w:w="482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R&amp;D</w:t>
            </w: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41,465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41,180</w:t>
            </w:r>
          </w:p>
        </w:tc>
        <w:tc>
          <w:tcPr>
            <w:tcW w:w="0" w:type="dxa"/>
            <w:vAlign w:val="bottom"/>
          </w:tcPr>
          <w:p>
            <w:pPr>
              <w:spacing w:after="0"/>
              <w:rPr>
                <w:sz w:val="1"/>
                <w:szCs w:val="1"/>
                <w:color w:val="auto"/>
              </w:rPr>
            </w:pPr>
          </w:p>
        </w:tc>
      </w:tr>
      <w:tr>
        <w:trPr>
          <w:trHeight w:val="338"/>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External G&amp;A</w:t>
            </w:r>
            <w:r>
              <w:rPr>
                <w:rFonts w:ascii="Times New Roman" w:cs="Times New Roman" w:eastAsia="Times New Roman" w:hAnsi="Times New Roman"/>
                <w:sz w:val="24"/>
                <w:szCs w:val="24"/>
                <w:color w:val="auto"/>
                <w:vertAlign w:val="superscript"/>
              </w:rPr>
              <w:t>(3)</w:t>
            </w: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3,848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1,692</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5,540</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line="229" w:lineRule="exact"/>
              <w:rPr>
                <w:sz w:val="20"/>
                <w:szCs w:val="20"/>
                <w:color w:val="auto"/>
              </w:rPr>
            </w:pPr>
            <w:r>
              <w:rPr>
                <w:rFonts w:ascii="Times New Roman" w:cs="Times New Roman" w:eastAsia="Times New Roman" w:hAnsi="Times New Roman"/>
                <w:sz w:val="18"/>
                <w:szCs w:val="18"/>
                <w:color w:val="auto"/>
              </w:rPr>
              <w:t>Internal G&amp;A</w:t>
            </w:r>
            <w:r>
              <w:rPr>
                <w:rFonts w:ascii="Times New Roman" w:cs="Times New Roman" w:eastAsia="Times New Roman" w:hAnsi="Times New Roman"/>
                <w:sz w:val="24"/>
                <w:szCs w:val="24"/>
                <w:color w:val="auto"/>
                <w:vertAlign w:val="superscript"/>
              </w:rPr>
              <w:t>(2)</w:t>
            </w:r>
          </w:p>
        </w:tc>
        <w:tc>
          <w:tcPr>
            <w:tcW w:w="1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5,967</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2,623</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8,590</w:t>
            </w:r>
          </w:p>
        </w:tc>
        <w:tc>
          <w:tcPr>
            <w:tcW w:w="0" w:type="dxa"/>
            <w:vAlign w:val="bottom"/>
          </w:tcPr>
          <w:p>
            <w:pPr>
              <w:spacing w:after="0"/>
              <w:rPr>
                <w:sz w:val="1"/>
                <w:szCs w:val="1"/>
                <w:color w:val="auto"/>
              </w:rPr>
            </w:pPr>
          </w:p>
        </w:tc>
      </w:tr>
      <w:tr>
        <w:trPr>
          <w:trHeight w:val="183"/>
        </w:trPr>
        <w:tc>
          <w:tcPr>
            <w:tcW w:w="482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 G&amp;A</w:t>
            </w: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9,815</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4,315</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14,130</w:t>
            </w:r>
          </w:p>
        </w:tc>
        <w:tc>
          <w:tcPr>
            <w:tcW w:w="0" w:type="dxa"/>
            <w:vAlign w:val="bottom"/>
          </w:tcPr>
          <w:p>
            <w:pPr>
              <w:spacing w:after="0"/>
              <w:rPr>
                <w:sz w:val="1"/>
                <w:szCs w:val="1"/>
                <w:color w:val="auto"/>
              </w:rPr>
            </w:pPr>
          </w:p>
        </w:tc>
      </w:tr>
      <w:tr>
        <w:trPr>
          <w:trHeight w:val="183"/>
        </w:trPr>
        <w:tc>
          <w:tcPr>
            <w:tcW w:w="4820" w:type="dxa"/>
            <w:vAlign w:val="bottom"/>
            <w:tcBorders>
              <w:bottom w:val="single" w:sz="8" w:color="CFF0FC"/>
            </w:tcBorders>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operating expenses</w:t>
            </w:r>
          </w:p>
        </w:tc>
        <w:tc>
          <w:tcPr>
            <w:tcW w:w="18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51,280</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4,030</w:t>
            </w:r>
          </w:p>
        </w:tc>
        <w:tc>
          <w:tcPr>
            <w:tcW w:w="1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55,310</w:t>
            </w:r>
          </w:p>
        </w:tc>
        <w:tc>
          <w:tcPr>
            <w:tcW w:w="0" w:type="dxa"/>
            <w:vAlign w:val="bottom"/>
          </w:tcPr>
          <w:p>
            <w:pPr>
              <w:spacing w:after="0"/>
              <w:rPr>
                <w:sz w:val="1"/>
                <w:szCs w:val="1"/>
                <w:color w:val="auto"/>
              </w:rPr>
            </w:pPr>
          </w:p>
        </w:tc>
      </w:tr>
      <w:tr>
        <w:trPr>
          <w:trHeight w:val="183"/>
        </w:trPr>
        <w:tc>
          <w:tcPr>
            <w:tcW w:w="482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(Loss) income from operations</w:t>
            </w: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(51,280)</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23,741</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(27,539)</w:t>
            </w:r>
          </w:p>
        </w:tc>
        <w:tc>
          <w:tcPr>
            <w:tcW w:w="0" w:type="dxa"/>
            <w:vAlign w:val="bottom"/>
          </w:tcPr>
          <w:p>
            <w:pPr>
              <w:spacing w:after="0"/>
              <w:rPr>
                <w:sz w:val="1"/>
                <w:szCs w:val="1"/>
                <w:color w:val="auto"/>
              </w:rPr>
            </w:pPr>
          </w:p>
        </w:tc>
      </w:tr>
      <w:tr>
        <w:trPr>
          <w:trHeight w:val="183"/>
        </w:trPr>
        <w:tc>
          <w:tcPr>
            <w:tcW w:w="482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4,091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4,413</w:t>
            </w: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240"/>
              <w:spacing w:after="0" w:line="189" w:lineRule="exact"/>
              <w:rPr>
                <w:sz w:val="20"/>
                <w:szCs w:val="20"/>
                <w:color w:val="auto"/>
              </w:rPr>
            </w:pPr>
            <w:r>
              <w:rPr>
                <w:rFonts w:ascii="Times New Roman" w:cs="Times New Roman" w:eastAsia="Times New Roman" w:hAnsi="Times New Roman"/>
                <w:sz w:val="18"/>
                <w:szCs w:val="18"/>
                <w:color w:val="auto"/>
              </w:rPr>
              <w:t>Non-cash interest expense</w:t>
            </w:r>
          </w:p>
        </w:tc>
        <w:tc>
          <w:tcPr>
            <w:tcW w:w="1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(18,061)</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(18,061)</w:t>
            </w:r>
          </w:p>
        </w:tc>
        <w:tc>
          <w:tcPr>
            <w:tcW w:w="0" w:type="dxa"/>
            <w:vAlign w:val="bottom"/>
          </w:tcPr>
          <w:p>
            <w:pPr>
              <w:spacing w:after="0"/>
              <w:rPr>
                <w:sz w:val="1"/>
                <w:szCs w:val="1"/>
                <w:color w:val="auto"/>
              </w:rPr>
            </w:pPr>
          </w:p>
        </w:tc>
      </w:tr>
      <w:tr>
        <w:trPr>
          <w:trHeight w:val="189"/>
        </w:trPr>
        <w:tc>
          <w:tcPr>
            <w:tcW w:w="48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Other (loss) income, net</w:t>
            </w:r>
          </w:p>
        </w:tc>
        <w:tc>
          <w:tcPr>
            <w:tcW w:w="1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1,909</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1,902</w:t>
            </w:r>
          </w:p>
        </w:tc>
        <w:tc>
          <w:tcPr>
            <w:tcW w:w="0" w:type="dxa"/>
            <w:vAlign w:val="bottom"/>
          </w:tcPr>
          <w:p>
            <w:pPr>
              <w:spacing w:after="0"/>
              <w:rPr>
                <w:sz w:val="1"/>
                <w:szCs w:val="1"/>
                <w:color w:val="auto"/>
              </w:rPr>
            </w:pPr>
          </w:p>
        </w:tc>
      </w:tr>
      <w:tr>
        <w:trPr>
          <w:trHeight w:val="183"/>
        </w:trPr>
        <w:tc>
          <w:tcPr>
            <w:tcW w:w="4820" w:type="dxa"/>
            <w:vAlign w:val="bottom"/>
            <w:tcBorders>
              <w:bottom w:val="single" w:sz="8" w:color="CFF0FC"/>
            </w:tcBorders>
            <w:shd w:val="clear" w:color="auto" w:fill="CFF0FC"/>
          </w:tcPr>
          <w:p>
            <w:pPr>
              <w:ind w:left="240"/>
              <w:spacing w:after="0" w:line="182"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18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4,084</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(15,830)</w:t>
            </w:r>
          </w:p>
        </w:tc>
        <w:tc>
          <w:tcPr>
            <w:tcW w:w="1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(11,746)</w:t>
            </w: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(Loss) income before income taxes</w:t>
            </w:r>
          </w:p>
        </w:tc>
        <w:tc>
          <w:tcPr>
            <w:tcW w:w="18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(47,196)</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7,911</w:t>
            </w:r>
          </w:p>
        </w:tc>
        <w:tc>
          <w:tcPr>
            <w:tcW w:w="1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(39,285)</w:t>
            </w:r>
          </w:p>
        </w:tc>
        <w:tc>
          <w:tcPr>
            <w:tcW w:w="0" w:type="dxa"/>
            <w:vAlign w:val="bottom"/>
          </w:tcPr>
          <w:p>
            <w:pPr>
              <w:spacing w:after="0"/>
              <w:rPr>
                <w:sz w:val="1"/>
                <w:szCs w:val="1"/>
                <w:color w:val="auto"/>
              </w:rPr>
            </w:pPr>
          </w:p>
        </w:tc>
      </w:tr>
      <w:tr>
        <w:trPr>
          <w:trHeight w:val="183"/>
        </w:trPr>
        <w:tc>
          <w:tcPr>
            <w:tcW w:w="482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Provision for income taxes</w:t>
            </w: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shd w:val="clear" w:color="auto" w:fill="CFF0FC"/>
          </w:tcPr>
          <w:p>
            <w:pPr>
              <w:ind w:left="240"/>
              <w:spacing w:after="0" w:line="182" w:lineRule="exact"/>
              <w:rPr>
                <w:sz w:val="20"/>
                <w:szCs w:val="20"/>
                <w:color w:val="auto"/>
              </w:rPr>
            </w:pPr>
            <w:r>
              <w:rPr>
                <w:rFonts w:ascii="Times New Roman" w:cs="Times New Roman" w:eastAsia="Times New Roman" w:hAnsi="Times New Roman"/>
                <w:sz w:val="18"/>
                <w:szCs w:val="18"/>
                <w:color w:val="auto"/>
              </w:rPr>
              <w:t>Segment net (loss) income</w:t>
            </w:r>
          </w:p>
        </w:tc>
        <w:tc>
          <w:tcPr>
            <w:tcW w:w="1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(47,196)</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7,867</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(39,329)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120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-3256915</wp:posOffset>
            </wp:positionV>
            <wp:extent cx="1028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-3256915</wp:posOffset>
            </wp:positionV>
            <wp:extent cx="93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-2407920</wp:posOffset>
            </wp:positionV>
            <wp:extent cx="7132320"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-2150745</wp:posOffset>
            </wp:positionV>
            <wp:extent cx="7132320"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-1285240</wp:posOffset>
            </wp:positionV>
            <wp:extent cx="1028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-1285240</wp:posOffset>
            </wp:positionV>
            <wp:extent cx="939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-539115</wp:posOffset>
            </wp:positionV>
            <wp:extent cx="102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-539115</wp:posOffset>
            </wp:positionV>
            <wp:extent cx="939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-281940</wp:posOffset>
            </wp:positionV>
            <wp:extent cx="1028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-281940</wp:posOffset>
            </wp:positionV>
            <wp:extent cx="939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32" w:lineRule="exact"/>
        <w:rPr>
          <w:sz w:val="20"/>
          <w:szCs w:val="20"/>
          <w:color w:val="auto"/>
        </w:rPr>
      </w:pPr>
    </w:p>
    <w:p>
      <w:pPr>
        <w:ind w:left="520" w:right="280" w:hanging="512"/>
        <w:spacing w:after="0" w:line="237" w:lineRule="auto"/>
        <w:tabs>
          <w:tab w:leader="none" w:pos="52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External R&amp;D consists of costs associated with our research and development activities, including drug discovery efforts, preclinical and clinical development of our programs, manufacturing, and allocated facility-related costs.</w:t>
      </w:r>
    </w:p>
    <w:p>
      <w:pPr>
        <w:spacing w:after="0" w:line="75" w:lineRule="exact"/>
        <w:rPr>
          <w:rFonts w:ascii="Times New Roman" w:cs="Times New Roman" w:eastAsia="Times New Roman" w:hAnsi="Times New Roman"/>
          <w:sz w:val="24"/>
          <w:szCs w:val="24"/>
          <w:color w:val="auto"/>
          <w:vertAlign w:val="superscript"/>
        </w:rPr>
      </w:pPr>
    </w:p>
    <w:p>
      <w:pPr>
        <w:ind w:left="520" w:hanging="512"/>
        <w:spacing w:after="0"/>
        <w:tabs>
          <w:tab w:leader="none" w:pos="52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Internal R&amp;D and G&amp;A consist of salaries and wages, stock-based compensation, recruiting and other employee benefits.</w:t>
      </w:r>
    </w:p>
    <w:p>
      <w:pPr>
        <w:spacing w:after="0" w:line="130" w:lineRule="exact"/>
        <w:rPr>
          <w:rFonts w:ascii="Times New Roman" w:cs="Times New Roman" w:eastAsia="Times New Roman" w:hAnsi="Times New Roman"/>
          <w:sz w:val="24"/>
          <w:szCs w:val="24"/>
          <w:color w:val="auto"/>
          <w:vertAlign w:val="superscript"/>
        </w:rPr>
      </w:pPr>
    </w:p>
    <w:p>
      <w:pPr>
        <w:ind w:left="520" w:right="160" w:hanging="512"/>
        <w:spacing w:after="0" w:line="237" w:lineRule="auto"/>
        <w:tabs>
          <w:tab w:leader="none" w:pos="52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External G&amp;A consists of general and administrative expenses including transaction costs, legal services, insurance, professional fees for auditing, tax, and market research, and allocated facility-related costs not otherwise included in research and development expenses.</w:t>
      </w:r>
    </w:p>
    <w:p>
      <w:pPr>
        <w:spacing w:after="0" w:line="200" w:lineRule="exact"/>
        <w:rPr>
          <w:sz w:val="20"/>
          <w:szCs w:val="20"/>
          <w:color w:val="auto"/>
        </w:rPr>
      </w:pPr>
    </w:p>
    <w:p>
      <w:pPr>
        <w:spacing w:after="0" w:line="278"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52" w:lineRule="exact"/>
        <w:rPr>
          <w:rFonts w:ascii="Times New Roman" w:cs="Times New Roman" w:eastAsia="Times New Roman" w:hAnsi="Times New Roman"/>
          <w:sz w:val="18"/>
          <w:szCs w:val="18"/>
          <w:b w:val="1"/>
          <w:bCs w:val="1"/>
          <w:color w:val="auto"/>
        </w:rPr>
      </w:pPr>
    </w:p>
    <w:p>
      <w:pPr>
        <w:ind w:left="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First Tracks Biotherapeutics Separation</w:t>
      </w:r>
    </w:p>
    <w:p>
      <w:pPr>
        <w:spacing w:after="0" w:line="270" w:lineRule="exact"/>
        <w:rPr>
          <w:sz w:val="20"/>
          <w:szCs w:val="20"/>
          <w:color w:val="auto"/>
        </w:rPr>
      </w:pPr>
    </w:p>
    <w:p>
      <w:pPr>
        <w:ind w:right="80" w:firstLine="656"/>
        <w:spacing w:after="0" w:line="293" w:lineRule="auto"/>
        <w:rPr>
          <w:sz w:val="20"/>
          <w:szCs w:val="20"/>
          <w:color w:val="auto"/>
        </w:rPr>
      </w:pPr>
      <w:r>
        <w:rPr>
          <w:rFonts w:ascii="Times New Roman" w:cs="Times New Roman" w:eastAsia="Times New Roman" w:hAnsi="Times New Roman"/>
          <w:sz w:val="18"/>
          <w:szCs w:val="18"/>
          <w:color w:val="auto"/>
        </w:rPr>
        <w:t>On April 20, 2026 (the “Distribution Date”), we completed the previously announced separation (the “Spin-Off”) of First Tracks Biotherapeutics. The Spin-Off of First Tracks Biotherapeutics was achieved through our pro rata distribution of all of the outstanding shares of common stock of First Tracks Biotherapeutics to holders of record of our common stock. Each holder of record of our common stock received one share of First Tracks Biotherapeutics’ common stock for every one share of our common stock held on April 6, 2026, the record date for the distribution. On April 20, 2026, First Tracks Biotherapeutics’ shares of common stock began trading on the Nasdaq Stock Market LLC under the ticker symbol “TRAX.”</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within the meaning of Section 21E of the</w:t>
      </w:r>
    </w:p>
    <w:p>
      <w:pPr>
        <w:spacing w:after="0" w:line="5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forward-looking statements in this Quarterly Report include, among other things, statements about:</w:t>
      </w:r>
    </w:p>
    <w:p>
      <w:pPr>
        <w:spacing w:after="0" w:line="142" w:lineRule="exact"/>
        <w:rPr>
          <w:sz w:val="20"/>
          <w:szCs w:val="20"/>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expected future royalty revenues from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under our collaboration agreement with GSK;</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current and future commercial success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extent and effectiveness of GSK’s development, commercialization, sales, marketing and distribution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1040" w:right="40" w:hanging="373"/>
        <w:spacing w:after="0" w:line="313"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ability to obtain and maintain regulatory approvals for our collaborators’ products and product candidates for which we currently receive or may receive royalties;</w:t>
      </w:r>
    </w:p>
    <w:p>
      <w:pPr>
        <w:spacing w:after="0" w:line="52"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rate and degree of market acceptance and clinical utility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and imsidolimab;</w:t>
      </w:r>
    </w:p>
    <w:p>
      <w:pPr>
        <w:spacing w:after="0" w:line="159"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(“U.S.”) and foreign countries;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economic or public health events on our business and the U.S. and global economies;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management personnel;</w:t>
      </w:r>
    </w:p>
    <w:p>
      <w:pPr>
        <w:spacing w:after="0" w:line="157" w:lineRule="exact"/>
        <w:rPr>
          <w:rFonts w:ascii="Times New Roman" w:cs="Times New Roman" w:eastAsia="Times New Roman" w:hAnsi="Times New Roman"/>
          <w:sz w:val="18"/>
          <w:szCs w:val="18"/>
          <w:color w:val="auto"/>
        </w:rPr>
      </w:pPr>
    </w:p>
    <w:p>
      <w:pPr>
        <w:ind w:left="1040" w:right="120" w:hanging="373"/>
        <w:spacing w:after="0" w:line="313"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factors, including volatility in equity markets, and fluctuations in interest rates, foreign exchange rates and political and regulatory developments or changes in trade policy, including tariffs;</w:t>
      </w:r>
    </w:p>
    <w:p>
      <w:pPr>
        <w:spacing w:after="0" w:line="6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benefits or costs of the recent separation of the Company’s operations into two independent, publicly traded companies; and</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44" w:lineRule="exact"/>
        <w:rPr>
          <w:sz w:val="20"/>
          <w:szCs w:val="20"/>
          <w:color w:val="auto"/>
        </w:rPr>
      </w:pPr>
    </w:p>
    <w:p>
      <w:pPr>
        <w:ind w:right="160" w:firstLine="659"/>
        <w:spacing w:after="0" w:line="314" w:lineRule="auto"/>
        <w:rPr>
          <w:sz w:val="20"/>
          <w:szCs w:val="20"/>
          <w:color w:val="auto"/>
        </w:rPr>
      </w:pPr>
      <w:r>
        <w:rPr>
          <w:rFonts w:ascii="Times New Roman" w:cs="Times New Roman" w:eastAsia="Times New Roman" w:hAnsi="Times New Roman"/>
          <w:sz w:val="17"/>
          <w:szCs w:val="17"/>
          <w:color w:val="auto"/>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72" w:lineRule="exact"/>
        <w:rPr>
          <w:sz w:val="20"/>
          <w:szCs w:val="20"/>
          <w:color w:val="auto"/>
        </w:rPr>
      </w:pPr>
    </w:p>
    <w:p>
      <w:pPr>
        <w:ind w:right="240" w:firstLine="659"/>
        <w:spacing w:after="0" w:line="297"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69" w:lineRule="exact"/>
        <w:rPr>
          <w:sz w:val="20"/>
          <w:szCs w:val="20"/>
          <w:color w:val="auto"/>
        </w:rPr>
      </w:pPr>
    </w:p>
    <w:p>
      <w:pPr>
        <w:ind w:right="580" w:firstLine="659"/>
        <w:spacing w:after="0" w:line="329" w:lineRule="auto"/>
        <w:rPr>
          <w:sz w:val="20"/>
          <w:szCs w:val="20"/>
          <w:color w:val="auto"/>
        </w:rPr>
      </w:pPr>
      <w:r>
        <w:rPr>
          <w:rFonts w:ascii="Times New Roman" w:cs="Times New Roman" w:eastAsia="Times New Roman" w:hAnsi="Times New Roman"/>
          <w:sz w:val="18"/>
          <w:szCs w:val="18"/>
          <w:color w:val="auto"/>
        </w:rPr>
        <w:t>You should read this Quarterly Report with the understanding that our actual future results, levels of activity, performance, and events and circumstances may be materially different from what we expect.</w:t>
      </w:r>
    </w:p>
    <w:p>
      <w:pPr>
        <w:spacing w:after="0" w:line="40"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auto"/>
        </w:rPr>
        <w:t>Unless the context indicates otherwise, as used in this Quarterly Report, the terms “AnaptysBio,” “Anaptys,”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40" w:firstLine="659"/>
        <w:spacing w:after="0" w:line="29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consolidated financial statements and related notes for the three months ended March 31, 2026, included in Part I, Item 1 of this report and with our audited consolidated financial statements and related notes thereto for the year ended December 31, 2025 included in our Annual Report on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right="20" w:firstLine="659"/>
        <w:spacing w:after="0" w:line="292" w:lineRule="auto"/>
        <w:rPr>
          <w:sz w:val="20"/>
          <w:szCs w:val="20"/>
          <w:color w:val="auto"/>
        </w:rPr>
      </w:pPr>
      <w:r>
        <w:rPr>
          <w:rFonts w:ascii="Times New Roman" w:cs="Times New Roman" w:eastAsia="Times New Roman" w:hAnsi="Times New Roman"/>
          <w:sz w:val="18"/>
          <w:szCs w:val="18"/>
          <w:color w:val="auto"/>
        </w:rPr>
        <w:t>Prior to the separation described below, we were a clinical-stage biotechnology company focused on delivering innovative immunology therapeutics for autoimmune and inflammatory diseases. Our clinical-stage pipeline included rosnilimab, a selective pathogenic T cell depleter, for which we completed a Phase 2b trial for the treatment of moderate-to-severe rheumatoid arthritis (“RA”), ANB033, a CD122 antagonist, in a Phase 1b trial for celiac disease (“CeD”) and eosinophilic esophagitis (“EoE”), and ANB101, a BDCA2 modulator, in a Phase 1a trial. We also discovered and out-licensed, in financial collaborations, multiple therapeutic antibodies, including a PD-1 antagonist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(dostarlimab-gxly) 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to GSK and an IL-36R antagonist (imsidolimab) to Vanda Pharmaceuticals Inc. (“Vanda”). We recognize revenue from milestones and royalties achieved under our immuno-oncology collaboration with GSK and license and transition services revenue from our collaboration with Vanda.</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First Tracks Biotherapeutics Separation</w:t>
      </w:r>
    </w:p>
    <w:p>
      <w:pPr>
        <w:spacing w:after="0" w:line="148" w:lineRule="exact"/>
        <w:rPr>
          <w:sz w:val="20"/>
          <w:szCs w:val="20"/>
          <w:color w:val="auto"/>
        </w:rPr>
      </w:pPr>
    </w:p>
    <w:p>
      <w:pPr>
        <w:ind w:right="220" w:firstLine="659"/>
        <w:spacing w:after="0" w:line="297" w:lineRule="auto"/>
        <w:rPr>
          <w:sz w:val="20"/>
          <w:szCs w:val="20"/>
          <w:color w:val="auto"/>
        </w:rPr>
      </w:pPr>
      <w:r>
        <w:rPr>
          <w:rFonts w:ascii="Times New Roman" w:cs="Times New Roman" w:eastAsia="Times New Roman" w:hAnsi="Times New Roman"/>
          <w:sz w:val="18"/>
          <w:szCs w:val="18"/>
          <w:color w:val="auto"/>
        </w:rPr>
        <w:t xml:space="preserve">In September 2025, we announced that our board of directors (“Board of Directors”) approved plans to explore separating our business into two independent, publicly traded companies. We would hold and continue to manage the financial collaboration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with GSK and for imsidolimab with Vanda, with a focus on protecting and returning value of the royalties to its stockholders. The spun-out company would be a clinical-stage biotechnology company focused on the development and potential commercialization of innovative therapeutics for autoimmune and inflammatory diseases, including rosnilimab, ANB033 and ANB101. This separation was completed on April 20, 2026.</w:t>
      </w:r>
    </w:p>
    <w:p>
      <w:pPr>
        <w:spacing w:after="0" w:line="69" w:lineRule="exact"/>
        <w:rPr>
          <w:sz w:val="20"/>
          <w:szCs w:val="20"/>
          <w:color w:val="auto"/>
        </w:rPr>
      </w:pPr>
    </w:p>
    <w:p>
      <w:pPr>
        <w:ind w:right="300" w:firstLine="659"/>
        <w:spacing w:after="0" w:line="297" w:lineRule="auto"/>
        <w:rPr>
          <w:sz w:val="20"/>
          <w:szCs w:val="20"/>
          <w:color w:val="auto"/>
        </w:rPr>
      </w:pPr>
      <w:r>
        <w:rPr>
          <w:rFonts w:ascii="Times New Roman" w:cs="Times New Roman" w:eastAsia="Times New Roman" w:hAnsi="Times New Roman"/>
          <w:sz w:val="18"/>
          <w:szCs w:val="18"/>
          <w:color w:val="auto"/>
        </w:rPr>
        <w:t>In connection with the separation, we entered into a separation and distribution agreement (the “Separation and Distribution Agreement”) with First Tracks Biotherapeutics, Inc. (“First Tracks Biotherapeutics”). The Separation and Distribution Agreement identifies the assets transferred to (including contracts assigned) or retained by, and the liabilities assumed or retained by, each of us and First Tracks Biotherapeutics. As the separation occurred after March 31, 2026, the results of First Tracks Biotherapeutics are included in our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Programs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GSK Collaboration</w:t>
      </w:r>
    </w:p>
    <w:p>
      <w:pPr>
        <w:spacing w:after="0" w:line="148" w:lineRule="exact"/>
        <w:rPr>
          <w:sz w:val="20"/>
          <w:szCs w:val="20"/>
          <w:color w:val="auto"/>
        </w:rPr>
      </w:pPr>
    </w:p>
    <w:p>
      <w:pPr>
        <w:ind w:right="660" w:firstLine="659"/>
        <w:spacing w:after="0" w:line="329" w:lineRule="auto"/>
        <w:rPr>
          <w:sz w:val="20"/>
          <w:szCs w:val="20"/>
          <w:color w:val="auto"/>
        </w:rPr>
      </w:pPr>
      <w:r>
        <w:rPr>
          <w:rFonts w:ascii="Times New Roman" w:cs="Times New Roman" w:eastAsia="Times New Roman" w:hAnsi="Times New Roman"/>
          <w:sz w:val="18"/>
          <w:szCs w:val="18"/>
          <w:color w:val="auto"/>
        </w:rPr>
        <w:t>Multiple company-discovered antibody programs have been advanced to preclinical and clinical milestones under our collaborations. Our collaborations include an immuno-oncology-focused collaboration with GSK.</w:t>
      </w:r>
    </w:p>
    <w:p>
      <w:pPr>
        <w:spacing w:after="0" w:line="38" w:lineRule="exact"/>
        <w:rPr>
          <w:sz w:val="20"/>
          <w:szCs w:val="20"/>
          <w:color w:val="auto"/>
        </w:rPr>
      </w:pPr>
    </w:p>
    <w:p>
      <w:pPr>
        <w:ind w:firstLine="659"/>
        <w:spacing w:after="0" w:line="293" w:lineRule="auto"/>
        <w:rPr>
          <w:sz w:val="20"/>
          <w:szCs w:val="20"/>
          <w:color w:val="auto"/>
        </w:rPr>
      </w:pPr>
      <w:r>
        <w:rPr>
          <w:rFonts w:ascii="Times New Roman" w:cs="Times New Roman" w:eastAsia="Times New Roman" w:hAnsi="Times New Roman"/>
          <w:sz w:val="18"/>
          <w:szCs w:val="18"/>
          <w:color w:val="auto"/>
        </w:rPr>
        <w:t xml:space="preserve">Under the GSK Agreement, a Biologics License Application (“BLA”)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(dostarlimab), a PD-1 antagonist antibody, was approved by the FDA in April 2021 for the treatment of advanced or recurrent deficient mismatch repair endometrial cancer (“dMMREC”). In February 2023, the FDA granted full approval for this indication. In addition, in April 2021, the European Medicines Agency (“EMA”) granted conditional marketing authorization in the European Union (“EU”)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for use in women with mismatch repair deficient (“dMMR”)/microsatellite instability-high (“MSI-H”) recurrent or advanced endometrial cancer who have progressed on or following prior treatment with a platinum containing regimen. A second FDA approval was received in August 2021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in pan-deficient mismatch repair tumors (PdMMRT). In July 2023, the FDA approved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in combination with chemotherapy for the treatment of adult patients with dMMR MSI-H primary advanced or recurrent endometrial cancer. In December 2023, the EMA approved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plus chemotherapy for dMMR/MSI-H primary advanced or recurrent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ind w:right="120"/>
        <w:spacing w:after="0" w:line="315" w:lineRule="auto"/>
        <w:rPr>
          <w:sz w:val="20"/>
          <w:szCs w:val="20"/>
          <w:color w:val="auto"/>
        </w:rPr>
      </w:pPr>
      <w:r>
        <w:rPr>
          <w:rFonts w:ascii="Times New Roman" w:cs="Times New Roman" w:eastAsia="Times New Roman" w:hAnsi="Times New Roman"/>
          <w:sz w:val="18"/>
          <w:szCs w:val="18"/>
          <w:color w:val="auto"/>
        </w:rPr>
        <w:t xml:space="preserve">endometrial cancer. In August 2024, the FDA approved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plus chemotherapy for all adult patients with primary advanced or recurrent endometrial cancer. In January 2025, the EMA approved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plus chemotherapy for this same indication.</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Vanda Collaboration</w:t>
      </w:r>
    </w:p>
    <w:p>
      <w:pPr>
        <w:spacing w:after="0" w:line="148" w:lineRule="exact"/>
        <w:rPr>
          <w:sz w:val="20"/>
          <w:szCs w:val="20"/>
          <w:color w:val="auto"/>
        </w:rPr>
      </w:pPr>
    </w:p>
    <w:p>
      <w:pPr>
        <w:ind w:right="120" w:firstLine="659"/>
        <w:spacing w:after="0" w:line="297" w:lineRule="auto"/>
        <w:rPr>
          <w:sz w:val="20"/>
          <w:szCs w:val="20"/>
          <w:color w:val="auto"/>
        </w:rPr>
      </w:pPr>
      <w:r>
        <w:rPr>
          <w:rFonts w:ascii="Times New Roman" w:cs="Times New Roman" w:eastAsia="Times New Roman" w:hAnsi="Times New Roman"/>
          <w:sz w:val="18"/>
          <w:szCs w:val="18"/>
          <w:color w:val="auto"/>
        </w:rPr>
        <w:t>On January 31, 2025, we entered into an Exclusive License Agreement (the “Vanda License Agreement”) with Vanda pursuant to which we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spacing w:after="0" w:line="82" w:lineRule="exact"/>
        <w:rPr>
          <w:sz w:val="20"/>
          <w:szCs w:val="20"/>
          <w:color w:val="auto"/>
        </w:rPr>
      </w:pPr>
    </w:p>
    <w:p>
      <w:pPr>
        <w:ind w:right="540" w:firstLine="659"/>
        <w:spacing w:after="0" w:line="313" w:lineRule="auto"/>
        <w:rPr>
          <w:sz w:val="20"/>
          <w:szCs w:val="20"/>
          <w:color w:val="auto"/>
        </w:rPr>
      </w:pPr>
      <w:r>
        <w:rPr>
          <w:rFonts w:ascii="Times New Roman" w:cs="Times New Roman" w:eastAsia="Times New Roman" w:hAnsi="Times New Roman"/>
          <w:sz w:val="18"/>
          <w:szCs w:val="18"/>
          <w:color w:val="auto"/>
        </w:rPr>
        <w:t>In December 2025, Vanda announced the submission of a BLA to the FDA for imsidolimab in GPP. The FDA accepted the BLA filing for imsidolimab in GPP in February 2026 with a target action date of December 12, 2026.</w:t>
      </w:r>
    </w:p>
    <w:p>
      <w:pPr>
        <w:spacing w:after="0" w:line="68" w:lineRule="exact"/>
        <w:rPr>
          <w:sz w:val="20"/>
          <w:szCs w:val="20"/>
          <w:color w:val="auto"/>
        </w:rPr>
      </w:pPr>
    </w:p>
    <w:p>
      <w:pPr>
        <w:ind w:right="80" w:firstLine="659"/>
        <w:spacing w:after="0" w:line="313" w:lineRule="auto"/>
        <w:rPr>
          <w:sz w:val="20"/>
          <w:szCs w:val="20"/>
          <w:color w:val="auto"/>
        </w:rPr>
      </w:pPr>
      <w:r>
        <w:rPr>
          <w:rFonts w:ascii="Times New Roman" w:cs="Times New Roman" w:eastAsia="Times New Roman" w:hAnsi="Times New Roman"/>
          <w:sz w:val="18"/>
          <w:szCs w:val="18"/>
          <w:color w:val="auto"/>
        </w:rPr>
        <w:t>Pursuant to the terms of the Vanda License Agreement, we received an upfront payment of $10.0 million and a $5.0 million payment for existing drug supply. We are also eligible to receive a 10% royalty on net sales under the Vanda License Agreement:</w:t>
      </w:r>
    </w:p>
    <w:p>
      <w:pPr>
        <w:spacing w:after="0" w:line="54" w:lineRule="exact"/>
        <w:rPr>
          <w:sz w:val="20"/>
          <w:szCs w:val="20"/>
          <w:color w:val="auto"/>
        </w:rPr>
      </w:pPr>
    </w:p>
    <w:p>
      <w:pPr>
        <w:ind w:right="40" w:firstLine="659"/>
        <w:spacing w:after="0" w:line="305" w:lineRule="auto"/>
        <w:rPr>
          <w:sz w:val="20"/>
          <w:szCs w:val="20"/>
          <w:color w:val="auto"/>
        </w:rPr>
      </w:pPr>
      <w:r>
        <w:rPr>
          <w:rFonts w:ascii="Times New Roman" w:cs="Times New Roman" w:eastAsia="Times New Roman" w:hAnsi="Times New Roman"/>
          <w:sz w:val="18"/>
          <w:szCs w:val="18"/>
          <w:color w:val="auto"/>
        </w:rPr>
        <w:t>The Separation and Distribution Agreement provides that any and all rights to receive milestone payments under the Vanda License Agreement will be allocated to First Tracks Biotherapeutics. For more information about these collaborations, see Note 4 — Collaborative Research and Development Agreements in the accompanying notes to the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48" w:lineRule="exact"/>
        <w:rPr>
          <w:sz w:val="20"/>
          <w:szCs w:val="20"/>
          <w:color w:val="auto"/>
        </w:rPr>
      </w:pPr>
    </w:p>
    <w:p>
      <w:pPr>
        <w:ind w:right="260" w:firstLine="659"/>
        <w:spacing w:after="0" w:line="305" w:lineRule="auto"/>
        <w:rPr>
          <w:sz w:val="20"/>
          <w:szCs w:val="20"/>
          <w:color w:val="auto"/>
        </w:rPr>
      </w:pPr>
      <w:r>
        <w:rPr>
          <w:rFonts w:ascii="Times New Roman" w:cs="Times New Roman" w:eastAsia="Times New Roman" w:hAnsi="Times New Roman"/>
          <w:sz w:val="18"/>
          <w:szCs w:val="18"/>
          <w:color w:val="auto"/>
        </w:rPr>
        <w:t>We have not generated any revenue from product sales. Our revenue has been derived from amortization of upfront license payments, research and development funding, milestone and royalty payments under collaboration and license agreements with our collaborators. From inception through March 31, 2026, we have recognized $606.7 million in revenue from our collaborators.</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62" w:lineRule="exact"/>
        <w:rPr>
          <w:sz w:val="20"/>
          <w:szCs w:val="20"/>
          <w:color w:val="auto"/>
        </w:rPr>
      </w:pPr>
    </w:p>
    <w:p>
      <w:pPr>
        <w:ind w:firstLine="659"/>
        <w:spacing w:after="0" w:line="313"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our research and development activities, preclinical and clinical development of our programs, and manufacturing. Our research and development expenses included:</w:t>
      </w:r>
    </w:p>
    <w:p>
      <w:pPr>
        <w:spacing w:after="0" w:line="54" w:lineRule="exact"/>
        <w:rPr>
          <w:sz w:val="20"/>
          <w:szCs w:val="20"/>
          <w:color w:val="auto"/>
        </w:rPr>
      </w:pPr>
    </w:p>
    <w:p>
      <w:pPr>
        <w:ind w:left="1040" w:right="340" w:hanging="373"/>
        <w:spacing w:after="0" w:line="296" w:lineRule="auto"/>
        <w:tabs>
          <w:tab w:leader="none" w:pos="10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30" w:lineRule="exact"/>
        <w:rPr>
          <w:rFonts w:ascii="Times New Roman" w:cs="Times New Roman" w:eastAsia="Times New Roman" w:hAnsi="Times New Roman"/>
          <w:sz w:val="17"/>
          <w:szCs w:val="17"/>
          <w:color w:val="auto"/>
        </w:rPr>
      </w:pPr>
    </w:p>
    <w:p>
      <w:pPr>
        <w:ind w:left="1040" w:hanging="373"/>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stock-based compensation;</w:t>
      </w:r>
    </w:p>
    <w:p>
      <w:pPr>
        <w:spacing w:after="0" w:line="117" w:lineRule="exact"/>
        <w:rPr>
          <w:rFonts w:ascii="Times New Roman" w:cs="Times New Roman" w:eastAsia="Times New Roman" w:hAnsi="Times New Roman"/>
          <w:sz w:val="18"/>
          <w:szCs w:val="18"/>
          <w:color w:val="auto"/>
        </w:rPr>
      </w:pPr>
    </w:p>
    <w:p>
      <w:pPr>
        <w:ind w:left="1040" w:right="420" w:hanging="373"/>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5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and sub-license fees.</w:t>
      </w:r>
    </w:p>
    <w:p>
      <w:pPr>
        <w:spacing w:after="0" w:line="117" w:lineRule="exact"/>
        <w:rPr>
          <w:sz w:val="20"/>
          <w:szCs w:val="20"/>
          <w:color w:val="auto"/>
        </w:rPr>
      </w:pPr>
    </w:p>
    <w:p>
      <w:pPr>
        <w:ind w:right="540" w:firstLine="659"/>
        <w:spacing w:after="0" w:line="329" w:lineRule="auto"/>
        <w:rPr>
          <w:sz w:val="20"/>
          <w:szCs w:val="20"/>
          <w:color w:val="auto"/>
        </w:rPr>
      </w:pPr>
      <w:r>
        <w:rPr>
          <w:rFonts w:ascii="Times New Roman" w:cs="Times New Roman" w:eastAsia="Times New Roman" w:hAnsi="Times New Roman"/>
          <w:sz w:val="18"/>
          <w:szCs w:val="18"/>
          <w:color w:val="auto"/>
        </w:rPr>
        <w:t>We may also incur in-process research and development expense as we acquire assets from other parties. Acquired in-process research and development costs that have no alternative future use are immediately expensed.</w:t>
      </w:r>
    </w:p>
    <w:p>
      <w:pPr>
        <w:spacing w:after="0" w:line="40" w:lineRule="exact"/>
        <w:rPr>
          <w:sz w:val="20"/>
          <w:szCs w:val="20"/>
          <w:color w:val="auto"/>
        </w:rPr>
      </w:pPr>
    </w:p>
    <w:p>
      <w:pPr>
        <w:ind w:right="320" w:firstLine="659"/>
        <w:spacing w:after="0" w:line="329" w:lineRule="auto"/>
        <w:rPr>
          <w:sz w:val="20"/>
          <w:szCs w:val="20"/>
          <w:color w:val="auto"/>
        </w:rPr>
      </w:pPr>
      <w:r>
        <w:rPr>
          <w:rFonts w:ascii="Times New Roman" w:cs="Times New Roman" w:eastAsia="Times New Roman" w:hAnsi="Times New Roman"/>
          <w:sz w:val="18"/>
          <w:szCs w:val="18"/>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40"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auto"/>
        </w:rPr>
        <w:t xml:space="preserve">We are conducting research and development activities primarily on inflammation programs. We have a research and development team that conducts antibody characterization, translational studies, IND-enabling preclinical studies, and clinical development. We conduct some of our preclinical activities internally and plan to rely on third parties, such as CROs and CMOs, for the execution of certain of our research and development activities, such 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and pharmacology studies, drug product manufacturing, and clinical trials.</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the separation, we do not expect to incur significant research and development expenses.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9" w:right="379"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48" w:lineRule="exact"/>
        <w:rPr>
          <w:sz w:val="20"/>
          <w:szCs w:val="20"/>
          <w:color w:val="auto"/>
        </w:rPr>
      </w:pPr>
    </w:p>
    <w:p>
      <w:pPr>
        <w:ind w:right="180" w:firstLine="659"/>
        <w:spacing w:after="0" w:line="30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transaction costs, and professional fees for auditing, tax, and legal services.</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for the Sale of Future Royalties</w:t>
      </w:r>
    </w:p>
    <w:p>
      <w:pPr>
        <w:spacing w:after="0" w:line="148" w:lineRule="exact"/>
        <w:rPr>
          <w:sz w:val="20"/>
          <w:szCs w:val="20"/>
          <w:color w:val="auto"/>
        </w:rPr>
      </w:pPr>
    </w:p>
    <w:p>
      <w:pPr>
        <w:ind w:firstLine="659"/>
        <w:spacing w:after="0" w:line="297" w:lineRule="auto"/>
        <w:rPr>
          <w:sz w:val="20"/>
          <w:szCs w:val="20"/>
          <w:color w:val="auto"/>
        </w:rPr>
      </w:pPr>
      <w:r>
        <w:rPr>
          <w:rFonts w:ascii="Times New Roman" w:cs="Times New Roman" w:eastAsia="Times New Roman" w:hAnsi="Times New Roman"/>
          <w:sz w:val="18"/>
          <w:szCs w:val="18"/>
          <w:color w:val="auto"/>
        </w:rPr>
        <w:t xml:space="preserve">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and the Zejula Royalty Monetization Agreement (the “Royalty Monetization Agreements”). Our estimate of the interest rate under the arrangements is based on forecasted royalty and milestone payments expected to be made over the life of the agreements.</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short-term and long-term investments and is recognized when earned.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48" w:lineRule="exact"/>
        <w:rPr>
          <w:sz w:val="20"/>
          <w:szCs w:val="20"/>
          <w:color w:val="auto"/>
        </w:rPr>
      </w:pPr>
    </w:p>
    <w:p>
      <w:pPr>
        <w:jc w:val="both"/>
        <w:ind w:right="140" w:firstLine="659"/>
        <w:spacing w:after="0" w:line="29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 on March 3,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Comparison of the Three Months Ended March 31, 2026 and 2025</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48" w:lineRule="exact"/>
        <w:rPr>
          <w:sz w:val="20"/>
          <w:szCs w:val="20"/>
          <w:color w:val="auto"/>
        </w:rPr>
      </w:pPr>
    </w:p>
    <w:p>
      <w:pPr>
        <w:ind w:right="380" w:firstLine="659"/>
        <w:spacing w:after="0" w:line="297" w:lineRule="auto"/>
        <w:rPr>
          <w:sz w:val="20"/>
          <w:szCs w:val="20"/>
          <w:color w:val="auto"/>
        </w:rPr>
      </w:pPr>
      <w:r>
        <w:rPr>
          <w:rFonts w:ascii="Times New Roman" w:cs="Times New Roman" w:eastAsia="Times New Roman" w:hAnsi="Times New Roman"/>
          <w:sz w:val="18"/>
          <w:szCs w:val="18"/>
          <w:color w:val="auto"/>
        </w:rPr>
        <w:t>Collaboration revenue consists of milestone payments, royalty payments, upfront license fees and transition services provided under our collaboration agreements. We recognized no milestone revenue during each of the three months ended March 31, 2026 and 2025. We expect that any collaboration revenue we generate will continue to fluctuate from period to period as a result of the timing and amount of milestones from our existing collaborations.</w:t>
      </w:r>
    </w:p>
    <w:p>
      <w:pPr>
        <w:spacing w:after="0" w:line="82" w:lineRule="exact"/>
        <w:rPr>
          <w:sz w:val="20"/>
          <w:szCs w:val="20"/>
          <w:color w:val="auto"/>
        </w:rPr>
      </w:pPr>
    </w:p>
    <w:p>
      <w:pPr>
        <w:ind w:right="80" w:firstLine="659"/>
        <w:spacing w:after="0" w:line="293" w:lineRule="auto"/>
        <w:rPr>
          <w:sz w:val="20"/>
          <w:szCs w:val="20"/>
          <w:color w:val="auto"/>
        </w:rPr>
      </w:pPr>
      <w:r>
        <w:rPr>
          <w:rFonts w:ascii="Times New Roman" w:cs="Times New Roman" w:eastAsia="Times New Roman" w:hAnsi="Times New Roman"/>
          <w:sz w:val="18"/>
          <w:szCs w:val="18"/>
          <w:color w:val="auto"/>
        </w:rPr>
        <w:t xml:space="preserve">Royalty revenue is a function of our partners’ product sales and the applicable royalty rate. During the three months ended March 31, 2026 and 2025, we recognized $25.5 million and $18.1 million, respectively, of royalty revenue related to the net sales of GSK’s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and Zejula. All royalty revenue recognized for the three months ended March 31, 2026 and 2025 is non-cash revenue pursuant to the Royalty Monetization Agreements. For more information, see Note 5 — Sale of Future Royalties in the accompanying notes to the consolidated financial statements. During the three months ended March 31, 2026 and 2025, we recognized $0.0 million and $9.6 million, respectively, of license revenue under ASC 606.</w:t>
      </w:r>
    </w:p>
    <w:p>
      <w:pPr>
        <w:spacing w:after="0" w:line="87" w:lineRule="exact"/>
        <w:rPr>
          <w:sz w:val="20"/>
          <w:szCs w:val="20"/>
          <w:color w:val="auto"/>
        </w:rPr>
      </w:pPr>
    </w:p>
    <w:p>
      <w:pPr>
        <w:ind w:right="40" w:firstLine="659"/>
        <w:spacing w:after="0" w:line="313" w:lineRule="auto"/>
        <w:rPr>
          <w:sz w:val="20"/>
          <w:szCs w:val="20"/>
          <w:color w:val="auto"/>
        </w:rPr>
      </w:pPr>
      <w:r>
        <w:rPr>
          <w:rFonts w:ascii="Times New Roman" w:cs="Times New Roman" w:eastAsia="Times New Roman" w:hAnsi="Times New Roman"/>
          <w:sz w:val="18"/>
          <w:szCs w:val="18"/>
          <w:color w:val="auto"/>
        </w:rPr>
        <w:t>During the three months ended March 31, 2026 and 2025, we recognized less than $0.1 million and $0.1 million, respectively, related to transition services provided under our Vanda License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48" w:lineRule="exact"/>
        <w:rPr>
          <w:sz w:val="20"/>
          <w:szCs w:val="20"/>
          <w:color w:val="auto"/>
        </w:rPr>
      </w:pPr>
    </w:p>
    <w:p>
      <w:pPr>
        <w:ind w:right="20" w:firstLine="659"/>
        <w:spacing w:after="0" w:line="302" w:lineRule="auto"/>
        <w:rPr>
          <w:sz w:val="20"/>
          <w:szCs w:val="20"/>
          <w:color w:val="auto"/>
        </w:rPr>
      </w:pPr>
      <w:r>
        <w:rPr>
          <w:rFonts w:ascii="Times New Roman" w:cs="Times New Roman" w:eastAsia="Times New Roman" w:hAnsi="Times New Roman"/>
          <w:sz w:val="18"/>
          <w:szCs w:val="18"/>
          <w:color w:val="auto"/>
        </w:rPr>
        <w:t>Research and development expenses were $34.0 million during the three months ended March 31, 2026 compared to $41.2 million during the three months ended March 31, 2025, for a decrease of $7.2 million, primarily due to a $7.8 million decrease in clinical expenses, $0.2 million decrease in outside services for manufacturing expenses, $0.9 million decrease in other research and development expenses, offset by a $1.5 million increase in salaries and related expenses, $0.1 million increase in stock-based compensation expense, and $0.1 million increase in recruiting costs.</w:t>
      </w:r>
    </w:p>
    <w:p>
      <w:pPr>
        <w:spacing w:after="0" w:line="65" w:lineRule="exact"/>
        <w:rPr>
          <w:sz w:val="20"/>
          <w:szCs w:val="20"/>
          <w:color w:val="auto"/>
        </w:rPr>
      </w:pPr>
    </w:p>
    <w:p>
      <w:pPr>
        <w:ind w:right="80" w:firstLine="659"/>
        <w:spacing w:after="0" w:line="294" w:lineRule="auto"/>
        <w:rPr>
          <w:sz w:val="20"/>
          <w:szCs w:val="20"/>
          <w:color w:val="auto"/>
        </w:rPr>
      </w:pPr>
      <w:r>
        <w:rPr>
          <w:rFonts w:ascii="Times New Roman" w:cs="Times New Roman" w:eastAsia="Times New Roman" w:hAnsi="Times New Roman"/>
          <w:sz w:val="18"/>
          <w:szCs w:val="18"/>
          <w:color w:val="auto"/>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stock-based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594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9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External Costs</w:t>
            </w:r>
          </w:p>
        </w:tc>
        <w:tc>
          <w:tcPr>
            <w:tcW w:w="3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ANB033</w:t>
            </w:r>
          </w:p>
        </w:tc>
        <w:tc>
          <w:tcPr>
            <w:tcW w:w="3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9,299</w:t>
            </w:r>
          </w:p>
        </w:tc>
        <w:tc>
          <w:tcPr>
            <w:tcW w:w="720" w:type="dxa"/>
            <w:vAlign w:val="bottom"/>
            <w:gridSpan w:val="2"/>
          </w:tcPr>
          <w:p>
            <w:pPr>
              <w:jc w:val="right"/>
              <w:ind w:right="4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3,803</w:t>
            </w:r>
          </w:p>
        </w:tc>
        <w:tc>
          <w:tcPr>
            <w:tcW w:w="32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5,496</w:t>
            </w:r>
          </w:p>
        </w:tc>
        <w:tc>
          <w:tcPr>
            <w:tcW w:w="0" w:type="dxa"/>
            <w:vAlign w:val="bottom"/>
          </w:tcPr>
          <w:p>
            <w:pPr>
              <w:spacing w:after="0"/>
              <w:rPr>
                <w:sz w:val="1"/>
                <w:szCs w:val="1"/>
                <w:color w:val="auto"/>
              </w:rPr>
            </w:pPr>
          </w:p>
        </w:tc>
      </w:tr>
      <w:tr>
        <w:trPr>
          <w:trHeight w:val="189"/>
        </w:trPr>
        <w:tc>
          <w:tcPr>
            <w:tcW w:w="594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Rosnilimab</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4,594</w:t>
            </w:r>
          </w:p>
        </w:tc>
        <w:tc>
          <w:tcPr>
            <w:tcW w:w="1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15,026</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(10,432)</w:t>
            </w:r>
          </w:p>
        </w:tc>
        <w:tc>
          <w:tcPr>
            <w:tcW w:w="0" w:type="dxa"/>
            <w:vAlign w:val="bottom"/>
          </w:tcPr>
          <w:p>
            <w:pPr>
              <w:spacing w:after="0"/>
              <w:rPr>
                <w:sz w:val="1"/>
                <w:szCs w:val="1"/>
                <w:color w:val="auto"/>
              </w:rPr>
            </w:pPr>
          </w:p>
        </w:tc>
      </w:tr>
      <w:tr>
        <w:trPr>
          <w:trHeight w:val="189"/>
        </w:trPr>
        <w:tc>
          <w:tcPr>
            <w:tcW w:w="5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ANB101</w:t>
            </w:r>
          </w:p>
        </w:tc>
        <w:tc>
          <w:tcPr>
            <w:tcW w:w="360" w:type="dxa"/>
            <w:vAlign w:val="bottom"/>
          </w:tcPr>
          <w:p>
            <w:pPr>
              <w:spacing w:after="0"/>
              <w:rPr>
                <w:sz w:val="16"/>
                <w:szCs w:val="16"/>
                <w:color w:val="auto"/>
              </w:rPr>
            </w:pPr>
          </w:p>
        </w:tc>
        <w:tc>
          <w:tcPr>
            <w:tcW w:w="128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1,484</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1,481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594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ANB032</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3,536</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189"/>
        </w:trPr>
        <w:tc>
          <w:tcPr>
            <w:tcW w:w="5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Imsidolimab</w:t>
            </w:r>
          </w:p>
        </w:tc>
        <w:tc>
          <w:tcPr>
            <w:tcW w:w="360" w:type="dxa"/>
            <w:vAlign w:val="bottom"/>
          </w:tcPr>
          <w:p>
            <w:pPr>
              <w:spacing w:after="0"/>
              <w:rPr>
                <w:sz w:val="16"/>
                <w:szCs w:val="16"/>
                <w:color w:val="auto"/>
              </w:rPr>
            </w:pPr>
          </w:p>
        </w:tc>
        <w:tc>
          <w:tcPr>
            <w:tcW w:w="128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189"/>
        </w:trPr>
        <w:tc>
          <w:tcPr>
            <w:tcW w:w="5940" w:type="dxa"/>
            <w:vAlign w:val="bottom"/>
            <w:tcBorders>
              <w:bottom w:val="single" w:sz="8" w:color="CFF0FC"/>
            </w:tcBorders>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Preclinical and other unallocated costs</w:t>
            </w:r>
          </w:p>
        </w:tc>
        <w:tc>
          <w:tcPr>
            <w:tcW w:w="36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3,296</w:t>
            </w:r>
          </w:p>
        </w:tc>
        <w:tc>
          <w:tcPr>
            <w:tcW w:w="1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3,932</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183"/>
        </w:trPr>
        <w:tc>
          <w:tcPr>
            <w:tcW w:w="59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External Costs</w:t>
            </w:r>
          </w:p>
        </w:tc>
        <w:tc>
          <w:tcPr>
            <w:tcW w:w="36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18,663</w:t>
            </w:r>
          </w:p>
        </w:tc>
        <w:tc>
          <w:tcPr>
            <w:tcW w:w="720" w:type="dxa"/>
            <w:vAlign w:val="bottom"/>
            <w:gridSpan w:val="2"/>
          </w:tcPr>
          <w:p>
            <w:pPr>
              <w:jc w:val="right"/>
              <w:ind w:right="4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27,589</w:t>
            </w:r>
          </w:p>
        </w:tc>
        <w:tc>
          <w:tcPr>
            <w:tcW w:w="32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(8,926)</w:t>
            </w:r>
          </w:p>
        </w:tc>
        <w:tc>
          <w:tcPr>
            <w:tcW w:w="0" w:type="dxa"/>
            <w:vAlign w:val="bottom"/>
          </w:tcPr>
          <w:p>
            <w:pPr>
              <w:spacing w:after="0"/>
              <w:rPr>
                <w:sz w:val="1"/>
                <w:szCs w:val="1"/>
                <w:color w:val="auto"/>
              </w:rPr>
            </w:pPr>
          </w:p>
        </w:tc>
      </w:tr>
      <w:tr>
        <w:trPr>
          <w:trHeight w:val="189"/>
        </w:trPr>
        <w:tc>
          <w:tcPr>
            <w:tcW w:w="59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Internal Costs</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Salaries and wages</w:t>
            </w:r>
          </w:p>
        </w:tc>
        <w:tc>
          <w:tcPr>
            <w:tcW w:w="360" w:type="dxa"/>
            <w:vAlign w:val="bottom"/>
          </w:tcPr>
          <w:p>
            <w:pPr>
              <w:spacing w:after="0"/>
              <w:rPr>
                <w:sz w:val="16"/>
                <w:szCs w:val="16"/>
                <w:color w:val="auto"/>
              </w:rPr>
            </w:pPr>
          </w:p>
        </w:tc>
        <w:tc>
          <w:tcPr>
            <w:tcW w:w="128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10,683</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9,183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189"/>
        </w:trPr>
        <w:tc>
          <w:tcPr>
            <w:tcW w:w="594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Stock compensation</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4,551</w:t>
            </w:r>
          </w:p>
        </w:tc>
        <w:tc>
          <w:tcPr>
            <w:tcW w:w="1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4,408</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189"/>
        </w:trPr>
        <w:tc>
          <w:tcPr>
            <w:tcW w:w="5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internal costs</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83"/>
        </w:trPr>
        <w:tc>
          <w:tcPr>
            <w:tcW w:w="59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Internal Costs</w:t>
            </w:r>
          </w:p>
        </w:tc>
        <w:tc>
          <w:tcPr>
            <w:tcW w:w="36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15,328</w:t>
            </w:r>
          </w:p>
        </w:tc>
        <w:tc>
          <w:tcPr>
            <w:tcW w:w="18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13,591</w:t>
            </w: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56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183"/>
        </w:trPr>
        <w:tc>
          <w:tcPr>
            <w:tcW w:w="59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Costs</w:t>
            </w:r>
          </w:p>
        </w:tc>
        <w:tc>
          <w:tcPr>
            <w:tcW w:w="36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33,991</w:t>
            </w:r>
          </w:p>
        </w:tc>
        <w:tc>
          <w:tcPr>
            <w:tcW w:w="720" w:type="dxa"/>
            <w:vAlign w:val="bottom"/>
            <w:gridSpan w:val="2"/>
          </w:tcPr>
          <w:p>
            <w:pPr>
              <w:jc w:val="right"/>
              <w:ind w:right="4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41,180</w:t>
            </w:r>
          </w:p>
        </w:tc>
        <w:tc>
          <w:tcPr>
            <w:tcW w:w="32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(7,189)</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-890905</wp:posOffset>
            </wp:positionV>
            <wp:extent cx="1111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-890905</wp:posOffset>
            </wp:positionV>
            <wp:extent cx="1111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-153670</wp:posOffset>
            </wp:positionV>
            <wp:extent cx="1111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-153670</wp:posOffset>
            </wp:positionV>
            <wp:extent cx="1111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62" w:lineRule="exact"/>
        <w:rPr>
          <w:sz w:val="20"/>
          <w:szCs w:val="20"/>
          <w:color w:val="auto"/>
        </w:rPr>
      </w:pPr>
    </w:p>
    <w:p>
      <w:pPr>
        <w:ind w:right="360" w:firstLine="659"/>
        <w:spacing w:after="0" w:line="293" w:lineRule="auto"/>
        <w:rPr>
          <w:sz w:val="20"/>
          <w:szCs w:val="20"/>
          <w:color w:val="auto"/>
        </w:rPr>
      </w:pPr>
      <w:r>
        <w:rPr>
          <w:rFonts w:ascii="Times New Roman" w:cs="Times New Roman" w:eastAsia="Times New Roman" w:hAnsi="Times New Roman"/>
          <w:sz w:val="18"/>
          <w:szCs w:val="18"/>
          <w:color w:val="auto"/>
        </w:rPr>
        <w:t>General and administrative expenses were $26.2 million during the three months ended March 31, 2026 compared to $14.1 million during the three months ended March 31, 2025, for an increase of approximately $12.1 million. The increase is primarily due to an $8.3 million increase in legal expenses due to the GSK lawsuit and activity related to the separation of the business, a $4.9 million increase in stock compensation expense, a $0.7 million increase in personnel costs, and a $0.8 million net increase in other general and administrative expenses, offset by a $2.5 million decrease in transaction costs related to our Vanda License Agreement, and a $0.1 million decrease in market research costs.</w:t>
      </w:r>
    </w:p>
    <w:p>
      <w:pPr>
        <w:spacing w:after="0" w:line="87" w:lineRule="exact"/>
        <w:rPr>
          <w:sz w:val="20"/>
          <w:szCs w:val="20"/>
          <w:color w:val="auto"/>
        </w:rPr>
      </w:pPr>
    </w:p>
    <w:p>
      <w:pPr>
        <w:ind w:right="140" w:firstLine="659"/>
        <w:spacing w:after="0" w:line="305"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decrease for the foreseeable future as we experience fewer expenses associated with salaries and related benefits, stock compensation expense, legal, auditing and filing fees, and general compliance and consulting expenses due to the completion of the separation.</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for the Sale of Future Royalties</w:t>
      </w:r>
    </w:p>
    <w:p>
      <w:pPr>
        <w:spacing w:after="0" w:line="148" w:lineRule="exact"/>
        <w:rPr>
          <w:sz w:val="20"/>
          <w:szCs w:val="20"/>
          <w:color w:val="auto"/>
        </w:rPr>
      </w:pPr>
    </w:p>
    <w:p>
      <w:pPr>
        <w:ind w:right="460" w:firstLine="659"/>
        <w:spacing w:after="0" w:line="305" w:lineRule="auto"/>
        <w:rPr>
          <w:sz w:val="20"/>
          <w:szCs w:val="20"/>
          <w:color w:val="auto"/>
        </w:rPr>
      </w:pPr>
      <w:r>
        <w:rPr>
          <w:rFonts w:ascii="Times New Roman" w:cs="Times New Roman" w:eastAsia="Times New Roman" w:hAnsi="Times New Roman"/>
          <w:sz w:val="18"/>
          <w:szCs w:val="18"/>
          <w:color w:val="auto"/>
        </w:rPr>
        <w:t xml:space="preserve">Non-cash interest expense was $20.9 million and $18.1 million during the three months ended March 31, 2026 and 2025, respectively. The increase of $2.8 million in non-cash interest expense is primarily due to an increase in the GSK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sales which changed the expected timing for Sagard to be paid per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48" w:lineRule="exact"/>
        <w:rPr>
          <w:sz w:val="20"/>
          <w:szCs w:val="20"/>
          <w:color w:val="auto"/>
        </w:rPr>
      </w:pPr>
    </w:p>
    <w:p>
      <w:pPr>
        <w:ind w:right="300" w:firstLine="656"/>
        <w:spacing w:after="0" w:line="313" w:lineRule="auto"/>
        <w:rPr>
          <w:sz w:val="20"/>
          <w:szCs w:val="20"/>
          <w:color w:val="auto"/>
        </w:rPr>
      </w:pPr>
      <w:r>
        <w:rPr>
          <w:rFonts w:ascii="Times New Roman" w:cs="Times New Roman" w:eastAsia="Times New Roman" w:hAnsi="Times New Roman"/>
          <w:sz w:val="18"/>
          <w:szCs w:val="18"/>
          <w:color w:val="auto"/>
        </w:rPr>
        <w:t>Interest income was $2.7 million and $4.4 million during the three months ended March 31, 2026 and 2025, respectively. The decrease of $1.7 million in interest income was primarily related to our short-term and long-term investments. The decrease in interest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income is primarily due to the decrease in investment balances, as well as the timing of sales, maturities and purchases of our investments.</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62" w:lineRule="exact"/>
        <w:rPr>
          <w:sz w:val="20"/>
          <w:szCs w:val="20"/>
          <w:color w:val="auto"/>
        </w:rPr>
      </w:pPr>
    </w:p>
    <w:p>
      <w:pPr>
        <w:ind w:right="320" w:firstLine="659"/>
        <w:spacing w:after="0" w:line="305" w:lineRule="auto"/>
        <w:rPr>
          <w:sz w:val="20"/>
          <w:szCs w:val="20"/>
          <w:color w:val="auto"/>
        </w:rPr>
      </w:pPr>
      <w:r>
        <w:rPr>
          <w:rFonts w:ascii="Times New Roman" w:cs="Times New Roman" w:eastAsia="Times New Roman" w:hAnsi="Times New Roman"/>
          <w:sz w:val="18"/>
          <w:szCs w:val="18"/>
          <w:color w:val="auto"/>
        </w:rPr>
        <w:t>Other (expense) income, net was less than $0.1 million of expense and $1.9 million of income for the three months ended March 31, 2026 and 2025, respectively. The decrease was primarily related to $1.9 million of other income recognized from existing drug supply transferred to Vanda in accordance with our Vanda License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jc w:val="both"/>
        <w:ind w:right="80" w:firstLine="659"/>
        <w:spacing w:after="0" w:line="305" w:lineRule="auto"/>
        <w:rPr>
          <w:sz w:val="20"/>
          <w:szCs w:val="20"/>
          <w:color w:val="auto"/>
        </w:rPr>
      </w:pPr>
      <w:r>
        <w:rPr>
          <w:rFonts w:ascii="Times New Roman" w:cs="Times New Roman" w:eastAsia="Times New Roman" w:hAnsi="Times New Roman"/>
          <w:sz w:val="18"/>
          <w:szCs w:val="18"/>
          <w:color w:val="auto"/>
        </w:rPr>
        <w:t>From our inception through March 31, 2026, we have received an aggregate of $1.4 billion to fund our operations, which included $766.4 million from the sale of equity securities, $335.0 million from the sale of future royalties, and $324.2 million from our collaboration agreements. As of March 31, 2026, and prior to the separation of First Tracks Biotherapeutics, we had $286.5 million in cash, cash equivalents and investments.</w:t>
      </w:r>
    </w:p>
    <w:p>
      <w:pPr>
        <w:spacing w:after="0" w:line="75" w:lineRule="exact"/>
        <w:rPr>
          <w:sz w:val="20"/>
          <w:szCs w:val="20"/>
          <w:color w:val="auto"/>
        </w:rPr>
      </w:pPr>
    </w:p>
    <w:p>
      <w:pPr>
        <w:ind w:right="80" w:firstLine="659"/>
        <w:spacing w:after="0" w:line="293" w:lineRule="auto"/>
        <w:rPr>
          <w:sz w:val="20"/>
          <w:szCs w:val="20"/>
          <w:color w:val="auto"/>
        </w:rPr>
      </w:pPr>
      <w:r>
        <w:rPr>
          <w:rFonts w:ascii="Times New Roman" w:cs="Times New Roman" w:eastAsia="Times New Roman" w:hAnsi="Times New Roman"/>
          <w:sz w:val="18"/>
          <w:szCs w:val="18"/>
          <w:color w:val="auto"/>
        </w:rPr>
        <w:t>In addition to our existing cash, cash equivalents and investments, we are eligible to earn milestone and other contingent payments for the achievement of defined collaboration objectives and certain regulatory events, and royalty payments under our collaboration agreements, including the GSK Agreement, the GSK Settlement Agreement, and the Vanda License Agreement. Our ability to earn these milestone and contingent payments and the timing of achieving these milestones is primarily dependent upon the outcome of our collaborators’ research and development and sales-based activities. Our rights to payments under our collaboration agreements are our only committed external source of funds.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62" w:lineRule="exact"/>
        <w:rPr>
          <w:sz w:val="20"/>
          <w:szCs w:val="20"/>
          <w:color w:val="auto"/>
        </w:rPr>
      </w:pPr>
    </w:p>
    <w:p>
      <w:pPr>
        <w:ind w:right="300" w:firstLine="659"/>
        <w:spacing w:after="0" w:line="313" w:lineRule="auto"/>
        <w:rPr>
          <w:sz w:val="20"/>
          <w:szCs w:val="20"/>
          <w:color w:val="auto"/>
        </w:rPr>
      </w:pPr>
      <w:r>
        <w:rPr>
          <w:rFonts w:ascii="Times New Roman" w:cs="Times New Roman" w:eastAsia="Times New Roman" w:hAnsi="Times New Roman"/>
          <w:sz w:val="18"/>
          <w:szCs w:val="18"/>
          <w:color w:val="auto"/>
        </w:rPr>
        <w:t>We may seek to obtain additional financing in the future through equity or debt financings or through collaborations or partnerships with other companies.</w:t>
      </w:r>
    </w:p>
    <w:p>
      <w:pPr>
        <w:spacing w:after="0" w:line="68" w:lineRule="exact"/>
        <w:rPr>
          <w:sz w:val="20"/>
          <w:szCs w:val="20"/>
          <w:color w:val="auto"/>
        </w:rPr>
      </w:pPr>
    </w:p>
    <w:p>
      <w:pPr>
        <w:ind w:right="20" w:firstLine="659"/>
        <w:spacing w:after="0" w:line="346" w:lineRule="auto"/>
        <w:rPr>
          <w:sz w:val="20"/>
          <w:szCs w:val="20"/>
          <w:color w:val="auto"/>
        </w:rPr>
      </w:pPr>
      <w:r>
        <w:rPr>
          <w:rFonts w:ascii="Times New Roman" w:cs="Times New Roman" w:eastAsia="Times New Roman" w:hAnsi="Times New Roman"/>
          <w:sz w:val="17"/>
          <w:szCs w:val="17"/>
          <w:color w:val="auto"/>
        </w:rPr>
        <w:t>Prior to the Spin-Off our primary uses of capital were third party clinical and preclinical research and development services, including manufacturing, laboratory and related supplies, compensation and related expenses, legal, patent and other regulatory expenses, and general overhead costs.</w:t>
      </w:r>
    </w:p>
    <w:p>
      <w:pPr>
        <w:spacing w:after="0" w:line="30" w:lineRule="exact"/>
        <w:rPr>
          <w:sz w:val="20"/>
          <w:szCs w:val="20"/>
          <w:color w:val="auto"/>
        </w:rPr>
      </w:pPr>
    </w:p>
    <w:p>
      <w:pPr>
        <w:ind w:right="40" w:firstLine="659"/>
        <w:spacing w:after="0" w:line="329" w:lineRule="auto"/>
        <w:rPr>
          <w:sz w:val="20"/>
          <w:szCs w:val="20"/>
          <w:color w:val="auto"/>
        </w:rPr>
      </w:pPr>
      <w:r>
        <w:rPr>
          <w:rFonts w:ascii="Times New Roman" w:cs="Times New Roman" w:eastAsia="Times New Roman" w:hAnsi="Times New Roman"/>
          <w:sz w:val="18"/>
          <w:szCs w:val="18"/>
          <w:color w:val="auto"/>
        </w:rPr>
        <w:t>Our primary uses of capital, after the completion of the Spin-Off, are and we expect will continue to be, public company costs, legal, audit and tax services, consulting, insurance, transition services from First Tracks Biotherapeutics, and general overhead costs.</w:t>
      </w:r>
    </w:p>
    <w:p>
      <w:pPr>
        <w:spacing w:after="0" w:line="40" w:lineRule="exact"/>
        <w:rPr>
          <w:sz w:val="20"/>
          <w:szCs w:val="20"/>
          <w:color w:val="auto"/>
        </w:rPr>
      </w:pPr>
    </w:p>
    <w:p>
      <w:pPr>
        <w:jc w:val="both"/>
        <w:ind w:right="180" w:firstLine="659"/>
        <w:spacing w:after="0" w:line="297" w:lineRule="auto"/>
        <w:rPr>
          <w:sz w:val="20"/>
          <w:szCs w:val="20"/>
          <w:color w:val="auto"/>
        </w:rPr>
      </w:pPr>
      <w:r>
        <w:rPr>
          <w:rFonts w:ascii="Times New Roman" w:cs="Times New Roman" w:eastAsia="Times New Roman" w:hAnsi="Times New Roman"/>
          <w:sz w:val="18"/>
          <w:szCs w:val="18"/>
          <w:color w:val="auto"/>
        </w:rPr>
        <w:t>Cash, cash equivalents and investments totaled $286.5 million as of March 31, 2026, compared to $311.6 million as of December 31, 2025. We believe that our existing cash, cash equivalents and investments will fund our current operating plan for at least the next twelve months from the issuance of our consolidated financial statements. We have based this estimate on assumptions that may prove to be wrong, and we could use our capital resources sooner than we expect.</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2026 and 2025:</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20" w:type="dxa"/>
            <w:vAlign w:val="bottom"/>
            <w:vMerge w:val="continue"/>
          </w:tcPr>
          <w:p>
            <w:pPr>
              <w:spacing w:after="0"/>
              <w:rPr>
                <w:sz w:val="12"/>
                <w:szCs w:val="12"/>
                <w:color w:val="auto"/>
              </w:rPr>
            </w:pPr>
          </w:p>
        </w:tc>
        <w:tc>
          <w:tcPr>
            <w:tcW w:w="30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3"/>
        </w:trPr>
        <w:tc>
          <w:tcPr>
            <w:tcW w:w="4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cash provided by (used in):</w:t>
            </w:r>
          </w:p>
        </w:tc>
        <w:tc>
          <w:tcPr>
            <w:tcW w:w="30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activities</w:t>
            </w:r>
          </w:p>
        </w:tc>
        <w:tc>
          <w:tcPr>
            <w:tcW w:w="338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(25,919)</w:t>
            </w:r>
          </w:p>
        </w:tc>
        <w:tc>
          <w:tcPr>
            <w:tcW w:w="740" w:type="dxa"/>
            <w:vAlign w:val="bottom"/>
            <w:gridSpan w:val="2"/>
          </w:tcPr>
          <w:p>
            <w:pPr>
              <w:jc w:val="right"/>
              <w:ind w:right="4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(10,700)</w:t>
            </w: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Investing activities</w:t>
            </w:r>
          </w:p>
        </w:tc>
        <w:tc>
          <w:tcPr>
            <w:tcW w:w="30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8"/>
              <w:spacing w:after="0" w:line="189" w:lineRule="exact"/>
              <w:rPr>
                <w:sz w:val="20"/>
                <w:szCs w:val="20"/>
                <w:color w:val="auto"/>
              </w:rPr>
            </w:pPr>
            <w:r>
              <w:rPr>
                <w:rFonts w:ascii="Times New Roman" w:cs="Times New Roman" w:eastAsia="Times New Roman" w:hAnsi="Times New Roman"/>
                <w:sz w:val="18"/>
                <w:szCs w:val="18"/>
                <w:color w:val="auto"/>
              </w:rPr>
              <w:t>34,983</w:t>
            </w:r>
          </w:p>
        </w:tc>
        <w:tc>
          <w:tcPr>
            <w:tcW w:w="1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14,847</w:t>
            </w:r>
          </w:p>
        </w:tc>
        <w:tc>
          <w:tcPr>
            <w:tcW w:w="0" w:type="dxa"/>
            <w:vAlign w:val="bottom"/>
          </w:tcPr>
          <w:p>
            <w:pPr>
              <w:spacing w:after="0"/>
              <w:rPr>
                <w:sz w:val="1"/>
                <w:szCs w:val="1"/>
                <w:color w:val="auto"/>
              </w:rPr>
            </w:pPr>
          </w:p>
        </w:tc>
      </w:tr>
      <w:tr>
        <w:trPr>
          <w:trHeight w:val="189"/>
        </w:trPr>
        <w:tc>
          <w:tcPr>
            <w:tcW w:w="4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Financing activities</w:t>
            </w:r>
          </w:p>
        </w:tc>
        <w:tc>
          <w:tcPr>
            <w:tcW w:w="3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8"/>
              <w:spacing w:after="0" w:line="189" w:lineRule="exact"/>
              <w:rPr>
                <w:sz w:val="20"/>
                <w:szCs w:val="20"/>
                <w:color w:val="auto"/>
              </w:rPr>
            </w:pPr>
            <w:r>
              <w:rPr>
                <w:rFonts w:ascii="Times New Roman" w:cs="Times New Roman" w:eastAsia="Times New Roman" w:hAnsi="Times New Roman"/>
                <w:sz w:val="18"/>
                <w:szCs w:val="18"/>
                <w:color w:val="auto"/>
              </w:rPr>
              <w:t>1,209</w:t>
            </w:r>
          </w:p>
        </w:tc>
        <w:tc>
          <w:tcPr>
            <w:tcW w:w="1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(28,590)</w:t>
            </w: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380" w:type="dxa"/>
            <w:vAlign w:val="bottom"/>
            <w:gridSpan w:val="2"/>
            <w:shd w:val="clear" w:color="auto" w:fill="CFF0FC"/>
          </w:tcPr>
          <w:p>
            <w:pPr>
              <w:jc w:val="right"/>
              <w:ind w:right="2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8"/>
              <w:spacing w:after="0" w:line="182" w:lineRule="exact"/>
              <w:rPr>
                <w:sz w:val="20"/>
                <w:szCs w:val="20"/>
                <w:color w:val="auto"/>
              </w:rPr>
            </w:pPr>
            <w:r>
              <w:rPr>
                <w:rFonts w:ascii="Times New Roman" w:cs="Times New Roman" w:eastAsia="Times New Roman" w:hAnsi="Times New Roman"/>
                <w:sz w:val="18"/>
                <w:szCs w:val="18"/>
                <w:color w:val="auto"/>
              </w:rPr>
              <w:t>10,273</w:t>
            </w:r>
          </w:p>
        </w:tc>
        <w:tc>
          <w:tcPr>
            <w:tcW w:w="740" w:type="dxa"/>
            <w:vAlign w:val="bottom"/>
            <w:gridSpan w:val="2"/>
            <w:shd w:val="clear" w:color="auto" w:fill="CFF0FC"/>
          </w:tcPr>
          <w:p>
            <w:pPr>
              <w:jc w:val="right"/>
              <w:ind w:right="4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(24,443)</w:t>
            </w:r>
          </w:p>
        </w:tc>
        <w:tc>
          <w:tcPr>
            <w:tcW w:w="0" w:type="dxa"/>
            <w:vAlign w:val="bottom"/>
          </w:tcPr>
          <w:p>
            <w:pPr>
              <w:spacing w:after="0"/>
              <w:rPr>
                <w:sz w:val="1"/>
                <w:szCs w:val="1"/>
                <w:color w:val="auto"/>
              </w:rPr>
            </w:pPr>
          </w:p>
        </w:tc>
      </w:tr>
      <w:tr>
        <w:trPr>
          <w:trHeight w:val="629"/>
        </w:trPr>
        <w:tc>
          <w:tcPr>
            <w:tcW w:w="4720" w:type="dxa"/>
            <w:vAlign w:val="bottom"/>
            <w:tcBorders>
              <w:top w:val="single" w:sz="8" w:color="CFF0FC"/>
            </w:tcBorders>
          </w:tcPr>
          <w:p>
            <w:pPr>
              <w:spacing w:after="0"/>
              <w:rPr>
                <w:sz w:val="24"/>
                <w:szCs w:val="24"/>
                <w:color w:val="auto"/>
              </w:rPr>
            </w:pPr>
          </w:p>
        </w:tc>
        <w:tc>
          <w:tcPr>
            <w:tcW w:w="302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7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-694055</wp:posOffset>
            </wp:positionV>
            <wp:extent cx="1111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-676275</wp:posOffset>
            </wp:positionV>
            <wp:extent cx="1111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ind w:right="60" w:firstLine="659"/>
        <w:spacing w:after="0" w:line="297"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2026 was $25.9 million, primarily due to our net loss of $52.9 million, adjusted for addbacks for non-cash items of $35.7 million which includes stock-based compensation, amortization of operating right-of-use assets, non-cash interest expense, income from marketable securities, and depreciation, offset by decreases in working capital of $8.7 million, which includes decreases related to accounts payable and other liabilities, and operating lease liabilities, partially offset by increases related to receivables from collaborative partners, and prepaid expenses and other assets.</w:t>
      </w:r>
    </w:p>
    <w:p>
      <w:pPr>
        <w:spacing w:after="0" w:line="69" w:lineRule="exact"/>
        <w:rPr>
          <w:sz w:val="20"/>
          <w:szCs w:val="20"/>
          <w:color w:val="auto"/>
        </w:rPr>
      </w:pPr>
    </w:p>
    <w:p>
      <w:pPr>
        <w:ind w:right="240" w:firstLine="659"/>
        <w:spacing w:after="0" w:line="292"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2025 was $10.7 million, primarily due to our net loss of $39.3 million, adjusted for addbacks for non-cash expenses of $26.2 million, which includes stock-based compensation, amortization of operating ROU assets, non-cash interest expense, income from marketable securities and net increases in working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of $2.4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ind w:right="940" w:firstLine="659"/>
        <w:spacing w:after="0" w:line="329" w:lineRule="auto"/>
        <w:rPr>
          <w:sz w:val="20"/>
          <w:szCs w:val="20"/>
          <w:color w:val="auto"/>
        </w:rPr>
      </w:pPr>
      <w:r>
        <w:rPr>
          <w:rFonts w:ascii="Times New Roman" w:cs="Times New Roman" w:eastAsia="Times New Roman" w:hAnsi="Times New Roman"/>
          <w:sz w:val="18"/>
          <w:szCs w:val="18"/>
          <w:color w:val="auto"/>
        </w:rPr>
        <w:t>Net cash provided by investing activities during the three months ended March 31, 2026 and 2025 of $35.0 million and $14.8 million, respectively, primarily relates to the timing of sales, maturities and purchases of investments.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ind w:right="340" w:firstLine="659"/>
        <w:spacing w:after="0" w:line="313"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2026 of $1.2 million was primarily due to $14.0 million of cash received for the issuance of common stock, offset by $12.8 million for principal repayments of the liability for the sale of future royalties.</w:t>
      </w:r>
    </w:p>
    <w:p>
      <w:pPr>
        <w:spacing w:after="0" w:line="54" w:lineRule="exact"/>
        <w:rPr>
          <w:sz w:val="20"/>
          <w:szCs w:val="20"/>
          <w:color w:val="auto"/>
        </w:rPr>
      </w:pPr>
    </w:p>
    <w:p>
      <w:pPr>
        <w:ind w:right="360" w:firstLine="659"/>
        <w:spacing w:after="0" w:line="305" w:lineRule="auto"/>
        <w:rPr>
          <w:sz w:val="20"/>
          <w:szCs w:val="20"/>
          <w:color w:val="auto"/>
        </w:rPr>
      </w:pPr>
      <w:r>
        <w:rPr>
          <w:rFonts w:ascii="Times New Roman" w:cs="Times New Roman" w:eastAsia="Times New Roman" w:hAnsi="Times New Roman"/>
          <w:sz w:val="18"/>
          <w:szCs w:val="18"/>
          <w:color w:val="auto"/>
        </w:rPr>
        <w:t>Net cash used in financing activities during the three months ended March 31, 2025 of $28.6 million was primarily due to $23.0 million for repayments of the liability to the sale of future royalties, $4.4 million used for the repurchase and retirement of common stock, and $1.5 million for net share settlement of equity awards, partially offset by $0.3 million of cash received for the issuance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48" w:lineRule="exact"/>
        <w:rPr>
          <w:sz w:val="20"/>
          <w:szCs w:val="20"/>
          <w:color w:val="auto"/>
        </w:rPr>
      </w:pPr>
    </w:p>
    <w:p>
      <w:pPr>
        <w:ind w:right="200" w:firstLine="659"/>
        <w:spacing w:after="0" w:line="293" w:lineRule="auto"/>
        <w:rPr>
          <w:sz w:val="20"/>
          <w:szCs w:val="20"/>
          <w:color w:val="auto"/>
        </w:rPr>
      </w:pPr>
      <w:r>
        <w:rPr>
          <w:rFonts w:ascii="Times New Roman" w:cs="Times New Roman" w:eastAsia="Times New Roman" w:hAnsi="Times New Roman"/>
          <w:sz w:val="18"/>
          <w:szCs w:val="18"/>
          <w:color w:val="auto"/>
        </w:rPr>
        <w:t>Prior to the separation of First Tracks Biotherapeutics, we had entered into agreements with certain vendors for the provision of goods and services.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 All of these agreements were transferred to First Tracks Biotherapeutics in connection with the separation.</w:t>
      </w:r>
    </w:p>
    <w:p>
      <w:pPr>
        <w:spacing w:after="0" w:line="87" w:lineRule="exact"/>
        <w:rPr>
          <w:sz w:val="20"/>
          <w:szCs w:val="20"/>
          <w:color w:val="auto"/>
        </w:rPr>
      </w:pPr>
    </w:p>
    <w:p>
      <w:pPr>
        <w:ind w:right="120" w:firstLine="659"/>
        <w:spacing w:after="0" w:line="305" w:lineRule="auto"/>
        <w:rPr>
          <w:sz w:val="20"/>
          <w:szCs w:val="20"/>
          <w:color w:val="auto"/>
        </w:rPr>
      </w:pPr>
      <w:r>
        <w:rPr>
          <w:rFonts w:ascii="Times New Roman" w:cs="Times New Roman" w:eastAsia="Times New Roman" w:hAnsi="Times New Roman"/>
          <w:sz w:val="18"/>
          <w:szCs w:val="18"/>
          <w:color w:val="auto"/>
        </w:rPr>
        <w:t>In connection with the separation, we entered into a transition services agreement (the “Transition Services Agreement”) with First Tracks Biotherapeutics. The Transition Services Agreement will provide certain specified services for a limited time, to ensure an orderly transition following the Spin-Off. The services provided will consist of digital technology, human resources, and finance, among others.</w:t>
      </w:r>
    </w:p>
    <w:p>
      <w:pPr>
        <w:spacing w:after="0" w:line="61" w:lineRule="exact"/>
        <w:rPr>
          <w:sz w:val="20"/>
          <w:szCs w:val="20"/>
          <w:color w:val="auto"/>
        </w:rPr>
      </w:pPr>
    </w:p>
    <w:p>
      <w:pPr>
        <w:ind w:firstLine="659"/>
        <w:spacing w:after="0" w:line="313" w:lineRule="auto"/>
        <w:rPr>
          <w:sz w:val="20"/>
          <w:szCs w:val="20"/>
          <w:color w:val="auto"/>
        </w:rPr>
      </w:pPr>
      <w:r>
        <w:rPr>
          <w:rFonts w:ascii="Times New Roman" w:cs="Times New Roman" w:eastAsia="Times New Roman" w:hAnsi="Times New Roman"/>
          <w:sz w:val="18"/>
          <w:szCs w:val="18"/>
          <w:color w:val="auto"/>
        </w:rPr>
        <w:t>For further information related to our operating lease and future minimum annual payments, see Note 9 — Commitments and Contingencies in the accompanying notes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jc w:val="both"/>
        <w:ind w:right="320" w:firstLine="659"/>
        <w:spacing w:after="0" w:line="305" w:lineRule="auto"/>
        <w:rPr>
          <w:sz w:val="20"/>
          <w:szCs w:val="20"/>
          <w:color w:val="auto"/>
        </w:rPr>
      </w:pPr>
      <w:r>
        <w:rPr>
          <w:rFonts w:ascii="Times New Roman" w:cs="Times New Roman" w:eastAsia="Times New Roman" w:hAnsi="Times New Roman"/>
          <w:sz w:val="18"/>
          <w:szCs w:val="18"/>
          <w:color w:val="auto"/>
        </w:rPr>
        <w:t>As of March 31, 2026, there have been no material changes surrounding our market risk, including interest rate risk, inflation risk, and foreign currency exchange risk from the discussion provided in Item 7A. Quantitative and Qualitative Disclosures About Market Risk of our Annual Report on Form 10-K filed with the SEC on March 3, 2026.</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ind w:firstLine="659"/>
        <w:spacing w:after="0" w:line="292"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March 31, 2026, our management, with the participation of our Chief Executive Officer and the Chief Financial Officer, performed an evaluation of the effectiveness of the design and operation of our disclosure controls and procedures as defined in Rules 13a-15(e) and 15d-15(e) of the Exchange Act. Based on this evaluation, our Chief Executive Officer and the Chief Financial Officer concluded that the design and operation of our disclosure controls and procedures were effective at a reasonable assurance level.</w:t>
      </w:r>
    </w:p>
    <w:p>
      <w:pPr>
        <w:spacing w:after="0" w:line="87" w:lineRule="exact"/>
        <w:rPr>
          <w:sz w:val="20"/>
          <w:szCs w:val="20"/>
          <w:color w:val="auto"/>
        </w:rPr>
      </w:pPr>
    </w:p>
    <w:p>
      <w:pPr>
        <w:ind w:right="80" w:firstLine="659"/>
        <w:spacing w:after="0" w:line="313"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right="200" w:firstLine="659"/>
        <w:spacing w:after="0" w:line="29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that occurred during the quarter ended March 31, 2026 that have materially affected, or are reasonably likely to materially affect, our internal control over financial reporting.</w:t>
      </w:r>
    </w:p>
    <w:p>
      <w:pPr>
        <w:spacing w:after="0" w:line="1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5" w:right="4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jc w:val="both"/>
        <w:ind w:right="100" w:firstLine="659"/>
        <w:spacing w:after="0" w:line="297" w:lineRule="auto"/>
        <w:rPr>
          <w:sz w:val="20"/>
          <w:szCs w:val="20"/>
          <w:color w:val="auto"/>
        </w:rPr>
      </w:pPr>
      <w:r>
        <w:rPr>
          <w:rFonts w:ascii="Times New Roman" w:cs="Times New Roman" w:eastAsia="Times New Roman" w:hAnsi="Times New Roman"/>
          <w:sz w:val="18"/>
          <w:szCs w:val="18"/>
          <w:color w:val="auto"/>
        </w:rPr>
        <w:t>On November 20, 2025, we filed a Verified Complaint in Delaware Chancery Court (the “Court”), requesting a court declaration that TESARO, Inc. (“Tesaro”) has materially breached the parties’ Collaboration and Exclusive License Agreement (“Collaboration Agreement”) and that GSK, Tesaro’s corporate parent, has tortiously interfered with the Collaboration Agreement. We have requested that the court declare that we are entitled to all rights and remedies under the Collaboration Agreement.</w:t>
      </w:r>
    </w:p>
    <w:p>
      <w:pPr>
        <w:spacing w:after="0" w:line="69" w:lineRule="exact"/>
        <w:rPr>
          <w:sz w:val="20"/>
          <w:szCs w:val="20"/>
          <w:color w:val="auto"/>
        </w:rPr>
      </w:pPr>
    </w:p>
    <w:p>
      <w:pPr>
        <w:ind w:firstLine="659"/>
        <w:spacing w:after="0" w:line="305" w:lineRule="auto"/>
        <w:rPr>
          <w:sz w:val="20"/>
          <w:szCs w:val="20"/>
          <w:color w:val="auto"/>
        </w:rPr>
      </w:pPr>
      <w:r>
        <w:rPr>
          <w:rFonts w:ascii="Times New Roman" w:cs="Times New Roman" w:eastAsia="Times New Roman" w:hAnsi="Times New Roman"/>
          <w:sz w:val="18"/>
          <w:szCs w:val="18"/>
          <w:color w:val="auto"/>
        </w:rPr>
        <w:t>While we had approached Tesaro to engage in good faith discussions to potentially resolve these claims, on November 20, 2025, Tesaro, without notice, initiated a lawsuit against us. Tesaro’s complaint includes a request for a declaration that it has not breached the Collaboration Agreement and for an injunction prohibiting AnaptysBio from terminating the Collaboration Agreement.</w:t>
      </w:r>
    </w:p>
    <w:p>
      <w:pPr>
        <w:spacing w:after="0" w:line="75" w:lineRule="exact"/>
        <w:rPr>
          <w:sz w:val="20"/>
          <w:szCs w:val="20"/>
          <w:color w:val="auto"/>
        </w:rPr>
      </w:pPr>
    </w:p>
    <w:p>
      <w:pPr>
        <w:ind w:right="100" w:firstLine="704"/>
        <w:spacing w:after="0" w:line="293" w:lineRule="auto"/>
        <w:rPr>
          <w:sz w:val="20"/>
          <w:szCs w:val="20"/>
          <w:color w:val="auto"/>
        </w:rPr>
      </w:pPr>
      <w:r>
        <w:rPr>
          <w:rFonts w:ascii="Times New Roman" w:cs="Times New Roman" w:eastAsia="Times New Roman" w:hAnsi="Times New Roman"/>
          <w:sz w:val="18"/>
          <w:szCs w:val="18"/>
          <w:color w:val="auto"/>
        </w:rPr>
        <w:t>Tesaro also alleged that AnaptysBio materially breached the agreement, entitling Tesaro to exercise certain rights and remedies under the agreement. Tesaro’s claim for breach was predicated on an allegation that AnaptysBio improperly alleged that Tesaro had breached the Collaboration Agreement, which allegedly caused an anticipatory breach of contract. Tesaro’s claim that we materially breached our duties was dismissed by the Delaware Chancery Court on April 24, 2026. The ruling agrees with our position that we have never repudiated the Collaboration Agreement. Trial for the remaining claims is scheduled to begin on July 14,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0" w:lineRule="exact"/>
        <w:rPr>
          <w:sz w:val="20"/>
          <w:szCs w:val="20"/>
          <w:color w:val="auto"/>
        </w:rPr>
      </w:pPr>
    </w:p>
    <w:p>
      <w:pPr>
        <w:ind w:right="60" w:firstLine="659"/>
        <w:spacing w:after="0" w:line="29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48" w:lineRule="exact"/>
        <w:rPr>
          <w:sz w:val="20"/>
          <w:szCs w:val="20"/>
          <w:color w:val="auto"/>
        </w:rPr>
      </w:pPr>
    </w:p>
    <w:p>
      <w:pPr>
        <w:ind w:right="160" w:firstLine="656"/>
        <w:spacing w:after="0" w:line="329" w:lineRule="auto"/>
        <w:rPr>
          <w:sz w:val="20"/>
          <w:szCs w:val="20"/>
          <w:color w:val="auto"/>
        </w:rPr>
      </w:pPr>
      <w:r>
        <w:rPr>
          <w:rFonts w:ascii="Times New Roman" w:cs="Times New Roman" w:eastAsia="Times New Roman" w:hAnsi="Times New Roman"/>
          <w:sz w:val="18"/>
          <w:szCs w:val="18"/>
          <w:color w:val="auto"/>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spacing w:after="0" w:line="38" w:lineRule="exact"/>
        <w:rPr>
          <w:sz w:val="20"/>
          <w:szCs w:val="20"/>
          <w:color w:val="auto"/>
        </w:rPr>
      </w:pPr>
    </w:p>
    <w:p>
      <w:pPr>
        <w:ind w:left="1040" w:right="280" w:hanging="373"/>
        <w:spacing w:after="0" w:line="315"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derive substantially all of our revenues from GSK’s commercialization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As a result, our business and financial results and prospects heavily depend on GSK’s ability to successfully develop and commercialize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w:t>
      </w:r>
    </w:p>
    <w:p>
      <w:pPr>
        <w:spacing w:after="0" w:line="66" w:lineRule="exact"/>
        <w:rPr>
          <w:rFonts w:ascii="Times New Roman" w:cs="Times New Roman" w:eastAsia="Times New Roman" w:hAnsi="Times New Roman"/>
          <w:sz w:val="18"/>
          <w:szCs w:val="18"/>
          <w:color w:val="auto"/>
        </w:rPr>
      </w:pPr>
    </w:p>
    <w:p>
      <w:pPr>
        <w:ind w:left="1040" w:right="840" w:hanging="373"/>
        <w:spacing w:after="0" w:line="313"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collaboration with GSK and other collaborations are important to our business. If we are unable to maintain the GSK collaboration, or if this collaboration is not successful, our business could be adversely affected.</w:t>
      </w:r>
    </w:p>
    <w:p>
      <w:pPr>
        <w:spacing w:after="0" w:line="65" w:lineRule="exact"/>
        <w:rPr>
          <w:rFonts w:ascii="Times New Roman" w:cs="Times New Roman" w:eastAsia="Times New Roman" w:hAnsi="Times New Roman"/>
          <w:sz w:val="18"/>
          <w:szCs w:val="18"/>
          <w:color w:val="auto"/>
        </w:rPr>
      </w:pPr>
    </w:p>
    <w:p>
      <w:pPr>
        <w:ind w:left="1040" w:right="700" w:hanging="373"/>
        <w:spacing w:after="0" w:line="298"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commercialization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in the countries in which it has received regulatory approval encounters any delays or adverse developments, or perceived delays or adverse developments, or if sales or payor coverage does not meet investors’, analysts’, or our expectations, our business will be harmed and the price of our securities could fall.</w:t>
      </w:r>
    </w:p>
    <w:p>
      <w:pPr>
        <w:spacing w:after="0" w:line="79" w:lineRule="exact"/>
        <w:rPr>
          <w:rFonts w:ascii="Times New Roman" w:cs="Times New Roman" w:eastAsia="Times New Roman" w:hAnsi="Times New Roman"/>
          <w:sz w:val="18"/>
          <w:szCs w:val="18"/>
          <w:color w:val="auto"/>
        </w:rPr>
      </w:pPr>
    </w:p>
    <w:p>
      <w:pPr>
        <w:ind w:left="1040" w:right="280" w:hanging="373"/>
        <w:spacing w:after="0" w:line="30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heavily dependent on GSK for the successful commercialization and development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under the GSK Agreement. If GSK does not devote sufficient resources to the commercialization or development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is unsuccessful in its efforts, or chooses to reprioritize its commercial programs, our business would be materially harmed.</w:t>
      </w:r>
    </w:p>
    <w:p>
      <w:pPr>
        <w:spacing w:after="0" w:line="58" w:lineRule="exact"/>
        <w:rPr>
          <w:rFonts w:ascii="Times New Roman" w:cs="Times New Roman" w:eastAsia="Times New Roman" w:hAnsi="Times New Roman"/>
          <w:sz w:val="18"/>
          <w:szCs w:val="18"/>
          <w:color w:val="auto"/>
        </w:rPr>
      </w:pPr>
    </w:p>
    <w:p>
      <w:pPr>
        <w:ind w:left="1040" w:right="40" w:hanging="373"/>
        <w:spacing w:after="0" w:line="30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Jemperli </w:t>
      </w:r>
      <w:r>
        <w:rPr>
          <w:rFonts w:ascii="Times New Roman" w:cs="Times New Roman" w:eastAsia="Times New Roman" w:hAnsi="Times New Roman"/>
          <w:sz w:val="18"/>
          <w:szCs w:val="18"/>
          <w:color w:val="auto"/>
        </w:rPr>
        <w:t>faces substantial competition for its intended uses in the targeted markets from products discovered, developed and commercialized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by GSK and by other pharmaceutical companies, which could cause the royalties payable to us pursuant to the GSK Agreement to be less than expected, which in turn would harm our business and cause the price of our securities to fall.</w:t>
      </w:r>
    </w:p>
    <w:p>
      <w:pPr>
        <w:spacing w:after="0" w:line="60" w:lineRule="exact"/>
        <w:rPr>
          <w:rFonts w:ascii="Times New Roman" w:cs="Times New Roman" w:eastAsia="Times New Roman" w:hAnsi="Times New Roman"/>
          <w:sz w:val="18"/>
          <w:szCs w:val="18"/>
          <w:color w:val="auto"/>
        </w:rPr>
      </w:pPr>
    </w:p>
    <w:p>
      <w:pPr>
        <w:ind w:left="1040" w:right="60" w:hanging="373"/>
        <w:spacing w:after="0" w:line="305"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separation of our business into two independent, publicly traded companies is subject to continued risks and uncertainties, and completion of the tasks relating to the separation will continue to involve time, effort and expense, which could harm our business, results of operations and financial condition.</w:t>
      </w:r>
    </w:p>
    <w:p>
      <w:pPr>
        <w:spacing w:after="0" w:line="61"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protect intellectual property rights, we may not be able to compete effectively in our market.</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1" w:name="page32"/>
    <w:bookmarkEnd w:id="31"/>
    <w:p>
      <w:pPr>
        <w:ind w:left="1040" w:right="140" w:hanging="373"/>
        <w:spacing w:after="0" w:line="313"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a limited number of employees, and our future success depends on our ability to retain our key executives and to attract, retain and motivate qualified personnel.</w:t>
      </w:r>
    </w:p>
    <w:p>
      <w:pPr>
        <w:spacing w:after="0" w:line="6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stock has been and may continue to be volatile, and you could lose all or part of your investment.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Risks Related to Continued Commercialization Success of </w:t>
      </w:r>
      <w:r>
        <w:rPr>
          <w:rFonts w:ascii="Times New Roman" w:cs="Times New Roman" w:eastAsia="Times New Roman" w:hAnsi="Times New Roman"/>
          <w:sz w:val="18"/>
          <w:szCs w:val="18"/>
          <w:b w:val="1"/>
          <w:bCs w:val="1"/>
          <w:i w:val="1"/>
          <w:iCs w:val="1"/>
          <w:color w:val="auto"/>
        </w:rPr>
        <w:t>Jemperli</w:t>
      </w:r>
    </w:p>
    <w:p>
      <w:pPr>
        <w:spacing w:after="0" w:line="158" w:lineRule="exact"/>
        <w:rPr>
          <w:sz w:val="20"/>
          <w:szCs w:val="20"/>
          <w:color w:val="auto"/>
        </w:rPr>
      </w:pPr>
    </w:p>
    <w:p>
      <w:pPr>
        <w:ind w:right="68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We derive substantially all of our revenues from GSK’s commercialization of </w:t>
      </w:r>
      <w:r>
        <w:rPr>
          <w:rFonts w:ascii="Times New Roman" w:cs="Times New Roman" w:eastAsia="Times New Roman" w:hAnsi="Times New Roman"/>
          <w:sz w:val="18"/>
          <w:szCs w:val="18"/>
          <w:b w:val="1"/>
          <w:bCs w:val="1"/>
          <w:i w:val="1"/>
          <w:iCs w:val="1"/>
          <w:color w:val="auto"/>
        </w:rPr>
        <w:t>Jemperli</w:t>
      </w:r>
      <w:r>
        <w:rPr>
          <w:rFonts w:ascii="Times New Roman" w:cs="Times New Roman" w:eastAsia="Times New Roman" w:hAnsi="Times New Roman"/>
          <w:sz w:val="18"/>
          <w:szCs w:val="18"/>
          <w:b w:val="1"/>
          <w:bCs w:val="1"/>
          <w:color w:val="auto"/>
        </w:rPr>
        <w:t xml:space="preserve">. As a result, our business and financial results and prospects heavily depend on GSK’s ability to successfully develop and commercialize </w:t>
      </w:r>
      <w:r>
        <w:rPr>
          <w:rFonts w:ascii="Times New Roman" w:cs="Times New Roman" w:eastAsia="Times New Roman" w:hAnsi="Times New Roman"/>
          <w:sz w:val="18"/>
          <w:szCs w:val="18"/>
          <w:b w:val="1"/>
          <w:bCs w:val="1"/>
          <w:i w:val="1"/>
          <w:iCs w:val="1"/>
          <w:color w:val="auto"/>
        </w:rPr>
        <w:t>Jemperli</w:t>
      </w:r>
      <w:r>
        <w:rPr>
          <w:rFonts w:ascii="Times New Roman" w:cs="Times New Roman" w:eastAsia="Times New Roman" w:hAnsi="Times New Roman"/>
          <w:sz w:val="18"/>
          <w:szCs w:val="18"/>
          <w:b w:val="1"/>
          <w:bCs w:val="1"/>
          <w:color w:val="auto"/>
        </w:rPr>
        <w:t>.</w:t>
      </w:r>
    </w:p>
    <w:p>
      <w:pPr>
        <w:spacing w:after="0" w:line="47" w:lineRule="exact"/>
        <w:rPr>
          <w:sz w:val="20"/>
          <w:szCs w:val="20"/>
          <w:color w:val="auto"/>
        </w:rPr>
      </w:pPr>
    </w:p>
    <w:p>
      <w:pPr>
        <w:ind w:firstLine="659"/>
        <w:spacing w:after="0" w:line="294" w:lineRule="auto"/>
        <w:rPr>
          <w:sz w:val="20"/>
          <w:szCs w:val="20"/>
          <w:color w:val="auto"/>
        </w:rPr>
      </w:pPr>
      <w:r>
        <w:rPr>
          <w:rFonts w:ascii="Times New Roman" w:cs="Times New Roman" w:eastAsia="Times New Roman" w:hAnsi="Times New Roman"/>
          <w:sz w:val="18"/>
          <w:szCs w:val="18"/>
          <w:color w:val="auto"/>
        </w:rPr>
        <w:t xml:space="preserve">We derive substantially all of our revenues from GSK’s commercialization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revenues from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have represented and are expected to represent substantially all of our future revenues. The amount and timing of revenue from such royalties are unknown and highly uncertain. Pursuant to the GSK Agreement, GSK is responsible for the development and commercialization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As a result, our business and financial results and prospects depend upon the performance by GSK of its commercial obligations under the GSK Agreement and the commercial success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We have no control over GSK’s marketing and sales efforts, and GSK might not be successful, which would harm our business and cause the price of our securities to fall.</w:t>
      </w:r>
    </w:p>
    <w:p>
      <w:pPr>
        <w:spacing w:after="0" w:line="87" w:lineRule="exact"/>
        <w:rPr>
          <w:sz w:val="20"/>
          <w:szCs w:val="20"/>
          <w:color w:val="auto"/>
        </w:rPr>
      </w:pPr>
    </w:p>
    <w:p>
      <w:pPr>
        <w:ind w:right="260" w:firstLine="659"/>
        <w:spacing w:after="0" w:line="313" w:lineRule="auto"/>
        <w:rPr>
          <w:sz w:val="20"/>
          <w:szCs w:val="20"/>
          <w:color w:val="auto"/>
        </w:rPr>
      </w:pPr>
      <w:r>
        <w:rPr>
          <w:rFonts w:ascii="Times New Roman" w:cs="Times New Roman" w:eastAsia="Times New Roman" w:hAnsi="Times New Roman"/>
          <w:sz w:val="18"/>
          <w:szCs w:val="18"/>
          <w:color w:val="auto"/>
        </w:rPr>
        <w:t>Our quarterly royalty revenues may fluctuate due to a variety of factors, many of which are outside of our control. The amount of royalties and milestone payments, if any, we receive will depend on many factors, including but not limited to the following:</w:t>
      </w:r>
    </w:p>
    <w:p>
      <w:pPr>
        <w:spacing w:after="0" w:line="52" w:lineRule="exact"/>
        <w:rPr>
          <w:sz w:val="20"/>
          <w:szCs w:val="20"/>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extent and effectiveness of the sales and marketing and distribution support GSK provides to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market acceptance and demand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040" w:right="260" w:hanging="373"/>
        <w:spacing w:after="0" w:line="331"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competitive landscape of generic and branded products and developing therapies that compete with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(such as Keytruda®) but which are not partnered with us and pricing pressure in the oncology markets targeted by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w:t>
      </w:r>
    </w:p>
    <w:p>
      <w:pPr>
        <w:spacing w:after="0" w:line="36"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size of the market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w:t>
      </w:r>
    </w:p>
    <w:p>
      <w:pPr>
        <w:spacing w:after="0" w:line="146"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as to the timing of product launches, pricing and discounts;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reprioritization of GSK’s commercial efforts on other products owned by GSK, which are not partnered with us;</w:t>
      </w:r>
    </w:p>
    <w:p>
      <w:pPr>
        <w:spacing w:after="0" w:line="142"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GSK’s ability to expand the indications for which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can be marketed;</w:t>
      </w:r>
    </w:p>
    <w:p>
      <w:pPr>
        <w:spacing w:after="0" w:line="159"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satisfactory efficacy and safety profile as demonstrated in a broad patient population;</w:t>
      </w:r>
    </w:p>
    <w:p>
      <w:pPr>
        <w:spacing w:after="0" w:line="142"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acceptance of, and ongoing satisfaction with,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by the medical community, patients receiving therapy and third party payors;</w:t>
      </w:r>
    </w:p>
    <w:p>
      <w:pPr>
        <w:spacing w:after="0" w:line="146"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amounts of payor rebate adjustments and prior period rebate adjustments;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of demand;</w:t>
      </w:r>
    </w:p>
    <w:p>
      <w:pPr>
        <w:spacing w:after="0" w:line="142"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ability of patients to be able to afford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or obtain health care coverage that covers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safety concerns in the marketplace for oncology therapies in general and with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in particular;</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regulatory developments relating to the manufacture or continued use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w:t>
      </w:r>
    </w:p>
    <w:p>
      <w:pPr>
        <w:spacing w:after="0" w:line="105" w:lineRule="exact"/>
        <w:rPr>
          <w:rFonts w:ascii="Times New Roman" w:cs="Times New Roman" w:eastAsia="Times New Roman" w:hAnsi="Times New Roman"/>
          <w:sz w:val="18"/>
          <w:szCs w:val="18"/>
          <w:color w:val="auto"/>
        </w:rPr>
      </w:pPr>
    </w:p>
    <w:p>
      <w:pPr>
        <w:ind w:left="1040" w:hanging="373"/>
        <w:spacing w:after="0" w:line="207" w:lineRule="exact"/>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conduct additional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approval studies or trials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w:t>
      </w:r>
    </w:p>
    <w:p>
      <w:pPr>
        <w:spacing w:after="0" w:line="196"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GSK’s ability to obtain regulatory approval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in additional countries;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general economic conditions in the jurisdictions where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is sold, including microeconomic disruptions or slowdowns; or</w:t>
      </w:r>
    </w:p>
    <w:p>
      <w:pPr>
        <w:spacing w:after="0" w:line="159" w:lineRule="exact"/>
        <w:rPr>
          <w:rFonts w:ascii="Times New Roman" w:cs="Times New Roman" w:eastAsia="Times New Roman" w:hAnsi="Times New Roman"/>
          <w:sz w:val="18"/>
          <w:szCs w:val="18"/>
          <w:color w:val="auto"/>
        </w:rPr>
      </w:pPr>
    </w:p>
    <w:p>
      <w:pPr>
        <w:ind w:left="1040" w:right="460" w:hanging="373"/>
        <w:spacing w:after="0" w:line="313"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royalty revenue or operating results fall below the expectations of investors or securities analysts or below any guidance we may provide to the market, the price of our common stock could decline substantially.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2" w:name="page33"/>
    <w:bookmarkEnd w:id="32"/>
    <w:p>
      <w:pPr>
        <w:ind w:right="80"/>
        <w:spacing w:after="0" w:line="318" w:lineRule="auto"/>
        <w:rPr>
          <w:sz w:val="20"/>
          <w:szCs w:val="20"/>
          <w:color w:val="auto"/>
        </w:rPr>
      </w:pPr>
      <w:r>
        <w:rPr>
          <w:rFonts w:ascii="Times New Roman" w:cs="Times New Roman" w:eastAsia="Times New Roman" w:hAnsi="Times New Roman"/>
          <w:sz w:val="18"/>
          <w:szCs w:val="18"/>
          <w:b w:val="1"/>
          <w:bCs w:val="1"/>
          <w:color w:val="auto"/>
        </w:rPr>
        <w:t>Our existing collaboration with GSK and other collaborations are important to our business. If we are unable to maintain the GSK collaboration, or if this collaboration is not successful, our business could be adversely affected and the price of our securities could fall.</w:t>
      </w:r>
    </w:p>
    <w:p>
      <w:pPr>
        <w:spacing w:after="0" w:line="61" w:lineRule="exact"/>
        <w:rPr>
          <w:sz w:val="20"/>
          <w:szCs w:val="20"/>
          <w:color w:val="auto"/>
        </w:rPr>
      </w:pPr>
    </w:p>
    <w:p>
      <w:pPr>
        <w:ind w:right="20" w:firstLine="659"/>
        <w:spacing w:after="0" w:line="290" w:lineRule="auto"/>
        <w:rPr>
          <w:sz w:val="20"/>
          <w:szCs w:val="20"/>
          <w:color w:val="auto"/>
        </w:rPr>
      </w:pPr>
      <w:r>
        <w:rPr>
          <w:rFonts w:ascii="Times New Roman" w:cs="Times New Roman" w:eastAsia="Times New Roman" w:hAnsi="Times New Roman"/>
          <w:sz w:val="18"/>
          <w:szCs w:val="18"/>
          <w:color w:val="auto"/>
        </w:rPr>
        <w:t xml:space="preserve">Much of our current and near-term projected revenues have been derived from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under the GSK Agreement. We expect royalties from </w:t>
      </w:r>
      <w:r>
        <w:rPr>
          <w:rFonts w:ascii="Times New Roman" w:cs="Times New Roman" w:eastAsia="Times New Roman" w:hAnsi="Times New Roman"/>
          <w:sz w:val="18"/>
          <w:szCs w:val="18"/>
          <w:i w:val="1"/>
          <w:iCs w:val="1"/>
          <w:color w:val="auto"/>
        </w:rPr>
        <w:t xml:space="preserve">Jemperli </w:t>
      </w:r>
      <w:r>
        <w:rPr>
          <w:rFonts w:ascii="Times New Roman" w:cs="Times New Roman" w:eastAsia="Times New Roman" w:hAnsi="Times New Roman"/>
          <w:sz w:val="18"/>
          <w:szCs w:val="18"/>
          <w:color w:val="auto"/>
        </w:rPr>
        <w:t>will likely continue to comprise a substantial portion of our revenues in the future. Any action or inaction by either GSK or us that results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dispute, allegation of breach, litigation, arbitration, or significant disagreement between the parties may be interpreted negatively by the market or by our investors, could harm our business and cause the price of our securities to fall. Examples of these kinds of issues include but are not limited to non-performance of contractual obligations and allegations of non-performance, disagreements over the relative marketing and sales efforts for our partnered products and other GSK respiratory products, disputes over public statements, and similar matters. If our collaboration with GSK were terminated, we may not receive all or any of the royalties or milestones potentially coming from such collaboration, which could adversely affect our business or financial condition. For example, in October 2023, GSK terminated the LAG-3 antagonist antibody development program, and in October 2025, GSK also terminated the TIM-3 antagonist antibody development program under our existing collaboration. As a result, we will not receive any additional milestones or any royalties from GSK for those development programs.</w:t>
      </w:r>
    </w:p>
    <w:p>
      <w:pPr>
        <w:spacing w:after="0" w:line="93" w:lineRule="exact"/>
        <w:rPr>
          <w:sz w:val="20"/>
          <w:szCs w:val="20"/>
          <w:color w:val="auto"/>
        </w:rPr>
      </w:pPr>
    </w:p>
    <w:p>
      <w:pPr>
        <w:ind w:firstLine="659"/>
        <w:spacing w:after="0" w:line="292" w:lineRule="auto"/>
        <w:rPr>
          <w:sz w:val="20"/>
          <w:szCs w:val="20"/>
          <w:color w:val="auto"/>
        </w:rPr>
      </w:pPr>
      <w:r>
        <w:rPr>
          <w:rFonts w:ascii="Times New Roman" w:cs="Times New Roman" w:eastAsia="Times New Roman" w:hAnsi="Times New Roman"/>
          <w:sz w:val="18"/>
          <w:szCs w:val="18"/>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w:t>
      </w:r>
    </w:p>
    <w:p>
      <w:pPr>
        <w:spacing w:after="0" w:line="73" w:lineRule="exact"/>
        <w:rPr>
          <w:sz w:val="20"/>
          <w:szCs w:val="20"/>
          <w:color w:val="auto"/>
        </w:rPr>
      </w:pPr>
    </w:p>
    <w:p>
      <w:pPr>
        <w:ind w:right="240" w:firstLine="659"/>
        <w:spacing w:after="0" w:line="312" w:lineRule="auto"/>
        <w:rPr>
          <w:sz w:val="20"/>
          <w:szCs w:val="20"/>
          <w:color w:val="auto"/>
        </w:rPr>
      </w:pPr>
      <w:r>
        <w:rPr>
          <w:rFonts w:ascii="Times New Roman" w:cs="Times New Roman" w:eastAsia="Times New Roman" w:hAnsi="Times New Roman"/>
          <w:sz w:val="17"/>
          <w:szCs w:val="17"/>
          <w:color w:val="auto"/>
        </w:rPr>
        <w:t>In addition, any dispute or litigation proceedings with our collaborators could delay the development programs under collaboration, create uncertainty as to ownership of intellectual property rights, distract management from other business activities and generate substantial expense. For example, we are currently party to litigation regarding our collaboration agreement with GSK and Tesaro. On November 20, 2025, we filed a Verified Complaint in Delaware Chancery Court, requesting a court declaration that Tesaro has materially breached the Collaboration Agreement and that GSK, Tesaro’s corporate parent, has tortiously interfered with the Collaboration Agreement. We have requested that the court declare that we are entitled to all rights and remedies under the Collaboration Agreement. See Item 1. Legal Proceedings for additional information. While this litigation is pending, the ownership of related intellectual property rights may be uncertain, and management is spending significant time and resources. Tesaro and its affiliate Tesaro Development, Ltd. separately filed suit against us the same day, requesting a declaration that they have not materially breached and that we have materially breached our duties. Tesaro’s claim that we materially breached our duties was dismissed by the Delaware Chancery Court on April 24, 2026.</w:t>
      </w:r>
    </w:p>
    <w:p>
      <w:pPr>
        <w:spacing w:after="0" w:line="62" w:lineRule="exact"/>
        <w:rPr>
          <w:sz w:val="20"/>
          <w:szCs w:val="20"/>
          <w:color w:val="auto"/>
        </w:rPr>
      </w:pPr>
    </w:p>
    <w:p>
      <w:pPr>
        <w:ind w:right="120" w:firstLine="659"/>
        <w:spacing w:after="0" w:line="305" w:lineRule="auto"/>
        <w:rPr>
          <w:sz w:val="20"/>
          <w:szCs w:val="20"/>
          <w:color w:val="auto"/>
        </w:rPr>
      </w:pPr>
      <w:r>
        <w:rPr>
          <w:rFonts w:ascii="Times New Roman" w:cs="Times New Roman" w:eastAsia="Times New Roman" w:hAnsi="Times New Roman"/>
          <w:sz w:val="18"/>
          <w:szCs w:val="18"/>
          <w:color w:val="auto"/>
        </w:rPr>
        <w:t>Previously, in October 2020, we settled a matter with Tesaro and GSK related to an alleged breach of the Collaboration Agreement in connection with GSK’s development of a drug not covered by the agreement. There can be no assurance that we will not encounter such issues under our collaborations with GSK or other parties in the future.</w:t>
      </w:r>
    </w:p>
    <w:p>
      <w:pPr>
        <w:spacing w:after="0" w:line="57" w:lineRule="exact"/>
        <w:rPr>
          <w:sz w:val="20"/>
          <w:szCs w:val="20"/>
          <w:color w:val="auto"/>
        </w:rPr>
      </w:pPr>
    </w:p>
    <w:p>
      <w:pPr>
        <w:jc w:val="both"/>
        <w:ind w:right="380"/>
        <w:spacing w:after="0" w:line="307" w:lineRule="auto"/>
        <w:rPr>
          <w:sz w:val="20"/>
          <w:szCs w:val="20"/>
          <w:color w:val="auto"/>
        </w:rPr>
      </w:pPr>
      <w:r>
        <w:rPr>
          <w:rFonts w:ascii="Times New Roman" w:cs="Times New Roman" w:eastAsia="Times New Roman" w:hAnsi="Times New Roman"/>
          <w:sz w:val="18"/>
          <w:szCs w:val="18"/>
          <w:b w:val="1"/>
          <w:bCs w:val="1"/>
          <w:color w:val="auto"/>
        </w:rPr>
        <w:t>When the FDA or other applicable regulatory authorities approve generic products, including but not limited to generic forms of Keytruda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which competes with </w:t>
      </w:r>
      <w:r>
        <w:rPr>
          <w:rFonts w:ascii="Times New Roman" w:cs="Times New Roman" w:eastAsia="Times New Roman" w:hAnsi="Times New Roman"/>
          <w:sz w:val="18"/>
          <w:szCs w:val="18"/>
          <w:b w:val="1"/>
          <w:bCs w:val="1"/>
          <w:i w:val="1"/>
          <w:iCs w:val="1"/>
          <w:color w:val="auto"/>
        </w:rPr>
        <w:t>Jemperli</w:t>
      </w:r>
      <w:r>
        <w:rPr>
          <w:rFonts w:ascii="Times New Roman" w:cs="Times New Roman" w:eastAsia="Times New Roman" w:hAnsi="Times New Roman"/>
          <w:sz w:val="18"/>
          <w:szCs w:val="18"/>
          <w:b w:val="1"/>
          <w:bCs w:val="1"/>
          <w:color w:val="auto"/>
        </w:rPr>
        <w:t>, the royalties payable to us pursuant to the GSK Agreement may be less than anticipated, which in turn would harm our business and cause the price of our securities to fall.</w:t>
      </w:r>
    </w:p>
    <w:p>
      <w:pPr>
        <w:spacing w:after="0" w:line="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Keytruda®, manufactured and sold by Merck &amp; Co., Inc., is the biggest competitor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Sales of Keytruda® are expected to be</w:t>
      </w:r>
    </w:p>
    <w:p>
      <w:pPr>
        <w:spacing w:after="0" w:line="52"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materially negatively impacted by biosimilar competition between 2028 and 2029. Keytruda® is also expected to lose market exclusivity in Europe in 2031 following compound patent expiration. Once market exclusivity is lost, generic substitutes of Keytruda® may enter the market. After the introduction of a generic competitor, a significant percentage of the sales of any branded product that may compete with such branded product is typically lost to the generic product. We cannot yet ascertain what impact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3" w:name="page34"/>
    <w:bookmarkEnd w:id="33"/>
    <w:p>
      <w:pPr>
        <w:ind w:right="80"/>
        <w:spacing w:after="0" w:line="315" w:lineRule="auto"/>
        <w:rPr>
          <w:sz w:val="20"/>
          <w:szCs w:val="20"/>
          <w:color w:val="auto"/>
        </w:rPr>
      </w:pPr>
      <w:r>
        <w:rPr>
          <w:rFonts w:ascii="Times New Roman" w:cs="Times New Roman" w:eastAsia="Times New Roman" w:hAnsi="Times New Roman"/>
          <w:sz w:val="18"/>
          <w:szCs w:val="18"/>
          <w:color w:val="auto"/>
        </w:rPr>
        <w:t xml:space="preserve">these future generic products may have on any sales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The royalties payable to us pursuant to the GSK Agreement may be less than anticipated, which in turn could harm our business, and the price of our securities could fall.</w:t>
      </w:r>
    </w:p>
    <w:p>
      <w:pPr>
        <w:spacing w:after="0" w:line="170" w:lineRule="exact"/>
        <w:rPr>
          <w:sz w:val="20"/>
          <w:szCs w:val="20"/>
          <w:color w:val="auto"/>
        </w:rPr>
      </w:pPr>
    </w:p>
    <w:p>
      <w:pPr>
        <w:ind w:right="740"/>
        <w:spacing w:after="0" w:line="318" w:lineRule="auto"/>
        <w:rPr>
          <w:sz w:val="20"/>
          <w:szCs w:val="20"/>
          <w:color w:val="auto"/>
        </w:rPr>
      </w:pPr>
      <w:r>
        <w:rPr>
          <w:rFonts w:ascii="Times New Roman" w:cs="Times New Roman" w:eastAsia="Times New Roman" w:hAnsi="Times New Roman"/>
          <w:sz w:val="18"/>
          <w:szCs w:val="18"/>
          <w:b w:val="1"/>
          <w:bCs w:val="1"/>
          <w:color w:val="auto"/>
        </w:rPr>
        <w:t>Reduced prices and reimbursement rates due to the actions of governments, payors, or competition or other healthcare cost containment initiatives such as restrictions on use, may negatively impact royalties generated under the GSK Agreement.</w:t>
      </w:r>
    </w:p>
    <w:p>
      <w:pPr>
        <w:spacing w:after="0" w:line="63" w:lineRule="exact"/>
        <w:rPr>
          <w:sz w:val="20"/>
          <w:szCs w:val="20"/>
          <w:color w:val="auto"/>
        </w:rPr>
      </w:pPr>
    </w:p>
    <w:p>
      <w:pPr>
        <w:ind w:right="20" w:firstLine="659"/>
        <w:spacing w:after="0" w:line="294" w:lineRule="auto"/>
        <w:rPr>
          <w:sz w:val="20"/>
          <w:szCs w:val="20"/>
          <w:color w:val="auto"/>
        </w:rPr>
      </w:pPr>
      <w:r>
        <w:rPr>
          <w:rFonts w:ascii="Times New Roman" w:cs="Times New Roman" w:eastAsia="Times New Roman" w:hAnsi="Times New Roman"/>
          <w:sz w:val="18"/>
          <w:szCs w:val="18"/>
          <w:color w:val="auto"/>
        </w:rPr>
        <w:t xml:space="preserve">The continuing efforts of governments, pharmaceutical benefit management organizations (“PBMs”), insurance companies, managed care organizations and other payors of health care costs to contain or reduce costs of health care have adversely affected, and may continue to adversely affect, the price, market access and total revenues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in the future. These organizations, together with governments, have increasingly imposed utilization management tools favoring the use of generic products. As these practices expand, GSK may face difficulty in obtaining or maintaining timely or adequate pricing or formulary placement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In addition, GSK has experienced and expect to continue to experience increased competitive activity, which has resulted and may result in lower overall prices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120" w:firstLine="659"/>
        <w:spacing w:after="0" w:line="292" w:lineRule="auto"/>
        <w:rPr>
          <w:sz w:val="20"/>
          <w:szCs w:val="20"/>
          <w:color w:val="auto"/>
        </w:rPr>
      </w:pPr>
      <w:r>
        <w:rPr>
          <w:rFonts w:ascii="Times New Roman" w:cs="Times New Roman" w:eastAsia="Times New Roman" w:hAnsi="Times New Roman"/>
          <w:sz w:val="18"/>
          <w:szCs w:val="18"/>
          <w:color w:val="auto"/>
        </w:rPr>
        <w:t xml:space="preserve">The Patient Protection and Affordable Care Act, as amended by the Health Care and Education Reconciliation Act of 2010 (together, “PPACA”) and other legislative or regulatory requirements or potential legislative or regulatory actions regarding healthcare and insurance matters, along with the trend toward managed healthcare in the U.S., could adversely influence the purchase of healthcare products and reduce demand and prices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This could harm GSK’s ability to market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and significantly reduce future revenues. In addition, in certain foreign markets, the pricing of prescription drugs is subject to government control and reimbursement may in some cases be unavailable. We believe that pricing pressures will continue and may increase. This may make it difficult for GSK to sell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at a price acceptable to us or GSK or to generate revenues in line with our analysts’ or investors’ expectations, which may cause the price of our securities to fall.</w:t>
      </w:r>
    </w:p>
    <w:p>
      <w:pPr>
        <w:spacing w:after="0" w:line="87" w:lineRule="exact"/>
        <w:rPr>
          <w:sz w:val="20"/>
          <w:szCs w:val="20"/>
          <w:color w:val="auto"/>
        </w:rPr>
      </w:pPr>
    </w:p>
    <w:p>
      <w:pPr>
        <w:ind w:right="160" w:firstLine="659"/>
        <w:spacing w:after="0" w:line="346" w:lineRule="auto"/>
        <w:rPr>
          <w:sz w:val="20"/>
          <w:szCs w:val="20"/>
          <w:color w:val="auto"/>
        </w:rPr>
      </w:pPr>
      <w:r>
        <w:rPr>
          <w:rFonts w:ascii="Times New Roman" w:cs="Times New Roman" w:eastAsia="Times New Roman" w:hAnsi="Times New Roman"/>
          <w:sz w:val="17"/>
          <w:szCs w:val="17"/>
          <w:color w:val="auto"/>
        </w:rPr>
        <w:t>More recently, the presidential administration and the U.S. Congress have taken, and may continue to take, actions in an effort to modify or replace PPACA and to implement or pass other reforms to the healthcare system, including proposed legislation related to the pricing of pharmaceuticals.</w:t>
      </w:r>
    </w:p>
    <w:p>
      <w:pPr>
        <w:spacing w:after="0" w:line="30" w:lineRule="exact"/>
        <w:rPr>
          <w:sz w:val="20"/>
          <w:szCs w:val="20"/>
          <w:color w:val="auto"/>
        </w:rPr>
      </w:pPr>
    </w:p>
    <w:p>
      <w:pPr>
        <w:ind w:right="20" w:firstLine="659"/>
        <w:spacing w:after="0" w:line="302" w:lineRule="auto"/>
        <w:rPr>
          <w:sz w:val="20"/>
          <w:szCs w:val="20"/>
          <w:color w:val="auto"/>
        </w:rPr>
      </w:pPr>
      <w:r>
        <w:rPr>
          <w:rFonts w:ascii="Times New Roman" w:cs="Times New Roman" w:eastAsia="Times New Roman" w:hAnsi="Times New Roman"/>
          <w:sz w:val="18"/>
          <w:szCs w:val="18"/>
          <w:color w:val="auto"/>
        </w:rPr>
        <w:t>There is uncertainty with respect to any potential changes that may be proposed and what the impact, if any, will be on our business, including the impact on coverage and reimbursement for healthcare items and services covered by plans that were authorized by PPACA. However, we cannot predict the ultimate content, timing or effect of any healthcare reform legislation or the impact of potential legislation on us and the royalties generated under existing or future collaborations.</w:t>
      </w:r>
    </w:p>
    <w:p>
      <w:pPr>
        <w:spacing w:after="0" w:line="65" w:lineRule="exact"/>
        <w:rPr>
          <w:sz w:val="20"/>
          <w:szCs w:val="20"/>
          <w:color w:val="auto"/>
        </w:rPr>
      </w:pPr>
    </w:p>
    <w:p>
      <w:pPr>
        <w:ind w:right="240" w:firstLine="659"/>
        <w:spacing w:after="0" w:line="313" w:lineRule="auto"/>
        <w:rPr>
          <w:sz w:val="20"/>
          <w:szCs w:val="20"/>
          <w:color w:val="auto"/>
        </w:rPr>
      </w:pPr>
      <w:r>
        <w:rPr>
          <w:rFonts w:ascii="Times New Roman" w:cs="Times New Roman" w:eastAsia="Times New Roman" w:hAnsi="Times New Roman"/>
          <w:sz w:val="18"/>
          <w:szCs w:val="18"/>
          <w:color w:val="auto"/>
        </w:rPr>
        <w:t xml:space="preserve">We expect that additional state and federal healthcare reform measures will be considered and potentially adopted, any of which could limit the amounts that federal and state governments will pay for healthcare products and services, which could result in reduced demand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right="60"/>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If the commercialization of </w:t>
      </w:r>
      <w:r>
        <w:rPr>
          <w:rFonts w:ascii="Times New Roman" w:cs="Times New Roman" w:eastAsia="Times New Roman" w:hAnsi="Times New Roman"/>
          <w:sz w:val="18"/>
          <w:szCs w:val="18"/>
          <w:b w:val="1"/>
          <w:bCs w:val="1"/>
          <w:i w:val="1"/>
          <w:iCs w:val="1"/>
          <w:color w:val="auto"/>
        </w:rPr>
        <w:t>Jemperli</w:t>
      </w:r>
      <w:r>
        <w:rPr>
          <w:rFonts w:ascii="Times New Roman" w:cs="Times New Roman" w:eastAsia="Times New Roman" w:hAnsi="Times New Roman"/>
          <w:sz w:val="18"/>
          <w:szCs w:val="18"/>
          <w:b w:val="1"/>
          <w:bCs w:val="1"/>
          <w:color w:val="auto"/>
        </w:rPr>
        <w:t xml:space="preserve"> in the countries in which it has received regulatory approval encounters any delays or adverse developments, or perceived delays or adverse developments, or if sales or payor coverage does not meet investors’, analysts’, or our expectations, our business will be harmed and the price of our securities could fall.</w:t>
      </w:r>
    </w:p>
    <w:p>
      <w:pPr>
        <w:spacing w:after="0" w:line="58" w:lineRule="exact"/>
        <w:rPr>
          <w:sz w:val="20"/>
          <w:szCs w:val="20"/>
          <w:color w:val="auto"/>
        </w:rPr>
      </w:pPr>
    </w:p>
    <w:p>
      <w:pPr>
        <w:ind w:right="40" w:firstLine="659"/>
        <w:spacing w:after="0" w:line="298" w:lineRule="auto"/>
        <w:rPr>
          <w:sz w:val="20"/>
          <w:szCs w:val="20"/>
          <w:color w:val="auto"/>
        </w:rPr>
      </w:pPr>
      <w:r>
        <w:rPr>
          <w:rFonts w:ascii="Times New Roman" w:cs="Times New Roman" w:eastAsia="Times New Roman" w:hAnsi="Times New Roman"/>
          <w:sz w:val="18"/>
          <w:szCs w:val="18"/>
          <w:color w:val="auto"/>
        </w:rPr>
        <w:t xml:space="preserve">Under our GSK Agreement, GSK has full responsibility for commercialization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GSK has launched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in a number of countries, including the United States and Europe, among others. The commercialization of the products in countries where they are already launched and the commercialization in new countries are still subject to fluctuating overall pricing levels and uncertain timeframes to obtain payor coverage. Any delays or adverse developments or perceived additional delays or adverse developments with respect to the commercialization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including if sales or payor coverage does not meet investors’, analysts’, or our expectations, would significantly harm our business and the price of our securities could fall.</w:t>
      </w:r>
    </w:p>
    <w:p>
      <w:pPr>
        <w:spacing w:after="0" w:line="63" w:lineRule="exact"/>
        <w:rPr>
          <w:sz w:val="20"/>
          <w:szCs w:val="20"/>
          <w:color w:val="auto"/>
        </w:rPr>
      </w:pPr>
    </w:p>
    <w:p>
      <w:pPr>
        <w:ind w:right="40"/>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We are heavily dependent on GSK for the successful commercialization and development of </w:t>
      </w:r>
      <w:r>
        <w:rPr>
          <w:rFonts w:ascii="Times New Roman" w:cs="Times New Roman" w:eastAsia="Times New Roman" w:hAnsi="Times New Roman"/>
          <w:sz w:val="18"/>
          <w:szCs w:val="18"/>
          <w:b w:val="1"/>
          <w:bCs w:val="1"/>
          <w:i w:val="1"/>
          <w:iCs w:val="1"/>
          <w:color w:val="auto"/>
        </w:rPr>
        <w:t>Jemperli</w:t>
      </w:r>
      <w:r>
        <w:rPr>
          <w:rFonts w:ascii="Times New Roman" w:cs="Times New Roman" w:eastAsia="Times New Roman" w:hAnsi="Times New Roman"/>
          <w:sz w:val="18"/>
          <w:szCs w:val="18"/>
          <w:b w:val="1"/>
          <w:bCs w:val="1"/>
          <w:color w:val="auto"/>
        </w:rPr>
        <w:t xml:space="preserve"> under the GSK Agreement. If GSK does not devote sufficient resources to the commercialization or development of </w:t>
      </w:r>
      <w:r>
        <w:rPr>
          <w:rFonts w:ascii="Times New Roman" w:cs="Times New Roman" w:eastAsia="Times New Roman" w:hAnsi="Times New Roman"/>
          <w:sz w:val="18"/>
          <w:szCs w:val="18"/>
          <w:b w:val="1"/>
          <w:bCs w:val="1"/>
          <w:i w:val="1"/>
          <w:iCs w:val="1"/>
          <w:color w:val="auto"/>
        </w:rPr>
        <w:t>Jemperli</w:t>
      </w:r>
      <w:r>
        <w:rPr>
          <w:rFonts w:ascii="Times New Roman" w:cs="Times New Roman" w:eastAsia="Times New Roman" w:hAnsi="Times New Roman"/>
          <w:sz w:val="18"/>
          <w:szCs w:val="18"/>
          <w:b w:val="1"/>
          <w:bCs w:val="1"/>
          <w:color w:val="auto"/>
        </w:rPr>
        <w:t>, is unsuccessful in its efforts, or chooses to reprioritize its commercial programs, our business would be materially harmed.</w:t>
      </w:r>
    </w:p>
    <w:p>
      <w:pPr>
        <w:spacing w:after="0" w:line="58" w:lineRule="exact"/>
        <w:rPr>
          <w:sz w:val="20"/>
          <w:szCs w:val="20"/>
          <w:color w:val="auto"/>
        </w:rPr>
      </w:pPr>
    </w:p>
    <w:p>
      <w:pPr>
        <w:ind w:firstLine="659"/>
        <w:spacing w:after="0" w:line="294" w:lineRule="auto"/>
        <w:rPr>
          <w:sz w:val="20"/>
          <w:szCs w:val="20"/>
          <w:color w:val="auto"/>
        </w:rPr>
      </w:pPr>
      <w:r>
        <w:rPr>
          <w:rFonts w:ascii="Times New Roman" w:cs="Times New Roman" w:eastAsia="Times New Roman" w:hAnsi="Times New Roman"/>
          <w:sz w:val="18"/>
          <w:szCs w:val="18"/>
          <w:color w:val="auto"/>
        </w:rPr>
        <w:t xml:space="preserve">GSK is responsible for all clinical and other product development, regulatory, manufacturing and commercialization activities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under the GSK Agreement. Our royalty revenues under the GSK Agreement may not meet our, analysts’, or investors’ expectations, due to a number of important factors. GSK has a substantial oncology product portfolio in addition to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GSK may make oncology product portfolio decisions or statements about its portfolio which may be, or may be perceived to be, harmful to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For instance, GSK has discretion in determining the efforts and resources that it will apply to the development and commercialization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In addition, GSK may determine to focus its commercialization efforts on its own products. In the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34" w:name="page35"/>
    <w:bookmarkEnd w:id="34"/>
    <w:p>
      <w:pPr>
        <w:ind w:right="400"/>
        <w:spacing w:after="0" w:line="315" w:lineRule="auto"/>
        <w:rPr>
          <w:sz w:val="20"/>
          <w:szCs w:val="20"/>
          <w:color w:val="auto"/>
        </w:rPr>
      </w:pPr>
      <w:r>
        <w:rPr>
          <w:rFonts w:ascii="Times New Roman" w:cs="Times New Roman" w:eastAsia="Times New Roman" w:hAnsi="Times New Roman"/>
          <w:sz w:val="18"/>
          <w:szCs w:val="18"/>
          <w:color w:val="auto"/>
        </w:rPr>
        <w:t xml:space="preserve">event GSK does not devote sufficient resources to the commercialization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or chooses to reprioritize its commercial programs, our business, operations and stock price would be negatively affected.</w:t>
      </w:r>
    </w:p>
    <w:p>
      <w:pPr>
        <w:spacing w:after="0" w:line="62" w:lineRule="exact"/>
        <w:rPr>
          <w:sz w:val="20"/>
          <w:szCs w:val="20"/>
          <w:color w:val="auto"/>
        </w:rPr>
      </w:pPr>
    </w:p>
    <w:p>
      <w:pPr>
        <w:ind w:right="340"/>
        <w:spacing w:after="0" w:line="350" w:lineRule="auto"/>
        <w:rPr>
          <w:sz w:val="20"/>
          <w:szCs w:val="20"/>
          <w:color w:val="auto"/>
        </w:rPr>
      </w:pPr>
      <w:r>
        <w:rPr>
          <w:rFonts w:ascii="Times New Roman" w:cs="Times New Roman" w:eastAsia="Times New Roman" w:hAnsi="Times New Roman"/>
          <w:sz w:val="17"/>
          <w:szCs w:val="17"/>
          <w:b w:val="1"/>
          <w:bCs w:val="1"/>
          <w:color w:val="auto"/>
        </w:rPr>
        <w:t xml:space="preserve">Any adverse developments to the regulatory status of </w:t>
      </w:r>
      <w:r>
        <w:rPr>
          <w:rFonts w:ascii="Times New Roman" w:cs="Times New Roman" w:eastAsia="Times New Roman" w:hAnsi="Times New Roman"/>
          <w:sz w:val="17"/>
          <w:szCs w:val="17"/>
          <w:b w:val="1"/>
          <w:bCs w:val="1"/>
          <w:i w:val="1"/>
          <w:iCs w:val="1"/>
          <w:color w:val="auto"/>
        </w:rPr>
        <w:t>Jemperli</w:t>
      </w:r>
      <w:r>
        <w:rPr>
          <w:rFonts w:ascii="Times New Roman" w:cs="Times New Roman" w:eastAsia="Times New Roman" w:hAnsi="Times New Roman"/>
          <w:sz w:val="17"/>
          <w:szCs w:val="17"/>
          <w:b w:val="1"/>
          <w:bCs w:val="1"/>
          <w:color w:val="auto"/>
        </w:rPr>
        <w:t xml:space="preserve"> in the countries in which it has received regulatory approval, including labeling restrictions, safety findings, or any other limitation to usage, would harm our business and may cause the price of our securities to fall.</w:t>
      </w:r>
    </w:p>
    <w:p>
      <w:pPr>
        <w:spacing w:after="0" w:line="39" w:lineRule="exact"/>
        <w:rPr>
          <w:sz w:val="20"/>
          <w:szCs w:val="20"/>
          <w:color w:val="auto"/>
        </w:rPr>
      </w:pPr>
    </w:p>
    <w:p>
      <w:pPr>
        <w:ind w:firstLine="659"/>
        <w:spacing w:after="0" w:line="294" w:lineRule="auto"/>
        <w:rPr>
          <w:sz w:val="20"/>
          <w:szCs w:val="20"/>
          <w:color w:val="auto"/>
        </w:rPr>
      </w:pPr>
      <w:r>
        <w:rPr>
          <w:rFonts w:ascii="Times New Roman" w:cs="Times New Roman" w:eastAsia="Times New Roman" w:hAnsi="Times New Roman"/>
          <w:sz w:val="18"/>
          <w:szCs w:val="18"/>
          <w:color w:val="auto"/>
        </w:rPr>
        <w:t xml:space="preserve">Although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is approved and marketed in a number of countries, it is possible that adverse changes to the regulatory status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could occur in the event new safety issues are identified, treatment guidelines are changed, or new studies fail to demonstrate product benefits. A number of notable pharmaceutical products have experienced adverse developments during commercialization that have resulted in the product being withdrawn, approved uses being limited, or new warnings being included. In the event that any adverse regulatory changes were to occur to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our business would be harmed, and the price of our securities could fall.</w:t>
      </w:r>
    </w:p>
    <w:p>
      <w:pPr>
        <w:spacing w:after="0" w:line="188"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Jemperli </w:t>
      </w:r>
      <w:r>
        <w:rPr>
          <w:rFonts w:ascii="Times New Roman" w:cs="Times New Roman" w:eastAsia="Times New Roman" w:hAnsi="Times New Roman"/>
          <w:sz w:val="18"/>
          <w:szCs w:val="18"/>
          <w:b w:val="1"/>
          <w:bCs w:val="1"/>
          <w:color w:val="auto"/>
        </w:rPr>
        <w:t>faces substantial competition for its intended uses in the targeted markets from products discovered, developed and commercialized both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by GSK and by other pharmaceutical companies, which could cause the royalties payable to us pursuant to the GSK Agreement to be less than expected, which in turn would harm our business and cause the price of our securities to fall.</w:t>
      </w:r>
    </w:p>
    <w:p>
      <w:pPr>
        <w:spacing w:after="0" w:line="187" w:lineRule="exact"/>
        <w:rPr>
          <w:sz w:val="20"/>
          <w:szCs w:val="20"/>
          <w:color w:val="auto"/>
        </w:rPr>
      </w:pPr>
    </w:p>
    <w:p>
      <w:pPr>
        <w:ind w:right="40" w:firstLine="749"/>
        <w:spacing w:after="0" w:line="294" w:lineRule="auto"/>
        <w:rPr>
          <w:sz w:val="20"/>
          <w:szCs w:val="20"/>
          <w:color w:val="auto"/>
        </w:rPr>
      </w:pPr>
      <w:r>
        <w:rPr>
          <w:rFonts w:ascii="Times New Roman" w:cs="Times New Roman" w:eastAsia="Times New Roman" w:hAnsi="Times New Roman"/>
          <w:sz w:val="18"/>
          <w:szCs w:val="18"/>
          <w:color w:val="auto"/>
        </w:rPr>
        <w:t xml:space="preserve">GSK has responsibility for obtaining regulatory approval and commercializing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for its intended uses in the targeted markets around the world. While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has received regulatory approval and has been commercialized in the U.S. and certain other targeted markets,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faces substantial competition from existing products previously developed and commercialized both by GSK and competing pharmaceutical companies and can expect to face additional competition from new products that are discovered, developed and commercialized by GSK, the same pharmaceutical competitors and other competitors going forward.</w:t>
      </w:r>
    </w:p>
    <w:p>
      <w:pPr>
        <w:spacing w:after="0" w:line="192" w:lineRule="exact"/>
        <w:rPr>
          <w:sz w:val="20"/>
          <w:szCs w:val="20"/>
          <w:color w:val="auto"/>
        </w:rPr>
      </w:pPr>
    </w:p>
    <w:p>
      <w:pPr>
        <w:ind w:right="80" w:firstLine="749"/>
        <w:spacing w:after="0" w:line="292" w:lineRule="auto"/>
        <w:rPr>
          <w:sz w:val="20"/>
          <w:szCs w:val="20"/>
          <w:color w:val="auto"/>
        </w:rPr>
      </w:pPr>
      <w:r>
        <w:rPr>
          <w:rFonts w:ascii="Times New Roman" w:cs="Times New Roman" w:eastAsia="Times New Roman" w:hAnsi="Times New Roman"/>
          <w:sz w:val="18"/>
          <w:szCs w:val="18"/>
          <w:color w:val="auto"/>
        </w:rPr>
        <w:t xml:space="preserve">Many of the pharmaceutical companies competing in oncology markets are international in scope with substantial financial, technical and personnel resources that permit them to discover, develop, obtain regulatory approval and commercialize new products in a highly efficient and low-cost manner at competitive prices to consumers. In addition, many of these competitors have substantial commercial infrastructure that facilitates commercializing their products in a highly efficient and low-cost manner at competitive prices to consumers. There can be no assurance that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will not be replaced by new products that are deemed more effective at lower cost to consumers. The ability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to succeed and achieve the anticipated level of sales depends on the commercial and development performance of GSK to achieve and maintain a competitive advantage over other products with the same intended use in the targeted markets.</w:t>
      </w:r>
    </w:p>
    <w:p>
      <w:pPr>
        <w:spacing w:after="0" w:line="179" w:lineRule="exact"/>
        <w:rPr>
          <w:sz w:val="20"/>
          <w:szCs w:val="20"/>
          <w:color w:val="auto"/>
        </w:rPr>
      </w:pPr>
    </w:p>
    <w:p>
      <w:pPr>
        <w:ind w:right="140" w:firstLine="749"/>
        <w:spacing w:after="0" w:line="306" w:lineRule="auto"/>
        <w:rPr>
          <w:sz w:val="20"/>
          <w:szCs w:val="20"/>
          <w:color w:val="auto"/>
        </w:rPr>
      </w:pPr>
      <w:r>
        <w:rPr>
          <w:rFonts w:ascii="Times New Roman" w:cs="Times New Roman" w:eastAsia="Times New Roman" w:hAnsi="Times New Roman"/>
          <w:sz w:val="18"/>
          <w:szCs w:val="18"/>
          <w:color w:val="auto"/>
        </w:rPr>
        <w:t xml:space="preserve">If sales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are less than anticipated because of existing or future competition in the markets in which it is commercialized, including competition from existing and new products that are perceived as lower cost or more effective, our royalty payments could be less than anticipated, which in turn would harm our business and cause the price of our securities to fall.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Recent Separation</w:t>
      </w:r>
    </w:p>
    <w:p>
      <w:pPr>
        <w:spacing w:after="0" w:line="144" w:lineRule="exact"/>
        <w:rPr>
          <w:sz w:val="20"/>
          <w:szCs w:val="20"/>
          <w:color w:val="auto"/>
        </w:rPr>
      </w:pPr>
    </w:p>
    <w:p>
      <w:pPr>
        <w:ind w:right="520"/>
        <w:spacing w:after="0" w:line="307" w:lineRule="auto"/>
        <w:rPr>
          <w:sz w:val="20"/>
          <w:szCs w:val="20"/>
          <w:color w:val="auto"/>
        </w:rPr>
      </w:pPr>
      <w:r>
        <w:rPr>
          <w:rFonts w:ascii="Times New Roman" w:cs="Times New Roman" w:eastAsia="Times New Roman" w:hAnsi="Times New Roman"/>
          <w:sz w:val="18"/>
          <w:szCs w:val="18"/>
          <w:b w:val="1"/>
          <w:bCs w:val="1"/>
          <w:color w:val="auto"/>
        </w:rPr>
        <w:t>The recent separation of our business into two independent, publicly traded companies is subject to various risks and uncertainties, and completion of the tasks relating to the separation will continue to involve time, effort and expense, which could harm our business, results of operations and financial condition.</w:t>
      </w:r>
    </w:p>
    <w:p>
      <w:pPr>
        <w:spacing w:after="0" w:line="60" w:lineRule="exact"/>
        <w:rPr>
          <w:sz w:val="20"/>
          <w:szCs w:val="20"/>
          <w:color w:val="auto"/>
        </w:rPr>
      </w:pPr>
    </w:p>
    <w:p>
      <w:pPr>
        <w:ind w:right="240" w:firstLine="659"/>
        <w:spacing w:after="0" w:line="305" w:lineRule="auto"/>
        <w:rPr>
          <w:sz w:val="20"/>
          <w:szCs w:val="20"/>
          <w:color w:val="auto"/>
        </w:rPr>
      </w:pPr>
      <w:r>
        <w:rPr>
          <w:rFonts w:ascii="Times New Roman" w:cs="Times New Roman" w:eastAsia="Times New Roman" w:hAnsi="Times New Roman"/>
          <w:sz w:val="18"/>
          <w:szCs w:val="18"/>
          <w:color w:val="auto"/>
        </w:rPr>
        <w:t xml:space="preserve">On April 20, 2026, we completed the separation of our business into two independent, publicly traded companies (the “Separation”). Following the Separation, we continue to hold and manage the rights to our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royalties from GSK and imsidolimab royalties from Vanda, with a focus on protecting and returning their value to our stockholders.</w:t>
      </w:r>
    </w:p>
    <w:p>
      <w:pPr>
        <w:spacing w:after="0" w:line="61" w:lineRule="exact"/>
        <w:rPr>
          <w:sz w:val="20"/>
          <w:szCs w:val="20"/>
          <w:color w:val="auto"/>
        </w:rPr>
      </w:pPr>
    </w:p>
    <w:p>
      <w:pPr>
        <w:jc w:val="both"/>
        <w:ind w:right="200" w:firstLine="659"/>
        <w:spacing w:after="0" w:line="305" w:lineRule="auto"/>
        <w:rPr>
          <w:sz w:val="20"/>
          <w:szCs w:val="20"/>
          <w:color w:val="auto"/>
        </w:rPr>
      </w:pPr>
      <w:r>
        <w:rPr>
          <w:rFonts w:ascii="Times New Roman" w:cs="Times New Roman" w:eastAsia="Times New Roman" w:hAnsi="Times New Roman"/>
          <w:sz w:val="18"/>
          <w:szCs w:val="18"/>
          <w:color w:val="auto"/>
        </w:rPr>
        <w:t>We will continue to incur expenses in connection with the recent Separation, and such costs and expenses may be greater than we anticipate. In addition, our management’s time and attention will be allocated between the two public-traded companies, which may result in operational disruptions to our business. Any of the foregoing could adversely affect our business, results of operations and financial condition.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The Separation may not achieve some or all of the anticipated benefits.</w:t>
      </w:r>
    </w:p>
    <w:p>
      <w:pPr>
        <w:spacing w:after="0" w:line="148" w:lineRule="exact"/>
        <w:rPr>
          <w:sz w:val="20"/>
          <w:szCs w:val="20"/>
          <w:color w:val="auto"/>
        </w:rPr>
      </w:pPr>
    </w:p>
    <w:p>
      <w:pPr>
        <w:ind w:firstLine="659"/>
        <w:spacing w:after="0" w:line="293" w:lineRule="auto"/>
        <w:rPr>
          <w:sz w:val="20"/>
          <w:szCs w:val="20"/>
          <w:color w:val="auto"/>
        </w:rPr>
      </w:pPr>
      <w:r>
        <w:rPr>
          <w:rFonts w:ascii="Times New Roman" w:cs="Times New Roman" w:eastAsia="Times New Roman" w:hAnsi="Times New Roman"/>
          <w:sz w:val="18"/>
          <w:szCs w:val="18"/>
          <w:color w:val="auto"/>
        </w:rPr>
        <w:t>The anticipated operational, financial, strategic and other benefits of the Separation may not be achieved. The combined value of the common stock of the two publicly traded companies may not be equal to or greater than what the value of our common stock would have been had the proposed separation not occurred. The combined value of the common stock of the two publicly traded companies could be lower than anticipated for a variety of reasons, including the failure of either company to operate and compete effectively as an independent, publicly traded company. Our common stock price may experience periods of extreme volatility. Our company is now smaller and less diversified, with a narrower business focus, and may be more vulnerable to changing market conditions. The Separation may also present a number of significant risks to our operations and internal processes, including the allocation of management’s time and attention between the two companies and the failure to maintain an adequate control environment due to changes to our infrastructure technology systems and financial reporting processes.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44" w:lineRule="exact"/>
        <w:rPr>
          <w:sz w:val="20"/>
          <w:szCs w:val="20"/>
          <w:color w:val="auto"/>
        </w:rPr>
      </w:pPr>
    </w:p>
    <w:p>
      <w:pPr>
        <w:ind w:right="100"/>
        <w:spacing w:after="0" w:line="318" w:lineRule="auto"/>
        <w:rPr>
          <w:sz w:val="20"/>
          <w:szCs w:val="20"/>
          <w:color w:val="auto"/>
        </w:rPr>
      </w:pPr>
      <w:r>
        <w:rPr>
          <w:rFonts w:ascii="Times New Roman" w:cs="Times New Roman" w:eastAsia="Times New Roman" w:hAnsi="Times New Roman"/>
          <w:sz w:val="18"/>
          <w:szCs w:val="18"/>
          <w:b w:val="1"/>
          <w:bCs w:val="1"/>
          <w:color w:val="auto"/>
        </w:rPr>
        <w:t>Our royalty revenues depend on patent rights licensed to third parties, and if we or our licensees or collaborators are unable to obtain, maintain, and protect those patent rights, our royalty revenues and the value of our patent portfolio may be materially adversely affected.</w:t>
      </w:r>
    </w:p>
    <w:p>
      <w:pPr>
        <w:spacing w:after="0" w:line="63" w:lineRule="exact"/>
        <w:rPr>
          <w:sz w:val="20"/>
          <w:szCs w:val="20"/>
          <w:color w:val="auto"/>
        </w:rPr>
      </w:pPr>
    </w:p>
    <w:p>
      <w:pPr>
        <w:ind w:right="60" w:firstLine="659"/>
        <w:spacing w:after="0" w:line="294" w:lineRule="auto"/>
        <w:rPr>
          <w:sz w:val="20"/>
          <w:szCs w:val="20"/>
          <w:color w:val="auto"/>
        </w:rPr>
      </w:pPr>
      <w:r>
        <w:rPr>
          <w:rFonts w:ascii="Times New Roman" w:cs="Times New Roman" w:eastAsia="Times New Roman" w:hAnsi="Times New Roman"/>
          <w:sz w:val="18"/>
          <w:szCs w:val="18"/>
          <w:color w:val="auto"/>
        </w:rPr>
        <w:t>Our success depends in significant part on our ability and on the ability and willingness of our licensees and collaborators to establish, maintain and protect patents and other intellectual property rights covering licensed products and to operate without infringing the intellectual property rights of others. Although we may own or co-own patents and patent applications underlying our current royalty-bearing licenses, we have exclusively licensed rights under these patent portfolios to third parties for development, regulatory approval, manufacture, commercialization and related activities. We do not expect to conduct further research and development activities or develop or commercialize products directly. As a result, our future business is expected to consist principally of collecting royalties and other payments from licensees and collaborators while maintaining a limited-cost infrastructure.</w:t>
      </w:r>
    </w:p>
    <w:p>
      <w:pPr>
        <w:spacing w:after="0" w:line="72" w:lineRule="exact"/>
        <w:rPr>
          <w:sz w:val="20"/>
          <w:szCs w:val="20"/>
          <w:color w:val="auto"/>
        </w:rPr>
      </w:pPr>
    </w:p>
    <w:p>
      <w:pPr>
        <w:ind w:firstLine="659"/>
        <w:spacing w:after="0" w:line="292" w:lineRule="auto"/>
        <w:rPr>
          <w:sz w:val="20"/>
          <w:szCs w:val="20"/>
          <w:color w:val="auto"/>
        </w:rPr>
      </w:pPr>
      <w:r>
        <w:rPr>
          <w:rFonts w:ascii="Times New Roman" w:cs="Times New Roman" w:eastAsia="Times New Roman" w:hAnsi="Times New Roman"/>
          <w:sz w:val="18"/>
          <w:szCs w:val="18"/>
          <w:color w:val="auto"/>
        </w:rPr>
        <w:t>Our ability to generate value from the licensed patent rights depends on our and our licensees’ or collaborators’ ability to obtain, maintain, and protect patents with claims that cover products developed, approved, manufactured and commercialized by our licensees and collaborators. The patent prosecution process is uncertain, expensive and time-consuming, and we or our licensees or collaborators may not be able to prepare, file and prosecute all necessary or desirable patent applications at a reasonable cost or in a timely manner. We also cannot assure you that patents will issue from any patent applications that we or our licensees or collaborators do prepare, file and prosecute. It is also possible that we or our licensees or collaborators will fail to identify patentable aspects of inventions or improvements made in the course of development and commercialization activities before it is too late to obtain patent protection.</w:t>
      </w:r>
    </w:p>
    <w:p>
      <w:pPr>
        <w:spacing w:after="0" w:line="69"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color w:val="auto"/>
        </w:rPr>
        <w:t>We may have limited control over patent prosecution, maintenance, enforcement, defense, patent listings, patent term extensions and related intellectual property strategy for licensed products, and our licensees’ or collaborators’ interests may not align with ours.</w:t>
      </w:r>
    </w:p>
    <w:p>
      <w:pPr>
        <w:spacing w:after="0" w:line="9" w:lineRule="exact"/>
        <w:rPr>
          <w:sz w:val="20"/>
          <w:szCs w:val="20"/>
          <w:color w:val="auto"/>
        </w:rPr>
      </w:pPr>
    </w:p>
    <w:p>
      <w:pPr>
        <w:ind w:right="40" w:firstLine="659"/>
        <w:spacing w:after="0" w:line="297" w:lineRule="auto"/>
        <w:rPr>
          <w:sz w:val="20"/>
          <w:szCs w:val="20"/>
          <w:color w:val="auto"/>
        </w:rPr>
      </w:pPr>
      <w:r>
        <w:rPr>
          <w:rFonts w:ascii="Times New Roman" w:cs="Times New Roman" w:eastAsia="Times New Roman" w:hAnsi="Times New Roman"/>
          <w:sz w:val="18"/>
          <w:szCs w:val="18"/>
          <w:color w:val="auto"/>
        </w:rPr>
        <w:t>Our royalty revenues may depend on patents and patent applications that are prosecuted, maintained, enforced, defended, listed, submitted or otherwise managed in whole or in part by our licensees or collaborators. We may have limited or no ability to direct patent prosecution strategy, claim scope, continuation or divisional practice, foreign filing decisions, maintenance-fee and annuity payments, patent term adjustment or patent term extension strategy, supplementary protection certificate filings, Purple Book, BPCIA patent-list exchanges and patent-dispute procedures or similar foreign biologics patent procedures, responses to post-grant challenges, infringement litigation or settlement strategy.</w:t>
      </w:r>
    </w:p>
    <w:p>
      <w:pPr>
        <w:spacing w:after="0" w:line="69" w:lineRule="exact"/>
        <w:rPr>
          <w:sz w:val="20"/>
          <w:szCs w:val="20"/>
          <w:color w:val="auto"/>
        </w:rPr>
      </w:pPr>
    </w:p>
    <w:p>
      <w:pPr>
        <w:ind w:right="380" w:firstLine="659"/>
        <w:spacing w:after="0" w:line="294" w:lineRule="auto"/>
        <w:rPr>
          <w:sz w:val="20"/>
          <w:szCs w:val="20"/>
          <w:color w:val="auto"/>
        </w:rPr>
      </w:pPr>
      <w:r>
        <w:rPr>
          <w:rFonts w:ascii="Times New Roman" w:cs="Times New Roman" w:eastAsia="Times New Roman" w:hAnsi="Times New Roman"/>
          <w:sz w:val="18"/>
          <w:szCs w:val="18"/>
          <w:color w:val="auto"/>
        </w:rPr>
        <w:t>Our licensees or collaborators may have interests that differ from our interests, including interests in minimizing prosecution, maintenance, litigation or enforcement costs; prioritizing particular products, indications, territories or patent claims; avoiding disputes with competitors or other commercial partners; settling litigation on terms that protect their commercial interests but reduce or eliminate our royalty revenues; or abandoning or narrowing patent rights that we believe are important to our business. If any such third party fails to obtain, maintain, extend, enforce or defend patent rights in a manner that preserves royalty-bearing exclusivity, or if any such third party settles or resolves disputes in a manner that permits earlier competition or reduces royalty-bearing sales, our royalty revenues and the value of our patent portfolio could be materially adversely affected.</w:t>
      </w:r>
    </w:p>
    <w:p>
      <w:pPr>
        <w:spacing w:after="0" w:line="85" w:lineRule="exact"/>
        <w:rPr>
          <w:sz w:val="20"/>
          <w:szCs w:val="20"/>
          <w:color w:val="auto"/>
        </w:rPr>
      </w:pPr>
    </w:p>
    <w:p>
      <w:pPr>
        <w:ind w:right="240" w:firstLine="659"/>
        <w:spacing w:after="0" w:line="297" w:lineRule="auto"/>
        <w:rPr>
          <w:sz w:val="20"/>
          <w:szCs w:val="20"/>
          <w:color w:val="auto"/>
        </w:rPr>
      </w:pPr>
      <w:r>
        <w:rPr>
          <w:rFonts w:ascii="Times New Roman" w:cs="Times New Roman" w:eastAsia="Times New Roman" w:hAnsi="Times New Roman"/>
          <w:sz w:val="18"/>
          <w:szCs w:val="18"/>
          <w:color w:val="auto"/>
        </w:rPr>
        <w:t>We may not control decisions regarding whether, when or how to enforce patents against potential infringers, biosimilar or interchangeable biological product applicants or other competitors. A licensee or collaborator may decline to bring suit, may fail to bring suit within applicable statutory periods, may assert only a subset of available patents, may omit patents from required BPCIA</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5" w:right="379" w:bottom="1440" w:gutter="0" w:footer="0" w:header="0"/>
        </w:sectPr>
      </w:pPr>
    </w:p>
    <w:bookmarkStart w:id="36" w:name="page37"/>
    <w:bookmarkEnd w:id="36"/>
    <w:p>
      <w:pPr>
        <w:ind w:right="80"/>
        <w:spacing w:after="0" w:line="297" w:lineRule="auto"/>
        <w:rPr>
          <w:sz w:val="20"/>
          <w:szCs w:val="20"/>
          <w:color w:val="auto"/>
        </w:rPr>
      </w:pPr>
      <w:r>
        <w:rPr>
          <w:rFonts w:ascii="Times New Roman" w:cs="Times New Roman" w:eastAsia="Times New Roman" w:hAnsi="Times New Roman"/>
          <w:sz w:val="18"/>
          <w:szCs w:val="18"/>
          <w:color w:val="auto"/>
        </w:rPr>
        <w:t>lists, Purple Book patent information or notices, may settle litigation on terms that permit earlier competition or reduce royalty-bearing sales, or may make arguments or concessions that adversely affect the scope, validity, enforceability or commercial value of our patents. We may not have access to all information necessary to evaluate infringement, validity, enforceability, regulatory filings, manufacturing processes or settlement terms. Any such limitations could impair our ability to preserve the royalty value of our intellectual property.</w:t>
      </w:r>
    </w:p>
    <w:p>
      <w:pPr>
        <w:spacing w:after="0" w:line="82" w:lineRule="exact"/>
        <w:rPr>
          <w:sz w:val="20"/>
          <w:szCs w:val="20"/>
          <w:color w:val="auto"/>
        </w:rPr>
      </w:pPr>
    </w:p>
    <w:p>
      <w:pPr>
        <w:ind w:firstLine="659"/>
        <w:spacing w:after="0" w:line="294" w:lineRule="auto"/>
        <w:rPr>
          <w:sz w:val="20"/>
          <w:szCs w:val="20"/>
          <w:color w:val="auto"/>
        </w:rPr>
      </w:pPr>
      <w:r>
        <w:rPr>
          <w:rFonts w:ascii="Times New Roman" w:cs="Times New Roman" w:eastAsia="Times New Roman" w:hAnsi="Times New Roman"/>
          <w:sz w:val="18"/>
          <w:szCs w:val="18"/>
          <w:color w:val="auto"/>
        </w:rPr>
        <w:t>Because we have exclusively licensed rights under certain patent portfolios to third parties, our ability to enforce those patents may depend on the scope of rights retained by us and granted to our licensees, including whether the licensee has received substantial rights under the patents, whether we or the licensee has the right or obligation to bring suit, whether joinder of the patent owner, licensee, BLA holder or reference product sponsor is required, and whether the applicable party is willing and able to participate in enforcement proceedings. If we lack standing to sue independently, if a required party refuses to participate, if enforcement rights are contractually limited, or if the licensee controls enforcement or settlement decisions, our ability to preserve royalty-bearing patent protection may be impaired.</w:t>
      </w:r>
    </w:p>
    <w:p>
      <w:pPr>
        <w:spacing w:after="0" w:line="5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Failure to identify, list, update, assert or defend patents through Purple Book and BPCIA patent-dispute procedures could impair the value of our patent rights and reduce our royalty revenues.</w:t>
      </w:r>
    </w:p>
    <w:p>
      <w:pPr>
        <w:spacing w:after="0" w:line="23" w:lineRule="exact"/>
        <w:rPr>
          <w:sz w:val="20"/>
          <w:szCs w:val="20"/>
          <w:color w:val="auto"/>
        </w:rPr>
      </w:pPr>
    </w:p>
    <w:p>
      <w:pPr>
        <w:ind w:right="20" w:firstLine="659"/>
        <w:spacing w:after="0" w:line="289" w:lineRule="auto"/>
        <w:rPr>
          <w:sz w:val="20"/>
          <w:szCs w:val="20"/>
          <w:color w:val="auto"/>
        </w:rPr>
      </w:pPr>
      <w:r>
        <w:rPr>
          <w:rFonts w:ascii="Times New Roman" w:cs="Times New Roman" w:eastAsia="Times New Roman" w:hAnsi="Times New Roman"/>
          <w:sz w:val="18"/>
          <w:szCs w:val="18"/>
          <w:color w:val="auto"/>
        </w:rPr>
        <w:t>For licensed products regulated as biological products, the timing, content, accuracy and completeness of Purple Book patent information, patent lists exchanged under the Biologics Price Competition and Innovation Act of 2009, as amended, or the BPCIA, and related patent-dispute procedures may affect notice rights, litigation strategy, settlement leverage, biosimilar or interchangeable biological product entry, available remedies and the duration and value of royalty-bearing patent protection. We may not control whether a licensee, collaborator, commercialization partner, BLA holder, reference product sponsor or other responsible party identifies all relevant patents, timely provides initial or supplemental patent lists, submits accurate patent expiration dates, supplements or updates patent information, participates in BPCIA patent-dispute procedures, asserts all appropriate patents against biosimilar or interchangeable biological product applicants, or preserves rights to seek injunctive or other relief. If a patent that should have been included in a BPCIA patent list is not timely included, the patent owner may be barred from bringing an infringement action with respect to the biological product under 35 U.S.C. § 271. Any failure to identify, list, update, assert, enforce or defend relevant patents, or any decision to omit patents, assert only a subset of patents, delay or forgo litigation, or settle patent disputes on terms that permit earlier biosimilar or interchangeable product entry, could reduce the effective exclusivity period for licensed products and materially reduce our royalty revenues.</w:t>
      </w:r>
    </w:p>
    <w:p>
      <w:pPr>
        <w:spacing w:after="0" w:line="7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color w:val="auto"/>
        </w:rPr>
        <w:t>The patent position of biotechnology and pharmaceutical companies generally is highly uncertain, and issued patents may not provide meaningful protection for licensed products or prevent competitors from commercializing competitive technologies and products.</w:t>
      </w:r>
    </w:p>
    <w:p>
      <w:pPr>
        <w:spacing w:after="0" w:line="9"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licensees’ or collaborators’ patent rights are highly uncertain. Our and our licensees’ or collaborators’ pending and future patent applications may not result in patents being issued which protect licensed technology or licensed products, in whole or in part, or which effectively prevent others from commercializing competitive technologies and products.</w:t>
      </w:r>
    </w:p>
    <w:p>
      <w:pPr>
        <w:spacing w:after="0" w:line="69" w:lineRule="exact"/>
        <w:rPr>
          <w:sz w:val="20"/>
          <w:szCs w:val="20"/>
          <w:color w:val="auto"/>
        </w:rPr>
      </w:pPr>
    </w:p>
    <w:p>
      <w:pPr>
        <w:ind w:firstLine="659"/>
        <w:spacing w:after="0" w:line="294" w:lineRule="auto"/>
        <w:rPr>
          <w:sz w:val="20"/>
          <w:szCs w:val="20"/>
          <w:color w:val="auto"/>
        </w:rPr>
      </w:pPr>
      <w:r>
        <w:rPr>
          <w:rFonts w:ascii="Times New Roman" w:cs="Times New Roman" w:eastAsia="Times New Roman" w:hAnsi="Times New Roman"/>
          <w:sz w:val="18"/>
          <w:szCs w:val="18"/>
          <w:color w:val="auto"/>
        </w:rPr>
        <w:t>The patent examination process may require us or our licensees or collaborators to narrow the scope of the claims of our pending and future patent applications, which may limit the scope of patent protection that may be obtained. In the past, we have not always been able to obtain the full scope of patent protection we initially sought in our patent applications, and as is typical for biotechnology patent prosecution, we have been required to narrow or eliminate patent claims as part of the patent prosecution process. In some instances, patent protection for an invention might not be obtainable in view of the prior art or laws of the country in which patent protection is sought. As a result, patent claims that we or our licensees or collaborators seek to obtain now or in the future could be narrowed or eliminated during prosecution, or later held invalid or unenforceable.</w:t>
      </w:r>
    </w:p>
    <w:p>
      <w:pPr>
        <w:spacing w:after="0" w:line="85" w:lineRule="exact"/>
        <w:rPr>
          <w:sz w:val="20"/>
          <w:szCs w:val="20"/>
          <w:color w:val="auto"/>
        </w:rPr>
      </w:pPr>
    </w:p>
    <w:p>
      <w:pPr>
        <w:ind w:right="40" w:firstLine="659"/>
        <w:spacing w:after="0" w:line="293" w:lineRule="auto"/>
        <w:rPr>
          <w:sz w:val="20"/>
          <w:szCs w:val="20"/>
          <w:color w:val="auto"/>
        </w:rPr>
      </w:pPr>
      <w:r>
        <w:rPr>
          <w:rFonts w:ascii="Times New Roman" w:cs="Times New Roman" w:eastAsia="Times New Roman" w:hAnsi="Times New Roman"/>
          <w:sz w:val="18"/>
          <w:szCs w:val="18"/>
          <w:color w:val="auto"/>
        </w:rPr>
        <w:t>The ability to obtain and maintain meaningful patent protection for antibodies and other biotechnology inventions may depend on accurate and complete disclosure of technical characterizations, including biological sequence information. Any errors, omissions, inconsistencies or later-developed scientific understanding that affects how such inventions are characterized, including sequence information, epitope mapping, competition data, binding assays or structure-function relationships, could impair our or our licensees’ or collaborators’ ability to obtain, maintain or enforce patents, could provide a basis for third-party challenges, or could necessitate claim narrowing.</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7" w:name="page38"/>
    <w:bookmarkEnd w:id="37"/>
    <w:p>
      <w:pPr>
        <w:jc w:val="both"/>
        <w:ind w:right="20" w:firstLine="659"/>
        <w:spacing w:after="0" w:line="305" w:lineRule="auto"/>
        <w:rPr>
          <w:sz w:val="20"/>
          <w:szCs w:val="20"/>
          <w:color w:val="auto"/>
        </w:rPr>
      </w:pPr>
      <w:r>
        <w:rPr>
          <w:rFonts w:ascii="Times New Roman" w:cs="Times New Roman" w:eastAsia="Times New Roman" w:hAnsi="Times New Roman"/>
          <w:sz w:val="18"/>
          <w:szCs w:val="18"/>
          <w:color w:val="auto"/>
        </w:rPr>
        <w:t>In addition, some patent applications that we or our licensees or collaborators have filed or may file in the future might not result in issued patents because we or our licensees or collaborators have abandoned, or may choose to abandon, those patent applications as changes in business or legal strategies dictated or may dictate.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royalty revenues may depend on whether licensed products are covered by valid and enforceable patent claims in particular countries.</w:t>
      </w:r>
    </w:p>
    <w:p>
      <w:pPr>
        <w:spacing w:after="0" w:line="67" w:lineRule="exact"/>
        <w:rPr>
          <w:sz w:val="20"/>
          <w:szCs w:val="20"/>
          <w:color w:val="auto"/>
        </w:rPr>
      </w:pPr>
    </w:p>
    <w:p>
      <w:pPr>
        <w:jc w:val="both"/>
        <w:ind w:right="120" w:firstLine="659"/>
        <w:spacing w:after="0" w:line="305" w:lineRule="auto"/>
        <w:rPr>
          <w:sz w:val="20"/>
          <w:szCs w:val="20"/>
          <w:color w:val="auto"/>
        </w:rPr>
      </w:pPr>
      <w:r>
        <w:rPr>
          <w:rFonts w:ascii="Times New Roman" w:cs="Times New Roman" w:eastAsia="Times New Roman" w:hAnsi="Times New Roman"/>
          <w:sz w:val="18"/>
          <w:szCs w:val="18"/>
          <w:color w:val="auto"/>
        </w:rPr>
        <w:t>Filing, prosecuting, enforcing and defending patents on licensed technology and licensed products in all countries throughout the world would be prohibitively expensive, and our or our licensees’ or collaborators’ intellectual property rights may not exist in some countries outside the United States or may be less extensive in some countries than in the United States.</w:t>
      </w:r>
    </w:p>
    <w:p>
      <w:pPr>
        <w:spacing w:after="0" w:line="75" w:lineRule="exact"/>
        <w:rPr>
          <w:sz w:val="20"/>
          <w:szCs w:val="20"/>
          <w:color w:val="auto"/>
        </w:rPr>
      </w:pPr>
    </w:p>
    <w:p>
      <w:pPr>
        <w:ind w:right="100" w:firstLine="659"/>
        <w:spacing w:after="0" w:line="292" w:lineRule="auto"/>
        <w:rPr>
          <w:sz w:val="20"/>
          <w:szCs w:val="20"/>
          <w:color w:val="auto"/>
        </w:rPr>
      </w:pPr>
      <w:r>
        <w:rPr>
          <w:rFonts w:ascii="Times New Roman" w:cs="Times New Roman" w:eastAsia="Times New Roman" w:hAnsi="Times New Roman"/>
          <w:sz w:val="18"/>
          <w:szCs w:val="18"/>
          <w:color w:val="auto"/>
        </w:rPr>
        <w:t>In addition, the laws of some foreign countries do not protect intellectual property rights to the same extent as federal and state laws in the United States. Consequently, we and our licensees or collaborators may not be able to prevent third parties from making, using, or selling licensed products in all countries outside the United States or from selling or importing licensed products in and into the United States or other jurisdictions. Competitors may use our and our licensees’ or collaborators’ technologies in jurisdictions where patent protection has not been obtained to develop their own products and, further, may export otherwise infringing products to territories where patent protection exists but enforcement is not as strong as that in the United States. These products may compete with licensed products, and our or our licensees’ or collaborators’ patents or other intellectual property rights may not be effective or sufficient to prevent them from competing.</w:t>
      </w:r>
    </w:p>
    <w:p>
      <w:pPr>
        <w:spacing w:after="0" w:line="73" w:lineRule="exact"/>
        <w:rPr>
          <w:sz w:val="20"/>
          <w:szCs w:val="20"/>
          <w:color w:val="auto"/>
        </w:rPr>
      </w:pPr>
    </w:p>
    <w:p>
      <w:pPr>
        <w:ind w:right="80" w:firstLine="659"/>
        <w:spacing w:after="0" w:line="29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and pharmaceutical products, which could make it difficult for us or our licensees or collaborators to stop infringement of our and our licensees’ or collaborators’ patents or marketing of competing products in violation of our and our licensees’ or collaborators’ proprietary rights generally. Proceedings to enforce patent rights in foreign jurisdictions could result in substantial costs, could put our patents at risk of being invalidated or interpreted narrowly and patent applications at risk of not issuing, and could provoke third parties to assert claims against us or our licensees or collaborators. We or our licensees or collaborators may not prevail in any lawsuits that are initiated, and the damages or other remedies awarded, if any, may not be commercially meaningful.</w:t>
      </w:r>
    </w:p>
    <w:p>
      <w:pPr>
        <w:spacing w:after="0" w:line="84" w:lineRule="exact"/>
        <w:rPr>
          <w:sz w:val="20"/>
          <w:szCs w:val="20"/>
          <w:color w:val="auto"/>
        </w:rPr>
      </w:pPr>
    </w:p>
    <w:p>
      <w:pPr>
        <w:ind w:right="120" w:firstLine="659"/>
        <w:spacing w:after="0" w:line="293" w:lineRule="auto"/>
        <w:rPr>
          <w:sz w:val="20"/>
          <w:szCs w:val="20"/>
          <w:color w:val="auto"/>
        </w:rPr>
      </w:pPr>
      <w:r>
        <w:rPr>
          <w:rFonts w:ascii="Times New Roman" w:cs="Times New Roman" w:eastAsia="Times New Roman" w:hAnsi="Times New Roman"/>
          <w:sz w:val="18"/>
          <w:szCs w:val="18"/>
          <w:color w:val="auto"/>
        </w:rPr>
        <w:t>Furthermore, the European patent litigation landscape has changed with the advent of the Unified Patent Court, which may allow third parties to seek, or may allow us or our licensees or collaborators to obtain, certain forms of relief with pan-European effect. This could increase the risk that a single adverse decision could significantly narrow, invalidate or render unenforceable one or more of our European patents across multiple jurisdictions, or that we or our licensees or collaborators could be subject to injunctive relief affecting multiple markets, if subjected to the jurisdiction of the Unified Patent Court.</w:t>
      </w:r>
    </w:p>
    <w:p>
      <w:pPr>
        <w:spacing w:after="0" w:line="73" w:lineRule="exact"/>
        <w:rPr>
          <w:sz w:val="20"/>
          <w:szCs w:val="20"/>
          <w:color w:val="auto"/>
        </w:rPr>
      </w:pPr>
    </w:p>
    <w:p>
      <w:pPr>
        <w:ind w:right="220" w:firstLine="659"/>
        <w:spacing w:after="0" w:line="305" w:lineRule="auto"/>
        <w:rPr>
          <w:sz w:val="20"/>
          <w:szCs w:val="20"/>
          <w:color w:val="auto"/>
        </w:rPr>
      </w:pPr>
      <w:r>
        <w:rPr>
          <w:rFonts w:ascii="Times New Roman" w:cs="Times New Roman" w:eastAsia="Times New Roman" w:hAnsi="Times New Roman"/>
          <w:sz w:val="18"/>
          <w:szCs w:val="18"/>
          <w:color w:val="auto"/>
        </w:rPr>
        <w:t>We may not be able to collect royalties, or our royalties may be reduced, for sales of licensed products in jurisdictions where we do not obtain valid and enforceable claims covering the licensed products. Furthermore, the inability to obtain or enforce patent protection in some jurisdictions might increase competition, reduce sales, and result in reduced royalties.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Disputes over claim coverage could reduce or eliminate royalties.</w:t>
      </w:r>
    </w:p>
    <w:p>
      <w:pPr>
        <w:spacing w:after="0" w:line="67" w:lineRule="exact"/>
        <w:rPr>
          <w:sz w:val="20"/>
          <w:szCs w:val="20"/>
          <w:color w:val="auto"/>
        </w:rPr>
      </w:pPr>
    </w:p>
    <w:p>
      <w:pPr>
        <w:ind w:firstLine="659"/>
        <w:spacing w:after="0" w:line="294" w:lineRule="auto"/>
        <w:rPr>
          <w:sz w:val="20"/>
          <w:szCs w:val="20"/>
          <w:color w:val="auto"/>
        </w:rPr>
      </w:pPr>
      <w:r>
        <w:rPr>
          <w:rFonts w:ascii="Times New Roman" w:cs="Times New Roman" w:eastAsia="Times New Roman" w:hAnsi="Times New Roman"/>
          <w:sz w:val="18"/>
          <w:szCs w:val="18"/>
          <w:color w:val="auto"/>
        </w:rPr>
        <w:t>Our license agreements may condition royalties, royalty rates, or royalty duration on the existence of one or more valid, enforceable and unexpired patent claims covering a licensed product in a particular country. Disputes may arise regarding whether a licensed product is covered by a valid claim; whether a pending, amended, challenged, opposed, appealed, narrowed, reissued or reexamined claim qualifies for royalty purposes; whether a method-of-treatment claim covers sales for a particular labeled or off-label use; whether a product modification avoids claim coverage; or whether a patent challenge, expiration, terminal disclaimer, loss of patent term extension, supplementary protection certificate decision or other event triggers a royalty reduction or termination.</w:t>
      </w:r>
    </w:p>
    <w:p>
      <w:pPr>
        <w:spacing w:after="0" w:line="72" w:lineRule="exact"/>
        <w:rPr>
          <w:sz w:val="20"/>
          <w:szCs w:val="20"/>
          <w:color w:val="auto"/>
        </w:rPr>
      </w:pPr>
    </w:p>
    <w:p>
      <w:pPr>
        <w:ind w:right="100" w:firstLine="659"/>
        <w:spacing w:after="0" w:line="297" w:lineRule="auto"/>
        <w:rPr>
          <w:sz w:val="20"/>
          <w:szCs w:val="20"/>
          <w:color w:val="auto"/>
        </w:rPr>
      </w:pPr>
      <w:r>
        <w:rPr>
          <w:rFonts w:ascii="Times New Roman" w:cs="Times New Roman" w:eastAsia="Times New Roman" w:hAnsi="Times New Roman"/>
          <w:sz w:val="18"/>
          <w:szCs w:val="18"/>
          <w:color w:val="auto"/>
        </w:rPr>
        <w:t>Licensees, sublicensees or other royalty payors may challenge, or have incentives to challenge, the scope, validity, enforceability, ownership, inventorship or royalty-bearing status of our patents or may assert that particular products, territories, sales, indications, formulations, manufacturing processes or periods are not covered by licensed patent rights. If a licensee, sublicensee or other counterparty successfully asserts that a licensed product is not covered by a valid claim, our royalty revenues could be reduced or eliminated in one or more countries.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ind w:right="320"/>
        <w:spacing w:after="0" w:line="271" w:lineRule="auto"/>
        <w:rPr>
          <w:sz w:val="20"/>
          <w:szCs w:val="20"/>
          <w:color w:val="auto"/>
        </w:rPr>
      </w:pPr>
      <w:r>
        <w:rPr>
          <w:rFonts w:ascii="Times New Roman" w:cs="Times New Roman" w:eastAsia="Times New Roman" w:hAnsi="Times New Roman"/>
          <w:sz w:val="18"/>
          <w:szCs w:val="18"/>
          <w:b w:val="1"/>
          <w:bCs w:val="1"/>
          <w:color w:val="auto"/>
        </w:rPr>
        <w:t>Licensed products may not be covered by our patent claims, or the licensed products may evolve in a manner that reduces or eliminates claim coverage.</w:t>
      </w:r>
    </w:p>
    <w:p>
      <w:pPr>
        <w:spacing w:after="0" w:line="23" w:lineRule="exact"/>
        <w:rPr>
          <w:sz w:val="20"/>
          <w:szCs w:val="20"/>
          <w:color w:val="auto"/>
        </w:rPr>
      </w:pPr>
    </w:p>
    <w:p>
      <w:pPr>
        <w:ind w:right="20" w:firstLine="659"/>
        <w:spacing w:after="0" w:line="294" w:lineRule="auto"/>
        <w:rPr>
          <w:sz w:val="20"/>
          <w:szCs w:val="20"/>
          <w:color w:val="auto"/>
        </w:rPr>
      </w:pPr>
      <w:r>
        <w:rPr>
          <w:rFonts w:ascii="Times New Roman" w:cs="Times New Roman" w:eastAsia="Times New Roman" w:hAnsi="Times New Roman"/>
          <w:sz w:val="18"/>
          <w:szCs w:val="18"/>
          <w:color w:val="auto"/>
        </w:rPr>
        <w:t>Even if patents issue and remain valid and enforceable, they may not cover ultimately approved or commercialized licensed products. Our licensees or collaborators may modify licensed products, develop follow-on or next-generation products, change manufacturing processes, pursue alternative indications or dosing regimens, or commercialize products through sublicensees or affiliates in a manner that reduces or eliminates coverage by our patent claims. Competitors may also design around our claims or develop products that achieve similar therapeutic effects without infringing our patents. If licensed products or related commercial strategies evolve in a way that reduces or eliminates coverage by our patent claims, or if competitors develop non-infringing alternatives, our royalty revenues may be materially reduced.</w:t>
      </w:r>
    </w:p>
    <w:p>
      <w:pPr>
        <w:spacing w:after="0" w:line="54"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color w:val="auto"/>
        </w:rPr>
        <w:t>Because we do not expect to conduct further research and development, our ability to generate new patent rights, obtain patent protection for improvements or replace expiring or challenged patents may be limited.</w:t>
      </w:r>
    </w:p>
    <w:p>
      <w:pPr>
        <w:spacing w:after="0" w:line="23" w:lineRule="exact"/>
        <w:rPr>
          <w:sz w:val="20"/>
          <w:szCs w:val="20"/>
          <w:color w:val="auto"/>
        </w:rPr>
      </w:pPr>
    </w:p>
    <w:p>
      <w:pPr>
        <w:ind w:right="140" w:firstLine="659"/>
        <w:spacing w:after="0" w:line="297" w:lineRule="auto"/>
        <w:rPr>
          <w:sz w:val="20"/>
          <w:szCs w:val="20"/>
          <w:color w:val="auto"/>
        </w:rPr>
      </w:pPr>
      <w:r>
        <w:rPr>
          <w:rFonts w:ascii="Times New Roman" w:cs="Times New Roman" w:eastAsia="Times New Roman" w:hAnsi="Times New Roman"/>
          <w:sz w:val="18"/>
          <w:szCs w:val="18"/>
          <w:color w:val="auto"/>
        </w:rPr>
        <w:t>Historically, we generated new inventions and patent rights through our own research and development activities. Going forward, we do not expect to conduct further research and development and expect to operate with a limited-cost infrastructure. As a result, we may have limited ability to generate new inventions, create new patent families, supplement existing patent applications with additional technical data, or replace patents that expire, are narrowed, are invalidated or are designed around.</w:t>
      </w:r>
    </w:p>
    <w:p>
      <w:pPr>
        <w:spacing w:after="0" w:line="69" w:lineRule="exact"/>
        <w:rPr>
          <w:sz w:val="20"/>
          <w:szCs w:val="20"/>
          <w:color w:val="auto"/>
        </w:rPr>
      </w:pPr>
    </w:p>
    <w:p>
      <w:pPr>
        <w:ind w:right="180" w:firstLine="659"/>
        <w:spacing w:after="0" w:line="294" w:lineRule="auto"/>
        <w:rPr>
          <w:sz w:val="20"/>
          <w:szCs w:val="20"/>
          <w:color w:val="auto"/>
        </w:rPr>
      </w:pPr>
      <w:r>
        <w:rPr>
          <w:rFonts w:ascii="Times New Roman" w:cs="Times New Roman" w:eastAsia="Times New Roman" w:hAnsi="Times New Roman"/>
          <w:sz w:val="18"/>
          <w:szCs w:val="18"/>
          <w:color w:val="auto"/>
        </w:rPr>
        <w:t>Development, regulatory, manufacturing and commercialization activities conducted by our licensees or collaborators may generate inventions, improvements, know-how, data, formulations, dosing regimens, manufacturing processes, biomarkers, methods of use or other intellectual property. Depending on the terms of the applicable agreements and applicable law, we may not own, control or have rights to such improvements or related intellectual property. Licensed products or follow-on products may therefore be protected primarily by intellectual property owned or controlled by our licensees, collaborators or third parties rather than by us, and sales of such products may not be royalty-bearing to us or may be royalty-bearing for a shorter period or at a reduced rate.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patents may be challenged, narrowed, invalidated or held unenforceable.</w:t>
      </w:r>
    </w:p>
    <w:p>
      <w:pPr>
        <w:spacing w:after="0" w:line="67" w:lineRule="exact"/>
        <w:rPr>
          <w:sz w:val="20"/>
          <w:szCs w:val="20"/>
          <w:color w:val="auto"/>
        </w:rPr>
      </w:pPr>
    </w:p>
    <w:p>
      <w:pPr>
        <w:ind w:right="160" w:firstLine="659"/>
        <w:spacing w:after="0" w:line="290" w:lineRule="auto"/>
        <w:rPr>
          <w:sz w:val="20"/>
          <w:szCs w:val="20"/>
          <w:color w:val="auto"/>
        </w:rPr>
      </w:pPr>
      <w:r>
        <w:rPr>
          <w:rFonts w:ascii="Times New Roman" w:cs="Times New Roman" w:eastAsia="Times New Roman" w:hAnsi="Times New Roman"/>
          <w:sz w:val="18"/>
          <w:szCs w:val="18"/>
          <w:color w:val="auto"/>
        </w:rPr>
        <w:t>Third parties may challenge the validity, enforceability, ownership, inventorship, priority, scope, or coverage of our patents and patent applications in litigation, post-grant proceedings, oppositions, reexaminations, inter partes reviews, post-grant reviews, interference or derivation proceedings, nullity actions, revocation actions, declaratory judgment actions, or other proceedings in the United States or foreign jurisdictions. These challenges may be based on a variety of different grounds, including lack of novelty or obviousness over prior art, public use or on-sale activity, lack of written description, lack of enablement, indefiniteness, lack of patent-eligible subject matter, obviousness-type or statutory double patenting, terminal-disclaimer issues, improper priority claims, added matter, incorrect inventorship, inequitable conduct, prosecution laches, or other statutory, equitable, or procedural grounds. We cannot assure you that all potentially relevant prior art relating to our patents and patent applications has been found or that all bases for challenging our patents have been considered. A successful challenge to any patent rights that support royalty payments could shorten or eliminate the royalty period, reduce leverage against biosimilar or other competitors, impair settlement value, reduce expected cash flows or eliminate substantially all value associated with the affected patent rights.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terms are limited, and failure to obtain available patent term extension or similar protection could reduce our royalty period.</w:t>
      </w:r>
    </w:p>
    <w:p>
      <w:pPr>
        <w:spacing w:after="0" w:line="67" w:lineRule="exact"/>
        <w:rPr>
          <w:sz w:val="20"/>
          <w:szCs w:val="20"/>
          <w:color w:val="auto"/>
        </w:rPr>
      </w:pPr>
    </w:p>
    <w:p>
      <w:pPr>
        <w:ind w:firstLine="659"/>
        <w:spacing w:after="0" w:line="297"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licensed products are obtained, once the patent life has expired for a licensed product, the licensee may be open to competition from competitive medications, including biosimilar or interchangeable biological products, and our royalties may be reduced or eliminated.</w:t>
      </w:r>
    </w:p>
    <w:p>
      <w:pPr>
        <w:spacing w:after="0" w:line="82" w:lineRule="exact"/>
        <w:rPr>
          <w:sz w:val="20"/>
          <w:szCs w:val="20"/>
          <w:color w:val="auto"/>
        </w:rPr>
      </w:pPr>
    </w:p>
    <w:p>
      <w:pPr>
        <w:ind w:right="20" w:firstLine="659"/>
        <w:spacing w:after="0" w:line="290"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pharmaceutical products, patents protecting licensed products might expire before or shortly after such products are commercialized. As a result, our and our licensees’ or collaborators’ patent portfolio may not provide sufficient rights to exclude others from commercializing products similar or identical to licensed products for the period we expect. We expect that we or our licensees or collaborators will seek extensions of patent terms where these are available in countries where we or they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in the United States, and any equivalent foreign regulatory authority, may not agree with an assessment of whether such extensions are available and may refuse to grant extensions or may grant more limited extensions than requested.</w:t>
      </w:r>
    </w:p>
    <w:p>
      <w:pPr>
        <w:spacing w:after="0" w:line="2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39" w:name="page40"/>
    <w:bookmarkEnd w:id="39"/>
    <w:p>
      <w:pPr>
        <w:ind w:right="100" w:firstLine="659"/>
        <w:spacing w:after="0" w:line="294" w:lineRule="auto"/>
        <w:rPr>
          <w:sz w:val="20"/>
          <w:szCs w:val="20"/>
          <w:color w:val="auto"/>
        </w:rPr>
      </w:pPr>
      <w:r>
        <w:rPr>
          <w:rFonts w:ascii="Times New Roman" w:cs="Times New Roman" w:eastAsia="Times New Roman" w:hAnsi="Times New Roman"/>
          <w:sz w:val="18"/>
          <w:szCs w:val="18"/>
          <w:color w:val="auto"/>
        </w:rPr>
        <w:t>Moreover, we may not control whether the applicable licensee, marketing authorization holder, patent owner or other responsible party timely seeks patent term extension, selects the patent most beneficial to our royalty interests, satisfies applicable requirements or obtains the full extension requested. Even if an extension is granted, the scope of the extension may be limited and may not cover all approved uses, formulations, methods of manufacture or later-modified products. If available patent term extension, supplementary protection certificate protection or analogous foreign protection is not obtained, or is narrower or shorter than expected, the period during which licensed products are covered by royalty-bearing patent rights could be shortened, and our royalty revenues could be materially reduced.</w:t>
      </w:r>
    </w:p>
    <w:p>
      <w:pPr>
        <w:spacing w:after="0" w:line="68" w:lineRule="exact"/>
        <w:rPr>
          <w:sz w:val="20"/>
          <w:szCs w:val="20"/>
          <w:color w:val="auto"/>
        </w:rPr>
      </w:pPr>
    </w:p>
    <w:p>
      <w:pPr>
        <w:ind w:right="20"/>
        <w:spacing w:after="0" w:line="333" w:lineRule="auto"/>
        <w:rPr>
          <w:sz w:val="20"/>
          <w:szCs w:val="20"/>
          <w:color w:val="auto"/>
        </w:rPr>
      </w:pPr>
      <w:r>
        <w:rPr>
          <w:rFonts w:ascii="Times New Roman" w:cs="Times New Roman" w:eastAsia="Times New Roman" w:hAnsi="Times New Roman"/>
          <w:sz w:val="18"/>
          <w:szCs w:val="18"/>
          <w:b w:val="1"/>
          <w:bCs w:val="1"/>
          <w:color w:val="auto"/>
        </w:rPr>
        <w:t>Changes in patent law could diminish the value of patents in general, thereby impairing the value of our patent portfolio and our ability to receive royalties.</w:t>
      </w:r>
    </w:p>
    <w:p>
      <w:pPr>
        <w:spacing w:after="0" w:line="37" w:lineRule="exact"/>
        <w:rPr>
          <w:sz w:val="20"/>
          <w:szCs w:val="20"/>
          <w:color w:val="auto"/>
        </w:rPr>
      </w:pPr>
    </w:p>
    <w:p>
      <w:pPr>
        <w:ind w:firstLine="659"/>
        <w:spacing w:after="0" w:line="292" w:lineRule="auto"/>
        <w:rPr>
          <w:sz w:val="20"/>
          <w:szCs w:val="20"/>
          <w:color w:val="auto"/>
        </w:rPr>
      </w:pPr>
      <w:r>
        <w:rPr>
          <w:rFonts w:ascii="Times New Roman" w:cs="Times New Roman" w:eastAsia="Times New Roman" w:hAnsi="Times New Roman"/>
          <w:sz w:val="18"/>
          <w:szCs w:val="18"/>
          <w:color w:val="auto"/>
        </w:rPr>
        <w:t>The laws, regulations, administrative practices, and judicial decisions governing patents and patent challenges in the United States and foreign jurisdictions are subject to change and may evolve in ways that reduce the scope, strength, duration, enforceability, or commercial value of our patents and patent applications. In the United States, Congress, the federal courts, and the USPTO have made, and may continue to make, changes that affect patent eligibility, written description, enablement, obviousness, obviousness-type double patenting, patent term, terminal disclaimers, continuation practice, claim construction, damages, injunctive relief, inequitable conduct, enforcement, and the procedures and standards applicable to post-grant patent challenges. For example, Supreme Court and Federal Circuit decisions have created uncertainty or imposed limitations regarding patent-eligible subject matter, including claims involving laws of nature, natural phenomena, natural products, diagnostic methods, and certain method-of-treatment or biomarker-related inventions. Courts have also increased scrutiny of broad genus claims, including functionally defined antibody or biologics claims, under the written description and enablement requirements. As a result, patent claims that we or our licensees or collaborators obtain, maintain, or enforce may be narrower than expected or may be held invalid or unenforceable.</w:t>
      </w:r>
    </w:p>
    <w:p>
      <w:pPr>
        <w:spacing w:after="0" w:line="74" w:lineRule="exact"/>
        <w:rPr>
          <w:sz w:val="20"/>
          <w:szCs w:val="20"/>
          <w:color w:val="auto"/>
        </w:rPr>
      </w:pPr>
    </w:p>
    <w:p>
      <w:pPr>
        <w:ind w:right="380" w:firstLine="659"/>
        <w:spacing w:after="0" w:line="297" w:lineRule="auto"/>
        <w:rPr>
          <w:sz w:val="20"/>
          <w:szCs w:val="20"/>
          <w:color w:val="auto"/>
        </w:rPr>
      </w:pPr>
      <w:r>
        <w:rPr>
          <w:rFonts w:ascii="Times New Roman" w:cs="Times New Roman" w:eastAsia="Times New Roman" w:hAnsi="Times New Roman"/>
          <w:sz w:val="18"/>
          <w:szCs w:val="18"/>
          <w:color w:val="auto"/>
        </w:rPr>
        <w:t>Proceedings before the USPTO and other patent offices also may affect the value of our patents. Inter partes review permits third parties to challenge issued patent claims on 35 U.S.C. §§ 102 and 103 grounds based on patents and printed publications, and post-grant review permits broader challenges on any ground that could be raised under 35 U.S.C. § 282(b)(2) or (3). These proceedings, and changes in the rules, standards, policies, or discretionary practices governing such proceedings, could increase the risk that patents covering licensed products will be narrowed, canceled, held unpatentable, or become more costly to defend.</w:t>
      </w:r>
    </w:p>
    <w:p>
      <w:pPr>
        <w:spacing w:after="0" w:line="69" w:lineRule="exact"/>
        <w:rPr>
          <w:sz w:val="20"/>
          <w:szCs w:val="20"/>
          <w:color w:val="auto"/>
        </w:rPr>
      </w:pPr>
    </w:p>
    <w:p>
      <w:pPr>
        <w:ind w:right="160" w:firstLine="659"/>
        <w:spacing w:after="0" w:line="297" w:lineRule="auto"/>
        <w:rPr>
          <w:sz w:val="20"/>
          <w:szCs w:val="20"/>
          <w:color w:val="auto"/>
        </w:rPr>
      </w:pPr>
      <w:r>
        <w:rPr>
          <w:rFonts w:ascii="Times New Roman" w:cs="Times New Roman" w:eastAsia="Times New Roman" w:hAnsi="Times New Roman"/>
          <w:sz w:val="18"/>
          <w:szCs w:val="18"/>
          <w:color w:val="auto"/>
        </w:rPr>
        <w:t>Patent laws and practices outside the United States may also change, and foreign courts, patent offices, and administrative bodies may apply standards that differ from those applied in the United States. Changes in foreign patentability standards, opposition practice, supplementary protection certificate or patent term extension rules, compulsory licensing regimes, enforcement procedures, remedies, or centralized patent litigation systems could reduce the geographic scope, duration, enforceability, or economic value of our patent rights.</w:t>
      </w:r>
    </w:p>
    <w:p>
      <w:pPr>
        <w:spacing w:after="0" w:line="82" w:lineRule="exact"/>
        <w:rPr>
          <w:sz w:val="20"/>
          <w:szCs w:val="20"/>
          <w:color w:val="auto"/>
        </w:rPr>
      </w:pPr>
    </w:p>
    <w:p>
      <w:pPr>
        <w:ind w:right="280" w:firstLine="659"/>
        <w:spacing w:after="0" w:line="313" w:lineRule="auto"/>
        <w:rPr>
          <w:sz w:val="20"/>
          <w:szCs w:val="20"/>
          <w:color w:val="auto"/>
        </w:rPr>
      </w:pPr>
      <w:r>
        <w:rPr>
          <w:rFonts w:ascii="Times New Roman" w:cs="Times New Roman" w:eastAsia="Times New Roman" w:hAnsi="Times New Roman"/>
          <w:sz w:val="18"/>
          <w:szCs w:val="18"/>
          <w:color w:val="auto"/>
        </w:rPr>
        <w:t>Any such changes, individually or in combination, could materially adversely affect our ability to preserve royalty-bearing patent coverage for licensed products.</w:t>
      </w:r>
    </w:p>
    <w:p>
      <w:pPr>
        <w:spacing w:after="0" w:line="50" w:lineRule="exact"/>
        <w:rPr>
          <w:sz w:val="20"/>
          <w:szCs w:val="20"/>
          <w:color w:val="auto"/>
        </w:rPr>
      </w:pPr>
    </w:p>
    <w:p>
      <w:pPr>
        <w:spacing w:after="0" w:line="367" w:lineRule="auto"/>
        <w:rPr>
          <w:sz w:val="20"/>
          <w:szCs w:val="20"/>
          <w:color w:val="auto"/>
        </w:rPr>
      </w:pPr>
      <w:r>
        <w:rPr>
          <w:rFonts w:ascii="Times New Roman" w:cs="Times New Roman" w:eastAsia="Times New Roman" w:hAnsi="Times New Roman"/>
          <w:sz w:val="17"/>
          <w:szCs w:val="17"/>
          <w:b w:val="1"/>
          <w:bCs w:val="1"/>
          <w:color w:val="auto"/>
        </w:rPr>
        <w:t>Obtaining and maintaining patent protection depends on compliance with procedural, document submission, fee payment and other requirements imposed by governmental patent agencies, and patent protection could be reduced or eliminated for non-compliance with these requirements.</w:t>
      </w:r>
    </w:p>
    <w:p>
      <w:pPr>
        <w:spacing w:after="0" w:line="14"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auto"/>
        </w:rPr>
        <w:t>Periodic maintenance and annuity fees on issued patents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69" w:lineRule="exact"/>
        <w:rPr>
          <w:sz w:val="20"/>
          <w:szCs w:val="20"/>
          <w:color w:val="auto"/>
        </w:rPr>
      </w:pPr>
    </w:p>
    <w:p>
      <w:pPr>
        <w:ind w:right="140" w:firstLine="659"/>
        <w:spacing w:after="0" w:line="297" w:lineRule="auto"/>
        <w:rPr>
          <w:sz w:val="20"/>
          <w:szCs w:val="20"/>
          <w:color w:val="auto"/>
        </w:rPr>
      </w:pPr>
      <w:r>
        <w:rPr>
          <w:rFonts w:ascii="Times New Roman" w:cs="Times New Roman" w:eastAsia="Times New Roman" w:hAnsi="Times New Roman"/>
          <w:sz w:val="18"/>
          <w:szCs w:val="18"/>
          <w:color w:val="auto"/>
        </w:rPr>
        <w:t>Non-compliance events that could result in abandonment or lapse of a patent or patent application include failure to respond to official actions within prescribed time limits, non-payment of fees and failure to properly legalize and submit formal documents. Because we expect to operate with a limited-cost infrastructure and may rely on licensees, collaborators, outside counsel, annuity service providers or other third parties to monitor and satisfy such requirements, failures by any such party could result in loss of patent rights. If we or our licensees or collaborators fail to maintain the patents and patent applications covering licensed products could adversely affect on our royalty revenues.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Defects in inventorship, ownership, assignment or chain of title could impair our patent rights and royalty revenues.</w:t>
      </w:r>
    </w:p>
    <w:p>
      <w:pPr>
        <w:spacing w:after="0" w:line="67" w:lineRule="exact"/>
        <w:rPr>
          <w:sz w:val="20"/>
          <w:szCs w:val="20"/>
          <w:color w:val="auto"/>
        </w:rPr>
      </w:pPr>
    </w:p>
    <w:p>
      <w:pPr>
        <w:ind w:right="200" w:firstLine="659"/>
        <w:spacing w:after="0" w:line="297" w:lineRule="auto"/>
        <w:rPr>
          <w:sz w:val="20"/>
          <w:szCs w:val="20"/>
          <w:color w:val="auto"/>
        </w:rPr>
      </w:pPr>
      <w:r>
        <w:rPr>
          <w:rFonts w:ascii="Times New Roman" w:cs="Times New Roman" w:eastAsia="Times New Roman" w:hAnsi="Times New Roman"/>
          <w:sz w:val="18"/>
          <w:szCs w:val="18"/>
          <w:color w:val="auto"/>
        </w:rPr>
        <w:t>Our ability to receive royalties and, where applicable, enforce patent rights depends on proper inventorship, ownership, assignment and chain of title for the relevant patents and patent applications. We may be subject to risks arising from incomplete or defective inventor assignments, inconsistent ownership among members of a patent family, unrecorded assignments, security interests or prior licenses, rights retained by contractors, consultants, collaborators or former employers, defects in foreign assignment formalities, correction of inventorship, or disputes regarding ownership of inventions or improvements.</w:t>
      </w:r>
    </w:p>
    <w:p>
      <w:pPr>
        <w:spacing w:after="0" w:line="69" w:lineRule="exact"/>
        <w:rPr>
          <w:sz w:val="20"/>
          <w:szCs w:val="20"/>
          <w:color w:val="auto"/>
        </w:rPr>
      </w:pPr>
    </w:p>
    <w:p>
      <w:pPr>
        <w:ind w:right="60" w:firstLine="659"/>
        <w:spacing w:after="0" w:line="297" w:lineRule="auto"/>
        <w:rPr>
          <w:sz w:val="20"/>
          <w:szCs w:val="20"/>
          <w:color w:val="auto"/>
        </w:rPr>
      </w:pPr>
      <w:r>
        <w:rPr>
          <w:rFonts w:ascii="Times New Roman" w:cs="Times New Roman" w:eastAsia="Times New Roman" w:hAnsi="Times New Roman"/>
          <w:sz w:val="18"/>
          <w:szCs w:val="18"/>
          <w:color w:val="auto"/>
        </w:rPr>
        <w:t>Disputes may arise regarding the ownership of inventions and know-how resulting from the joint creation or use of intellectual property by us and our licensees or collaborators, the priority of invention of patented technology, or the scope of rights granted under license agreements. Any defect or dispute regarding inventorship, ownership, assignment or chain of title could impair our ability to maintain, enforce, license or receive royalties from the affected patent rights.</w:t>
      </w:r>
    </w:p>
    <w:p>
      <w:pPr>
        <w:spacing w:after="0" w:line="78" w:lineRule="exact"/>
        <w:rPr>
          <w:sz w:val="20"/>
          <w:szCs w:val="20"/>
          <w:color w:val="auto"/>
        </w:rPr>
      </w:pPr>
    </w:p>
    <w:p>
      <w:pPr>
        <w:ind w:right="160"/>
        <w:spacing w:after="0" w:line="318" w:lineRule="auto"/>
        <w:rPr>
          <w:sz w:val="20"/>
          <w:szCs w:val="20"/>
          <w:color w:val="auto"/>
        </w:rPr>
      </w:pPr>
      <w:r>
        <w:rPr>
          <w:rFonts w:ascii="Times New Roman" w:cs="Times New Roman" w:eastAsia="Times New Roman" w:hAnsi="Times New Roman"/>
          <w:sz w:val="18"/>
          <w:szCs w:val="18"/>
          <w:b w:val="1"/>
          <w:bCs w:val="1"/>
          <w:color w:val="auto"/>
        </w:rPr>
        <w:t>Our reliance on licensees and other third parties may require us to share confidential information and know-how, which increases the possibility that such information may be misappropriated or disclosed.</w:t>
      </w:r>
    </w:p>
    <w:p>
      <w:pPr>
        <w:spacing w:after="0" w:line="63" w:lineRule="exact"/>
        <w:rPr>
          <w:sz w:val="20"/>
          <w:szCs w:val="20"/>
          <w:color w:val="auto"/>
        </w:rPr>
      </w:pPr>
    </w:p>
    <w:p>
      <w:pPr>
        <w:ind w:right="100" w:firstLine="659"/>
        <w:spacing w:after="0" w:line="293" w:lineRule="auto"/>
        <w:rPr>
          <w:sz w:val="20"/>
          <w:szCs w:val="20"/>
          <w:color w:val="auto"/>
        </w:rPr>
      </w:pPr>
      <w:r>
        <w:rPr>
          <w:rFonts w:ascii="Times New Roman" w:cs="Times New Roman" w:eastAsia="Times New Roman" w:hAnsi="Times New Roman"/>
          <w:sz w:val="18"/>
          <w:szCs w:val="18"/>
          <w:color w:val="auto"/>
        </w:rPr>
        <w:t>To the extent our licensed technology includes trade secrets, unpatented know-how, data, materials, assays, manufacturing information or other confidential information, we may be required to share such information with licensees, collaborators, advisors, third-party contractors, consultants or other parties. We seek to protect our confidential information and trade secrets, in part, by entering into confidentiality agreements and, if applicable, material transfer agreements, consulting agreements or other similar agreements prior to disclosing proprietary information. These agreements typically limit the rights of third parties to use or disclose our confidential information, including trade secrets.</w:t>
      </w:r>
    </w:p>
    <w:p>
      <w:pPr>
        <w:spacing w:after="0" w:line="87" w:lineRule="exact"/>
        <w:rPr>
          <w:sz w:val="20"/>
          <w:szCs w:val="20"/>
          <w:color w:val="auto"/>
        </w:rPr>
      </w:pPr>
    </w:p>
    <w:p>
      <w:pPr>
        <w:ind w:right="120" w:firstLine="659"/>
        <w:spacing w:after="0" w:line="294" w:lineRule="auto"/>
        <w:rPr>
          <w:sz w:val="20"/>
          <w:szCs w:val="20"/>
          <w:color w:val="auto"/>
        </w:rPr>
      </w:pPr>
      <w:r>
        <w:rPr>
          <w:rFonts w:ascii="Times New Roman" w:cs="Times New Roman" w:eastAsia="Times New Roman" w:hAnsi="Times New Roman"/>
          <w:sz w:val="18"/>
          <w:szCs w:val="18"/>
          <w:color w:val="auto"/>
        </w:rPr>
        <w:t>Despite the contractual provisions employed when working with third parties, the need to share trade secrets and other confidential information increases the risk that such information becomes known by competitors, is inadvertently incorporated into the technology of others, or is disclosed or used in violation of these agreements. Our agreements may also contain limited publication rights or other exceptions. Despite our efforts to protect our trade secrets, competitors may discover them through breach of our agreements with third parties, independent development or publication of information by third-party collaborators. A competitor’s discovery of our trade secrets or other unauthorized use or disclosure could impair the value of our intellectual property and our royalty-bearing rights.</w:t>
      </w:r>
    </w:p>
    <w:p>
      <w:pPr>
        <w:spacing w:after="0" w:line="176"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8"/>
          <w:szCs w:val="18"/>
          <w:b w:val="1"/>
          <w:bCs w:val="1"/>
          <w:color w:val="auto"/>
        </w:rPr>
        <w:t>We may become involved in lawsuits or administrative proceedings to protect or enforce our intellectual property, which could be expensive, time-consuming and unsuccessful and could adversely affect our royalty revenues.</w:t>
      </w:r>
    </w:p>
    <w:p>
      <w:pPr>
        <w:spacing w:after="0" w:line="63" w:lineRule="exact"/>
        <w:rPr>
          <w:sz w:val="20"/>
          <w:szCs w:val="20"/>
          <w:color w:val="auto"/>
        </w:rPr>
      </w:pPr>
    </w:p>
    <w:p>
      <w:pPr>
        <w:ind w:right="160" w:firstLine="659"/>
        <w:spacing w:after="0" w:line="293" w:lineRule="auto"/>
        <w:rPr>
          <w:sz w:val="20"/>
          <w:szCs w:val="20"/>
          <w:color w:val="auto"/>
        </w:rPr>
      </w:pPr>
      <w:r>
        <w:rPr>
          <w:rFonts w:ascii="Times New Roman" w:cs="Times New Roman" w:eastAsia="Times New Roman" w:hAnsi="Times New Roman"/>
          <w:sz w:val="18"/>
          <w:szCs w:val="18"/>
          <w:color w:val="auto"/>
        </w:rPr>
        <w:t>Third parties may infringe our patents or misappropriate or otherwise violate our intellectual property rights. In the future, we or our licensees or collaborators may initiate legal proceedings to enforce or defend our intellectual property rights, to protect trade secrets or to determine the validity or scope of intellectual property rights we own or control. Also, third parties may initiate legal proceedings against us or our licensees or collaborators to challenge the validity, enforceability or scope of intellectual property rights we own or control. These proceedings can be expensive and time-consuming, and many adversaries in these proceedings may have the ability to dedicate substantially greater resources to prosecuting these legal actions than we do.</w:t>
      </w:r>
    </w:p>
    <w:p>
      <w:pPr>
        <w:spacing w:after="0" w:line="87" w:lineRule="exact"/>
        <w:rPr>
          <w:sz w:val="20"/>
          <w:szCs w:val="20"/>
          <w:color w:val="auto"/>
        </w:rPr>
      </w:pPr>
    </w:p>
    <w:p>
      <w:pPr>
        <w:ind w:right="120" w:firstLine="659"/>
        <w:spacing w:after="0" w:line="297" w:lineRule="auto"/>
        <w:rPr>
          <w:sz w:val="20"/>
          <w:szCs w:val="20"/>
          <w:color w:val="auto"/>
        </w:rPr>
      </w:pPr>
      <w:r>
        <w:rPr>
          <w:rFonts w:ascii="Times New Roman" w:cs="Times New Roman" w:eastAsia="Times New Roman" w:hAnsi="Times New Roman"/>
          <w:sz w:val="18"/>
          <w:szCs w:val="18"/>
          <w:color w:val="auto"/>
        </w:rPr>
        <w:t>In an infringement proceeding, a court may decide that a patent owned by us is invalid or unenforceable, or may refuse to stop the other party from using the technology at issue on the grounds that our patents do not cover the technology in question. Furthermore, an adverse result in any litigation or administrative proceeding could put one or more of our patents at risk of being invalidated, held unenforceable or interpreted narrowly.</w:t>
      </w:r>
    </w:p>
    <w:p>
      <w:pPr>
        <w:spacing w:after="0" w:line="82" w:lineRule="exact"/>
        <w:rPr>
          <w:sz w:val="20"/>
          <w:szCs w:val="20"/>
          <w:color w:val="auto"/>
        </w:rPr>
      </w:pPr>
    </w:p>
    <w:p>
      <w:pPr>
        <w:ind w:right="460" w:firstLine="659"/>
        <w:spacing w:after="0" w:line="313" w:lineRule="auto"/>
        <w:rPr>
          <w:sz w:val="20"/>
          <w:szCs w:val="20"/>
          <w:color w:val="auto"/>
        </w:rPr>
      </w:pPr>
      <w:r>
        <w:rPr>
          <w:rFonts w:ascii="Times New Roman" w:cs="Times New Roman" w:eastAsia="Times New Roman" w:hAnsi="Times New Roman"/>
          <w:sz w:val="18"/>
          <w:szCs w:val="18"/>
          <w:color w:val="auto"/>
        </w:rPr>
        <w:t>Accordingly, despite our efforts, we or our licensees or collaborators may not prevent third parties from infringing upon or misappropriating intellectual property rights we own or control, particularly in countries where the laws may not protect those rights as fully as in the United States.</w:t>
      </w:r>
    </w:p>
    <w:p>
      <w:pPr>
        <w:spacing w:after="0" w:line="68" w:lineRule="exact"/>
        <w:rPr>
          <w:sz w:val="20"/>
          <w:szCs w:val="20"/>
          <w:color w:val="auto"/>
        </w:rPr>
      </w:pPr>
    </w:p>
    <w:p>
      <w:pPr>
        <w:ind w:right="60" w:firstLine="659"/>
        <w:spacing w:after="0" w:line="294" w:lineRule="auto"/>
        <w:rPr>
          <w:sz w:val="20"/>
          <w:szCs w:val="20"/>
          <w:color w:val="auto"/>
        </w:rPr>
      </w:pPr>
      <w:r>
        <w:rPr>
          <w:rFonts w:ascii="Times New Roman" w:cs="Times New Roman" w:eastAsia="Times New Roman" w:hAnsi="Times New Roman"/>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interference, or other pre-issuance or post-grant proceedings. Such proceedings may be provoked by third parties or by us or our licensees or collaborators to protect or enforce our patents or patent applications. Additionally, third party pre-issuance submission of prior art to the USPTO or other foreign jurisdictions may jeopardize the issuance or scope of our patent applications. An unfavorable outcome in any such proceeding could affect our patent rights and reduce or eliminate our ability to collect royalties.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both"/>
        <w:ind w:right="280" w:firstLine="659"/>
        <w:spacing w:after="0" w:line="305"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patents and patent applications is threatened, it could dissuade existing or potential licensees, collaborators or acquirors from entering into or maintaining arrangements with us. Even if we successfully defend such litigation or proceeding, we may incur substantial costs, and it may distract management and other employees.</w:t>
      </w:r>
    </w:p>
    <w:p>
      <w:pPr>
        <w:spacing w:after="0" w:line="61" w:lineRule="exact"/>
        <w:rPr>
          <w:sz w:val="20"/>
          <w:szCs w:val="20"/>
          <w:color w:val="auto"/>
        </w:rPr>
      </w:pPr>
    </w:p>
    <w:p>
      <w:pPr>
        <w:ind w:right="100" w:firstLine="659"/>
        <w:spacing w:after="0" w:line="297"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adversely affect the price of shares of our common stock.</w:t>
      </w:r>
    </w:p>
    <w:p>
      <w:pPr>
        <w:spacing w:after="0" w:line="186" w:lineRule="exact"/>
        <w:rPr>
          <w:sz w:val="20"/>
          <w:szCs w:val="20"/>
          <w:color w:val="auto"/>
        </w:rPr>
      </w:pPr>
    </w:p>
    <w:p>
      <w:pPr>
        <w:ind w:right="720"/>
        <w:spacing w:after="0" w:line="318" w:lineRule="auto"/>
        <w:rPr>
          <w:sz w:val="20"/>
          <w:szCs w:val="20"/>
          <w:color w:val="auto"/>
        </w:rPr>
      </w:pPr>
      <w:r>
        <w:rPr>
          <w:rFonts w:ascii="Times New Roman" w:cs="Times New Roman" w:eastAsia="Times New Roman" w:hAnsi="Times New Roman"/>
          <w:sz w:val="18"/>
          <w:szCs w:val="18"/>
          <w:b w:val="1"/>
          <w:bCs w:val="1"/>
          <w:color w:val="auto"/>
        </w:rPr>
        <w:t>If license agreements covering our patents are terminated, disputed or interpreted unfavorably, our royalty revenues may be reduced or eliminated.</w:t>
      </w:r>
    </w:p>
    <w:p>
      <w:pPr>
        <w:spacing w:after="0" w:line="63" w:lineRule="exact"/>
        <w:rPr>
          <w:sz w:val="20"/>
          <w:szCs w:val="20"/>
          <w:color w:val="auto"/>
        </w:rPr>
      </w:pPr>
    </w:p>
    <w:p>
      <w:pPr>
        <w:ind w:right="40" w:firstLine="659"/>
        <w:spacing w:after="0" w:line="292" w:lineRule="auto"/>
        <w:rPr>
          <w:sz w:val="20"/>
          <w:szCs w:val="20"/>
          <w:color w:val="auto"/>
        </w:rPr>
      </w:pPr>
      <w:r>
        <w:rPr>
          <w:rFonts w:ascii="Times New Roman" w:cs="Times New Roman" w:eastAsia="Times New Roman" w:hAnsi="Times New Roman"/>
          <w:sz w:val="18"/>
          <w:szCs w:val="18"/>
          <w:color w:val="auto"/>
        </w:rPr>
        <w:t>Our commercial success depends upon the ability and willingness of our licensees and collaborators to develop, manufacture, market and sell licensed products and to pay royalties and other amounts due under license agreements covering our intellectual property. If a licensee or collaborator fails to comply with its obligations under any such agreement, including payment, reporting, diligence, prosecution, maintenance, enforcement, defense, confidentiality or other obligations, our remedies may be limited and our royalty revenues could be reduced, delayed or eliminated. Conversely, if we fail to comply with obligations that apply to us under a license agreement, including obligations relating to cooperation, ownership, enforcement, confidentiality or other intellectual property matters, a licensee or collaborator may assert that it has the right to terminate, reduce payments, challenge the scope of its obligations or seek other remedies.</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58" w:lineRule="exact"/>
        <w:rPr>
          <w:sz w:val="20"/>
          <w:szCs w:val="20"/>
          <w:color w:val="auto"/>
        </w:rPr>
      </w:pPr>
    </w:p>
    <w:p>
      <w:pPr>
        <w:ind w:left="1040" w:hanging="373"/>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44" w:lineRule="exact"/>
        <w:rPr>
          <w:rFonts w:ascii="Times New Roman" w:cs="Times New Roman" w:eastAsia="Times New Roman" w:hAnsi="Times New Roman"/>
          <w:sz w:val="18"/>
          <w:szCs w:val="18"/>
          <w:color w:val="auto"/>
        </w:rPr>
      </w:pPr>
    </w:p>
    <w:p>
      <w:pPr>
        <w:ind w:left="1040" w:right="120" w:hanging="373"/>
        <w:spacing w:after="0" w:line="313"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product, indication, formulation, dosing regimen, manufacturing process, territory, affiliate sale or sublicensee sale is covered by the licensed patent rights;</w:t>
      </w:r>
    </w:p>
    <w:p>
      <w:pPr>
        <w:spacing w:after="0" w:line="6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collaboration relationships;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and satisfaction of any diligence, prosecution, maintenance, enforcement or commercialization obligations;</w:t>
      </w:r>
    </w:p>
    <w:p>
      <w:pPr>
        <w:spacing w:after="0" w:line="157" w:lineRule="exact"/>
        <w:rPr>
          <w:rFonts w:ascii="Times New Roman" w:cs="Times New Roman" w:eastAsia="Times New Roman" w:hAnsi="Times New Roman"/>
          <w:sz w:val="18"/>
          <w:szCs w:val="18"/>
          <w:color w:val="auto"/>
        </w:rPr>
      </w:pPr>
    </w:p>
    <w:p>
      <w:pPr>
        <w:ind w:left="1040" w:right="180" w:hanging="373"/>
        <w:spacing w:after="0" w:line="313"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royalties, including deductions, offsets, royalty step-downs, patent expiration, valid claim requirements, royalty stacking and treatment of combination products;</w:t>
      </w:r>
    </w:p>
    <w:p>
      <w:pPr>
        <w:spacing w:after="0" w:line="54" w:lineRule="exact"/>
        <w:rPr>
          <w:rFonts w:ascii="Times New Roman" w:cs="Times New Roman" w:eastAsia="Times New Roman" w:hAnsi="Times New Roman"/>
          <w:sz w:val="18"/>
          <w:szCs w:val="18"/>
          <w:color w:val="auto"/>
        </w:rPr>
      </w:pPr>
    </w:p>
    <w:p>
      <w:pPr>
        <w:ind w:left="1040" w:right="600" w:hanging="373"/>
        <w:spacing w:after="0" w:line="329"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us and our licensees or collaborators; and</w:t>
      </w:r>
    </w:p>
    <w:p>
      <w:pPr>
        <w:spacing w:after="0" w:line="40"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inventorship, ownership, validity, enforceability or scope of patented technology.</w:t>
      </w:r>
    </w:p>
    <w:p>
      <w:pPr>
        <w:spacing w:after="0" w:line="158" w:lineRule="exact"/>
        <w:rPr>
          <w:sz w:val="20"/>
          <w:szCs w:val="20"/>
          <w:color w:val="auto"/>
        </w:rPr>
      </w:pPr>
    </w:p>
    <w:p>
      <w:pPr>
        <w:ind w:right="60" w:firstLine="659"/>
        <w:spacing w:after="0" w:line="297" w:lineRule="auto"/>
        <w:rPr>
          <w:sz w:val="20"/>
          <w:szCs w:val="20"/>
          <w:color w:val="auto"/>
        </w:rPr>
      </w:pPr>
      <w:r>
        <w:rPr>
          <w:rFonts w:ascii="Times New Roman" w:cs="Times New Roman" w:eastAsia="Times New Roman" w:hAnsi="Times New Roman"/>
          <w:sz w:val="18"/>
          <w:szCs w:val="18"/>
          <w:color w:val="auto"/>
        </w:rPr>
        <w:t>If disputes over intellectual property subject to license agreements prevent or impair our ability to maintain licensing arrangements on acceptable terms, or if licensees, sublicensees or collaborators successfully dispute their obligation to pay royalties, our royalty revenues and the value of our patent portfolio could be materially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intellectual property rights may limit commercialization of licensed products or reduce royalties payable to us.</w:t>
      </w:r>
    </w:p>
    <w:p>
      <w:pPr>
        <w:spacing w:after="0" w:line="148" w:lineRule="exact"/>
        <w:rPr>
          <w:sz w:val="20"/>
          <w:szCs w:val="20"/>
          <w:color w:val="auto"/>
        </w:rPr>
      </w:pPr>
    </w:p>
    <w:p>
      <w:pPr>
        <w:ind w:right="120" w:firstLine="659"/>
        <w:spacing w:after="0" w:line="297" w:lineRule="auto"/>
        <w:rPr>
          <w:sz w:val="20"/>
          <w:szCs w:val="20"/>
          <w:color w:val="auto"/>
        </w:rPr>
      </w:pPr>
      <w:r>
        <w:rPr>
          <w:rFonts w:ascii="Times New Roman" w:cs="Times New Roman" w:eastAsia="Times New Roman" w:hAnsi="Times New Roman"/>
          <w:sz w:val="18"/>
          <w:szCs w:val="18"/>
          <w:color w:val="auto"/>
        </w:rPr>
        <w:t>Third parties may initiate legal proceedings against us or our licensees or collaborators alleging that we or they infringe third party intellectual property rights, or we or our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adversaries in these proceedings may have the ability to dedicate substantially greater resources to prosecuting these legal actions than we do.</w:t>
      </w:r>
    </w:p>
    <w:p>
      <w:pPr>
        <w:spacing w:after="0" w:line="69" w:lineRule="exact"/>
        <w:rPr>
          <w:sz w:val="20"/>
          <w:szCs w:val="20"/>
          <w:color w:val="auto"/>
        </w:rPr>
      </w:pPr>
    </w:p>
    <w:p>
      <w:pPr>
        <w:ind w:firstLine="659"/>
        <w:spacing w:after="0" w:line="297" w:lineRule="auto"/>
        <w:rPr>
          <w:sz w:val="20"/>
          <w:szCs w:val="20"/>
          <w:color w:val="auto"/>
        </w:rPr>
      </w:pPr>
      <w:r>
        <w:rPr>
          <w:rFonts w:ascii="Times New Roman" w:cs="Times New Roman" w:eastAsia="Times New Roman" w:hAnsi="Times New Roman"/>
          <w:sz w:val="18"/>
          <w:szCs w:val="18"/>
          <w:color w:val="auto"/>
        </w:rPr>
        <w:t>Parties making claims may obtain injunctive or other equitable relief, which could effectively block the ability of our licensees or collaborators to further develop, manufacture or commercialize licensed products. An unfavorable outcome could require us or our licensees or collaborators to cease using the related technology, cease developing or commercializing licensed products, redesign products or processes, or attempt to license rights from the prevailing party. Any such license may not be available on commercially reasonable terms or at all. Even if a license is obtained, it may be non-exclusive, may require substantial payments, may result in</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42" w:name="page43"/>
    <w:bookmarkEnd w:id="42"/>
    <w:p>
      <w:pPr>
        <w:ind w:right="120"/>
        <w:spacing w:after="0" w:line="305" w:lineRule="auto"/>
        <w:rPr>
          <w:sz w:val="20"/>
          <w:szCs w:val="20"/>
          <w:color w:val="auto"/>
        </w:rPr>
      </w:pPr>
      <w:r>
        <w:rPr>
          <w:rFonts w:ascii="Times New Roman" w:cs="Times New Roman" w:eastAsia="Times New Roman" w:hAnsi="Times New Roman"/>
          <w:sz w:val="18"/>
          <w:szCs w:val="18"/>
          <w:color w:val="auto"/>
        </w:rPr>
        <w:t>royalty stacking, or may permit offsets or reductions against royalties owed to us. In addition, a finding of infringement could result in monetary damages, including treble damages and attorneys’ fees, or could prevent commercialization of licensed products, which could reduce or eliminate our royalty revenues.</w:t>
      </w:r>
    </w:p>
    <w:p>
      <w:pPr>
        <w:spacing w:after="0" w:line="165" w:lineRule="exact"/>
        <w:rPr>
          <w:sz w:val="20"/>
          <w:szCs w:val="20"/>
          <w:color w:val="auto"/>
        </w:rPr>
      </w:pPr>
    </w:p>
    <w:p>
      <w:pPr>
        <w:ind w:right="140"/>
        <w:spacing w:after="0" w:line="333" w:lineRule="auto"/>
        <w:rPr>
          <w:sz w:val="20"/>
          <w:szCs w:val="20"/>
          <w:color w:val="auto"/>
        </w:rPr>
      </w:pPr>
      <w:r>
        <w:rPr>
          <w:rFonts w:ascii="Times New Roman" w:cs="Times New Roman" w:eastAsia="Times New Roman" w:hAnsi="Times New Roman"/>
          <w:sz w:val="18"/>
          <w:szCs w:val="18"/>
          <w:b w:val="1"/>
          <w:bCs w:val="1"/>
          <w:color w:val="auto"/>
        </w:rPr>
        <w:t>We may be subject to claims by third parties asserting misappropriation of intellectual property or claiming ownership of what we regard as our own intellectual property.</w:t>
      </w:r>
    </w:p>
    <w:p>
      <w:pPr>
        <w:spacing w:after="0" w:line="37" w:lineRule="exact"/>
        <w:rPr>
          <w:sz w:val="20"/>
          <w:szCs w:val="20"/>
          <w:color w:val="auto"/>
        </w:rPr>
      </w:pPr>
    </w:p>
    <w:p>
      <w:pPr>
        <w:ind w:firstLine="659"/>
        <w:spacing w:after="0" w:line="294" w:lineRule="auto"/>
        <w:rPr>
          <w:sz w:val="20"/>
          <w:szCs w:val="20"/>
          <w:color w:val="auto"/>
        </w:rPr>
      </w:pPr>
      <w:r>
        <w:rPr>
          <w:rFonts w:ascii="Times New Roman" w:cs="Times New Roman" w:eastAsia="Times New Roman" w:hAnsi="Times New Roman"/>
          <w:sz w:val="18"/>
          <w:szCs w:val="18"/>
          <w:color w:val="auto"/>
        </w:rPr>
        <w:t>Many of our current or former employees, consultants, advisors, scientific founders or inventors may have been previously employed at universities, research institutions or other biopharmaceutical companies, including competitors or potential competitors. Some of these persons may have executed proprietary rights, non-disclosure, non-competition or similar agreements in connection with previous employment or engagements. Although we seek to ensure that persons involved in our work do not use the proprietary information or know-how of others, we may be subject to claims that we or such persons have used or disclosed confidential information or intellectual property, including trade secrets or other proprietary information, of a former employer, collaborator or other third party. Litigation may be necessary to defend against these claims.</w:t>
      </w:r>
    </w:p>
    <w:p>
      <w:pPr>
        <w:spacing w:after="0" w:line="72" w:lineRule="exact"/>
        <w:rPr>
          <w:sz w:val="20"/>
          <w:szCs w:val="20"/>
          <w:color w:val="auto"/>
        </w:rPr>
      </w:pPr>
    </w:p>
    <w:p>
      <w:pPr>
        <w:jc w:val="both"/>
        <w:ind w:right="40" w:firstLine="659"/>
        <w:spacing w:after="0" w:line="297"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sustain damages. Such intellectual property rights could be awarded to a third party, and we or our licensees or collaborators could be required to obtain a license from such third party to commercialize licensed technology or licensed products. Such a license may not be available on commercially reasonable terms or at all. Even if we successfully prosecute or defend against such claims, litigation could result in substantial costs and distract management.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to protect confidential information and trade secrets would harm the value of our intellectual property and royalty-bearing rights.</w:t>
      </w:r>
    </w:p>
    <w:p>
      <w:pPr>
        <w:spacing w:after="0" w:line="148"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auto"/>
        </w:rPr>
        <w:t>In addition to seeking patents for certain technology and products, we may rely on trade secrets, including unpatented know-how, data, technology and other proprietary information, to maintain the value of our intellectual property position. We seek to protect these trade secrets, in part, by entering into non-disclosure and confidentiality agreements with parties who have access to them, such as employees, licensees, corporate collaborators, outside scientific collaborators, contract manufacturers, consultants, advisors and other third parties. We also enter into confidentiality and invention or patent assignment agreements with employees and consultants.</w:t>
      </w:r>
    </w:p>
    <w:p>
      <w:pPr>
        <w:spacing w:after="0" w:line="69" w:lineRule="exact"/>
        <w:rPr>
          <w:sz w:val="20"/>
          <w:szCs w:val="20"/>
          <w:color w:val="auto"/>
        </w:rPr>
      </w:pPr>
    </w:p>
    <w:p>
      <w:pPr>
        <w:ind w:right="160" w:firstLine="659"/>
        <w:spacing w:after="0" w:line="294" w:lineRule="auto"/>
        <w:rPr>
          <w:sz w:val="20"/>
          <w:szCs w:val="20"/>
          <w:color w:val="auto"/>
        </w:rPr>
      </w:pPr>
      <w:r>
        <w:rPr>
          <w:rFonts w:ascii="Times New Roman" w:cs="Times New Roman" w:eastAsia="Times New Roman" w:hAnsi="Times New Roman"/>
          <w:sz w:val="18"/>
          <w:szCs w:val="18"/>
          <w:color w:val="auto"/>
        </w:rPr>
        <w:t>Despite these efforts, any of these parties may breach the agreements and disclose proprietary information, including trade secrets, and we may not be able to obtain adequate remedies for such breaches. Enforcing a claim that a party illegally disclosed or misappropriated a trade secret is difficult, expensive and time-consuming, and the outcome is unpredictable. In addition, some courts within and outside the United States may be less willing or unwilling to protect trade secrets. Furthermore, if a competitor lawfully obtained or independently developed any trade secrets, we would have no right to prevent such competitor from using that technology or information to compete with licensed products, which could harm the value of our royalty-bearing rights. Additionally, if the steps taken to maintain trade secrets are deemed inadequate, we may have insufficient recourse against third parties for misappropriating the trade secret.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Managing Growth, Operations and Macroeconomic Conditions</w:t>
      </w:r>
    </w:p>
    <w:p>
      <w:pPr>
        <w:spacing w:after="0" w:line="252" w:lineRule="exact"/>
        <w:rPr>
          <w:sz w:val="20"/>
          <w:szCs w:val="20"/>
          <w:color w:val="auto"/>
        </w:rPr>
      </w:pPr>
    </w:p>
    <w:p>
      <w:pPr>
        <w:ind w:right="40"/>
        <w:spacing w:after="0" w:line="333" w:lineRule="auto"/>
        <w:rPr>
          <w:sz w:val="20"/>
          <w:szCs w:val="20"/>
          <w:color w:val="auto"/>
        </w:rPr>
      </w:pPr>
      <w:r>
        <w:rPr>
          <w:rFonts w:ascii="Times New Roman" w:cs="Times New Roman" w:eastAsia="Times New Roman" w:hAnsi="Times New Roman"/>
          <w:sz w:val="18"/>
          <w:szCs w:val="18"/>
          <w:b w:val="1"/>
          <w:bCs w:val="1"/>
          <w:color w:val="auto"/>
        </w:rPr>
        <w:t>We currently have a limited number of full time equivalent contractors, and our future success depends on our ability to retain our key executives and to attract, retain and motivate qualified personnel.</w:t>
      </w:r>
    </w:p>
    <w:p>
      <w:pPr>
        <w:spacing w:after="0" w:line="37" w:lineRule="exact"/>
        <w:rPr>
          <w:sz w:val="20"/>
          <w:szCs w:val="20"/>
          <w:color w:val="auto"/>
        </w:rPr>
      </w:pPr>
    </w:p>
    <w:p>
      <w:pPr>
        <w:ind w:right="180" w:firstLine="659"/>
        <w:spacing w:after="0" w:line="297"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personnel, and we face significant competition for experienced personnel. If we do not succeed in attracting and retaining qualified personnel, particularly at the management level, it could adversely affect our ability to execute our business plan, harm our operating results and adversely affect our ability to realize the benefits under our existing collaborations and to manage our business after the Separation.</w:t>
      </w:r>
    </w:p>
    <w:p>
      <w:pPr>
        <w:spacing w:after="0" w:line="82" w:lineRule="exact"/>
        <w:rPr>
          <w:sz w:val="20"/>
          <w:szCs w:val="20"/>
          <w:color w:val="auto"/>
        </w:rPr>
      </w:pPr>
    </w:p>
    <w:p>
      <w:pPr>
        <w:ind w:right="40" w:firstLine="659"/>
        <w:spacing w:after="0" w:line="297" w:lineRule="auto"/>
        <w:rPr>
          <w:sz w:val="20"/>
          <w:szCs w:val="20"/>
          <w:color w:val="auto"/>
        </w:rPr>
      </w:pPr>
      <w:r>
        <w:rPr>
          <w:rFonts w:ascii="Times New Roman" w:cs="Times New Roman" w:eastAsia="Times New Roman" w:hAnsi="Times New Roman"/>
          <w:sz w:val="18"/>
          <w:szCs w:val="18"/>
          <w:color w:val="auto"/>
        </w:rPr>
        <w:t>Many of the other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our business may be harmed and the price of our securities could fall.</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ind w:right="480"/>
        <w:spacing w:after="0" w:line="318" w:lineRule="auto"/>
        <w:rPr>
          <w:sz w:val="20"/>
          <w:szCs w:val="20"/>
          <w:color w:val="auto"/>
        </w:rPr>
      </w:pPr>
      <w:r>
        <w:rPr>
          <w:rFonts w:ascii="Times New Roman" w:cs="Times New Roman" w:eastAsia="Times New Roman" w:hAnsi="Times New Roman"/>
          <w:sz w:val="18"/>
          <w:szCs w:val="18"/>
          <w:b w:val="1"/>
          <w:bCs w:val="1"/>
          <w:color w:val="auto"/>
        </w:rPr>
        <w:t>Our internal computer systems, or those of our third-party collaborators or other service providers, may fail or suffer security breaches and cyber-attacks, which could result in a material disruption to our business.</w:t>
      </w:r>
    </w:p>
    <w:p>
      <w:pPr>
        <w:spacing w:after="0" w:line="63" w:lineRule="exact"/>
        <w:rPr>
          <w:sz w:val="20"/>
          <w:szCs w:val="20"/>
          <w:color w:val="auto"/>
        </w:rPr>
      </w:pPr>
    </w:p>
    <w:p>
      <w:pPr>
        <w:ind w:right="20" w:firstLine="659"/>
        <w:spacing w:after="0" w:line="291" w:lineRule="auto"/>
        <w:rPr>
          <w:sz w:val="20"/>
          <w:szCs w:val="20"/>
          <w:color w:val="auto"/>
        </w:rPr>
      </w:pPr>
      <w:r>
        <w:rPr>
          <w:rFonts w:ascii="Times New Roman" w:cs="Times New Roman" w:eastAsia="Times New Roman" w:hAnsi="Times New Roman"/>
          <w:sz w:val="18"/>
          <w:szCs w:val="18"/>
          <w:color w:val="auto"/>
        </w:rPr>
        <w:t>We are dependent on information technology systems, infrastructure and data to operate our business. In the ordinary course of our business, we collect, store, process and transmit large amounts of confidential and sensitive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third-party vendors that may or could have access to our information. Despite the implementation of security measures, any of the internal technology systems belonging to us, our collaborators or our third party service providers are vulnerable to damage from computer viruses, bugs, worms, malware, hacking, supply chain attacks and vulnerabilities, distributed denial-of-service attacks, credential stuffing or harvesting, unauthorized access, natural disasters, terrorism, war and telecommunication and electrical failure. Any system failure, accident or security breach that causes interruptions in our own, in collaborators’ or in third party service providers’ operations could result in a material disruption of our drug discovery and development programs.</w:t>
      </w:r>
    </w:p>
    <w:p>
      <w:pPr>
        <w:spacing w:after="0" w:line="74" w:lineRule="exact"/>
        <w:rPr>
          <w:sz w:val="20"/>
          <w:szCs w:val="20"/>
          <w:color w:val="auto"/>
        </w:rPr>
      </w:pPr>
    </w:p>
    <w:p>
      <w:pPr>
        <w:ind w:firstLine="659"/>
        <w:spacing w:after="0" w:line="290" w:lineRule="auto"/>
        <w:rPr>
          <w:sz w:val="20"/>
          <w:szCs w:val="20"/>
          <w:color w:val="auto"/>
        </w:rPr>
      </w:pPr>
      <w:r>
        <w:rPr>
          <w:rFonts w:ascii="Times New Roman" w:cs="Times New Roman" w:eastAsia="Times New Roman" w:hAnsi="Times New Roman"/>
          <w:sz w:val="18"/>
          <w:szCs w:val="18"/>
          <w:color w:val="auto"/>
        </w:rPr>
        <w:t>Our system protections may be ineffective or inadequate, or we could be impacted by software bugs or other technical malfunctions, as well as employee error or malfeasance. Additionally, laws and regulations regarding privacy and data protection are evolving, and it is possible that they may be interpreted and applied in a manner that is inconsistent with our data handling safeguards and practices that could result in fines, lawsuits, and other penalties, and significant changes to our or our collaborators or third party service providers’ business practices and products and service offerings. To the extent that the measures we or our collaborators or third-party service providers have taken prove to be insufficient or inadequate, we may become subject to litigation, breach notification obligations, or regulatory or administrative sanctions, which could result in significant fines, penalties, damages, harm to our reputation, or loss of customers. While we have not experienced any material losses as a result of any system failure, accident or security breach to date, we have been the subject of certain phishing attempts in the past. If such an event were to occur and cause interruptions in our operations, it could result in a material disruption of our development programs and our business operations, whether due to a loss of our trade secrets or other proprietary information or other similar disruptions. Additionally, a party who circumvents our security measures could, among other effects, appropriate proprietary data, cause interruptions in our operations, or expose our collaborators to hacks, viruses, and other disruptions. In addition, while we maintain cybersecurity insurance coverage, we cannot be sure that such coverage will be adequate or sufficient to compensate for any losses associated with such events, that such coverage will continue to be available on commercially reasonable terms or at all, or that such coverage will pay future claims. The development and maintenance of our information technology systems, controls and processes is costly and requires ongoing monitoring and updating as technologies change and efforts to overcome security measures become increasingly sophisticated.</w:t>
      </w:r>
    </w:p>
    <w:p>
      <w:pPr>
        <w:spacing w:after="0" w:line="186" w:lineRule="exact"/>
        <w:rPr>
          <w:sz w:val="20"/>
          <w:szCs w:val="20"/>
          <w:color w:val="auto"/>
        </w:rPr>
      </w:pPr>
    </w:p>
    <w:p>
      <w:pPr>
        <w:ind w:right="260"/>
        <w:spacing w:after="0" w:line="318" w:lineRule="auto"/>
        <w:rPr>
          <w:sz w:val="20"/>
          <w:szCs w:val="20"/>
          <w:color w:val="auto"/>
        </w:rPr>
      </w:pPr>
      <w:r>
        <w:rPr>
          <w:rFonts w:ascii="Times New Roman" w:cs="Times New Roman" w:eastAsia="Times New Roman" w:hAnsi="Times New Roman"/>
          <w:sz w:val="18"/>
          <w:szCs w:val="18"/>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63" w:lineRule="exact"/>
        <w:rPr>
          <w:sz w:val="20"/>
          <w:szCs w:val="20"/>
          <w:color w:val="auto"/>
        </w:rPr>
      </w:pPr>
    </w:p>
    <w:p>
      <w:pPr>
        <w:ind w:right="80" w:firstLine="659"/>
        <w:spacing w:after="0" w:line="290" w:lineRule="auto"/>
        <w:rPr>
          <w:sz w:val="20"/>
          <w:szCs w:val="20"/>
          <w:color w:val="auto"/>
        </w:rPr>
      </w:pPr>
      <w:r>
        <w:rPr>
          <w:rFonts w:ascii="Times New Roman" w:cs="Times New Roman" w:eastAsia="Times New Roman" w:hAnsi="Times New Roman"/>
          <w:sz w:val="18"/>
          <w:szCs w:val="18"/>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facilities were impacted by a seismic or wildfire event, there could be an adverse effect on our ability to perform our obligations under our existing and any future collaborations.</w:t>
      </w:r>
    </w:p>
    <w:p>
      <w:pPr>
        <w:spacing w:after="0" w:line="196" w:lineRule="exact"/>
        <w:rPr>
          <w:sz w:val="20"/>
          <w:szCs w:val="20"/>
          <w:color w:val="auto"/>
        </w:rPr>
      </w:pPr>
    </w:p>
    <w:p>
      <w:pPr>
        <w:ind w:right="120"/>
        <w:spacing w:after="0" w:line="318" w:lineRule="auto"/>
        <w:rPr>
          <w:sz w:val="20"/>
          <w:szCs w:val="20"/>
          <w:color w:val="auto"/>
        </w:rPr>
      </w:pPr>
      <w:r>
        <w:rPr>
          <w:rFonts w:ascii="Times New Roman" w:cs="Times New Roman" w:eastAsia="Times New Roman" w:hAnsi="Times New Roman"/>
          <w:sz w:val="18"/>
          <w:szCs w:val="18"/>
          <w:b w:val="1"/>
          <w:bCs w:val="1"/>
          <w:color w:val="auto"/>
        </w:rPr>
        <w:t>The macroeconomic and geopolitical environment may have a material impact on the U.S. and global economies and could materially impact our business, financial condition and results of operations.</w:t>
      </w:r>
    </w:p>
    <w:p>
      <w:pPr>
        <w:spacing w:after="0" w:line="63" w:lineRule="exact"/>
        <w:rPr>
          <w:sz w:val="20"/>
          <w:szCs w:val="20"/>
          <w:color w:val="auto"/>
        </w:rPr>
      </w:pPr>
    </w:p>
    <w:p>
      <w:pPr>
        <w:ind w:right="20" w:firstLine="659"/>
        <w:spacing w:after="0" w:line="313" w:lineRule="auto"/>
        <w:rPr>
          <w:sz w:val="20"/>
          <w:szCs w:val="20"/>
          <w:color w:val="auto"/>
        </w:rPr>
      </w:pPr>
      <w:r>
        <w:rPr>
          <w:rFonts w:ascii="Times New Roman" w:cs="Times New Roman" w:eastAsia="Times New Roman" w:hAnsi="Times New Roman"/>
          <w:sz w:val="18"/>
          <w:szCs w:val="18"/>
          <w:color w:val="auto"/>
        </w:rPr>
        <w:t>The macroeconomic and geopolitical environment, including inflation, increased volatility in interest rates, tariffs and the debt and equity markets, instability in the global banking system, global health crises and pandemics and geopolitical conflict have had,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4" w:name="page45"/>
    <w:bookmarkEnd w:id="44"/>
    <w:p>
      <w:pPr>
        <w:ind w:right="20"/>
        <w:spacing w:after="0" w:line="305" w:lineRule="auto"/>
        <w:rPr>
          <w:sz w:val="20"/>
          <w:szCs w:val="20"/>
          <w:color w:val="auto"/>
        </w:rPr>
      </w:pPr>
      <w:r>
        <w:rPr>
          <w:rFonts w:ascii="Times New Roman" w:cs="Times New Roman" w:eastAsia="Times New Roman" w:hAnsi="Times New Roman"/>
          <w:sz w:val="18"/>
          <w:szCs w:val="18"/>
          <w:color w:val="auto"/>
        </w:rPr>
        <w:t>and may continue to have, an adverse impact on the U.S. and global economic conditions, which could have an adverse effect on our business and financial condition. The extent to which any such factors impact our business and operations will depend on future developments that are highly uncertain and cannot be predicted, including new information that may emerge concerning the severity of the event and the actions to contain its impact.</w:t>
      </w:r>
    </w:p>
    <w:p>
      <w:pPr>
        <w:spacing w:after="0" w:line="61" w:lineRule="exact"/>
        <w:rPr>
          <w:sz w:val="20"/>
          <w:szCs w:val="20"/>
          <w:color w:val="auto"/>
        </w:rPr>
      </w:pPr>
    </w:p>
    <w:p>
      <w:pPr>
        <w:ind w:firstLine="659"/>
        <w:spacing w:after="0" w:line="291" w:lineRule="auto"/>
        <w:rPr>
          <w:sz w:val="20"/>
          <w:szCs w:val="20"/>
          <w:color w:val="auto"/>
        </w:rPr>
      </w:pPr>
      <w:r>
        <w:rPr>
          <w:rFonts w:ascii="Times New Roman" w:cs="Times New Roman" w:eastAsia="Times New Roman" w:hAnsi="Times New Roman"/>
          <w:sz w:val="18"/>
          <w:szCs w:val="18"/>
          <w:color w:val="auto"/>
        </w:rPr>
        <w:t xml:space="preserve">We are subject to risks associated with foreign trade policy, including recent tariffs imposed or proposed by the United States on its trading partners, as well as retaliatory actions that have or may be imposed by other countries in response. The recent U.S. tariffs and other trade restrictions against trading partners and specific sectors of the global economy may have an adverse effect on our business and financial condition. The United States has imposed many country-specific tariffs at a rate higher than the 10% global baseline on all foreign countries and continues to impose increased tariffs on China in particular. At this time, the impact of the recently imposed and proposed tariff actions with respect to our operations remain uncertain given ongoing bilateral negotiations between the United States and trading partners, changes in U.S. policy, and an ongoing Section 232 investigation by the U.S. Department of Commerce, which may result in the imposition of an additional tariff rate on U.S. imports of pharmaceuticals and pharmaceutical ingredients.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involves pharmaceutical ingredients that are partially sourced from outside of the United States, including China, the cost of which may increase due to additional tariff rates. Higher material costs may negatively impact our royalties.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stock has been and may continue to be volatile, and you could lose all or part of your investment.</w:t>
      </w:r>
    </w:p>
    <w:p>
      <w:pPr>
        <w:spacing w:after="0" w:line="148" w:lineRule="exact"/>
        <w:rPr>
          <w:sz w:val="20"/>
          <w:szCs w:val="20"/>
          <w:color w:val="auto"/>
        </w:rPr>
      </w:pPr>
    </w:p>
    <w:p>
      <w:pPr>
        <w:ind w:right="180" w:firstLine="659"/>
        <w:spacing w:after="0" w:line="329"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subject to wide fluctuations in response to various factors, some of which we cannot control. In addition to the factors discussed in this “Risk Factors” section and elsewhere in this Quarterly Report, these factors include:</w:t>
      </w:r>
    </w:p>
    <w:p>
      <w:pPr>
        <w:spacing w:after="0" w:line="40" w:lineRule="exact"/>
        <w:rPr>
          <w:sz w:val="20"/>
          <w:szCs w:val="20"/>
          <w:color w:val="auto"/>
        </w:rPr>
      </w:pPr>
    </w:p>
    <w:p>
      <w:pPr>
        <w:ind w:left="1040" w:hanging="373"/>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to the products licensed to our collaborators;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collaborators’ products or our collaborators’ competitors’ products;</w:t>
      </w:r>
    </w:p>
    <w:p>
      <w:pPr>
        <w:spacing w:after="0" w:line="144" w:lineRule="exact"/>
        <w:rPr>
          <w:rFonts w:ascii="Times New Roman" w:cs="Times New Roman" w:eastAsia="Times New Roman" w:hAnsi="Times New Roman"/>
          <w:sz w:val="18"/>
          <w:szCs w:val="18"/>
          <w:color w:val="auto"/>
        </w:rPr>
      </w:pPr>
    </w:p>
    <w:p>
      <w:pPr>
        <w:ind w:left="1040" w:right="60" w:hanging="373"/>
        <w:spacing w:after="0" w:line="313"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collaborators or their competitors of significant acquisitions, strategic collaborations, joint ventures, collaborations or capital commitments;</w:t>
      </w:r>
    </w:p>
    <w:p>
      <w:pPr>
        <w:spacing w:after="0" w:line="65"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results of future clinical trials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or any other of our collaborators’ product candidates or those of our collaborators’ competitors;</w:t>
      </w:r>
    </w:p>
    <w:p>
      <w:pPr>
        <w:spacing w:after="0" w:line="146"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 of our collaborators;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 by us or our collaborators;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our existing collaboration agreements and announcements of new collaboration agreements;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breaches and terminations of our existing collaboration agreements;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or recommendations by securities analysts;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our common stock by us pursuant to a stock repurchase program;</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biotechnology sector; and</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5" w:name="page46"/>
    <w:bookmarkEnd w:id="45"/>
    <w:p>
      <w:pPr>
        <w:ind w:left="1040" w:right="220" w:hanging="373"/>
        <w:spacing w:after="0" w:line="305"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uncertainty and capital markets disruptions, which have been substantially impacted by geopolitical instability, actual or perceived instability in the U.S. and global banking systems, uncertainty with respect to the U.S. federal budget, and fluctuating interest rates, tariffs and inflation.</w:t>
      </w:r>
    </w:p>
    <w:p>
      <w:pPr>
        <w:spacing w:after="0" w:line="61" w:lineRule="exact"/>
        <w:rPr>
          <w:sz w:val="20"/>
          <w:szCs w:val="20"/>
          <w:color w:val="auto"/>
        </w:rPr>
      </w:pPr>
    </w:p>
    <w:p>
      <w:pPr>
        <w:ind w:firstLine="659"/>
        <w:spacing w:after="0" w:line="294" w:lineRule="auto"/>
        <w:rPr>
          <w:sz w:val="20"/>
          <w:szCs w:val="20"/>
          <w:color w:val="auto"/>
        </w:rPr>
      </w:pPr>
      <w:r>
        <w:rPr>
          <w:rFonts w:ascii="Times New Roman" w:cs="Times New Roman" w:eastAsia="Times New Roman" w:hAnsi="Times New Roman"/>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securities litigation, which is expensive and could divert management attention.</w:t>
      </w:r>
    </w:p>
    <w:p>
      <w:pPr>
        <w:spacing w:after="0" w:line="148" w:lineRule="exact"/>
        <w:rPr>
          <w:sz w:val="20"/>
          <w:szCs w:val="20"/>
          <w:color w:val="auto"/>
        </w:rPr>
      </w:pPr>
    </w:p>
    <w:p>
      <w:pPr>
        <w:ind w:right="320" w:firstLine="659"/>
        <w:spacing w:after="0" w:line="297" w:lineRule="auto"/>
        <w:rPr>
          <w:sz w:val="20"/>
          <w:szCs w:val="20"/>
          <w:color w:val="auto"/>
        </w:rPr>
      </w:pPr>
      <w:r>
        <w:rPr>
          <w:rFonts w:ascii="Times New Roman" w:cs="Times New Roman" w:eastAsia="Times New Roman" w:hAnsi="Times New Roman"/>
          <w:sz w:val="18"/>
          <w:szCs w:val="18"/>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spacing w:after="0" w:line="186" w:lineRule="exact"/>
        <w:rPr>
          <w:sz w:val="20"/>
          <w:szCs w:val="20"/>
          <w:color w:val="auto"/>
        </w:rPr>
      </w:pPr>
    </w:p>
    <w:p>
      <w:pPr>
        <w:ind w:right="80"/>
        <w:spacing w:after="0" w:line="318" w:lineRule="auto"/>
        <w:rPr>
          <w:sz w:val="20"/>
          <w:szCs w:val="20"/>
          <w:color w:val="auto"/>
        </w:rPr>
      </w:pPr>
      <w:r>
        <w:rPr>
          <w:rFonts w:ascii="Times New Roman" w:cs="Times New Roman" w:eastAsia="Times New Roman" w:hAnsi="Times New Roman"/>
          <w:sz w:val="18"/>
          <w:szCs w:val="18"/>
          <w:b w:val="1"/>
          <w:bCs w:val="1"/>
          <w:color w:val="auto"/>
        </w:rPr>
        <w:t>The requirements of being a public company may strain our resources, divert management’s attention, and affect our ability to attract and retain additional executive management and qualified board members.</w:t>
      </w:r>
    </w:p>
    <w:p>
      <w:pPr>
        <w:spacing w:after="0" w:line="63" w:lineRule="exact"/>
        <w:rPr>
          <w:sz w:val="20"/>
          <w:szCs w:val="20"/>
          <w:color w:val="auto"/>
        </w:rPr>
      </w:pPr>
    </w:p>
    <w:p>
      <w:pPr>
        <w:ind w:right="20" w:firstLine="659"/>
        <w:spacing w:after="0" w:line="290"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77" w:lineRule="exact"/>
        <w:rPr>
          <w:sz w:val="20"/>
          <w:szCs w:val="20"/>
          <w:color w:val="auto"/>
        </w:rPr>
      </w:pPr>
    </w:p>
    <w:p>
      <w:pPr>
        <w:ind w:right="80" w:firstLine="659"/>
        <w:spacing w:after="0" w:line="292" w:lineRule="auto"/>
        <w:rPr>
          <w:sz w:val="20"/>
          <w:szCs w:val="20"/>
          <w:color w:val="auto"/>
        </w:rPr>
      </w:pPr>
      <w:r>
        <w:rPr>
          <w:rFonts w:ascii="Times New Roman" w:cs="Times New Roman" w:eastAsia="Times New Roman" w:hAnsi="Times New Roman"/>
          <w:sz w:val="18"/>
          <w:szCs w:val="18"/>
          <w:color w:val="auto"/>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While we have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ind w:right="440"/>
        <w:spacing w:after="0" w:line="318" w:lineRule="auto"/>
        <w:rPr>
          <w:sz w:val="20"/>
          <w:szCs w:val="20"/>
          <w:color w:val="auto"/>
        </w:rPr>
      </w:pPr>
      <w:r>
        <w:rPr>
          <w:rFonts w:ascii="Times New Roman" w:cs="Times New Roman" w:eastAsia="Times New Roman" w:hAnsi="Times New Roman"/>
          <w:sz w:val="18"/>
          <w:szCs w:val="18"/>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63" w:lineRule="exact"/>
        <w:rPr>
          <w:sz w:val="20"/>
          <w:szCs w:val="20"/>
          <w:color w:val="auto"/>
        </w:rPr>
      </w:pPr>
    </w:p>
    <w:p>
      <w:pPr>
        <w:ind w:firstLine="659"/>
        <w:spacing w:after="0" w:line="293" w:lineRule="auto"/>
        <w:rPr>
          <w:sz w:val="20"/>
          <w:szCs w:val="20"/>
          <w:color w:val="auto"/>
        </w:rPr>
      </w:pPr>
      <w:r>
        <w:rPr>
          <w:rFonts w:ascii="Times New Roman" w:cs="Times New Roman" w:eastAsia="Times New Roman" w:hAnsi="Times New Roman"/>
          <w:sz w:val="18"/>
          <w:szCs w:val="18"/>
          <w:color w:val="auto"/>
        </w:rPr>
        <w:t>While we do not expect that additional capital will be needed in the future to continue our planned operations, it is possible we may need to raise capital in the future.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We also have registered all shares of common stock that we may issue under our equity incentive plans or that are issuable upon exercise of outstanding options, or upon vesting of outstanding awards.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disclosure controls and procedures may not prevent or detect all errors or acts of fraud.</w:t>
      </w:r>
    </w:p>
    <w:p>
      <w:pPr>
        <w:spacing w:after="0" w:line="148" w:lineRule="exact"/>
        <w:rPr>
          <w:sz w:val="20"/>
          <w:szCs w:val="20"/>
          <w:color w:val="auto"/>
        </w:rPr>
      </w:pPr>
    </w:p>
    <w:p>
      <w:pPr>
        <w:ind w:right="80" w:firstLine="659"/>
        <w:spacing w:after="0" w:line="297"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69" w:lineRule="exact"/>
        <w:rPr>
          <w:sz w:val="20"/>
          <w:szCs w:val="20"/>
          <w:color w:val="auto"/>
        </w:rPr>
      </w:pPr>
    </w:p>
    <w:p>
      <w:pPr>
        <w:ind w:firstLine="659"/>
        <w:spacing w:after="0" w:line="297"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on our common stock, so any returns will be limited to the value of our stock.</w:t>
      </w:r>
    </w:p>
    <w:p>
      <w:pPr>
        <w:spacing w:after="0" w:line="148" w:lineRule="exact"/>
        <w:rPr>
          <w:sz w:val="20"/>
          <w:szCs w:val="20"/>
          <w:color w:val="auto"/>
        </w:rPr>
      </w:pPr>
    </w:p>
    <w:p>
      <w:pPr>
        <w:ind w:right="40" w:firstLine="659"/>
        <w:spacing w:after="0" w:line="305"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operation and expansion of our business and do not anticipate declaring or paying any cash dividends for the foreseeable future. Any return to stockholders will therefore be limited to the appreciation of their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cash and investments could be adversely affected if the financial institutions in which we hold our cash and investments fail.</w:t>
      </w:r>
    </w:p>
    <w:p>
      <w:pPr>
        <w:spacing w:after="0" w:line="162" w:lineRule="exact"/>
        <w:rPr>
          <w:sz w:val="20"/>
          <w:szCs w:val="20"/>
          <w:color w:val="auto"/>
        </w:rPr>
      </w:pPr>
    </w:p>
    <w:p>
      <w:pPr>
        <w:ind w:right="20" w:firstLine="659"/>
        <w:spacing w:after="0" w:line="293" w:lineRule="auto"/>
        <w:rPr>
          <w:sz w:val="20"/>
          <w:szCs w:val="20"/>
          <w:color w:val="auto"/>
        </w:rPr>
      </w:pPr>
      <w:r>
        <w:rPr>
          <w:rFonts w:ascii="Times New Roman" w:cs="Times New Roman" w:eastAsia="Times New Roman" w:hAnsi="Times New Roman"/>
          <w:sz w:val="18"/>
          <w:szCs w:val="18"/>
          <w:color w:val="auto"/>
        </w:rPr>
        <w:t>We regularly maintain cash balances at third 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financial or credit markets, we may not be able to recover all, if any, of our deposits, which could adversely impact our operating liquidity and financial performance.</w:t>
      </w:r>
    </w:p>
    <w:p>
      <w:pPr>
        <w:spacing w:after="0" w:line="191"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8"/>
          <w:szCs w:val="18"/>
          <w:b w:val="1"/>
          <w:bCs w:val="1"/>
          <w:color w:val="auto"/>
        </w:rPr>
        <w:t>Provisions in our restated certificate of incorporation, restated bylaws and Delaware law might discourage, delay or prevent a change in control of our company or changes in our management and, therefore, depress the market price of our common stock.</w:t>
      </w:r>
    </w:p>
    <w:p>
      <w:pPr>
        <w:spacing w:after="0" w:line="63" w:lineRule="exact"/>
        <w:rPr>
          <w:sz w:val="20"/>
          <w:szCs w:val="20"/>
          <w:color w:val="auto"/>
        </w:rPr>
      </w:pPr>
    </w:p>
    <w:p>
      <w:pPr>
        <w:ind w:right="160" w:firstLine="659"/>
        <w:spacing w:after="0" w:line="297" w:lineRule="auto"/>
        <w:rPr>
          <w:sz w:val="20"/>
          <w:szCs w:val="20"/>
          <w:color w:val="auto"/>
        </w:rPr>
      </w:pPr>
      <w:r>
        <w:rPr>
          <w:rFonts w:ascii="Times New Roman" w:cs="Times New Roman" w:eastAsia="Times New Roman" w:hAnsi="Times New Roman"/>
          <w:sz w:val="18"/>
          <w:szCs w:val="18"/>
          <w:color w:val="auto"/>
        </w:rPr>
        <w:t>Our amended and restated certificate of incorporation, (“Restated Certificate”) and second amended and restated bylaws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82" w:lineRule="exact"/>
        <w:rPr>
          <w:sz w:val="20"/>
          <w:szCs w:val="20"/>
          <w:color w:val="auto"/>
        </w:rPr>
      </w:pPr>
    </w:p>
    <w:p>
      <w:pPr>
        <w:ind w:left="1040" w:hanging="373"/>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of Directors are elected at one time;</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 of Directors;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47" w:name="page48"/>
    <w:bookmarkEnd w:id="47"/>
    <w:p>
      <w:pPr>
        <w:ind w:left="1040" w:hanging="373"/>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and Restated Bylaws;</w:t>
      </w:r>
    </w:p>
    <w:p>
      <w:pPr>
        <w:spacing w:after="0" w:line="144" w:lineRule="exact"/>
        <w:rPr>
          <w:rFonts w:ascii="Times New Roman" w:cs="Times New Roman" w:eastAsia="Times New Roman" w:hAnsi="Times New Roman"/>
          <w:sz w:val="18"/>
          <w:szCs w:val="18"/>
          <w:color w:val="auto"/>
        </w:rPr>
      </w:pPr>
    </w:p>
    <w:p>
      <w:pPr>
        <w:ind w:left="1040" w:right="280" w:hanging="373"/>
        <w:spacing w:after="0" w:line="329"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 (also known as a “poison pill”);</w:t>
      </w:r>
    </w:p>
    <w:p>
      <w:pPr>
        <w:spacing w:after="0" w:line="40"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44" w:lineRule="exact"/>
        <w:rPr>
          <w:rFonts w:ascii="Times New Roman" w:cs="Times New Roman" w:eastAsia="Times New Roman" w:hAnsi="Times New Roman"/>
          <w:sz w:val="18"/>
          <w:szCs w:val="18"/>
          <w:color w:val="auto"/>
        </w:rPr>
      </w:pPr>
    </w:p>
    <w:p>
      <w:pPr>
        <w:ind w:left="1040" w:right="100" w:hanging="373"/>
        <w:spacing w:after="0" w:line="329"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40" w:lineRule="exact"/>
        <w:rPr>
          <w:sz w:val="20"/>
          <w:szCs w:val="20"/>
          <w:color w:val="auto"/>
        </w:rPr>
      </w:pPr>
    </w:p>
    <w:p>
      <w:pPr>
        <w:ind w:right="140" w:firstLine="659"/>
        <w:spacing w:after="0" w:line="305"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spacing w:after="0" w:line="165" w:lineRule="exact"/>
        <w:rPr>
          <w:sz w:val="20"/>
          <w:szCs w:val="20"/>
          <w:color w:val="auto"/>
        </w:rPr>
      </w:pPr>
    </w:p>
    <w:p>
      <w:pPr>
        <w:ind w:right="100"/>
        <w:spacing w:after="0" w:line="307" w:lineRule="auto"/>
        <w:rPr>
          <w:sz w:val="20"/>
          <w:szCs w:val="20"/>
          <w:color w:val="auto"/>
        </w:rPr>
      </w:pPr>
      <w:r>
        <w:rPr>
          <w:rFonts w:ascii="Times New Roman" w:cs="Times New Roman" w:eastAsia="Times New Roman" w:hAnsi="Times New Roman"/>
          <w:sz w:val="18"/>
          <w:szCs w:val="18"/>
          <w:b w:val="1"/>
          <w:bCs w:val="1"/>
          <w:color w:val="auto"/>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spacing w:after="0" w:line="60" w:lineRule="exact"/>
        <w:rPr>
          <w:sz w:val="20"/>
          <w:szCs w:val="20"/>
          <w:color w:val="auto"/>
        </w:rPr>
      </w:pPr>
    </w:p>
    <w:p>
      <w:pPr>
        <w:ind w:firstLine="659"/>
        <w:spacing w:after="0" w:line="297" w:lineRule="auto"/>
        <w:rPr>
          <w:sz w:val="20"/>
          <w:szCs w:val="20"/>
          <w:color w:val="auto"/>
        </w:rPr>
      </w:pPr>
      <w:r>
        <w:rPr>
          <w:rFonts w:ascii="Times New Roman" w:cs="Times New Roman" w:eastAsia="Times New Roman" w:hAnsi="Times New Roman"/>
          <w:sz w:val="18"/>
          <w:szCs w:val="18"/>
          <w:color w:val="auto"/>
        </w:rPr>
        <w:t>Our Restated Certificate,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or our Restated Bylaws; or any action asserting a claim that is governed by the internal affairs doctrine. This exclusive forum provision does not apply to suits brought to enforce a duty or liability created by the Securities Exchange Act of 1934, as amended, or Exchange Act. It could apply, however, to a suit that falls within one or more of the categories enumerated in the exclusive forum provision.</w:t>
      </w:r>
    </w:p>
    <w:p>
      <w:pPr>
        <w:spacing w:after="0" w:line="69" w:lineRule="exact"/>
        <w:rPr>
          <w:sz w:val="20"/>
          <w:szCs w:val="20"/>
          <w:color w:val="auto"/>
        </w:rPr>
      </w:pPr>
    </w:p>
    <w:p>
      <w:pPr>
        <w:ind w:right="140" w:firstLine="659"/>
        <w:spacing w:after="0" w:line="297"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to be inapplicable or unenforceable in an action, we may incur additional costs associated with resolving such action in other jurisdictions, which could harm our business, financial condition, results of operations and prospects.</w:t>
      </w:r>
    </w:p>
    <w:p>
      <w:pPr>
        <w:spacing w:after="0" w:line="69" w:lineRule="exact"/>
        <w:rPr>
          <w:sz w:val="20"/>
          <w:szCs w:val="20"/>
          <w:color w:val="auto"/>
        </w:rPr>
      </w:pPr>
    </w:p>
    <w:p>
      <w:pPr>
        <w:ind w:right="20" w:firstLine="659"/>
        <w:spacing w:after="0" w:line="290"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89" w:lineRule="exact"/>
        <w:rPr>
          <w:sz w:val="20"/>
          <w:szCs w:val="20"/>
          <w:color w:val="auto"/>
        </w:rPr>
      </w:pPr>
    </w:p>
    <w:p>
      <w:pPr>
        <w:ind w:right="460" w:firstLine="659"/>
        <w:spacing w:after="0" w:line="313"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ind w:right="20"/>
        <w:spacing w:after="0" w:line="305" w:lineRule="auto"/>
        <w:rPr>
          <w:sz w:val="20"/>
          <w:szCs w:val="20"/>
          <w:color w:val="auto"/>
        </w:rPr>
      </w:pPr>
      <w:r>
        <w:rPr>
          <w:rFonts w:ascii="Times New Roman" w:cs="Times New Roman" w:eastAsia="Times New Roman" w:hAnsi="Times New Roman"/>
          <w:sz w:val="18"/>
          <w:szCs w:val="18"/>
          <w:color w:val="auto"/>
        </w:rPr>
        <w:t>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spacing w:after="0" w:line="165" w:lineRule="exact"/>
        <w:rPr>
          <w:sz w:val="20"/>
          <w:szCs w:val="20"/>
          <w:color w:val="auto"/>
        </w:rPr>
      </w:pPr>
    </w:p>
    <w:p>
      <w:pPr>
        <w:ind w:right="20"/>
        <w:spacing w:after="0" w:line="333"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37" w:lineRule="exact"/>
        <w:rPr>
          <w:sz w:val="20"/>
          <w:szCs w:val="20"/>
          <w:color w:val="auto"/>
        </w:rPr>
      </w:pPr>
    </w:p>
    <w:p>
      <w:pPr>
        <w:ind w:firstLine="659"/>
        <w:spacing w:after="0" w:line="297"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our business, our collaborators or our collaborators’ businesses. If any of the analysts who cover us or our collaborators issues an adverse or misleading opinion regarding us or our collaborators, our business model, our intellectual property or our stock performance,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73" w:lineRule="exact"/>
        <w:rPr>
          <w:sz w:val="20"/>
          <w:szCs w:val="20"/>
          <w:color w:val="auto"/>
        </w:rPr>
      </w:pPr>
    </w:p>
    <w:p>
      <w:pPr>
        <w:ind w:right="140"/>
        <w:spacing w:after="0" w:line="318" w:lineRule="auto"/>
        <w:rPr>
          <w:sz w:val="20"/>
          <w:szCs w:val="20"/>
          <w:color w:val="auto"/>
        </w:rPr>
      </w:pPr>
      <w:r>
        <w:rPr>
          <w:rFonts w:ascii="Times New Roman" w:cs="Times New Roman" w:eastAsia="Times New Roman" w:hAnsi="Times New Roman"/>
          <w:sz w:val="18"/>
          <w:szCs w:val="18"/>
          <w:b w:val="1"/>
          <w:bCs w:val="1"/>
          <w:color w:val="auto"/>
        </w:rPr>
        <w:t>We plan to use our federal and state net operating loss (“NOL”) carryforwards to offset taxable income from revenue generated from operations or corporate collaborations. However, our ability to use NOL carryforwards to offset taxable income in future years could be limited.</w:t>
      </w:r>
    </w:p>
    <w:p>
      <w:pPr>
        <w:spacing w:after="0" w:line="63" w:lineRule="exact"/>
        <w:rPr>
          <w:sz w:val="20"/>
          <w:szCs w:val="20"/>
          <w:color w:val="auto"/>
        </w:rPr>
      </w:pPr>
    </w:p>
    <w:p>
      <w:pPr>
        <w:ind w:right="80" w:firstLine="659"/>
        <w:spacing w:after="0" w:line="291" w:lineRule="auto"/>
        <w:rPr>
          <w:sz w:val="20"/>
          <w:szCs w:val="20"/>
          <w:color w:val="auto"/>
        </w:rPr>
      </w:pPr>
      <w:r>
        <w:rPr>
          <w:rFonts w:ascii="Times New Roman" w:cs="Times New Roman" w:eastAsia="Times New Roman" w:hAnsi="Times New Roman"/>
          <w:sz w:val="18"/>
          <w:szCs w:val="18"/>
          <w:color w:val="auto"/>
        </w:rPr>
        <w:t>We plan to use our current year operating losses and NOL to offset taxable income from any revenue generated from operations, corporate collaborations, or dividends due to the Spin-off. To the extent we have taxable income in excess of current year operating losses, we plan to use our NOL carryforwards to offset income that would otherwise be taxable. As of December 31, 2025, we had federal NOLs of approximately $323.5 million. Of this, $38.6 million will expire beginning in 2031 through 2037, if not used to reduce income taxes payable in the future and $284.9 million carry forward indefinitely. We had state NOLs of approximately $69.8 million, which will expire beginning in 2028 through 2045. However, the benefits from the use of our NOL carryforwards may be limited under Section 382 of the Code, if we undergo an “ownership change,” which is generally defined as a greater than 50 percentage point change (by value) in our equity ownership by certain stockholders over a three-year period. We experienced ownership changes as defined by Section 382 of the Code during 2007, 2017 and 2021. As a result, as of December 31, 2025, there are $154.1 million of federal NOLs available to offset taxable income in future years without Section 382 limitation, while $169.4 million of federal NOLs are subject to annual limitations over future periods. State NOL and credit carryforwards may be similarly limited. Our use of federal and state NOLs could be further limited if we experience one or more ownership changes subsequent to December 31, 2025.</w:t>
      </w:r>
    </w:p>
    <w:p>
      <w:pPr>
        <w:spacing w:after="0" w:line="74" w:lineRule="exact"/>
        <w:rPr>
          <w:sz w:val="20"/>
          <w:szCs w:val="20"/>
          <w:color w:val="auto"/>
        </w:rPr>
      </w:pPr>
    </w:p>
    <w:p>
      <w:pPr>
        <w:ind w:right="60" w:firstLine="659"/>
        <w:spacing w:after="0" w:line="292" w:lineRule="auto"/>
        <w:rPr>
          <w:sz w:val="20"/>
          <w:szCs w:val="20"/>
          <w:color w:val="auto"/>
        </w:rPr>
      </w:pPr>
      <w:r>
        <w:rPr>
          <w:rFonts w:ascii="Times New Roman" w:cs="Times New Roman" w:eastAsia="Times New Roman" w:hAnsi="Times New Roman"/>
          <w:sz w:val="18"/>
          <w:szCs w:val="18"/>
          <w:color w:val="auto"/>
        </w:rPr>
        <w:t>Under legislative changes made by the Tax Cuts and Jobs Act, the U.S. federal NOLs incurred in 2018 and in future years may be carried forward indefinitely, but the ability to utilize such federal NOLs to offset taxable income is limited to 80% of our taxable income (without regard to certain deductions). Our significant state NOLs were generated in the state of California, which provides for a 20 year carry forward. State NOL carryforwards may be similarly limited by cumulative ownership changes. In addition, there may be periods during which the use of NOL carryforwards is suspended or otherwise limited at the state level, which could also impact our ability to utilize NOL carryforwards. Any such limitations on the use of our NOLs may result in greater tax liabilities than we would incur in the absence of such a limitation, and any increased liabilities could adversely affect our business, results of operations, financial condition and cash flow.</w:t>
      </w:r>
    </w:p>
    <w:p>
      <w:pPr>
        <w:spacing w:after="0" w:line="191" w:lineRule="exact"/>
        <w:rPr>
          <w:sz w:val="20"/>
          <w:szCs w:val="20"/>
          <w:color w:val="auto"/>
        </w:rPr>
      </w:pPr>
    </w:p>
    <w:p>
      <w:pPr>
        <w:ind w:right="700"/>
        <w:spacing w:after="0" w:line="318" w:lineRule="auto"/>
        <w:rPr>
          <w:sz w:val="20"/>
          <w:szCs w:val="20"/>
          <w:color w:val="auto"/>
        </w:rPr>
      </w:pPr>
      <w:r>
        <w:rPr>
          <w:rFonts w:ascii="Times New Roman" w:cs="Times New Roman" w:eastAsia="Times New Roman" w:hAnsi="Times New Roman"/>
          <w:sz w:val="18"/>
          <w:szCs w:val="18"/>
          <w:b w:val="1"/>
          <w:b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63" w:lineRule="exact"/>
        <w:rPr>
          <w:sz w:val="20"/>
          <w:szCs w:val="20"/>
          <w:color w:val="auto"/>
        </w:rPr>
      </w:pPr>
    </w:p>
    <w:p>
      <w:pPr>
        <w:ind w:right="180" w:firstLine="659"/>
        <w:spacing w:after="0" w:line="303" w:lineRule="auto"/>
        <w:rPr>
          <w:sz w:val="20"/>
          <w:szCs w:val="20"/>
          <w:color w:val="auto"/>
        </w:rPr>
      </w:pPr>
      <w:r>
        <w:rPr>
          <w:rFonts w:ascii="Times New Roman" w:cs="Times New Roman" w:eastAsia="Times New Roman" w:hAnsi="Times New Roman"/>
          <w:sz w:val="17"/>
          <w:szCs w:val="17"/>
          <w:color w:val="auto"/>
        </w:rPr>
        <w:t>We are a “smaller reporting company,” meaning that we are not an investment company, an asset-backed issuer, or a majority-owned subsidiary of a parent company that is not a “smaller reporting company,” and have either: (i) a public float of less than $250 million as of our most recently completed second fiscal quarter or (ii) annual revenues of less than $100 million during the most recently completed fiscal year and (A) no public float or</w:t>
      </w:r>
    </w:p>
    <w:p>
      <w:pPr>
        <w:spacing w:after="0" w:line="2" w:lineRule="exact"/>
        <w:rPr>
          <w:sz w:val="20"/>
          <w:szCs w:val="20"/>
          <w:color w:val="auto"/>
        </w:rPr>
      </w:pPr>
    </w:p>
    <w:p>
      <w:pPr>
        <w:ind w:right="260" w:firstLine="8"/>
        <w:spacing w:after="0" w:line="297" w:lineRule="auto"/>
        <w:tabs>
          <w:tab w:leader="none" w:pos="2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float of less than $700 million as of our most recently completed second fiscal quarter.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69" w:lineRule="exact"/>
        <w:rPr>
          <w:sz w:val="20"/>
          <w:szCs w:val="20"/>
          <w:color w:val="auto"/>
        </w:rPr>
      </w:pPr>
    </w:p>
    <w:p>
      <w:pPr>
        <w:ind w:right="280" w:firstLine="659"/>
        <w:spacing w:after="0" w:line="329" w:lineRule="auto"/>
        <w:rPr>
          <w:sz w:val="20"/>
          <w:szCs w:val="20"/>
          <w:color w:val="auto"/>
        </w:rPr>
      </w:pPr>
      <w:r>
        <w:rPr>
          <w:rFonts w:ascii="Times New Roman" w:cs="Times New Roman" w:eastAsia="Times New Roman" w:hAnsi="Times New Roman"/>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62" w:lineRule="exact"/>
        <w:rPr>
          <w:sz w:val="20"/>
          <w:szCs w:val="20"/>
          <w:color w:val="auto"/>
        </w:rPr>
      </w:pPr>
    </w:p>
    <w:p>
      <w:pPr>
        <w:ind w:right="200" w:firstLine="659"/>
        <w:spacing w:after="0" w:line="297" w:lineRule="auto"/>
        <w:rPr>
          <w:sz w:val="20"/>
          <w:szCs w:val="20"/>
          <w:color w:val="auto"/>
        </w:rPr>
      </w:pPr>
      <w:r>
        <w:rPr>
          <w:rFonts w:ascii="Times New Roman" w:cs="Times New Roman" w:eastAsia="Times New Roman" w:hAnsi="Times New Roman"/>
          <w:sz w:val="18"/>
          <w:szCs w:val="18"/>
          <w:color w:val="auto"/>
        </w:rPr>
        <w:t>In March 2025, our board of directors approved a stock repurchase program to repurchase up to $75.0 million of shares of our outstanding common stock, par value $0.001 per share (the “2025 Repurchase Program”). In November 2025, our board of directors authorized an amendment to the 2025 Repurchase Program, under which an additional $100.0 million of our outstanding common stock may be repurchased. During the three months ended March 31, 2026, there were no repurchases made and the 2025 Repurchase Program expired on March 31, 2026.</w:t>
      </w:r>
    </w:p>
    <w:p>
      <w:pPr>
        <w:spacing w:after="0" w:line="69" w:lineRule="exact"/>
        <w:rPr>
          <w:sz w:val="20"/>
          <w:szCs w:val="20"/>
          <w:color w:val="auto"/>
        </w:rPr>
      </w:pPr>
    </w:p>
    <w:p>
      <w:pPr>
        <w:ind w:right="20" w:firstLine="659"/>
        <w:spacing w:after="0" w:line="305" w:lineRule="auto"/>
        <w:rPr>
          <w:sz w:val="20"/>
          <w:szCs w:val="20"/>
          <w:color w:val="auto"/>
        </w:rPr>
      </w:pPr>
      <w:r>
        <w:rPr>
          <w:rFonts w:ascii="Times New Roman" w:cs="Times New Roman" w:eastAsia="Times New Roman" w:hAnsi="Times New Roman"/>
          <w:sz w:val="18"/>
          <w:szCs w:val="18"/>
          <w:color w:val="auto"/>
        </w:rPr>
        <w:t>In March 2026, our board of directors approved a new stock repurchase program to repurchase up to $100.0 million of shares of our outstanding common stock, par value $0.001 per share (the “2026 Repurchase Program”). As of March 31, 2026, $100.0 million remained available for future shares of common stock to be repurchased under the 2026 Repurchase Program.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jc w:val="center"/>
        <w:ind w:right="878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148" w:lineRule="exact"/>
        <w:rPr>
          <w:sz w:val="20"/>
          <w:szCs w:val="20"/>
          <w:color w:val="auto"/>
        </w:rPr>
      </w:pPr>
    </w:p>
    <w:p>
      <w:pPr>
        <w:ind w:right="40" w:firstLine="659"/>
        <w:spacing w:after="0" w:line="329" w:lineRule="auto"/>
        <w:rPr>
          <w:sz w:val="20"/>
          <w:szCs w:val="20"/>
          <w:color w:val="auto"/>
        </w:rPr>
      </w:pPr>
      <w:r>
        <w:rPr>
          <w:rFonts w:ascii="Times New Roman" w:cs="Times New Roman" w:eastAsia="Times New Roman" w:hAnsi="Times New Roman"/>
          <w:sz w:val="18"/>
          <w:szCs w:val="18"/>
          <w:color w:val="auto"/>
        </w:rPr>
        <w:t>As disclosed below, during the three months ended March 31, 2026, certain of our directors or officers adopted, modified or terminated any “Rule 10b5-1 trading arrangements” or any “non-Rule 10b5-1 trading arrangements,” as each term is defined in Item 408 of Regulation S-K.</w:t>
      </w:r>
    </w:p>
    <w:p>
      <w:pPr>
        <w:spacing w:after="0" w:line="40" w:lineRule="exact"/>
        <w:rPr>
          <w:sz w:val="20"/>
          <w:szCs w:val="20"/>
          <w:color w:val="auto"/>
        </w:rPr>
      </w:pPr>
    </w:p>
    <w:p>
      <w:pPr>
        <w:ind w:right="240" w:firstLine="659"/>
        <w:spacing w:after="0" w:line="313" w:lineRule="auto"/>
        <w:rPr>
          <w:sz w:val="20"/>
          <w:szCs w:val="20"/>
          <w:color w:val="auto"/>
        </w:rPr>
      </w:pPr>
      <w:r>
        <w:rPr>
          <w:rFonts w:ascii="Times New Roman" w:cs="Times New Roman" w:eastAsia="Times New Roman" w:hAnsi="Times New Roman"/>
          <w:sz w:val="18"/>
          <w:szCs w:val="18"/>
          <w:color w:val="auto"/>
        </w:rPr>
        <w:t>On January 13, 2026, Dennis Mulroy, our former chief financial officer, entered into a written plan for the potential sale of common stock. The plan was subsequently terminated on March 25, 2026.</w:t>
      </w:r>
    </w:p>
    <w:p>
      <w:pPr>
        <w:spacing w:after="0" w:line="68" w:lineRule="exact"/>
        <w:rPr>
          <w:sz w:val="20"/>
          <w:szCs w:val="20"/>
          <w:color w:val="auto"/>
        </w:rPr>
      </w:pPr>
    </w:p>
    <w:p>
      <w:pPr>
        <w:ind w:right="220" w:firstLine="659"/>
        <w:spacing w:after="0" w:line="313" w:lineRule="auto"/>
        <w:rPr>
          <w:sz w:val="20"/>
          <w:szCs w:val="20"/>
          <w:color w:val="auto"/>
        </w:rPr>
      </w:pPr>
      <w:r>
        <w:rPr>
          <w:rFonts w:ascii="Times New Roman" w:cs="Times New Roman" w:eastAsia="Times New Roman" w:hAnsi="Times New Roman"/>
          <w:sz w:val="18"/>
          <w:szCs w:val="18"/>
          <w:color w:val="auto"/>
        </w:rPr>
        <w:t>On January 14, 2026, Paul Lizzul, our former chief medical officer, entered into a written plan for the potential sale of common stock. The plan was subsequently terminated on March 3, 2026. On March 3, 2026, Dr. Lizzul, also terminated a written 10b5-1 Plan dated April 14, 2025.</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3, 2026, Eric Loumeau, our former chief legal officer, terminated a written 10b5-1 Plan dated April 11, 2025.</w:t>
      </w:r>
    </w:p>
    <w:p>
      <w:pPr>
        <w:spacing w:after="0" w:line="144" w:lineRule="exact"/>
        <w:rPr>
          <w:sz w:val="20"/>
          <w:szCs w:val="20"/>
          <w:color w:val="auto"/>
        </w:rPr>
      </w:pPr>
    </w:p>
    <w:p>
      <w:pPr>
        <w:jc w:val="both"/>
        <w:ind w:firstLine="659"/>
        <w:spacing w:after="0" w:line="305" w:lineRule="auto"/>
        <w:rPr>
          <w:sz w:val="20"/>
          <w:szCs w:val="20"/>
          <w:color w:val="auto"/>
        </w:rPr>
      </w:pPr>
      <w:r>
        <w:rPr>
          <w:rFonts w:ascii="Times New Roman" w:cs="Times New Roman" w:eastAsia="Times New Roman" w:hAnsi="Times New Roman"/>
          <w:sz w:val="18"/>
          <w:szCs w:val="18"/>
          <w:color w:val="auto"/>
        </w:rPr>
        <w:t>On March 30, 2026, Hollings Renton, one of our directors, entered into a written plan for the potential sale of up to an aggregate 15,000 shares of common stock. The plan is intended to satisfy the affirmative defense condition of Rule 10b5-1(c) under the Exchange Act and is scheduled to terminate no later than February 24, 2027.</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below.</w:t>
      </w:r>
    </w:p>
    <w:p>
      <w:pPr>
        <w:spacing w:after="0" w:line="2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140"/>
          </w:cols>
          <w:pgMar w:left="320" w:top="779" w:right="439" w:bottom="1440" w:gutter="0" w:footer="0" w:header="0"/>
        </w:sectPr>
      </w:pP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10.2*++‡</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10.3++‡</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10.4++‡</w:t>
      </w:r>
    </w:p>
    <w:p>
      <w:pPr>
        <w:spacing w:after="0" w:line="1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31.1</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31.2</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32.1**</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32.2**</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101.INS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101.SCH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Exhibit Description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Amendment No. 6 to the Collaboration and Exclusive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33820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820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Consulting Agreement, effective April 20, 2026, by and between the Registrant and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44100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410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Separation Agreement, effective March 26, 2026, by and between the Registrant and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45942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594225" cy="825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Separation Agreement, effective March 26, 2026, by and between the Registrant and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45491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549140" cy="8255"/>
                    </a:xfrm>
                    <a:prstGeom prst="rect">
                      <a:avLst/>
                    </a:prstGeom>
                    <a:noFill/>
                  </pic:spPr>
                </pic:pic>
              </a:graphicData>
            </a:graphic>
          </wp:anchor>
        </w:drawing>
      </w:r>
    </w:p>
    <w:p>
      <w:pPr>
        <w:ind w:right="100"/>
        <w:spacing w:after="0" w:line="257"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 13a-14(a)/15d-14(a),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-170180</wp:posOffset>
            </wp:positionV>
            <wp:extent cx="61772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7728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-24765</wp:posOffset>
            </wp:positionV>
            <wp:extent cx="8820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2015" cy="8255"/>
                    </a:xfrm>
                    <a:prstGeom prst="rect">
                      <a:avLst/>
                    </a:prstGeom>
                    <a:noFill/>
                  </pic:spPr>
                </pic:pic>
              </a:graphicData>
            </a:graphic>
          </wp:anchor>
        </w:drawing>
      </w:r>
    </w:p>
    <w:p>
      <w:pPr>
        <w:ind w:right="16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 13a-14(a)/15d-14(a),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-170815</wp:posOffset>
            </wp:positionV>
            <wp:extent cx="61455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4553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-24765</wp:posOffset>
            </wp:positionV>
            <wp:extent cx="8820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2015" cy="8255"/>
                    </a:xfrm>
                    <a:prstGeom prst="rect">
                      <a:avLst/>
                    </a:prstGeom>
                    <a:noFill/>
                  </pic:spPr>
                </pic:pic>
              </a:graphicData>
            </a:graphic>
          </wp:anchor>
        </w:drawing>
      </w:r>
    </w:p>
    <w:p>
      <w:pPr>
        <w:ind w:right="6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-170815</wp:posOffset>
            </wp:positionV>
            <wp:extent cx="62350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3506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-24765</wp:posOffset>
            </wp:positionV>
            <wp:extent cx="57404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ind w:right="12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-170815</wp:posOffset>
            </wp:positionV>
            <wp:extent cx="62033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0331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-24765</wp:posOffset>
            </wp:positionV>
            <wp:extent cx="5740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78" w:lineRule="auto"/>
        <w:rPr>
          <w:sz w:val="20"/>
          <w:szCs w:val="20"/>
          <w:color w:val="auto"/>
        </w:rPr>
      </w:pPr>
      <w:r>
        <w:rPr>
          <w:rFonts w:ascii="Times New Roman" w:cs="Times New Roman" w:eastAsia="Times New Roman" w:hAnsi="Times New Roman"/>
          <w:sz w:val="18"/>
          <w:szCs w:val="18"/>
          <w:color w:val="auto"/>
        </w:rPr>
        <w:t>Inline XBRL Report Instance Document - The Instance document does not appear in the Interactive Data File because its XBRL tags are embedded within the Inline XBRL document</w:t>
      </w:r>
    </w:p>
    <w:p>
      <w:pPr>
        <w:spacing w:after="0" w:line="2" w:lineRule="exact"/>
        <w:rPr>
          <w:sz w:val="20"/>
          <w:szCs w:val="20"/>
          <w:color w:val="auto"/>
        </w:rPr>
      </w:pPr>
    </w:p>
    <w:p>
      <w:pPr>
        <w:ind w:right="3440"/>
        <w:spacing w:after="0" w:line="296" w:lineRule="auto"/>
        <w:rPr>
          <w:sz w:val="20"/>
          <w:szCs w:val="20"/>
          <w:color w:val="auto"/>
        </w:rPr>
      </w:pPr>
      <w:r>
        <w:rPr>
          <w:rFonts w:ascii="Times New Roman" w:cs="Times New Roman" w:eastAsia="Times New Roman" w:hAnsi="Times New Roman"/>
          <w:sz w:val="17"/>
          <w:szCs w:val="17"/>
          <w:color w:val="auto"/>
        </w:rPr>
        <w:t>Inline XBRL Taxonomy Extension Schema With Embedded Linkbase Documents Cover Page Interactive Data File formatted in Inline XBRL and contained in Exhibit 101</w:t>
      </w:r>
    </w:p>
    <w:p>
      <w:pPr>
        <w:spacing w:after="0" w:line="200" w:lineRule="exact"/>
        <w:rPr>
          <w:sz w:val="20"/>
          <w:szCs w:val="20"/>
          <w:color w:val="auto"/>
        </w:rPr>
      </w:pPr>
    </w:p>
    <w:p>
      <w:pPr>
        <w:sectPr>
          <w:pgSz w:w="11900" w:h="16838" w:orient="portrait"/>
          <w:cols w:equalWidth="0" w:num="2">
            <w:col w:w="780" w:space="520"/>
            <w:col w:w="9840"/>
          </w:cols>
          <w:pgMar w:left="320" w:top="779" w:right="4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Executive compensation plan or agreement.</w:t>
      </w:r>
    </w:p>
    <w:p>
      <w:pPr>
        <w:spacing w:after="0" w:line="32" w:lineRule="exact"/>
        <w:rPr>
          <w:sz w:val="20"/>
          <w:szCs w:val="20"/>
          <w:color w:val="auto"/>
        </w:rPr>
      </w:pPr>
    </w:p>
    <w:p>
      <w:pPr>
        <w:ind w:left="220" w:hanging="212"/>
        <w:spacing w:after="0"/>
        <w:tabs>
          <w:tab w:leader="none" w:pos="2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deemed not filed for purpose of section 18 of the Exchange Act or otherwise subject to the liability of that section, nor shall it be deemed</w:t>
      </w:r>
    </w:p>
    <w:p>
      <w:pPr>
        <w:spacing w:after="0" w:line="45"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into any filing under the Securities Act or the Exchange Act.</w:t>
      </w:r>
    </w:p>
    <w:p>
      <w:pPr>
        <w:spacing w:after="0" w:line="3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Certain portions of this exhibit have been omitted by means of marking such portions with asterisks because the Registrant has determined that the information is not</w:t>
      </w:r>
    </w:p>
    <w:p>
      <w:pPr>
        <w:spacing w:after="0" w:line="45" w:lineRule="exact"/>
        <w:rPr>
          <w:rFonts w:ascii="Times New Roman" w:cs="Times New Roman" w:eastAsia="Times New Roman" w:hAnsi="Times New Roman"/>
          <w:sz w:val="16"/>
          <w:szCs w:val="16"/>
          <w:color w:val="auto"/>
        </w:rPr>
      </w:pPr>
    </w:p>
    <w:p>
      <w:pPr>
        <w:ind w:right="120"/>
        <w:spacing w:after="0" w:line="29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and is the type that the Registrant treats as private or confidential. The Registrant agrees to furnish a supplemental copy with any omitted information to the SEC upon request.</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Certain portions of this exhibit have been redacted in accordance with Item 601(a)(6) of Regulation S-K.</w:t>
      </w:r>
    </w:p>
    <w:p>
      <w:pPr>
        <w:spacing w:after="0" w:line="32" w:lineRule="exact"/>
        <w:rPr>
          <w:rFonts w:ascii="Times New Roman" w:cs="Times New Roman" w:eastAsia="Times New Roman" w:hAnsi="Times New Roman"/>
          <w:sz w:val="16"/>
          <w:szCs w:val="16"/>
          <w:color w:val="auto"/>
        </w:rPr>
      </w:pPr>
    </w:p>
    <w:p>
      <w:pPr>
        <w:ind w:right="60"/>
        <w:spacing w:after="0" w:line="33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schedules and exhibits to this agreement have been omitted pursuant to Item 601(a)(5) of Regulation S-K. The Registrant agrees to furnish supplementally a copy of any omitted schedule or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79" w:right="439" w:bottom="144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40" w:firstLine="659"/>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AnaptysBio, Inc.</w:t>
            </w:r>
          </w:p>
        </w:tc>
      </w:tr>
      <w:tr>
        <w:trPr>
          <w:trHeight w:val="52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12, 2026</w:t>
            </w:r>
          </w:p>
        </w:tc>
        <w:tc>
          <w:tcPr>
            <w:tcW w:w="76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By:/s/ Daniel Faga</w:t>
            </w:r>
          </w:p>
        </w:tc>
      </w:tr>
      <w:tr>
        <w:trPr>
          <w:trHeight w:val="243"/>
        </w:trPr>
        <w:tc>
          <w:tcPr>
            <w:tcW w:w="52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 Faga</w:t>
            </w:r>
          </w:p>
        </w:tc>
      </w:tr>
      <w:tr>
        <w:trPr>
          <w:trHeight w:val="297"/>
        </w:trPr>
        <w:tc>
          <w:tcPr>
            <w:tcW w:w="5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83"/>
        </w:trPr>
        <w:tc>
          <w:tcPr>
            <w:tcW w:w="5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5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12, 2026</w:t>
            </w:r>
          </w:p>
        </w:tc>
        <w:tc>
          <w:tcPr>
            <w:tcW w:w="76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By:/s/ Christopher M. Murphy</w:t>
            </w:r>
          </w:p>
        </w:tc>
      </w:tr>
      <w:tr>
        <w:trPr>
          <w:trHeight w:val="232"/>
        </w:trPr>
        <w:tc>
          <w:tcPr>
            <w:tcW w:w="5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Christopher M. Murphy</w:t>
            </w:r>
          </w:p>
        </w:tc>
      </w:tr>
      <w:tr>
        <w:trPr>
          <w:trHeight w:val="234"/>
        </w:trPr>
        <w:tc>
          <w:tcPr>
            <w:tcW w:w="5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64"/>
        </w:trPr>
        <w:tc>
          <w:tcPr>
            <w:tcW w:w="5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50</w:t>
            </w:r>
          </w:p>
        </w:tc>
        <w:tc>
          <w:tcPr>
            <w:tcW w:w="5080" w:type="dxa"/>
            <w:vAlign w:val="bottom"/>
          </w:tcPr>
          <w:p>
            <w:pPr>
              <w:spacing w:after="0"/>
              <w:rPr>
                <w:sz w:val="24"/>
                <w:szCs w:val="24"/>
                <w:color w:val="auto"/>
              </w:rPr>
            </w:pPr>
          </w:p>
        </w:tc>
      </w:tr>
      <w:tr>
        <w:trPr>
          <w:trHeight w:val="385"/>
        </w:trPr>
        <w:tc>
          <w:tcPr>
            <w:tcW w:w="5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2" w:name="page53"/>
    <w:bookmarkEnd w:id="52"/>
    <w:p>
      <w:pPr>
        <w:ind w:left="720" w:right="439" w:firstLine="15"/>
        <w:spacing w:after="0" w:line="255"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HAS BEEN OMITTED BECAUSE IT IS NOT MATERIAL AND WOULD LIKELY CAUSE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CMPETITIVE HARM TO ANABTYSBIO, INC. IF PUBLICLY DISCLOSED.</w:t>
      </w:r>
    </w:p>
    <w:p>
      <w:pPr>
        <w:spacing w:after="0" w:line="216"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6 TO COLLABORATION AND EXCLUSIVE LICENSE AGREEMENT</w:t>
      </w:r>
    </w:p>
    <w:p>
      <w:pPr>
        <w:spacing w:after="0" w:line="212"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18"/>
          <w:szCs w:val="18"/>
          <w:color w:val="auto"/>
        </w:rPr>
        <w:t>This Amendment No. 6 to the Collaboration and Exclusive License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xml:space="preserve">”) is dated as of April 10, 2026 and </w:t>
      </w:r>
      <w:r>
        <w:rPr>
          <w:rFonts w:ascii="Times New Roman" w:cs="Times New Roman" w:eastAsia="Times New Roman" w:hAnsi="Times New Roman"/>
          <w:sz w:val="18"/>
          <w:szCs w:val="18"/>
          <w:color w:val="1C1D1F"/>
        </w:rPr>
        <w:t>effective as of January 30,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80808"/>
        </w:rPr>
        <w:t>(the “</w:t>
      </w:r>
      <w:r>
        <w:rPr>
          <w:rFonts w:ascii="Times New Roman" w:cs="Times New Roman" w:eastAsia="Times New Roman" w:hAnsi="Times New Roman"/>
          <w:sz w:val="18"/>
          <w:szCs w:val="18"/>
          <w:b w:val="1"/>
          <w:bCs w:val="1"/>
          <w:color w:val="080808"/>
        </w:rPr>
        <w:t>Amendment Date</w:t>
      </w:r>
      <w:r>
        <w:rPr>
          <w:rFonts w:ascii="Times New Roman" w:cs="Times New Roman" w:eastAsia="Times New Roman" w:hAnsi="Times New Roman"/>
          <w:sz w:val="18"/>
          <w:szCs w:val="18"/>
          <w:color w:val="080808"/>
        </w:rPr>
        <w:t>”)</w:t>
      </w:r>
      <w:r>
        <w:rPr>
          <w:rFonts w:ascii="Times New Roman" w:cs="Times New Roman" w:eastAsia="Times New Roman" w:hAnsi="Times New Roman"/>
          <w:sz w:val="18"/>
          <w:szCs w:val="18"/>
          <w:color w:val="1C1D1F"/>
        </w:rPr>
        <w:t>, is entered into by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D1F"/>
        </w:rPr>
        <w:t xml:space="preserve">between </w:t>
      </w:r>
      <w:r>
        <w:rPr>
          <w:rFonts w:ascii="Times New Roman" w:cs="Times New Roman" w:eastAsia="Times New Roman" w:hAnsi="Times New Roman"/>
          <w:sz w:val="18"/>
          <w:szCs w:val="18"/>
          <w:color w:val="080808"/>
        </w:rPr>
        <w:t>(a)</w:t>
      </w:r>
      <w:r>
        <w:rPr>
          <w:rFonts w:ascii="Times New Roman" w:cs="Times New Roman" w:eastAsia="Times New Roman" w:hAnsi="Times New Roman"/>
          <w:sz w:val="18"/>
          <w:szCs w:val="18"/>
          <w:color w:val="1C1D1F"/>
        </w:rPr>
        <w:t xml:space="preserve"> AnaptysBio, Inc., a Delaware corporation, having a place of business at 10770 Wateridge Circle, Suite 210, San Diego, California 92121 (“</w:t>
      </w:r>
      <w:r>
        <w:rPr>
          <w:rFonts w:ascii="Times New Roman" w:cs="Times New Roman" w:eastAsia="Times New Roman" w:hAnsi="Times New Roman"/>
          <w:sz w:val="18"/>
          <w:szCs w:val="18"/>
          <w:b w:val="1"/>
          <w:bCs w:val="1"/>
          <w:color w:val="1C1D1F"/>
        </w:rPr>
        <w:t>AnaptysBio</w:t>
      </w:r>
      <w:r>
        <w:rPr>
          <w:rFonts w:ascii="Times New Roman" w:cs="Times New Roman" w:eastAsia="Times New Roman" w:hAnsi="Times New Roman"/>
          <w:sz w:val="18"/>
          <w:szCs w:val="18"/>
          <w:color w:val="1C1D1F"/>
        </w:rPr>
        <w:t>”)</w:t>
      </w:r>
      <w:r>
        <w:rPr>
          <w:rFonts w:ascii="Times New Roman" w:cs="Times New Roman" w:eastAsia="Times New Roman" w:hAnsi="Times New Roman"/>
          <w:sz w:val="18"/>
          <w:szCs w:val="18"/>
          <w:color w:val="080808"/>
        </w:rPr>
        <w:t>,</w:t>
      </w:r>
      <w:r>
        <w:rPr>
          <w:rFonts w:ascii="Times New Roman" w:cs="Times New Roman" w:eastAsia="Times New Roman" w:hAnsi="Times New Roman"/>
          <w:sz w:val="18"/>
          <w:szCs w:val="18"/>
          <w:color w:val="1C1D1F"/>
        </w:rPr>
        <w:t xml:space="preserve"> and </w:t>
      </w:r>
      <w:r>
        <w:rPr>
          <w:rFonts w:ascii="Times New Roman" w:cs="Times New Roman" w:eastAsia="Times New Roman" w:hAnsi="Times New Roman"/>
          <w:sz w:val="18"/>
          <w:szCs w:val="18"/>
          <w:color w:val="080808"/>
        </w:rPr>
        <w:t>(b)</w:t>
      </w:r>
      <w:r>
        <w:rPr>
          <w:rFonts w:ascii="Times New Roman" w:cs="Times New Roman" w:eastAsia="Times New Roman" w:hAnsi="Times New Roman"/>
          <w:sz w:val="18"/>
          <w:szCs w:val="18"/>
          <w:color w:val="1C1D1F"/>
        </w:rPr>
        <w:t xml:space="preserve"> TESARO, Inc</w:t>
      </w:r>
      <w:r>
        <w:rPr>
          <w:rFonts w:ascii="Times New Roman" w:cs="Times New Roman" w:eastAsia="Times New Roman" w:hAnsi="Times New Roman"/>
          <w:sz w:val="18"/>
          <w:szCs w:val="18"/>
          <w:color w:val="3D3D3F"/>
        </w:rPr>
        <w:t>.</w:t>
      </w:r>
      <w:r>
        <w:rPr>
          <w:rFonts w:ascii="Times New Roman" w:cs="Times New Roman" w:eastAsia="Times New Roman" w:hAnsi="Times New Roman"/>
          <w:sz w:val="18"/>
          <w:szCs w:val="18"/>
          <w:color w:val="1C1D1F"/>
        </w:rPr>
        <w:t xml:space="preserve">, a Delaware corporation, having a place of business at 1000 </w:t>
      </w:r>
      <w:r>
        <w:rPr>
          <w:rFonts w:ascii="Times New Roman" w:cs="Times New Roman" w:eastAsia="Times New Roman" w:hAnsi="Times New Roman"/>
          <w:sz w:val="18"/>
          <w:szCs w:val="18"/>
          <w:color w:val="080808"/>
        </w:rPr>
        <w:t>Winter</w:t>
      </w:r>
      <w:r>
        <w:rPr>
          <w:rFonts w:ascii="Times New Roman" w:cs="Times New Roman" w:eastAsia="Times New Roman" w:hAnsi="Times New Roman"/>
          <w:sz w:val="18"/>
          <w:szCs w:val="18"/>
          <w:color w:val="1C1D1F"/>
        </w:rPr>
        <w:t xml:space="preserve"> Street, Suite 3300, Waltham, Massachusetts 02541 (“</w:t>
      </w:r>
      <w:r>
        <w:rPr>
          <w:rFonts w:ascii="Times New Roman" w:cs="Times New Roman" w:eastAsia="Times New Roman" w:hAnsi="Times New Roman"/>
          <w:sz w:val="18"/>
          <w:szCs w:val="18"/>
          <w:b w:val="1"/>
          <w:bCs w:val="1"/>
          <w:color w:val="1C1D1F"/>
        </w:rPr>
        <w:t>TESARO US</w:t>
      </w:r>
      <w:r>
        <w:rPr>
          <w:rFonts w:ascii="Times New Roman" w:cs="Times New Roman" w:eastAsia="Times New Roman" w:hAnsi="Times New Roman"/>
          <w:sz w:val="18"/>
          <w:szCs w:val="18"/>
          <w:color w:val="1C1D1F"/>
        </w:rPr>
        <w:t>”) and TESARO Development, Ltd</w:t>
      </w:r>
      <w:r>
        <w:rPr>
          <w:rFonts w:ascii="Times New Roman" w:cs="Times New Roman" w:eastAsia="Times New Roman" w:hAnsi="Times New Roman"/>
          <w:sz w:val="18"/>
          <w:szCs w:val="18"/>
          <w:color w:val="3D3D3F"/>
        </w:rPr>
        <w:t>.</w:t>
      </w:r>
      <w:r>
        <w:rPr>
          <w:rFonts w:ascii="Times New Roman" w:cs="Times New Roman" w:eastAsia="Times New Roman" w:hAnsi="Times New Roman"/>
          <w:sz w:val="18"/>
          <w:szCs w:val="18"/>
          <w:b w:val="1"/>
          <w:bCs w:val="1"/>
          <w:color w:val="1C1D1F"/>
        </w:rPr>
        <w:t>,</w:t>
      </w:r>
      <w:r>
        <w:rPr>
          <w:rFonts w:ascii="Times New Roman" w:cs="Times New Roman" w:eastAsia="Times New Roman" w:hAnsi="Times New Roman"/>
          <w:sz w:val="18"/>
          <w:szCs w:val="18"/>
          <w:color w:val="1C1D1F"/>
        </w:rPr>
        <w:t xml:space="preserve"> a Bermuda corporation, having its principal office at Clarendon House, 2 Church Street, Hamilton HM 11, Bermuda </w:t>
      </w:r>
      <w:r>
        <w:rPr>
          <w:rFonts w:ascii="Times New Roman" w:cs="Times New Roman" w:eastAsia="Times New Roman" w:hAnsi="Times New Roman"/>
          <w:sz w:val="18"/>
          <w:szCs w:val="18"/>
          <w:color w:val="080808"/>
        </w:rPr>
        <w:t>(together</w:t>
      </w:r>
      <w:r>
        <w:rPr>
          <w:rFonts w:ascii="Times New Roman" w:cs="Times New Roman" w:eastAsia="Times New Roman" w:hAnsi="Times New Roman"/>
          <w:sz w:val="18"/>
          <w:szCs w:val="18"/>
          <w:color w:val="1C1D1F"/>
        </w:rPr>
        <w:t xml:space="preserve"> with TESARO US, “</w:t>
      </w:r>
      <w:r>
        <w:rPr>
          <w:rFonts w:ascii="Times New Roman" w:cs="Times New Roman" w:eastAsia="Times New Roman" w:hAnsi="Times New Roman"/>
          <w:sz w:val="18"/>
          <w:szCs w:val="18"/>
          <w:b w:val="1"/>
          <w:bCs w:val="1"/>
          <w:color w:val="1C1D1F"/>
        </w:rPr>
        <w:t>TESARO</w:t>
      </w:r>
      <w:r>
        <w:rPr>
          <w:rFonts w:ascii="Times New Roman" w:cs="Times New Roman" w:eastAsia="Times New Roman" w:hAnsi="Times New Roman"/>
          <w:sz w:val="18"/>
          <w:szCs w:val="18"/>
          <w:color w:val="1C1D1F"/>
        </w:rPr>
        <w:t>”). Collectively, AnaptysBio and TESARO are referred to as the “</w:t>
      </w:r>
      <w:r>
        <w:rPr>
          <w:rFonts w:ascii="Times New Roman" w:cs="Times New Roman" w:eastAsia="Times New Roman" w:hAnsi="Times New Roman"/>
          <w:sz w:val="18"/>
          <w:szCs w:val="18"/>
          <w:b w:val="1"/>
          <w:bCs w:val="1"/>
          <w:color w:val="1C1D1F"/>
        </w:rPr>
        <w:t>Parties</w:t>
      </w:r>
      <w:r>
        <w:rPr>
          <w:rFonts w:ascii="Times New Roman" w:cs="Times New Roman" w:eastAsia="Times New Roman" w:hAnsi="Times New Roman"/>
          <w:sz w:val="18"/>
          <w:szCs w:val="18"/>
          <w:color w:val="1C1D1F"/>
        </w:rPr>
        <w:t>” and, individually, as a “</w:t>
      </w:r>
      <w:r>
        <w:rPr>
          <w:rFonts w:ascii="Times New Roman" w:cs="Times New Roman" w:eastAsia="Times New Roman" w:hAnsi="Times New Roman"/>
          <w:sz w:val="18"/>
          <w:szCs w:val="18"/>
          <w:b w:val="1"/>
          <w:bCs w:val="1"/>
          <w:color w:val="1C1D1F"/>
        </w:rPr>
        <w:t>Party</w:t>
      </w:r>
      <w:r>
        <w:rPr>
          <w:rFonts w:ascii="Times New Roman" w:cs="Times New Roman" w:eastAsia="Times New Roman" w:hAnsi="Times New Roman"/>
          <w:sz w:val="18"/>
          <w:szCs w:val="18"/>
          <w:color w:val="1C1D1F"/>
        </w:rPr>
        <w:t xml:space="preserve">.” </w:t>
      </w:r>
      <w:r>
        <w:rPr>
          <w:rFonts w:ascii="Times New Roman" w:cs="Times New Roman" w:eastAsia="Times New Roman" w:hAnsi="Times New Roman"/>
          <w:sz w:val="18"/>
          <w:szCs w:val="18"/>
          <w:color w:val="3D3D3F"/>
        </w:rPr>
        <w:t>A</w:t>
      </w:r>
      <w:r>
        <w:rPr>
          <w:rFonts w:ascii="Times New Roman" w:cs="Times New Roman" w:eastAsia="Times New Roman" w:hAnsi="Times New Roman"/>
          <w:sz w:val="18"/>
          <w:szCs w:val="18"/>
          <w:color w:val="5B605D"/>
        </w:rPr>
        <w:t>ll</w:t>
      </w:r>
      <w:r>
        <w:rPr>
          <w:rFonts w:ascii="Times New Roman" w:cs="Times New Roman" w:eastAsia="Times New Roman" w:hAnsi="Times New Roman"/>
          <w:sz w:val="18"/>
          <w:szCs w:val="18"/>
          <w:color w:val="1C1D1F"/>
        </w:rPr>
        <w:t xml:space="preserve"> capitali</w:t>
      </w:r>
      <w:r>
        <w:rPr>
          <w:rFonts w:ascii="Times New Roman" w:cs="Times New Roman" w:eastAsia="Times New Roman" w:hAnsi="Times New Roman"/>
          <w:sz w:val="18"/>
          <w:szCs w:val="18"/>
          <w:color w:val="3D3D3F"/>
        </w:rPr>
        <w:t>ze</w:t>
      </w:r>
      <w:r>
        <w:rPr>
          <w:rFonts w:ascii="Times New Roman" w:cs="Times New Roman" w:eastAsia="Times New Roman" w:hAnsi="Times New Roman"/>
          <w:sz w:val="18"/>
          <w:szCs w:val="18"/>
          <w:color w:val="1C1D1F"/>
        </w:rPr>
        <w:t>d terms used but not d</w:t>
      </w:r>
      <w:r>
        <w:rPr>
          <w:rFonts w:ascii="Times New Roman" w:cs="Times New Roman" w:eastAsia="Times New Roman" w:hAnsi="Times New Roman"/>
          <w:sz w:val="18"/>
          <w:szCs w:val="18"/>
          <w:color w:val="3D3D3F"/>
        </w:rPr>
        <w:t>e</w:t>
      </w:r>
      <w:r>
        <w:rPr>
          <w:rFonts w:ascii="Times New Roman" w:cs="Times New Roman" w:eastAsia="Times New Roman" w:hAnsi="Times New Roman"/>
          <w:sz w:val="18"/>
          <w:szCs w:val="18"/>
          <w:color w:val="1C1D1F"/>
        </w:rPr>
        <w:t>fin</w:t>
      </w:r>
      <w:r>
        <w:rPr>
          <w:rFonts w:ascii="Times New Roman" w:cs="Times New Roman" w:eastAsia="Times New Roman" w:hAnsi="Times New Roman"/>
          <w:sz w:val="18"/>
          <w:szCs w:val="18"/>
          <w:color w:val="3D3D3F"/>
        </w:rPr>
        <w:t>e</w:t>
      </w:r>
      <w:r>
        <w:rPr>
          <w:rFonts w:ascii="Times New Roman" w:cs="Times New Roman" w:eastAsia="Times New Roman" w:hAnsi="Times New Roman"/>
          <w:sz w:val="18"/>
          <w:szCs w:val="18"/>
          <w:color w:val="1C1D1F"/>
        </w:rPr>
        <w:t xml:space="preserve">d </w:t>
      </w:r>
      <w:r>
        <w:rPr>
          <w:rFonts w:ascii="Times New Roman" w:cs="Times New Roman" w:eastAsia="Times New Roman" w:hAnsi="Times New Roman"/>
          <w:sz w:val="18"/>
          <w:szCs w:val="18"/>
          <w:color w:val="3D3D3F"/>
        </w:rPr>
        <w:t>here</w:t>
      </w:r>
      <w:r>
        <w:rPr>
          <w:rFonts w:ascii="Times New Roman" w:cs="Times New Roman" w:eastAsia="Times New Roman" w:hAnsi="Times New Roman"/>
          <w:sz w:val="18"/>
          <w:szCs w:val="18"/>
          <w:color w:val="1C1D1F"/>
        </w:rPr>
        <w:t>i</w:t>
      </w:r>
      <w:r>
        <w:rPr>
          <w:rFonts w:ascii="Times New Roman" w:cs="Times New Roman" w:eastAsia="Times New Roman" w:hAnsi="Times New Roman"/>
          <w:sz w:val="18"/>
          <w:szCs w:val="18"/>
          <w:color w:val="3D3D3F"/>
        </w:rPr>
        <w:t>n</w:t>
      </w:r>
      <w:r>
        <w:rPr>
          <w:rFonts w:ascii="Times New Roman" w:cs="Times New Roman" w:eastAsia="Times New Roman" w:hAnsi="Times New Roman"/>
          <w:sz w:val="18"/>
          <w:szCs w:val="18"/>
          <w:color w:val="1C1D1F"/>
        </w:rPr>
        <w:t xml:space="preserve"> will h</w:t>
      </w:r>
      <w:r>
        <w:rPr>
          <w:rFonts w:ascii="Times New Roman" w:cs="Times New Roman" w:eastAsia="Times New Roman" w:hAnsi="Times New Roman"/>
          <w:sz w:val="18"/>
          <w:szCs w:val="18"/>
          <w:color w:val="3D3D3F"/>
        </w:rPr>
        <w:t>a</w:t>
      </w:r>
      <w:r>
        <w:rPr>
          <w:rFonts w:ascii="Times New Roman" w:cs="Times New Roman" w:eastAsia="Times New Roman" w:hAnsi="Times New Roman"/>
          <w:sz w:val="18"/>
          <w:szCs w:val="18"/>
          <w:color w:val="1C1D1F"/>
        </w:rPr>
        <w:t>v</w:t>
      </w:r>
      <w:r>
        <w:rPr>
          <w:rFonts w:ascii="Times New Roman" w:cs="Times New Roman" w:eastAsia="Times New Roman" w:hAnsi="Times New Roman"/>
          <w:sz w:val="18"/>
          <w:szCs w:val="18"/>
          <w:color w:val="3D3D3F"/>
        </w:rPr>
        <w:t>e t</w:t>
      </w:r>
      <w:r>
        <w:rPr>
          <w:rFonts w:ascii="Times New Roman" w:cs="Times New Roman" w:eastAsia="Times New Roman" w:hAnsi="Times New Roman"/>
          <w:sz w:val="18"/>
          <w:szCs w:val="18"/>
          <w:color w:val="1C1D1F"/>
        </w:rPr>
        <w:t>h</w:t>
      </w:r>
      <w:r>
        <w:rPr>
          <w:rFonts w:ascii="Times New Roman" w:cs="Times New Roman" w:eastAsia="Times New Roman" w:hAnsi="Times New Roman"/>
          <w:sz w:val="18"/>
          <w:szCs w:val="18"/>
          <w:color w:val="3D3D3F"/>
        </w:rPr>
        <w:t>e mean</w:t>
      </w:r>
      <w:r>
        <w:rPr>
          <w:rFonts w:ascii="Times New Roman" w:cs="Times New Roman" w:eastAsia="Times New Roman" w:hAnsi="Times New Roman"/>
          <w:sz w:val="18"/>
          <w:szCs w:val="18"/>
          <w:color w:val="1C1D1F"/>
        </w:rPr>
        <w:t>i</w:t>
      </w:r>
      <w:r>
        <w:rPr>
          <w:rFonts w:ascii="Times New Roman" w:cs="Times New Roman" w:eastAsia="Times New Roman" w:hAnsi="Times New Roman"/>
          <w:sz w:val="18"/>
          <w:szCs w:val="18"/>
          <w:color w:val="3D3D3F"/>
        </w:rPr>
        <w:t>ng g</w:t>
      </w:r>
      <w:r>
        <w:rPr>
          <w:rFonts w:ascii="Times New Roman" w:cs="Times New Roman" w:eastAsia="Times New Roman" w:hAnsi="Times New Roman"/>
          <w:sz w:val="18"/>
          <w:szCs w:val="18"/>
          <w:color w:val="1C1D1F"/>
        </w:rPr>
        <w:t>iv</w:t>
      </w:r>
      <w:r>
        <w:rPr>
          <w:rFonts w:ascii="Times New Roman" w:cs="Times New Roman" w:eastAsia="Times New Roman" w:hAnsi="Times New Roman"/>
          <w:sz w:val="18"/>
          <w:szCs w:val="18"/>
          <w:color w:val="3D3D3F"/>
        </w:rPr>
        <w:t>en to the</w:t>
      </w:r>
      <w:r>
        <w:rPr>
          <w:rFonts w:ascii="Times New Roman" w:cs="Times New Roman" w:eastAsia="Times New Roman" w:hAnsi="Times New Roman"/>
          <w:sz w:val="18"/>
          <w:szCs w:val="18"/>
          <w:color w:val="1C1D1F"/>
        </w:rPr>
        <w:t>m in th</w:t>
      </w:r>
      <w:r>
        <w:rPr>
          <w:rFonts w:ascii="Times New Roman" w:cs="Times New Roman" w:eastAsia="Times New Roman" w:hAnsi="Times New Roman"/>
          <w:sz w:val="18"/>
          <w:szCs w:val="18"/>
          <w:color w:val="3D3D3F"/>
        </w:rPr>
        <w:t>e</w:t>
      </w:r>
      <w:r>
        <w:rPr>
          <w:rFonts w:ascii="Times New Roman" w:cs="Times New Roman" w:eastAsia="Times New Roman" w:hAnsi="Times New Roman"/>
          <w:sz w:val="18"/>
          <w:szCs w:val="18"/>
          <w:color w:val="1C1D1F"/>
        </w:rPr>
        <w:t xml:space="preserve"> Agre</w:t>
      </w:r>
      <w:r>
        <w:rPr>
          <w:rFonts w:ascii="Times New Roman" w:cs="Times New Roman" w:eastAsia="Times New Roman" w:hAnsi="Times New Roman"/>
          <w:sz w:val="18"/>
          <w:szCs w:val="18"/>
          <w:color w:val="3D3D3F"/>
        </w:rPr>
        <w:t>e</w:t>
      </w:r>
      <w:r>
        <w:rPr>
          <w:rFonts w:ascii="Times New Roman" w:cs="Times New Roman" w:eastAsia="Times New Roman" w:hAnsi="Times New Roman"/>
          <w:sz w:val="18"/>
          <w:szCs w:val="18"/>
          <w:color w:val="1C1D1F"/>
        </w:rPr>
        <w:t>men</w:t>
      </w:r>
      <w:r>
        <w:rPr>
          <w:rFonts w:ascii="Times New Roman" w:cs="Times New Roman" w:eastAsia="Times New Roman" w:hAnsi="Times New Roman"/>
          <w:sz w:val="18"/>
          <w:szCs w:val="18"/>
          <w:color w:val="3D3D3F"/>
        </w:rPr>
        <w:t>t</w:t>
      </w:r>
      <w:r>
        <w:rPr>
          <w:rFonts w:ascii="Times New Roman" w:cs="Times New Roman" w:eastAsia="Times New Roman" w:hAnsi="Times New Roman"/>
          <w:sz w:val="18"/>
          <w:szCs w:val="18"/>
          <w:color w:val="1C1D1F"/>
        </w:rPr>
        <w:t xml:space="preserve"> (as defin</w:t>
      </w:r>
      <w:r>
        <w:rPr>
          <w:rFonts w:ascii="Times New Roman" w:cs="Times New Roman" w:eastAsia="Times New Roman" w:hAnsi="Times New Roman"/>
          <w:sz w:val="18"/>
          <w:szCs w:val="18"/>
          <w:color w:val="3D3D3F"/>
        </w:rPr>
        <w:t>e</w:t>
      </w:r>
      <w:r>
        <w:rPr>
          <w:rFonts w:ascii="Times New Roman" w:cs="Times New Roman" w:eastAsia="Times New Roman" w:hAnsi="Times New Roman"/>
          <w:sz w:val="18"/>
          <w:szCs w:val="18"/>
          <w:color w:val="1C1D1F"/>
        </w:rPr>
        <w:t>d below)</w:t>
      </w:r>
      <w:r>
        <w:rPr>
          <w:rFonts w:ascii="Times New Roman" w:cs="Times New Roman" w:eastAsia="Times New Roman" w:hAnsi="Times New Roman"/>
          <w:sz w:val="18"/>
          <w:szCs w:val="18"/>
          <w:color w:val="5B605D"/>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16" w:lineRule="exact"/>
        <w:rPr>
          <w:sz w:val="20"/>
          <w:szCs w:val="20"/>
          <w:color w:val="auto"/>
        </w:rPr>
      </w:pPr>
    </w:p>
    <w:p>
      <w:pPr>
        <w:jc w:val="both"/>
        <w:ind w:left="780" w:right="299" w:hanging="476"/>
        <w:spacing w:after="0" w:line="250"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the Parties previously entered into that certain Collaboration and Exclusive License Agreement dated as of March 10, 2014 and as amended by Amendment No. 1 dated November 28, 2014, Amendment No. 2 dated February 29, 2016, Amendment No. 3 dated October 23, 2020, Amendment No. 4 dated October 21, 2021, and Amendment No. 5 dated October 30, 2023 (collectively,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jc w:val="both"/>
        <w:ind w:left="780" w:right="299" w:hanging="476"/>
        <w:spacing w:after="0" w:line="250"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pursuant to the Agreement, AnaptysBio grants TESARO and its Affiliates an exclusive license under certain patents and know-how to exploit Products in the Field and in the Territory, including in connection with the TIM-3 Development Program, and, as between the Parties, TESARO is responsible for conducting such TIM-3 Development Program; and</w:t>
      </w:r>
    </w:p>
    <w:p>
      <w:pPr>
        <w:spacing w:after="0" w:line="190" w:lineRule="exact"/>
        <w:rPr>
          <w:rFonts w:ascii="Times New Roman" w:cs="Times New Roman" w:eastAsia="Times New Roman" w:hAnsi="Times New Roman"/>
          <w:sz w:val="18"/>
          <w:szCs w:val="18"/>
          <w:color w:val="auto"/>
        </w:rPr>
      </w:pPr>
    </w:p>
    <w:p>
      <w:pPr>
        <w:jc w:val="both"/>
        <w:ind w:left="780" w:right="299" w:hanging="476"/>
        <w:spacing w:after="0" w:line="250"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WHEREAS, on October 1, 2025, TESARO provided AnaptysBio written notice of termination of the TIM-3 Development Program pursuant to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xml:space="preserve"> of the Agreement, and now, in accordance with </w:t>
      </w:r>
      <w:r>
        <w:rPr>
          <w:rFonts w:ascii="Times New Roman" w:cs="Times New Roman" w:eastAsia="Times New Roman" w:hAnsi="Times New Roman"/>
          <w:sz w:val="18"/>
          <w:szCs w:val="18"/>
          <w:u w:val="single" w:color="auto"/>
          <w:color w:val="auto"/>
        </w:rPr>
        <w:t>Section 15.9</w:t>
      </w:r>
      <w:r>
        <w:rPr>
          <w:rFonts w:ascii="Times New Roman" w:cs="Times New Roman" w:eastAsia="Times New Roman" w:hAnsi="Times New Roman"/>
          <w:sz w:val="18"/>
          <w:szCs w:val="18"/>
          <w:color w:val="auto"/>
        </w:rPr>
        <w:t xml:space="preserve"> of the Agreement, the Parties wish to amend the Agreement in certain respects to address such termination and the effects thereof, in each case, upon the terms and conditions set forth herein.</w:t>
      </w:r>
    </w:p>
    <w:p>
      <w:pPr>
        <w:spacing w:after="0" w:line="177" w:lineRule="exact"/>
        <w:rPr>
          <w:sz w:val="20"/>
          <w:szCs w:val="20"/>
          <w:color w:val="auto"/>
        </w:rPr>
      </w:pPr>
    </w:p>
    <w:p>
      <w:pPr>
        <w:jc w:val="both"/>
        <w:ind w:left="300" w:right="299" w:firstLine="648"/>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mutual promises, covenants and conditions contained in this Amendment, and for other good and valuable consideration, the receipt and sufficiency of which are hereby acknowledged, and intending to be legally bound hereby, the Parties hereby agree as follows:</w:t>
      </w:r>
    </w:p>
    <w:p>
      <w:pPr>
        <w:spacing w:after="0" w:line="190" w:lineRule="exact"/>
        <w:rPr>
          <w:sz w:val="20"/>
          <w:szCs w:val="20"/>
          <w:color w:val="auto"/>
        </w:rPr>
      </w:pPr>
    </w:p>
    <w:p>
      <w:pPr>
        <w:ind w:left="940" w:hanging="648"/>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Amendment, the following terms shall have the following meanings.</w:t>
      </w:r>
    </w:p>
    <w:p>
      <w:pPr>
        <w:spacing w:after="0" w:line="207" w:lineRule="exact"/>
        <w:rPr>
          <w:rFonts w:ascii="Times New Roman" w:cs="Times New Roman" w:eastAsia="Times New Roman" w:hAnsi="Times New Roman"/>
          <w:sz w:val="18"/>
          <w:szCs w:val="18"/>
          <w:color w:val="auto"/>
        </w:rPr>
      </w:pPr>
    </w:p>
    <w:p>
      <w:pPr>
        <w:ind w:left="1580" w:right="319" w:hanging="640"/>
        <w:spacing w:after="0" w:line="271" w:lineRule="auto"/>
        <w:tabs>
          <w:tab w:leader="none" w:pos="15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AnaptysBio Controlled Patents</w:t>
      </w:r>
      <w:r>
        <w:rPr>
          <w:rFonts w:ascii="Times New Roman" w:cs="Times New Roman" w:eastAsia="Times New Roman" w:hAnsi="Times New Roman"/>
          <w:sz w:val="18"/>
          <w:szCs w:val="18"/>
          <w:color w:val="auto"/>
        </w:rPr>
        <w:t xml:space="preserve">” means, collectively, the Patents set forth in </w:t>
      </w:r>
      <w:r>
        <w:rPr>
          <w:rFonts w:ascii="Times New Roman" w:cs="Times New Roman" w:eastAsia="Times New Roman" w:hAnsi="Times New Roman"/>
          <w:sz w:val="18"/>
          <w:szCs w:val="18"/>
          <w:u w:val="single" w:color="auto"/>
          <w:color w:val="auto"/>
        </w:rPr>
        <w:t>Part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Part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w:t>
      </w:r>
    </w:p>
    <w:p>
      <w:pPr>
        <w:spacing w:after="0" w:line="167" w:lineRule="exact"/>
        <w:rPr>
          <w:rFonts w:ascii="Times New Roman" w:cs="Times New Roman" w:eastAsia="Times New Roman" w:hAnsi="Times New Roman"/>
          <w:sz w:val="18"/>
          <w:szCs w:val="18"/>
          <w:color w:val="auto"/>
        </w:rPr>
      </w:pPr>
    </w:p>
    <w:p>
      <w:pPr>
        <w:ind w:left="1580" w:hanging="640"/>
        <w:spacing w:after="0"/>
        <w:tabs>
          <w:tab w:leader="none" w:pos="15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Investigator</w:t>
      </w:r>
      <w:r>
        <w:rPr>
          <w:rFonts w:ascii="Times New Roman" w:cs="Times New Roman" w:eastAsia="Times New Roman" w:hAnsi="Times New Roman"/>
          <w:sz w:val="18"/>
          <w:szCs w:val="18"/>
          <w:color w:val="auto"/>
        </w:rPr>
        <w:t>” means any investigator conducting any Investigator-Sponsored Study.</w:t>
      </w:r>
    </w:p>
    <w:p>
      <w:pPr>
        <w:spacing w:after="0" w:line="211" w:lineRule="exact"/>
        <w:rPr>
          <w:rFonts w:ascii="Times New Roman" w:cs="Times New Roman" w:eastAsia="Times New Roman" w:hAnsi="Times New Roman"/>
          <w:sz w:val="18"/>
          <w:szCs w:val="18"/>
          <w:color w:val="auto"/>
        </w:rPr>
      </w:pPr>
    </w:p>
    <w:p>
      <w:pPr>
        <w:ind w:left="1580" w:hanging="640"/>
        <w:spacing w:after="0"/>
        <w:tabs>
          <w:tab w:leader="none" w:pos="15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Investigator-Sponsored Studies</w:t>
      </w:r>
      <w:r>
        <w:rPr>
          <w:rFonts w:ascii="Times New Roman" w:cs="Times New Roman" w:eastAsia="Times New Roman" w:hAnsi="Times New Roman"/>
          <w:sz w:val="18"/>
          <w:szCs w:val="18"/>
          <w:color w:val="auto"/>
        </w:rPr>
        <w:t xml:space="preserve">” means the studies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left="1580" w:hanging="640"/>
        <w:spacing w:after="0"/>
        <w:tabs>
          <w:tab w:leader="none" w:pos="15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Ongoing Clinical Trials</w:t>
      </w:r>
      <w:r>
        <w:rPr>
          <w:rFonts w:ascii="Times New Roman" w:cs="Times New Roman" w:eastAsia="Times New Roman" w:hAnsi="Times New Roman"/>
          <w:sz w:val="18"/>
          <w:szCs w:val="18"/>
          <w:color w:val="auto"/>
        </w:rPr>
        <w:t xml:space="preserve">” means the clinical trials set forth in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80" w:right="299" w:hanging="640"/>
        <w:spacing w:after="0" w:line="271" w:lineRule="auto"/>
        <w:tabs>
          <w:tab w:leader="none" w:pos="15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TIM-3 Product</w:t>
      </w:r>
      <w:r>
        <w:rPr>
          <w:rFonts w:ascii="Times New Roman" w:cs="Times New Roman" w:eastAsia="Times New Roman" w:hAnsi="Times New Roman"/>
          <w:sz w:val="18"/>
          <w:szCs w:val="18"/>
          <w:color w:val="auto"/>
        </w:rPr>
        <w:t>” means any pharmaceutical or biologic product or therapy comprising cobolimab, which is also referred to as TSR-022 or GSK4069889.</w:t>
      </w:r>
    </w:p>
    <w:p>
      <w:pPr>
        <w:spacing w:after="0" w:line="157" w:lineRule="exact"/>
        <w:rPr>
          <w:rFonts w:ascii="Times New Roman" w:cs="Times New Roman" w:eastAsia="Times New Roman" w:hAnsi="Times New Roman"/>
          <w:sz w:val="18"/>
          <w:szCs w:val="18"/>
          <w:color w:val="auto"/>
        </w:rPr>
      </w:pPr>
    </w:p>
    <w:p>
      <w:pPr>
        <w:jc w:val="both"/>
        <w:ind w:left="940" w:right="299" w:hanging="648"/>
        <w:spacing w:after="0" w:line="250" w:lineRule="auto"/>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the TIM-3 Development Program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D1F"/>
        </w:rPr>
        <w:t>The Parties agree that the TIM</w:t>
      </w:r>
      <w:r>
        <w:rPr>
          <w:rFonts w:ascii="Times New Roman" w:cs="Times New Roman" w:eastAsia="Times New Roman" w:hAnsi="Times New Roman"/>
          <w:sz w:val="18"/>
          <w:szCs w:val="18"/>
          <w:color w:val="3D3D3F"/>
        </w:rPr>
        <w:t>-</w:t>
      </w:r>
      <w:r>
        <w:rPr>
          <w:rFonts w:ascii="Times New Roman" w:cs="Times New Roman" w:eastAsia="Times New Roman" w:hAnsi="Times New Roman"/>
          <w:sz w:val="18"/>
          <w:szCs w:val="18"/>
          <w:color w:val="1C1D1F"/>
        </w:rPr>
        <w:t>3 Development Program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D1F"/>
        </w:rPr>
        <w:t>is hereby terminated as of January 30, 2026 (the “</w:t>
      </w:r>
      <w:r>
        <w:rPr>
          <w:rFonts w:ascii="Times New Roman" w:cs="Times New Roman" w:eastAsia="Times New Roman" w:hAnsi="Times New Roman"/>
          <w:sz w:val="18"/>
          <w:szCs w:val="18"/>
          <w:b w:val="1"/>
          <w:bCs w:val="1"/>
          <w:color w:val="1C1D1F"/>
        </w:rPr>
        <w:t>Termination Date</w:t>
      </w:r>
      <w:r>
        <w:rPr>
          <w:rFonts w:ascii="Times New Roman" w:cs="Times New Roman" w:eastAsia="Times New Roman" w:hAnsi="Times New Roman"/>
          <w:sz w:val="18"/>
          <w:szCs w:val="18"/>
          <w:color w:val="1C1D1F"/>
        </w:rPr>
        <w:t>”)</w:t>
      </w:r>
      <w:r>
        <w:rPr>
          <w:rFonts w:ascii="Times New Roman" w:cs="Times New Roman" w:eastAsia="Times New Roman" w:hAnsi="Times New Roman"/>
          <w:sz w:val="18"/>
          <w:szCs w:val="18"/>
          <w:color w:val="3D3D3F"/>
        </w:rPr>
        <w:t>.</w:t>
      </w:r>
      <w:r>
        <w:rPr>
          <w:rFonts w:ascii="Times New Roman" w:cs="Times New Roman" w:eastAsia="Times New Roman" w:hAnsi="Times New Roman"/>
          <w:sz w:val="18"/>
          <w:szCs w:val="18"/>
          <w:color w:val="1C1D1F"/>
        </w:rPr>
        <w:t xml:space="preserve"> For the avoidance of doubt and notwithstanding anything to the contrary in the Agreement, save for its obligations expressly provided for under this Amendment, as of and following the Termination Date, TESARO and its Affiliates shall have no further obligations in relation to the TIM</w:t>
      </w:r>
      <w:r>
        <w:rPr>
          <w:rFonts w:ascii="Times New Roman" w:cs="Times New Roman" w:eastAsia="Times New Roman" w:hAnsi="Times New Roman"/>
          <w:sz w:val="18"/>
          <w:szCs w:val="18"/>
          <w:color w:val="5B605D"/>
        </w:rPr>
        <w:t>-</w:t>
      </w:r>
      <w:r>
        <w:rPr>
          <w:rFonts w:ascii="Times New Roman" w:cs="Times New Roman" w:eastAsia="Times New Roman" w:hAnsi="Times New Roman"/>
          <w:sz w:val="18"/>
          <w:szCs w:val="18"/>
          <w:color w:val="1C1D1F"/>
        </w:rPr>
        <w:t>3 Development Program or the TIM-3 Product,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1003300</wp:posOffset>
            </wp:positionV>
            <wp:extent cx="703770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53" w:name="page54"/>
    <w:bookmarkEnd w:id="53"/>
    <w:p>
      <w:pPr>
        <w:jc w:val="right"/>
        <w:ind w:right="299"/>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41" w:lineRule="exact"/>
        <w:rPr>
          <w:sz w:val="20"/>
          <w:szCs w:val="20"/>
          <w:color w:val="auto"/>
        </w:rPr>
      </w:pPr>
    </w:p>
    <w:p>
      <w:pPr>
        <w:jc w:val="both"/>
        <w:ind w:left="940" w:right="299"/>
        <w:spacing w:after="0" w:line="246" w:lineRule="auto"/>
        <w:rPr>
          <w:sz w:val="20"/>
          <w:szCs w:val="20"/>
          <w:color w:val="auto"/>
        </w:rPr>
      </w:pPr>
      <w:r>
        <w:rPr>
          <w:rFonts w:ascii="Times New Roman" w:cs="Times New Roman" w:eastAsia="Times New Roman" w:hAnsi="Times New Roman"/>
          <w:sz w:val="18"/>
          <w:szCs w:val="18"/>
          <w:color w:val="1C1D1F"/>
        </w:rPr>
        <w:t xml:space="preserve">limitation, any (a) funding or payment obligations under </w:t>
      </w:r>
      <w:r>
        <w:rPr>
          <w:rFonts w:ascii="Times New Roman" w:cs="Times New Roman" w:eastAsia="Times New Roman" w:hAnsi="Times New Roman"/>
          <w:sz w:val="18"/>
          <w:szCs w:val="18"/>
          <w:u w:val="single" w:color="auto"/>
          <w:color w:val="1C1D1F"/>
        </w:rPr>
        <w:t>Section 14.4(e)(v)</w:t>
      </w:r>
      <w:r>
        <w:rPr>
          <w:rFonts w:ascii="Times New Roman" w:cs="Times New Roman" w:eastAsia="Times New Roman" w:hAnsi="Times New Roman"/>
          <w:sz w:val="18"/>
          <w:szCs w:val="18"/>
          <w:color w:val="1C1D1F"/>
        </w:rPr>
        <w:t xml:space="preserve"> of the Agreement, or (b) obligations to transfer to AnaptysBio any materials or physical samples generated from any development activities in connection with the TIM-3 Development Program (</w:t>
      </w:r>
      <w:r>
        <w:rPr>
          <w:rFonts w:ascii="Times New Roman" w:cs="Times New Roman" w:eastAsia="Times New Roman" w:hAnsi="Times New Roman"/>
          <w:sz w:val="18"/>
          <w:szCs w:val="18"/>
          <w:i w:val="1"/>
          <w:iCs w:val="1"/>
          <w:color w:val="1C1D1F"/>
        </w:rPr>
        <w:t>provided</w:t>
      </w:r>
      <w:r>
        <w:rPr>
          <w:rFonts w:ascii="Times New Roman" w:cs="Times New Roman" w:eastAsia="Times New Roman" w:hAnsi="Times New Roman"/>
          <w:sz w:val="18"/>
          <w:szCs w:val="18"/>
          <w:color w:val="1C1D1F"/>
        </w:rPr>
        <w:t xml:space="preserve"> that TESARO remains responsible for any costs and expenses related to the storage, destruction, and/or any other disposition of any such materials or physical samples).</w:t>
      </w:r>
    </w:p>
    <w:p>
      <w:pPr>
        <w:spacing w:after="0" w:line="195" w:lineRule="exact"/>
        <w:rPr>
          <w:sz w:val="20"/>
          <w:szCs w:val="20"/>
          <w:color w:val="auto"/>
        </w:rPr>
      </w:pPr>
    </w:p>
    <w:p>
      <w:pPr>
        <w:ind w:left="940" w:hanging="648"/>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License</w:t>
      </w:r>
      <w:r>
        <w:rPr>
          <w:rFonts w:ascii="Times New Roman" w:cs="Times New Roman" w:eastAsia="Times New Roman" w:hAnsi="Times New Roman"/>
          <w:sz w:val="18"/>
          <w:szCs w:val="18"/>
          <w:color w:val="auto"/>
        </w:rPr>
        <w:t>. Notwithstanding anything to the contrary in the Agreement or this Amendment:</w:t>
      </w:r>
    </w:p>
    <w:p>
      <w:pPr>
        <w:spacing w:after="0" w:line="211" w:lineRule="exact"/>
        <w:rPr>
          <w:rFonts w:ascii="Times New Roman" w:cs="Times New Roman" w:eastAsia="Times New Roman" w:hAnsi="Times New Roman"/>
          <w:sz w:val="18"/>
          <w:szCs w:val="18"/>
          <w:color w:val="auto"/>
        </w:rPr>
      </w:pPr>
    </w:p>
    <w:p>
      <w:pPr>
        <w:jc w:val="both"/>
        <w:ind w:left="1580" w:right="299" w:hanging="640"/>
        <w:spacing w:after="0" w:line="245" w:lineRule="auto"/>
        <w:tabs>
          <w:tab w:leader="none" w:pos="15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AnaptysBio acknowledges and agrees that TESARO and its Affiliates and any Investigators shall have the right, at TESARO’s own expense, to: (i) continue conducting, and complete (or wind down, as applicable), the Ongoing Clinical Trials and the Investigator-Sponsored Studies; (ii) with respect to each Ongoing Clinical Trial, [*]. For the avoidance of doubt, except for the TIM-3 Product, nothing in this Amendment shall affect any right or license granted to TESARO or any of its Affiliates under the Agreement and all such rights and licenses shall remain in full force and effect.</w:t>
      </w:r>
    </w:p>
    <w:p>
      <w:pPr>
        <w:spacing w:after="0" w:line="181" w:lineRule="exact"/>
        <w:rPr>
          <w:rFonts w:ascii="Times New Roman" w:cs="Times New Roman" w:eastAsia="Times New Roman" w:hAnsi="Times New Roman"/>
          <w:sz w:val="18"/>
          <w:szCs w:val="18"/>
          <w:color w:val="auto"/>
        </w:rPr>
      </w:pPr>
    </w:p>
    <w:p>
      <w:pPr>
        <w:jc w:val="both"/>
        <w:ind w:left="1580" w:right="299" w:hanging="640"/>
        <w:spacing w:after="0" w:line="246" w:lineRule="auto"/>
        <w:tabs>
          <w:tab w:leader="none" w:pos="15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TESARO hereby reaffirms the grant to AnaptysBio, pursuant to </w:t>
      </w:r>
      <w:r>
        <w:rPr>
          <w:rFonts w:ascii="Times New Roman" w:cs="Times New Roman" w:eastAsia="Times New Roman" w:hAnsi="Times New Roman"/>
          <w:sz w:val="18"/>
          <w:szCs w:val="18"/>
          <w:u w:val="single" w:color="auto"/>
          <w:color w:val="auto"/>
        </w:rPr>
        <w:t>Section 14.4(e)(ii)</w:t>
      </w:r>
      <w:r>
        <w:rPr>
          <w:rFonts w:ascii="Times New Roman" w:cs="Times New Roman" w:eastAsia="Times New Roman" w:hAnsi="Times New Roman"/>
          <w:sz w:val="18"/>
          <w:szCs w:val="18"/>
          <w:color w:val="auto"/>
        </w:rPr>
        <w:t xml:space="preserve"> of the Agreement, of an irrevocable, non-exclusive, worldwide license, with the right to grant and authorize sublicenses, under TESARO’s interest in the Collaboration IP Rights, TESARO Patents and TESARO Know-How, to make, have made, use, sell, offer to sell and import the TIM-3 Product.</w:t>
      </w:r>
    </w:p>
    <w:p>
      <w:pPr>
        <w:spacing w:after="0" w:line="194" w:lineRule="exact"/>
        <w:rPr>
          <w:rFonts w:ascii="Times New Roman" w:cs="Times New Roman" w:eastAsia="Times New Roman" w:hAnsi="Times New Roman"/>
          <w:sz w:val="18"/>
          <w:szCs w:val="18"/>
          <w:color w:val="auto"/>
        </w:rPr>
      </w:pPr>
    </w:p>
    <w:p>
      <w:pPr>
        <w:ind w:left="940" w:hanging="648"/>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ind w:left="940" w:hanging="648"/>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 Matters</w:t>
      </w:r>
      <w:r>
        <w:rPr>
          <w:rFonts w:ascii="Times New Roman" w:cs="Times New Roman" w:eastAsia="Times New Roman" w:hAnsi="Times New Roman"/>
          <w:sz w:val="18"/>
          <w:szCs w:val="18"/>
          <w:color w:val="auto"/>
        </w:rPr>
        <w:t>.</w:t>
      </w:r>
    </w:p>
    <w:p>
      <w:pPr>
        <w:spacing w:after="0" w:line="209" w:lineRule="exact"/>
        <w:rPr>
          <w:rFonts w:ascii="Times New Roman" w:cs="Times New Roman" w:eastAsia="Times New Roman" w:hAnsi="Times New Roman"/>
          <w:sz w:val="18"/>
          <w:szCs w:val="18"/>
          <w:color w:val="auto"/>
        </w:rPr>
      </w:pPr>
    </w:p>
    <w:p>
      <w:pPr>
        <w:ind w:left="1580" w:hanging="640"/>
        <w:spacing w:after="0"/>
        <w:tabs>
          <w:tab w:leader="none" w:pos="15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 of Ownership.</w:t>
      </w:r>
    </w:p>
    <w:p>
      <w:pPr>
        <w:spacing w:after="0" w:line="227" w:lineRule="exact"/>
        <w:rPr>
          <w:rFonts w:ascii="Times New Roman" w:cs="Times New Roman" w:eastAsia="Times New Roman" w:hAnsi="Times New Roman"/>
          <w:sz w:val="18"/>
          <w:szCs w:val="18"/>
          <w:color w:val="auto"/>
        </w:rPr>
      </w:pPr>
    </w:p>
    <w:p>
      <w:pPr>
        <w:jc w:val="both"/>
        <w:ind w:left="2240" w:right="319" w:hanging="652"/>
        <w:spacing w:after="0" w:line="250" w:lineRule="auto"/>
        <w:tabs>
          <w:tab w:leader="none" w:pos="22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Patents set forth in </w:t>
      </w:r>
      <w:r>
        <w:rPr>
          <w:rFonts w:ascii="Times New Roman" w:cs="Times New Roman" w:eastAsia="Times New Roman" w:hAnsi="Times New Roman"/>
          <w:sz w:val="18"/>
          <w:szCs w:val="18"/>
          <w:u w:val="single" w:color="auto"/>
          <w:color w:val="auto"/>
        </w:rPr>
        <w:t>Part 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from and after the Termination Date, as between the Parties, AnaptysBio shall continue to solely own such Patents and, at its sole expense, shall have the sole right to Prosecute and Maintain, and to solely enforce, such Patents.</w:t>
      </w:r>
    </w:p>
    <w:p>
      <w:pPr>
        <w:spacing w:after="0" w:line="173" w:lineRule="exact"/>
        <w:rPr>
          <w:rFonts w:ascii="Times New Roman" w:cs="Times New Roman" w:eastAsia="Times New Roman" w:hAnsi="Times New Roman"/>
          <w:sz w:val="18"/>
          <w:szCs w:val="18"/>
          <w:color w:val="auto"/>
        </w:rPr>
      </w:pPr>
    </w:p>
    <w:p>
      <w:pPr>
        <w:jc w:val="both"/>
        <w:ind w:left="2240" w:right="299" w:hanging="652"/>
        <w:spacing w:after="0" w:line="246" w:lineRule="auto"/>
        <w:tabs>
          <w:tab w:leader="none" w:pos="22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Patents set forth in </w:t>
      </w:r>
      <w:r>
        <w:rPr>
          <w:rFonts w:ascii="Times New Roman" w:cs="Times New Roman" w:eastAsia="Times New Roman" w:hAnsi="Times New Roman"/>
          <w:sz w:val="18"/>
          <w:szCs w:val="18"/>
          <w:u w:val="single" w:color="auto"/>
          <w:color w:val="auto"/>
        </w:rPr>
        <w:t>Part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AnaptysBio Assigned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(A) from and after the Termination Date, as between the Parties, AnaptysBio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solely own such AnaptysBio Assigned Patents and, at its sole expense, shall have the sole right to Prosecute and Maintain, and to solely enforce, such AnaptysBio Assigned Patents, and (B) effective as the Termination Date, TESARO (on behalf of itself and its Affiliates) hereby assigns to AnaptysBio all of TESARO’s and its Affiliates’ right, title and interest in and to such AnaptysBio Assigned Patents.</w:t>
      </w:r>
    </w:p>
    <w:p>
      <w:pPr>
        <w:spacing w:after="0" w:line="179" w:lineRule="exact"/>
        <w:rPr>
          <w:rFonts w:ascii="Times New Roman" w:cs="Times New Roman" w:eastAsia="Times New Roman" w:hAnsi="Times New Roman"/>
          <w:sz w:val="18"/>
          <w:szCs w:val="18"/>
          <w:color w:val="auto"/>
        </w:rPr>
      </w:pPr>
    </w:p>
    <w:p>
      <w:pPr>
        <w:jc w:val="both"/>
        <w:ind w:left="2240" w:right="299" w:hanging="652"/>
        <w:spacing w:after="0" w:line="246" w:lineRule="auto"/>
        <w:tabs>
          <w:tab w:leader="none" w:pos="22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F1F21"/>
        </w:rPr>
        <w:t xml:space="preserve">With respect to the Patents set forth in </w:t>
      </w:r>
      <w:r>
        <w:rPr>
          <w:rFonts w:ascii="Times New Roman" w:cs="Times New Roman" w:eastAsia="Times New Roman" w:hAnsi="Times New Roman"/>
          <w:sz w:val="18"/>
          <w:szCs w:val="18"/>
          <w:u w:val="single" w:color="auto"/>
          <w:color w:val="1F1F21"/>
        </w:rPr>
        <w:t>Part C</w:t>
      </w:r>
      <w:r>
        <w:rPr>
          <w:rFonts w:ascii="Times New Roman" w:cs="Times New Roman" w:eastAsia="Times New Roman" w:hAnsi="Times New Roman"/>
          <w:sz w:val="18"/>
          <w:szCs w:val="18"/>
          <w:color w:val="1F1F21"/>
        </w:rPr>
        <w:t xml:space="preserve"> of </w:t>
      </w:r>
      <w:r>
        <w:rPr>
          <w:rFonts w:ascii="Times New Roman" w:cs="Times New Roman" w:eastAsia="Times New Roman" w:hAnsi="Times New Roman"/>
          <w:sz w:val="18"/>
          <w:szCs w:val="18"/>
          <w:u w:val="single" w:color="auto"/>
          <w:color w:val="1F1F21"/>
        </w:rPr>
        <w:t>Appendix D</w:t>
      </w:r>
      <w:r>
        <w:rPr>
          <w:rFonts w:ascii="Times New Roman" w:cs="Times New Roman" w:eastAsia="Times New Roman" w:hAnsi="Times New Roman"/>
          <w:sz w:val="18"/>
          <w:szCs w:val="18"/>
          <w:color w:val="000000"/>
        </w:rPr>
        <w:t>, from and after the</w:t>
      </w:r>
      <w:r>
        <w:rPr>
          <w:rFonts w:ascii="Times New Roman" w:cs="Times New Roman" w:eastAsia="Times New Roman" w:hAnsi="Times New Roman"/>
          <w:sz w:val="18"/>
          <w:szCs w:val="18"/>
          <w:color w:val="1F1F21"/>
        </w:rPr>
        <w:t xml:space="preserve"> </w:t>
      </w:r>
      <w:r>
        <w:rPr>
          <w:rFonts w:ascii="Times New Roman" w:cs="Times New Roman" w:eastAsia="Times New Roman" w:hAnsi="Times New Roman"/>
          <w:sz w:val="18"/>
          <w:szCs w:val="18"/>
          <w:color w:val="000000"/>
        </w:rPr>
        <w:t>Termination Date, as between the Parties, TESARO shall continue to solely own such Patents and, notwithstanding anything to the contrary in the Agreement or this Amendment, in no event shall TESARO or any of its Affiliates have any obligation to Prosecute and Maintain or to enforce any such Patent following the Termination Date.</w:t>
      </w:r>
    </w:p>
    <w:p>
      <w:pPr>
        <w:spacing w:after="0" w:line="194" w:lineRule="exact"/>
        <w:rPr>
          <w:rFonts w:ascii="Times New Roman" w:cs="Times New Roman" w:eastAsia="Times New Roman" w:hAnsi="Times New Roman"/>
          <w:sz w:val="18"/>
          <w:szCs w:val="18"/>
          <w:color w:val="auto"/>
        </w:rPr>
      </w:pPr>
    </w:p>
    <w:p>
      <w:pPr>
        <w:jc w:val="both"/>
        <w:ind w:left="2240" w:right="299" w:hanging="652"/>
        <w:spacing w:after="0" w:line="246" w:lineRule="auto"/>
        <w:tabs>
          <w:tab w:leader="none" w:pos="22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AnaptysBio Controlled Patents shall be subject to the licenses granted to TESARO under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Agreement with respect to Products under the PD-1 Development Program but not with respect to any antibodies or Products under the TIM-3 Discovery Program, TIM-3 Development Program, LAG-3 Discovery Program, or LAG-3 Development Program.</w:t>
      </w:r>
    </w:p>
    <w:p>
      <w:pPr>
        <w:spacing w:after="0" w:line="179" w:lineRule="exact"/>
        <w:rPr>
          <w:rFonts w:ascii="Times New Roman" w:cs="Times New Roman" w:eastAsia="Times New Roman" w:hAnsi="Times New Roman"/>
          <w:sz w:val="18"/>
          <w:szCs w:val="18"/>
          <w:color w:val="auto"/>
        </w:rPr>
      </w:pPr>
    </w:p>
    <w:p>
      <w:pPr>
        <w:jc w:val="both"/>
        <w:ind w:left="1580" w:right="299" w:hanging="640"/>
        <w:spacing w:after="0" w:line="251" w:lineRule="auto"/>
        <w:tabs>
          <w:tab w:leader="none" w:pos="15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w:t>
      </w:r>
      <w:r>
        <w:rPr>
          <w:rFonts w:ascii="Times New Roman" w:cs="Times New Roman" w:eastAsia="Times New Roman" w:hAnsi="Times New Roman"/>
          <w:sz w:val="18"/>
          <w:szCs w:val="18"/>
          <w:color w:val="auto"/>
        </w:rPr>
        <w:t>Promptly (and in any event within 45 days) following the Termination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TESARO, at its own expense, shall transfer to AnaptysBio all documents and files in TESARO’s possession that are reasonably necessary to effectuate the transition of Prosecution and Maintenance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54" w:name="page55"/>
    <w:bookmarkEnd w:id="54"/>
    <w:p>
      <w:pPr>
        <w:jc w:val="right"/>
        <w:ind w:right="299"/>
        <w:spacing w:after="0"/>
        <w:rPr>
          <w:sz w:val="20"/>
          <w:szCs w:val="20"/>
          <w:color w:val="auto"/>
        </w:rPr>
      </w:pPr>
      <w:r>
        <w:rPr>
          <w:rFonts w:ascii="Times New Roman" w:cs="Times New Roman" w:eastAsia="Times New Roman" w:hAnsi="Times New Roman"/>
          <w:sz w:val="18"/>
          <w:szCs w:val="18"/>
          <w:color w:val="auto"/>
        </w:rPr>
        <w:t>CONFIDENTIAL</w:t>
      </w:r>
    </w:p>
    <w:p>
      <w:pPr>
        <w:spacing w:after="0" w:line="200" w:lineRule="exact"/>
        <w:rPr>
          <w:sz w:val="20"/>
          <w:szCs w:val="20"/>
          <w:color w:val="auto"/>
        </w:rPr>
      </w:pPr>
    </w:p>
    <w:p>
      <w:pPr>
        <w:spacing w:after="0" w:line="241" w:lineRule="exact"/>
        <w:rPr>
          <w:sz w:val="20"/>
          <w:szCs w:val="20"/>
          <w:color w:val="auto"/>
        </w:rPr>
      </w:pPr>
    </w:p>
    <w:p>
      <w:pPr>
        <w:jc w:val="both"/>
        <w:ind w:left="1580" w:right="319"/>
        <w:spacing w:after="0" w:line="266" w:lineRule="auto"/>
        <w:rPr>
          <w:sz w:val="20"/>
          <w:szCs w:val="20"/>
          <w:color w:val="auto"/>
        </w:rPr>
      </w:pPr>
      <w:r>
        <w:rPr>
          <w:rFonts w:ascii="Times New Roman" w:cs="Times New Roman" w:eastAsia="Times New Roman" w:hAnsi="Times New Roman"/>
          <w:sz w:val="18"/>
          <w:szCs w:val="18"/>
          <w:color w:val="auto"/>
        </w:rPr>
        <w:t xml:space="preserve">enforcement </w:t>
      </w:r>
      <w:r>
        <w:rPr>
          <w:rFonts w:ascii="Times New Roman" w:cs="Times New Roman" w:eastAsia="Times New Roman" w:hAnsi="Times New Roman"/>
          <w:sz w:val="18"/>
          <w:szCs w:val="18"/>
          <w:color w:val="1F1F21"/>
        </w:rPr>
        <w:t>rights in respect of the AnaptysBio Controlled Patents to AnaptysBio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F1F21"/>
        </w:rPr>
        <w:t xml:space="preserve">contemplated by </w:t>
      </w:r>
      <w:r>
        <w:rPr>
          <w:rFonts w:ascii="Times New Roman" w:cs="Times New Roman" w:eastAsia="Times New Roman" w:hAnsi="Times New Roman"/>
          <w:sz w:val="18"/>
          <w:szCs w:val="18"/>
          <w:u w:val="single" w:color="auto"/>
          <w:color w:val="1F1F21"/>
        </w:rPr>
        <w:t>Section 5(a)</w:t>
      </w:r>
      <w:r>
        <w:rPr>
          <w:rFonts w:ascii="Times New Roman" w:cs="Times New Roman" w:eastAsia="Times New Roman" w:hAnsi="Times New Roman"/>
          <w:sz w:val="18"/>
          <w:szCs w:val="18"/>
          <w:color w:val="1F1F21"/>
        </w:rPr>
        <w:t xml:space="preserve"> of this Amendment.</w:t>
      </w:r>
    </w:p>
    <w:p>
      <w:pPr>
        <w:spacing w:after="0" w:line="176" w:lineRule="exact"/>
        <w:rPr>
          <w:sz w:val="20"/>
          <w:szCs w:val="20"/>
          <w:color w:val="auto"/>
        </w:rPr>
      </w:pPr>
    </w:p>
    <w:p>
      <w:pPr>
        <w:jc w:val="both"/>
        <w:ind w:left="940" w:right="299" w:hanging="648"/>
        <w:spacing w:after="0" w:line="241"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Publications</w:t>
      </w:r>
      <w:r>
        <w:rPr>
          <w:rFonts w:ascii="Times New Roman" w:cs="Times New Roman" w:eastAsia="Times New Roman" w:hAnsi="Times New Roman"/>
          <w:sz w:val="18"/>
          <w:szCs w:val="18"/>
          <w:color w:val="auto"/>
        </w:rPr>
        <w:t xml:space="preserve">. The publications planned by TESARO and its Affiliates with respect to the TIM-3 Development Program as of the Amendment Date are attached hereto as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Planned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Publications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updated from time to time (with AnaptysBio’s prior written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consent shall not be unreasonably withheld) to include additional publications by TESARO, its Affiliates, or any Investigator with respect to the TIM-3 Development Program. As between the Parties, TESARO has the sole right, in its sole discretion, but not the obligation, to remain responsible for any publication activities that occur after the Termination Date with respect to the TIM-3 Development Program or the TIM-3 Product, including, but not limited to, revisions to any Planned Publication to address feedback from the target journal, re-submissions of any Planned Publication, and final publication of any Planned Publication. [*]. TESARO shall provide AnaptysBio with the opportunity to review and comment on a draft of each Planned Publication prior to its final submission to a target journal or publisher. TESARO and the authors of such Planned Publication shall consider in good faith any comments provided by AnaptysBio but, to maintain author independence, will not be required to accept such comments. Applicable publication guidelines, including but not limited to the target journal’s guidelines, the International Committee of Medical Journal Editors guidelines and Good Publication Practices, shall apply and shall govern decision making and accountability for the publication content for any Planned Publications.</w:t>
      </w:r>
    </w:p>
    <w:p>
      <w:pPr>
        <w:spacing w:after="0" w:line="192" w:lineRule="exact"/>
        <w:rPr>
          <w:rFonts w:ascii="Times New Roman" w:cs="Times New Roman" w:eastAsia="Times New Roman" w:hAnsi="Times New Roman"/>
          <w:sz w:val="18"/>
          <w:szCs w:val="18"/>
          <w:color w:val="auto"/>
        </w:rPr>
      </w:pPr>
    </w:p>
    <w:p>
      <w:pPr>
        <w:jc w:val="both"/>
        <w:ind w:left="940" w:right="299" w:hanging="648"/>
        <w:spacing w:after="0" w:line="250"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and any dispute arising from the construction, performance or breach hereof shall be governed by and construed, and enforced in accordance with, the laws of the State of Delaware, without reference to conflicts of laws principles thereof that would result in the application of any other law.</w:t>
      </w:r>
    </w:p>
    <w:p>
      <w:pPr>
        <w:spacing w:after="0" w:line="177" w:lineRule="exact"/>
        <w:rPr>
          <w:rFonts w:ascii="Times New Roman" w:cs="Times New Roman" w:eastAsia="Times New Roman" w:hAnsi="Times New Roman"/>
          <w:sz w:val="18"/>
          <w:szCs w:val="18"/>
          <w:color w:val="auto"/>
        </w:rPr>
      </w:pPr>
    </w:p>
    <w:p>
      <w:pPr>
        <w:jc w:val="both"/>
        <w:ind w:left="940" w:right="299" w:hanging="648"/>
        <w:spacing w:after="0" w:line="243"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This Amendment, together with the Agreement, constitute the entire agreement, both written and oral, between the Parties with respect to the termination of the TIM-3 Development Program, and all other prior agreements respecting the termination of the TIM-3 Development Program, either written or oral, express or implied, shall be abrogated, canceled, and are null and void and of no effect. No amendment or change hereof or addition hereto shall be effective or binding on either of the Parties unless reduced to writing and executed by the respective duly authorized representatives of AnaptysBio and TESARO. TESARO, Inc., and TESARO Development, Ltd. shall be jointly and severally liable for all obligations of TESARO under this Amendment.</w:t>
      </w:r>
    </w:p>
    <w:p>
      <w:pPr>
        <w:spacing w:after="0" w:line="199" w:lineRule="exact"/>
        <w:rPr>
          <w:rFonts w:ascii="Times New Roman" w:cs="Times New Roman" w:eastAsia="Times New Roman" w:hAnsi="Times New Roman"/>
          <w:sz w:val="18"/>
          <w:szCs w:val="18"/>
          <w:color w:val="auto"/>
        </w:rPr>
      </w:pPr>
    </w:p>
    <w:p>
      <w:pPr>
        <w:jc w:val="both"/>
        <w:ind w:left="940" w:right="299" w:hanging="648"/>
        <w:spacing w:after="0" w:line="243"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This Amendment shall be effective for all purposes as of the Amendment Date. Except as expressly modified herein, the Agreement shall continue to remain in full force and effect in accordance with its terms. In the event of any express conflict between the Agreement and this Amendment, the terms and conditions of this Amendment shall supersede and control only with regard to the TIM-3 Development Program to the extent of such conflict. From and after the Amendment Date, each reference in the Agreement to “this Agreement,” “hereunder,” “hereof,” “hereto,” “herein,” and words of like import referring to the Agreement shall mean and be a reference to the Agreement as amended, as applicable, by this Amendment. </w:t>
      </w:r>
      <w:r>
        <w:rPr>
          <w:rFonts w:ascii="Times New Roman" w:cs="Times New Roman" w:eastAsia="Times New Roman" w:hAnsi="Times New Roman"/>
          <w:sz w:val="18"/>
          <w:szCs w:val="18"/>
          <w:u w:val="single" w:color="auto"/>
          <w:color w:val="auto"/>
        </w:rPr>
        <w:t>Sections 15.2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15.10</w:t>
      </w:r>
      <w:r>
        <w:rPr>
          <w:rFonts w:ascii="Times New Roman" w:cs="Times New Roman" w:eastAsia="Times New Roman" w:hAnsi="Times New Roman"/>
          <w:sz w:val="18"/>
          <w:szCs w:val="18"/>
          <w:color w:val="auto"/>
        </w:rPr>
        <w:t xml:space="preserve"> of the Agreement shall apply to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This Amendment may be executed in counterparts, each of which shall be deemed to be an original and together shall be deemed to be one and the same document.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476250</wp:posOffset>
            </wp:positionV>
            <wp:extent cx="703770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55" w:name="page56"/>
    <w:bookmarkEnd w:id="55"/>
    <w:p>
      <w:pPr>
        <w:ind w:left="300" w:right="319" w:firstLine="648"/>
        <w:spacing w:after="0" w:line="266" w:lineRule="auto"/>
        <w:rPr>
          <w:sz w:val="20"/>
          <w:szCs w:val="20"/>
          <w:color w:val="auto"/>
        </w:rPr>
      </w:pPr>
      <w:r>
        <w:rPr>
          <w:rFonts w:ascii="Times New Roman" w:cs="Times New Roman" w:eastAsia="Times New Roman" w:hAnsi="Times New Roman"/>
          <w:sz w:val="18"/>
          <w:szCs w:val="18"/>
          <w:color w:val="auto"/>
        </w:rPr>
        <w:t>IN WITNESS WHEREOF, the Parties have caused this Amendment to be executed by their duly authorized representatives as of the Amendment Date.</w:t>
      </w:r>
    </w:p>
    <w:p>
      <w:pPr>
        <w:sectPr>
          <w:pgSz w:w="11900" w:h="16838" w:orient="portrait"/>
          <w:cols w:equalWidth="0" w:num="1">
            <w:col w:w="9019"/>
          </w:cols>
          <w:pgMar w:left="1440" w:top="1417" w:right="1440" w:bottom="1440" w:gutter="0" w:footer="0" w:header="0"/>
        </w:sectPr>
      </w:pPr>
    </w:p>
    <w:p>
      <w:pPr>
        <w:spacing w:after="0" w:line="3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TESARO, INC.</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jc w:val="center"/>
        <w:ind w:right="2779"/>
        <w:spacing w:after="0"/>
        <w:rPr>
          <w:sz w:val="20"/>
          <w:szCs w:val="20"/>
          <w:color w:val="auto"/>
        </w:rPr>
      </w:pPr>
      <w:r>
        <w:rPr>
          <w:rFonts w:ascii="Times New Roman" w:cs="Times New Roman" w:eastAsia="Times New Roman" w:hAnsi="Times New Roman"/>
          <w:sz w:val="17"/>
          <w:szCs w:val="17"/>
          <w:b w:val="1"/>
          <w:bCs w:val="1"/>
          <w:color w:val="auto"/>
        </w:rPr>
        <w:t>ANAPTYSBIO, INC.</w:t>
      </w:r>
    </w:p>
    <w:p>
      <w:pPr>
        <w:spacing w:after="0" w:line="211" w:lineRule="exact"/>
        <w:rPr>
          <w:sz w:val="20"/>
          <w:szCs w:val="20"/>
          <w:color w:val="auto"/>
        </w:rPr>
      </w:pPr>
    </w:p>
    <w:p>
      <w:pPr>
        <w:sectPr>
          <w:pgSz w:w="11900" w:h="16838" w:orient="portrait"/>
          <w:cols w:equalWidth="0" w:num="2">
            <w:col w:w="3880" w:space="720"/>
            <w:col w:w="4419"/>
          </w:cols>
          <w:pgMar w:left="1440" w:top="1417" w:right="1440" w:bottom="1440" w:gutter="0" w:footer="0" w:header="0"/>
          <w:type w:val="continuous"/>
        </w:sectPr>
      </w:pP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By: /s/ Hatixhe Hoxha</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2879"/>
        <w:spacing w:after="0"/>
        <w:rPr>
          <w:sz w:val="20"/>
          <w:szCs w:val="20"/>
          <w:color w:val="auto"/>
        </w:rPr>
      </w:pPr>
      <w:r>
        <w:rPr>
          <w:rFonts w:ascii="Times New Roman" w:cs="Times New Roman" w:eastAsia="Times New Roman" w:hAnsi="Times New Roman"/>
          <w:sz w:val="17"/>
          <w:szCs w:val="17"/>
          <w:color w:val="auto"/>
        </w:rPr>
        <w:t>By: /s/ Eric Loumeau</w:t>
      </w:r>
    </w:p>
    <w:p>
      <w:pPr>
        <w:spacing w:after="0" w:line="209" w:lineRule="exact"/>
        <w:rPr>
          <w:sz w:val="20"/>
          <w:szCs w:val="20"/>
          <w:color w:val="auto"/>
        </w:rPr>
      </w:pPr>
    </w:p>
    <w:p>
      <w:pPr>
        <w:sectPr>
          <w:pgSz w:w="11900" w:h="16838" w:orient="portrait"/>
          <w:cols w:equalWidth="0" w:num="2">
            <w:col w:w="3880" w:space="720"/>
            <w:col w:w="4419"/>
          </w:cols>
          <w:pgMar w:left="1440" w:top="1417" w:right="1440"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7"/>
          <w:szCs w:val="17"/>
          <w:color w:val="auto"/>
        </w:rPr>
        <w:t>Name: Hatixhe Hoxha</w:t>
      </w:r>
    </w:p>
    <w:p>
      <w:pPr>
        <w:spacing w:after="0" w:line="20" w:lineRule="exact"/>
        <w:rPr>
          <w:sz w:val="20"/>
          <w:szCs w:val="20"/>
          <w:color w:val="auto"/>
        </w:rPr>
      </w:pPr>
      <w:r>
        <w:rPr>
          <w:sz w:val="20"/>
          <w:szCs w:val="20"/>
          <w:color w:val="auto"/>
        </w:rPr>
        <w:br w:type="column"/>
      </w:r>
    </w:p>
    <w:p>
      <w:pPr>
        <w:jc w:val="center"/>
        <w:ind w:right="2879"/>
        <w:spacing w:after="0"/>
        <w:rPr>
          <w:sz w:val="20"/>
          <w:szCs w:val="20"/>
          <w:color w:val="auto"/>
        </w:rPr>
      </w:pPr>
      <w:r>
        <w:rPr>
          <w:rFonts w:ascii="Times New Roman" w:cs="Times New Roman" w:eastAsia="Times New Roman" w:hAnsi="Times New Roman"/>
          <w:sz w:val="17"/>
          <w:szCs w:val="17"/>
          <w:color w:val="auto"/>
        </w:rPr>
        <w:t>Name: Eric Loumeau</w:t>
      </w:r>
    </w:p>
    <w:p>
      <w:pPr>
        <w:spacing w:after="0" w:line="200" w:lineRule="exact"/>
        <w:rPr>
          <w:sz w:val="20"/>
          <w:szCs w:val="20"/>
          <w:color w:val="auto"/>
        </w:rPr>
      </w:pPr>
    </w:p>
    <w:p>
      <w:pPr>
        <w:sectPr>
          <w:pgSz w:w="11900" w:h="16838" w:orient="portrait"/>
          <w:cols w:equalWidth="0" w:num="2">
            <w:col w:w="3880" w:space="720"/>
            <w:col w:w="4419"/>
          </w:cols>
          <w:pgMar w:left="1440" w:top="1417" w:right="1440" w:bottom="1440" w:gutter="0" w:footer="0" w:header="0"/>
          <w:type w:val="continuous"/>
        </w:sectPr>
      </w:pPr>
    </w:p>
    <w:p>
      <w:pPr>
        <w:spacing w:after="0" w:line="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Title: Assistant Secretary</w:t>
      </w:r>
    </w:p>
    <w:p>
      <w:pPr>
        <w:spacing w:after="0" w:line="20" w:lineRule="exact"/>
        <w:rPr>
          <w:sz w:val="20"/>
          <w:szCs w:val="20"/>
          <w:color w:val="auto"/>
        </w:rPr>
      </w:pPr>
      <w:r>
        <w:rPr>
          <w:sz w:val="20"/>
          <w:szCs w:val="20"/>
          <w:color w:val="auto"/>
        </w:rPr>
        <w:br w:type="column"/>
      </w:r>
    </w:p>
    <w:p>
      <w:pPr>
        <w:jc w:val="center"/>
        <w:ind w:right="2559"/>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00" w:lineRule="exact"/>
        <w:rPr>
          <w:sz w:val="20"/>
          <w:szCs w:val="20"/>
          <w:color w:val="auto"/>
        </w:rPr>
      </w:pPr>
    </w:p>
    <w:p>
      <w:pPr>
        <w:sectPr>
          <w:pgSz w:w="11900" w:h="16838" w:orient="portrait"/>
          <w:cols w:equalWidth="0" w:num="2">
            <w:col w:w="3880" w:space="720"/>
            <w:col w:w="4419"/>
          </w:cols>
          <w:pgMar w:left="1440" w:top="14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TESARO DEVELOPMENT, LTD.</w:t>
      </w:r>
    </w:p>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By: /s/ Justin Huang</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Justin Huang</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Amendment No. 6 to Collaboration and Exclusive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493395</wp:posOffset>
            </wp:positionV>
            <wp:extent cx="703770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type w:val="continuous"/>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Investigator-Sponsored Studies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477520</wp:posOffset>
            </wp:positionV>
            <wp:extent cx="703770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APPENDIX B</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Ongoing Clinical Trials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477520</wp:posOffset>
            </wp:positionV>
            <wp:extent cx="703770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Planned Publications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APPENDIX D</w:t>
      </w:r>
    </w:p>
    <w:p>
      <w:pPr>
        <w:sectPr>
          <w:pgSz w:w="11900" w:h="16838" w:orient="portrait"/>
          <w:cols w:equalWidth="0" w:num="1">
            <w:col w:w="9019"/>
          </w:cols>
          <w:pgMar w:left="1440" w:top="1413" w:right="1440"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Appendix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type w:val="continuous"/>
        </w:sectPr>
      </w:pPr>
    </w:p>
    <w:bookmarkStart w:id="60" w:name="page61"/>
    <w:bookmarkEnd w:id="60"/>
    <w:p>
      <w:pPr>
        <w:jc w:val="center"/>
        <w:ind w:right="40"/>
        <w:spacing w:after="0" w:line="262" w:lineRule="auto"/>
        <w:rPr>
          <w:sz w:val="20"/>
          <w:szCs w:val="20"/>
          <w:color w:val="auto"/>
        </w:rPr>
      </w:pPr>
      <w:r>
        <w:rPr>
          <w:rFonts w:ascii="Times New Roman" w:cs="Times New Roman" w:eastAsia="Times New Roman" w:hAnsi="Times New Roman"/>
          <w:sz w:val="22"/>
          <w:szCs w:val="22"/>
          <w:b w:val="1"/>
          <w:bCs w:val="1"/>
          <w:color w:val="auto"/>
        </w:rPr>
        <w:t>CERTAIN PERSONAL INFORMATION IN THIS EXHIBIT, MARKED BY [*], HAS BEEN REDACTED PURSUANT TO ITEM 601(A)(6) OF REGULATION S-K.</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CONSULTING AGREEMENT</w:t>
      </w:r>
    </w:p>
    <w:p>
      <w:pPr>
        <w:spacing w:after="0" w:line="245" w:lineRule="exact"/>
        <w:rPr>
          <w:sz w:val="20"/>
          <w:szCs w:val="20"/>
          <w:color w:val="auto"/>
        </w:rPr>
      </w:pPr>
    </w:p>
    <w:p>
      <w:pPr>
        <w:ind w:right="800" w:firstLine="432"/>
        <w:spacing w:after="0" w:line="244" w:lineRule="auto"/>
        <w:rPr>
          <w:sz w:val="20"/>
          <w:szCs w:val="20"/>
          <w:color w:val="auto"/>
        </w:rPr>
      </w:pPr>
      <w:r>
        <w:rPr>
          <w:rFonts w:ascii="Times New Roman" w:cs="Times New Roman" w:eastAsia="Times New Roman" w:hAnsi="Times New Roman"/>
          <w:sz w:val="22"/>
          <w:szCs w:val="22"/>
          <w:color w:val="auto"/>
        </w:rPr>
        <w:t>This Consulting Agreement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entered into as of April 20, 2026,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between AnaptysBio, Inc., a Delaware corporation having its principal place of business in San Diego, California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Anaptys</w:t>
      </w:r>
      <w:r>
        <w:rPr>
          <w:rFonts w:ascii="Times New Roman" w:cs="Times New Roman" w:eastAsia="Times New Roman" w:hAnsi="Times New Roman"/>
          <w:sz w:val="22"/>
          <w:szCs w:val="22"/>
          <w:color w:val="auto"/>
        </w:rPr>
        <w:t>”), and Daniel Faga, an individual whose address is [*] (“</w:t>
      </w:r>
      <w:r>
        <w:rPr>
          <w:rFonts w:ascii="Times New Roman" w:cs="Times New Roman" w:eastAsia="Times New Roman" w:hAnsi="Times New Roman"/>
          <w:sz w:val="22"/>
          <w:szCs w:val="22"/>
          <w:b w:val="1"/>
          <w:bCs w:val="1"/>
          <w:i w:val="1"/>
          <w:iCs w:val="1"/>
          <w:color w:val="auto"/>
        </w:rPr>
        <w:t>Consultant</w:t>
      </w:r>
      <w:r>
        <w:rPr>
          <w:rFonts w:ascii="Times New Roman" w:cs="Times New Roman" w:eastAsia="Times New Roman" w:hAnsi="Times New Roman"/>
          <w:sz w:val="22"/>
          <w:szCs w:val="22"/>
          <w:color w:val="auto"/>
        </w:rPr>
        <w:t>”, and collectively with the Company,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will complete a distribution to its stockholders of shares of common stock of First Tracks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Biotherapeutics, Inc. (“</w:t>
      </w:r>
      <w:r>
        <w:rPr>
          <w:rFonts w:ascii="Times New Roman" w:cs="Times New Roman" w:eastAsia="Times New Roman" w:hAnsi="Times New Roman"/>
          <w:sz w:val="22"/>
          <w:szCs w:val="22"/>
          <w:b w:val="1"/>
          <w:bCs w:val="1"/>
          <w:i w:val="1"/>
          <w:iCs w:val="1"/>
          <w:color w:val="auto"/>
        </w:rPr>
        <w:t>TRAX</w:t>
      </w:r>
      <w:r>
        <w:rPr>
          <w:rFonts w:ascii="Times New Roman" w:cs="Times New Roman" w:eastAsia="Times New Roman" w:hAnsi="Times New Roman"/>
          <w:sz w:val="22"/>
          <w:szCs w:val="22"/>
          <w:color w:val="auto"/>
        </w:rPr>
        <w:t>”), a wholly owned subsidiary of the Company (the “</w:t>
      </w:r>
      <w:r>
        <w:rPr>
          <w:rFonts w:ascii="Times New Roman" w:cs="Times New Roman" w:eastAsia="Times New Roman" w:hAnsi="Times New Roman"/>
          <w:sz w:val="22"/>
          <w:szCs w:val="22"/>
          <w:b w:val="1"/>
          <w:bCs w:val="1"/>
          <w:i w:val="1"/>
          <w:iCs w:val="1"/>
          <w:color w:val="auto"/>
        </w:rPr>
        <w:t>Transaction</w:t>
      </w:r>
      <w:r>
        <w:rPr>
          <w:rFonts w:ascii="Times New Roman" w:cs="Times New Roman" w:eastAsia="Times New Roman" w:hAnsi="Times New Roman"/>
          <w:sz w:val="22"/>
          <w:szCs w:val="22"/>
          <w:color w:val="auto"/>
        </w:rPr>
        <w:t>”), which is anticipated to be completed on April 20, 2026;</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TRAX is a newly formed public company; and</w:t>
      </w:r>
    </w:p>
    <w:p>
      <w:pPr>
        <w:spacing w:after="0" w:line="24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Consultant has agreed to provide consulting services to the Company following the Transaction,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set forth in this Agreement;</w:t>
      </w:r>
    </w:p>
    <w:p>
      <w:pPr>
        <w:spacing w:after="0" w:line="19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in consideration of the foregoing recitals and the mutual agreements contained herein,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and sufficiency of which are hereby acknowledged, the Parties agree as follows with respect to the services to be rendered by the Consultant:</w:t>
      </w:r>
    </w:p>
    <w:p>
      <w:pPr>
        <w:spacing w:after="0" w:line="206" w:lineRule="exact"/>
        <w:rPr>
          <w:sz w:val="20"/>
          <w:szCs w:val="20"/>
          <w:color w:val="auto"/>
        </w:rPr>
      </w:pPr>
    </w:p>
    <w:p>
      <w:pPr>
        <w:jc w:val="both"/>
        <w:ind w:firstLine="757"/>
        <w:spacing w:after="0" w:line="244" w:lineRule="auto"/>
        <w:tabs>
          <w:tab w:leader="none" w:pos="101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Statement of Work</w:t>
      </w:r>
      <w:r>
        <w:rPr>
          <w:rFonts w:ascii="Times New Roman" w:cs="Times New Roman" w:eastAsia="Times New Roman" w:hAnsi="Times New Roman"/>
          <w:sz w:val="22"/>
          <w:szCs w:val="22"/>
          <w:color w:val="auto"/>
        </w:rPr>
        <w:t xml:space="preserve">. Company and Consultant have executed (or will execute) one or more statements of work,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that describe the specific services to be performed by Consultant (each, as executed, the “</w:t>
      </w:r>
      <w:r>
        <w:rPr>
          <w:rFonts w:ascii="Times New Roman" w:cs="Times New Roman" w:eastAsia="Times New Roman" w:hAnsi="Times New Roman"/>
          <w:sz w:val="22"/>
          <w:szCs w:val="22"/>
          <w:b w:val="1"/>
          <w:bCs w:val="1"/>
          <w:i w:val="1"/>
          <w:iCs w:val="1"/>
          <w:color w:val="auto"/>
        </w:rPr>
        <w:t>Statement of Work</w:t>
      </w:r>
      <w:r>
        <w:rPr>
          <w:rFonts w:ascii="Times New Roman" w:cs="Times New Roman" w:eastAsia="Times New Roman" w:hAnsi="Times New Roman"/>
          <w:sz w:val="22"/>
          <w:szCs w:val="22"/>
          <w:color w:val="auto"/>
        </w:rPr>
        <w:t>”). The Statement of Work will expressly refer to, form a part of, and be subject to the terms and conditions contained herein.</w:t>
      </w:r>
    </w:p>
    <w:p>
      <w:pPr>
        <w:spacing w:after="0" w:line="166" w:lineRule="exact"/>
        <w:rPr>
          <w:rFonts w:ascii="Times New Roman" w:cs="Times New Roman" w:eastAsia="Times New Roman" w:hAnsi="Times New Roman"/>
          <w:sz w:val="22"/>
          <w:szCs w:val="22"/>
          <w:color w:val="auto"/>
        </w:rPr>
      </w:pPr>
    </w:p>
    <w:p>
      <w:pPr>
        <w:jc w:val="both"/>
        <w:ind w:firstLine="757"/>
        <w:spacing w:after="0" w:line="250" w:lineRule="auto"/>
        <w:tabs>
          <w:tab w:leader="none" w:pos="101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Services</w:t>
      </w:r>
      <w:r>
        <w:rPr>
          <w:rFonts w:ascii="Times New Roman" w:cs="Times New Roman" w:eastAsia="Times New Roman" w:hAnsi="Times New Roman"/>
          <w:sz w:val="22"/>
          <w:szCs w:val="22"/>
          <w:color w:val="auto"/>
        </w:rPr>
        <w:t>. Consultant will perform the services described in the Statement of Work (the “</w:t>
      </w:r>
      <w:r>
        <w:rPr>
          <w:rFonts w:ascii="Times New Roman" w:cs="Times New Roman" w:eastAsia="Times New Roman" w:hAnsi="Times New Roman"/>
          <w:sz w:val="22"/>
          <w:szCs w:val="22"/>
          <w:b w:val="1"/>
          <w:bCs w:val="1"/>
          <w:i w:val="1"/>
          <w:iCs w:val="1"/>
          <w:color w:val="auto"/>
        </w:rPr>
        <w:t>Services</w:t>
      </w:r>
      <w:r>
        <w:rPr>
          <w:rFonts w:ascii="Times New Roman" w:cs="Times New Roman" w:eastAsia="Times New Roman" w:hAnsi="Times New Roman"/>
          <w:sz w:val="22"/>
          <w:szCs w:val="22"/>
          <w:color w:val="auto"/>
        </w:rPr>
        <w:t>”) in accordance with its terms and this Agreement. Consultant represents and warrants that Services will be performed in a thorough and professional manner, consistent with high professional and industry standards by individuals with the requisite training, background, experience, technical knowledge, and skills to perform Services.</w:t>
      </w:r>
    </w:p>
    <w:p>
      <w:pPr>
        <w:spacing w:after="0" w:line="166" w:lineRule="exact"/>
        <w:rPr>
          <w:rFonts w:ascii="Times New Roman" w:cs="Times New Roman" w:eastAsia="Times New Roman" w:hAnsi="Times New Roman"/>
          <w:sz w:val="22"/>
          <w:szCs w:val="22"/>
          <w:color w:val="auto"/>
        </w:rPr>
      </w:pPr>
    </w:p>
    <w:p>
      <w:pPr>
        <w:jc w:val="both"/>
        <w:ind w:firstLine="757"/>
        <w:spacing w:after="0" w:line="250" w:lineRule="auto"/>
        <w:tabs>
          <w:tab w:leader="none" w:pos="101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Expenses</w:t>
      </w:r>
      <w:r>
        <w:rPr>
          <w:rFonts w:ascii="Times New Roman" w:cs="Times New Roman" w:eastAsia="Times New Roman" w:hAnsi="Times New Roman"/>
          <w:sz w:val="22"/>
          <w:szCs w:val="22"/>
          <w:color w:val="auto"/>
        </w:rPr>
        <w:t>. Consultant will be compensated for Services in accordance with the terms of the Statement of Work. Unless otherwise specified in the Statement of Work, Company will not reimburse Consultant for any costs or expenses incurred by Consultant in connection with performing Services.</w:t>
      </w:r>
    </w:p>
    <w:p>
      <w:pPr>
        <w:spacing w:after="0" w:line="167" w:lineRule="exact"/>
        <w:rPr>
          <w:rFonts w:ascii="Times New Roman" w:cs="Times New Roman" w:eastAsia="Times New Roman" w:hAnsi="Times New Roman"/>
          <w:sz w:val="22"/>
          <w:szCs w:val="22"/>
          <w:color w:val="auto"/>
        </w:rPr>
      </w:pPr>
    </w:p>
    <w:p>
      <w:pPr>
        <w:jc w:val="both"/>
        <w:ind w:firstLine="757"/>
        <w:spacing w:after="0" w:line="241" w:lineRule="auto"/>
        <w:tabs>
          <w:tab w:leader="none" w:pos="101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Contractor</w:t>
      </w:r>
      <w:r>
        <w:rPr>
          <w:rFonts w:ascii="Times New Roman" w:cs="Times New Roman" w:eastAsia="Times New Roman" w:hAnsi="Times New Roman"/>
          <w:sz w:val="22"/>
          <w:szCs w:val="22"/>
          <w:color w:val="auto"/>
        </w:rPr>
        <w:t>. Consultant is an independent contractor and nothing in this Agreement will be construed as establishing an employment or agency relationship between Company and Consultant. Consultant has no authority to bind Company by contract or otherwise. Consultant will perform Services under the general direction of Company, but Consultant will determine, in Consultant’s sole discretion, the manner and means by which Services are accomplished, subject to the requirement that Consultant will at all times comply with applicable law. Consultant acknowledges that Company will not carry any liability insurance on behalf of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1" w:name="page62"/>
    <w:bookmarkEnd w:id="61"/>
    <w:p>
      <w:pPr>
        <w:jc w:val="both"/>
        <w:ind w:firstLine="757"/>
        <w:spacing w:after="0" w:line="239" w:lineRule="auto"/>
        <w:tabs>
          <w:tab w:leader="none" w:pos="10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 and Employee Benefits</w:t>
      </w:r>
      <w:r>
        <w:rPr>
          <w:rFonts w:ascii="Times New Roman" w:cs="Times New Roman" w:eastAsia="Times New Roman" w:hAnsi="Times New Roman"/>
          <w:sz w:val="22"/>
          <w:szCs w:val="22"/>
          <w:color w:val="auto"/>
        </w:rPr>
        <w:t>. Consultant will (a) report to all applicable government agencies as income all compensation received by Consultant pursuant to this Agreement; (b) remit all applicable taxes due and owing on such compensation; (c) otherwise comply fully with all applicable tax laws. With respect to any personnel engaged by Consultant as employees to perform Services, Consultant will be solely responsible for payment of all withholding taxes, social security, workers’ compensation, unemployment and disability insurance or similar items required by any government agency. Consultant will not be entitled to any benefits paid or made available by Company to its employees. Consultant will indemnify and hold Company harmless from and against all damages, liabilities, losses, penalties, fines, expenses and costs (including reasonable fees and expenses of attorneys and other professionals) arising out of or relating to any obligation imposed by law on Company to pay any withholding taxes or similar items in connection with compensation received by Consultant pursuant to this Agreement.</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of Work Product</w:t>
      </w:r>
      <w:r>
        <w:rPr>
          <w:rFonts w:ascii="Times New Roman" w:cs="Times New Roman" w:eastAsia="Times New Roman" w:hAnsi="Times New Roman"/>
          <w:sz w:val="22"/>
          <w:szCs w:val="22"/>
          <w:color w:val="auto"/>
        </w:rPr>
        <w:t>. Consultant will, as an integral part of the performance of Services, disclose in writing to Company all inventions, products, designs, drawings, notes, documents, information, documentation, improvements, works of authorship, processes, techniques, know-how, algorithms, specifications, biological or chemical specimens or samples, hardware, circuits, computer programs, databases, user interfaces, encoding techniques, and other materials of any kind that Consultant may make, conceive, develop or reduce to practice, alone or jointly with others, in connection with performing Services, or that result from or that are related to such Services, whether or not they are eligible for patent, copyright, mask work, trade secret, trademark or other legal protection (collectively, “</w:t>
      </w:r>
      <w:r>
        <w:rPr>
          <w:rFonts w:ascii="Times New Roman" w:cs="Times New Roman" w:eastAsia="Times New Roman" w:hAnsi="Times New Roman"/>
          <w:sz w:val="22"/>
          <w:szCs w:val="22"/>
          <w:b w:val="1"/>
          <w:bCs w:val="1"/>
          <w:i w:val="1"/>
          <w:iCs w:val="1"/>
          <w:color w:val="auto"/>
        </w:rPr>
        <w:t>Consultant Work Product</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 of Consultant Work Product</w:t>
      </w:r>
      <w:r>
        <w:rPr>
          <w:rFonts w:ascii="Times New Roman" w:cs="Times New Roman" w:eastAsia="Times New Roman" w:hAnsi="Times New Roman"/>
          <w:sz w:val="22"/>
          <w:szCs w:val="22"/>
          <w:color w:val="auto"/>
        </w:rPr>
        <w:t>. Consultant agrees that all Consultant Work Product will be the sole and exclusive property of Company. Consultant hereby irrevocably transfers and assigns to Company, and agrees to irrevocably transfer and assign to Company, all right, title and interest in and to the Consultant Work Product, including all worldwide patent rights (including patent applications and disclosures), copyright rights, mask work rights, trade secret rights, know-how, and any and all other intellectual property or proprietary rights (collectively, “</w:t>
      </w:r>
      <w:r>
        <w:rPr>
          <w:rFonts w:ascii="Times New Roman" w:cs="Times New Roman" w:eastAsia="Times New Roman" w:hAnsi="Times New Roman"/>
          <w:sz w:val="22"/>
          <w:szCs w:val="22"/>
          <w:b w:val="1"/>
          <w:bCs w:val="1"/>
          <w:i w:val="1"/>
          <w:iCs w:val="1"/>
          <w:color w:val="auto"/>
        </w:rPr>
        <w:t>Intellectual Property Rights</w:t>
      </w:r>
      <w:r>
        <w:rPr>
          <w:rFonts w:ascii="Times New Roman" w:cs="Times New Roman" w:eastAsia="Times New Roman" w:hAnsi="Times New Roman"/>
          <w:sz w:val="22"/>
          <w:szCs w:val="22"/>
          <w:color w:val="auto"/>
        </w:rPr>
        <w:t>”) therein. At Company’s request and expense, during and after the term of this Agreement, Consultant will assist and cooperate with Company in all respects and will execute documents and will take such further acts reasonably requested by Company to enable Company to acquire, transfer, maintain, perfect and enforce its Intellectual Property Rights and other legal protections for the Consultant Work Product. Consultant hereby appoints the officers of Company as Consultant’s attorney-in-fact to execute documents on behalf of Consultant for this limited purpose.</w:t>
      </w:r>
    </w:p>
    <w:p>
      <w:pPr>
        <w:spacing w:after="0" w:line="191"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Moral Rights</w:t>
      </w:r>
      <w:r>
        <w:rPr>
          <w:rFonts w:ascii="Times New Roman" w:cs="Times New Roman" w:eastAsia="Times New Roman" w:hAnsi="Times New Roman"/>
          <w:sz w:val="22"/>
          <w:szCs w:val="22"/>
          <w:color w:val="auto"/>
        </w:rPr>
        <w:t>. To the fullest extent permitted by applicable law, Consultant also hereby irrevocably transfers and assigns to Company, and waives and agrees never to assert, any and all Moral Rights (as defined below) that Consultant may have in or with respect to any Consultant Work Product, during and after the term of this Agreement. “</w:t>
      </w:r>
      <w:r>
        <w:rPr>
          <w:rFonts w:ascii="Times New Roman" w:cs="Times New Roman" w:eastAsia="Times New Roman" w:hAnsi="Times New Roman"/>
          <w:sz w:val="22"/>
          <w:szCs w:val="22"/>
          <w:b w:val="1"/>
          <w:bCs w:val="1"/>
          <w:i w:val="1"/>
          <w:iCs w:val="1"/>
          <w:color w:val="auto"/>
        </w:rPr>
        <w:t>Moral Rights</w:t>
      </w:r>
      <w:r>
        <w:rPr>
          <w:rFonts w:ascii="Times New Roman" w:cs="Times New Roman" w:eastAsia="Times New Roman" w:hAnsi="Times New Roman"/>
          <w:sz w:val="22"/>
          <w:szCs w:val="22"/>
          <w:color w:val="auto"/>
        </w:rPr>
        <w:t>” mean any rights to claim authorship of a work, to object to or prevent the modification or destruction of a work, to withdraw from circulation or control the publication or distribution of a work, and any similar right, existing under judicial or statutory law of any country in the world, or under any treaty, regardless of whether or not such right is called or generally referred to as a “moral right.”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2" w:name="page63"/>
    <w:bookmarkEnd w:id="62"/>
    <w:p>
      <w:pPr>
        <w:jc w:val="both"/>
        <w:ind w:firstLine="757"/>
        <w:spacing w:after="0"/>
        <w:tabs>
          <w:tab w:leader="none" w:pos="101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Related Rights</w:t>
      </w:r>
      <w:r>
        <w:rPr>
          <w:rFonts w:ascii="Times New Roman" w:cs="Times New Roman" w:eastAsia="Times New Roman" w:hAnsi="Times New Roman"/>
          <w:sz w:val="22"/>
          <w:szCs w:val="22"/>
          <w:color w:val="auto"/>
        </w:rPr>
        <w:t>. To the extent that Consultant owns or controls (presently or in the future) any patent rights, copyright rights, mask work rights, trade secret rights, or any other intellectual property or proprietary rights that may block or interfere with, or may otherwise be required for, the exercise by Company of the rights assigned to Company under this Agreement (collectively, “</w:t>
      </w:r>
      <w:r>
        <w:rPr>
          <w:rFonts w:ascii="Times New Roman" w:cs="Times New Roman" w:eastAsia="Times New Roman" w:hAnsi="Times New Roman"/>
          <w:sz w:val="22"/>
          <w:szCs w:val="22"/>
          <w:b w:val="1"/>
          <w:bCs w:val="1"/>
          <w:i w:val="1"/>
          <w:iCs w:val="1"/>
          <w:color w:val="auto"/>
        </w:rPr>
        <w:t>Related Rights</w:t>
      </w:r>
      <w:r>
        <w:rPr>
          <w:rFonts w:ascii="Times New Roman" w:cs="Times New Roman" w:eastAsia="Times New Roman" w:hAnsi="Times New Roman"/>
          <w:sz w:val="22"/>
          <w:szCs w:val="22"/>
          <w:color w:val="auto"/>
        </w:rPr>
        <w:t>”), Consultant hereby grants or will cause to be granted to Company a non-exclusive, royalty-free, irrevocable, perpetual, transferable, worldwide license (with the right to sublicense) to make, have made, use, offer to sell, sell, import, copy, modify, create derivative works based upon, distribute, sublicense, display, perform and transmit any products, software, hardware, methods or materials of any kind that are covered by such Related Rights, to the extent necessary to enable Company to exercise all of the rights assigned to Company under this Agreement.</w:t>
      </w:r>
    </w:p>
    <w:p>
      <w:pPr>
        <w:spacing w:after="0" w:line="17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b w:val="1"/>
          <w:bCs w:val="1"/>
          <w:i w:val="1"/>
          <w:iCs w:val="1"/>
          <w:color w:val="auto"/>
        </w:rPr>
        <w:t>Confidential Information</w:t>
      </w:r>
      <w:r>
        <w:rPr>
          <w:rFonts w:ascii="Times New Roman" w:cs="Times New Roman" w:eastAsia="Times New Roman" w:hAnsi="Times New Roman"/>
          <w:sz w:val="22"/>
          <w:szCs w:val="22"/>
          <w:color w:val="auto"/>
        </w:rPr>
        <w:t xml:space="preserve">” means and will include: (a) any information, materials or knowledge regarding Company and its business, financial condition, products, programming techniques, customers, suppliers, technology or research and development that is disclosed to Consultant or to which Consultant has access in connection with performing Services; (b) the Consultant Work Product; and (c) the terms and conditions of this Agreement. Confidential Information will not include any information that: (i) is or becomes part of the public domain through no fault of Consultant; (ii) was rightfully in Consultant’s possession at the time of disclosure, without restriction as to use or disclosure; or (iii) Consultant rightfully receives from a third party who has the right to disclose it and who provides it without restriction as to use or disclosure. At all times, both during the term of this Agreement and after its termination, and to the fullest extent permitted by law, Consultant agrees to hold all Confidential Information in strict confidence, not to use it in any way, commercially or otherwise, except in performing Services, and not to disclose it to others. Consultant further agrees to take all actions reasonably necessary to protect the confidentiality of all Confidential Information including, without limitation, implementing and enforcing procedures to minimize the possibility of unauthorized use or disclosure of Confidential Information. Nothing in this section or otherwise in this Agreement shall limit or restrict in any way Consultant’s immunity from liability for disclosing Company’s trade secrets as specifically permitted by 18 U.S. Code Section 1833, the pertinent provisions of which are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11.</w:t>
      </w:r>
      <w:r>
        <w:rPr>
          <w:rFonts w:ascii="Times New Roman" w:cs="Times New Roman" w:eastAsia="Times New Roman" w:hAnsi="Times New Roman"/>
          <w:sz w:val="21"/>
          <w:szCs w:val="21"/>
          <w:u w:val="single" w:color="auto"/>
          <w:color w:val="auto"/>
        </w:rPr>
        <w:t>No Pre-existing Obligations; Non-infringement</w:t>
      </w:r>
      <w:r>
        <w:rPr>
          <w:rFonts w:ascii="Times New Roman" w:cs="Times New Roman" w:eastAsia="Times New Roman" w:hAnsi="Times New Roman"/>
          <w:sz w:val="21"/>
          <w:szCs w:val="21"/>
          <w:color w:val="auto"/>
        </w:rPr>
        <w:t>. Consultant represents and warrants that Consultant has no pre-existing obligations or commitments (and will not assume or otherwise undertake any obligations or commitments) that would be in conflict or inconsistent with or that would hinder Consultant’s performance of its obligations under this Agreement. Consultant agrees to inform Company promptly and in writing if any such conflict arises. Moreover, Consultant represents and warrants that the Consultant Work Product will not infringe, misappropriate or violate the rights of any third party, including, without limitation, any Intellectual Property Rights or any rights of privacy or rights of publicity, except to the extent any portion of the Consultant Work Product is created, developed or supplied by Company or by a third party on behalf of Company.</w:t>
      </w:r>
    </w:p>
    <w:p>
      <w:pPr>
        <w:spacing w:after="0" w:line="18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Competitive Activities</w:t>
      </w:r>
      <w:r>
        <w:rPr>
          <w:rFonts w:ascii="Times New Roman" w:cs="Times New Roman" w:eastAsia="Times New Roman" w:hAnsi="Times New Roman"/>
          <w:sz w:val="22"/>
          <w:szCs w:val="22"/>
          <w:color w:val="auto"/>
        </w:rPr>
        <w:t>. During the term of this Agreement, Consultant will not, directly or indirectly, in any individual or representative capacity, engage or participate in or provide services to any business that is competitive with the types and kinds of actual or reasonably anticipated business of Company.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3" w:name="page64"/>
    <w:bookmarkEnd w:id="63"/>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Indemnity</w:t>
      </w:r>
      <w:r>
        <w:rPr>
          <w:rFonts w:ascii="Times New Roman" w:cs="Times New Roman" w:eastAsia="Times New Roman" w:hAnsi="Times New Roman"/>
          <w:sz w:val="22"/>
          <w:szCs w:val="22"/>
          <w:color w:val="auto"/>
        </w:rPr>
        <w:t>. Consultant will defend, indemnify and hold Company harmless from and against all claims, damages, liabilities, losses, expenses and costs (including reasonable fees and expenses of attorneys and other professionals) arising out of or resulting from any action by a third party against Company that is based on: (a) a claim that any Services (including any Consultant Work Product), or Company’s use thereof, infringe, misappropriate or violate such third party’s Intellectual Property Rights; or (b) any act or omission of Consultant that results in: (i) personal injury (or death) or tangible or intangible property damage (including loss of use); or (ii) the violation of any statute, regulation or ordinance.</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Term; Termination</w:t>
      </w:r>
      <w:r>
        <w:rPr>
          <w:rFonts w:ascii="Times New Roman" w:cs="Times New Roman" w:eastAsia="Times New Roman" w:hAnsi="Times New Roman"/>
          <w:sz w:val="22"/>
          <w:szCs w:val="22"/>
          <w:color w:val="auto"/>
        </w:rPr>
        <w:t>. This Agreement will commence on the Effective Date and, unless terminated earlier in accordance with its terms, will remain in effect until January 15, 2027 (the “</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Notwithstanding the foregoing, the Termination Date will automatically be extended until either party decided to terminate this Agreement. Consultant may terminate this Agreement (including the Statement of Work) if Company breaches any material term of this Agreement and fails to cure such breach within thirty (30) days following written notice thereof from Consultant. Company may terminate this Agreement (including the Statement of Work) at any time, for any reason or no reason, upon notice to Consultant, effective as of the date notice is delivered under the Notice section, below. Upon the expiration or termination of this Agreement for any reason, Consultant will promptly deliver to Company all Consultant Work Product, including all work in progress on any Consultant Work Product not previously delivered to Company, if any; and will promptly deliver to Company all Confidential Information in Consultant’s possession or control.</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b w:val="1"/>
          <w:bCs w:val="1"/>
          <w:u w:val="single" w:color="auto"/>
          <w:color w:val="auto"/>
        </w:rPr>
        <w:t>LIMITATION OF LIABILITY</w:t>
      </w:r>
      <w:r>
        <w:rPr>
          <w:rFonts w:ascii="Times New Roman" w:cs="Times New Roman" w:eastAsia="Times New Roman" w:hAnsi="Times New Roman"/>
          <w:sz w:val="22"/>
          <w:szCs w:val="22"/>
          <w:b w:val="1"/>
          <w:bCs w:val="1"/>
          <w:color w:val="auto"/>
        </w:rPr>
        <w:t>. IN NO EVENT WILL COMPANY BE LIABLE FOR ANY SPECIAL,</w:t>
      </w:r>
    </w:p>
    <w:p>
      <w:pPr>
        <w:spacing w:after="0" w:line="3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INCIDENTAL, PUNITIVE, EXEMPLARY OR CONSEQUENTIAL DAMAGES OF ANY KIND IN CONNECTION WITH THIS AGREEMENT, EVEN IF COMPANY HAS BEEN INFORMED IN ADVANCE OF THE POSSIBILITY OF SUCH DAMAGES.</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Arbitration and Class and Collective Action Waiver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9" w:lineRule="auto"/>
        <w:tabs>
          <w:tab w:leader="none" w:pos="182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law, Consultant and Company agree to submit to mandatory binding arbitration, pursuant to and governed by the Federal Arbitration Act (the “</w:t>
      </w:r>
      <w:r>
        <w:rPr>
          <w:rFonts w:ascii="Times New Roman" w:cs="Times New Roman" w:eastAsia="Times New Roman" w:hAnsi="Times New Roman"/>
          <w:sz w:val="22"/>
          <w:szCs w:val="22"/>
          <w:b w:val="1"/>
          <w:bCs w:val="1"/>
          <w:i w:val="1"/>
          <w:iCs w:val="1"/>
          <w:color w:val="auto"/>
        </w:rPr>
        <w:t>FAA</w:t>
      </w:r>
      <w:r>
        <w:rPr>
          <w:rFonts w:ascii="Times New Roman" w:cs="Times New Roman" w:eastAsia="Times New Roman" w:hAnsi="Times New Roman"/>
          <w:sz w:val="22"/>
          <w:szCs w:val="22"/>
          <w:color w:val="auto"/>
        </w:rPr>
        <w:t xml:space="preserve">”), any and all claims that (i) Consultant may have against Company and its directors, officers, owners, employees, agents, successors and assigns, and (ii) Company may have against Consultant, arising out of or related to this Agreement or Consultant’s consulting services to Company and the termination thereof, including claims under any federal, state or local ordinance, statute, regulation or constitutional provision, and, if Consultant is a California resident, individual claims under the California Private Attorneys General Act (California Labor Code Section 2698,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(collectively, “</w:t>
      </w:r>
      <w:r>
        <w:rPr>
          <w:rFonts w:ascii="Times New Roman" w:cs="Times New Roman" w:eastAsia="Times New Roman" w:hAnsi="Times New Roman"/>
          <w:sz w:val="22"/>
          <w:szCs w:val="22"/>
          <w:b w:val="1"/>
          <w:bCs w:val="1"/>
          <w:i w:val="1"/>
          <w:iCs w:val="1"/>
          <w:color w:val="auto"/>
        </w:rPr>
        <w:t>Arbitrable Claims</w:t>
      </w:r>
      <w:r>
        <w:rPr>
          <w:rFonts w:ascii="Times New Roman" w:cs="Times New Roman" w:eastAsia="Times New Roman" w:hAnsi="Times New Roman"/>
          <w:sz w:val="22"/>
          <w:szCs w:val="22"/>
          <w:color w:val="auto"/>
        </w:rPr>
        <w:t>”). Further, to the fullest extent permitted by law, Consultant and Company agree that no class or collective actions can be asserted in arbitration, court or any other forum. All claims must be brought solely in Consultant’s or Company’s individual capacity, and not as a plaintiff or class member in any purported class or collective proceeding.</w:t>
      </w:r>
    </w:p>
    <w:p>
      <w:pPr>
        <w:spacing w:after="0" w:line="180" w:lineRule="exact"/>
        <w:rPr>
          <w:rFonts w:ascii="Times New Roman" w:cs="Times New Roman" w:eastAsia="Times New Roman" w:hAnsi="Times New Roman"/>
          <w:sz w:val="22"/>
          <w:szCs w:val="22"/>
          <w:color w:val="auto"/>
        </w:rPr>
      </w:pPr>
    </w:p>
    <w:p>
      <w:pPr>
        <w:ind w:firstLine="1505"/>
        <w:spacing w:after="0" w:line="271" w:lineRule="auto"/>
        <w:tabs>
          <w:tab w:leader="none" w:pos="180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nothing in this arbitration provision restricts a party’s right to seek injunctive or other provisional relief in court, where permitted by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4" w:name="page65"/>
    <w:bookmarkEnd w:id="64"/>
    <w:p>
      <w:pPr>
        <w:jc w:val="both"/>
        <w:spacing w:after="0" w:line="258" w:lineRule="auto"/>
        <w:rPr>
          <w:sz w:val="20"/>
          <w:szCs w:val="20"/>
          <w:color w:val="auto"/>
        </w:rPr>
      </w:pPr>
      <w:r>
        <w:rPr>
          <w:rFonts w:ascii="Times New Roman" w:cs="Times New Roman" w:eastAsia="Times New Roman" w:hAnsi="Times New Roman"/>
          <w:sz w:val="22"/>
          <w:szCs w:val="22"/>
          <w:color w:val="auto"/>
        </w:rPr>
        <w:t>law, including, but not limited to, in connection with violations of restrictive covenants and/or the misappropriation of a party’s private, proprietary, confidential or trade secret information.</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SUBJECT TO THE ABOVE, THE PARTIES HEREBY WAIVE ANY RIGHTS THEY MAY HAVE TO TRIAL BY JURY IN REGARD TO ARBITRABLE CLAIMS. THE PARTIES FURTHER WAIVE ANY RIGHTS THEY MAY HAVE TO PURSUE OR PARTICIPATE IN A CLASS OR COLLECTIVE ACTION PERTAINING TO ANY CLAIMS BETWEEN CONSULTANT AND COMPANY.</w:t>
      </w:r>
    </w:p>
    <w:p>
      <w:pPr>
        <w:spacing w:after="0" w:line="173" w:lineRule="exact"/>
        <w:rPr>
          <w:sz w:val="20"/>
          <w:szCs w:val="20"/>
          <w:color w:val="auto"/>
        </w:rPr>
      </w:pPr>
    </w:p>
    <w:p>
      <w:pPr>
        <w:jc w:val="both"/>
        <w:ind w:firstLine="1505"/>
        <w:spacing w:after="0" w:line="238" w:lineRule="auto"/>
        <w:tabs>
          <w:tab w:leader="none" w:pos="180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arbitration shall be conducted through JAMS before a single neutral arbitrator, in accordance with the JAMS comprehensive arbitration rules then in effect, provided however, that the FAA, including its procedural provisions for compelling arbitration, shall govern and apply to this arbitration provision. The JAMS rules may be found at https://www.jamsadr.com/rules-comprehensive-arbitration/. If Consultant is unable to access these rules, upon request, a hardcopy will be provided by Company to Consultant. Unless the parties agree otherwise, or as otherwise required by applicable law, the arbitration hearing shall take place in California. This arbitration provision is governed by and will be construed in accordance with the FAA, and it shall only apply to claims that are subject to mandatory binding arbitration under applicable law</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If, for any reason, any term of this arbitration provision is held to be invalid or unenforceable, all other valid terms and conditions herein shall be severable in nature and remain fully enforceable.</w:t>
      </w:r>
    </w:p>
    <w:p>
      <w:pPr>
        <w:spacing w:after="0" w:line="199"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Governing Law; Attorneys’ Fees</w:t>
      </w:r>
      <w:r>
        <w:rPr>
          <w:rFonts w:ascii="Times New Roman" w:cs="Times New Roman" w:eastAsia="Times New Roman" w:hAnsi="Times New Roman"/>
          <w:sz w:val="22"/>
          <w:szCs w:val="22"/>
          <w:color w:val="auto"/>
        </w:rPr>
        <w:t>. This Agreement shall be construed in accordance with and governed by the law of the State of California, without giving effect to any principles of conflict of laws that would lead to the application of the laws of another jurisdiction. If any provision of this Agreement is invalid, illegal or unenforceable in any respect, such provision will be enforced to the maximum extent possible, given the fundamental intentions of the parties when entering into this Agreement. To the extent such provision cannot be so enforced, it will be stricken from this Agreement and the remainder of this Agreement will be enforced as if such invalid, illegal or unenforceable provision had never been contained in this Agreement. If any action is necessary to enforce the terms of this Agreement, the substantially prevailing party will be entitled to reasonable attorneys’ fees, costs and expenses in addition to any other relief to which such prevailing party may be entitled.</w:t>
      </w:r>
    </w:p>
    <w:p>
      <w:pPr>
        <w:spacing w:after="0" w:line="17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required or permitted under this Agreement will be in writing, will reference this Agreement, and will be deemed given: (a) when delivered personally; (b) when sent via e-mail; (c) one (1) business day after deposit with a nationally-recognized express courier, with written confirmation of receipt; or (d) three (3) business days after having been sent by registered or certified mail, return receipt requested, postage prepaid. All such notices will be sent to the addresses set forth above or to such other address as may be specified by either party to the other party in accordance with this Section.</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Other Terms</w:t>
      </w:r>
      <w:r>
        <w:rPr>
          <w:rFonts w:ascii="Times New Roman" w:cs="Times New Roman" w:eastAsia="Times New Roman" w:hAnsi="Times New Roman"/>
          <w:sz w:val="22"/>
          <w:szCs w:val="22"/>
          <w:color w:val="auto"/>
        </w:rPr>
        <w:t>. The failure by either party to enforce any provision of this Agreement will not constitute a waiver of future enforcement of that or any other provision. This Agreement, together with the Statement of Work, constitutes the complete and exclusive understanding and agreement of the parties with respect to its subject matter and supersedes all prior understandings and agreements, whether written or oral, with respect to its subject matter. In the event of a conflict,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5" w:name="page66"/>
    <w:bookmarkEnd w:id="65"/>
    <w:p>
      <w:pPr>
        <w:jc w:val="both"/>
        <w:spacing w:after="0" w:line="244" w:lineRule="auto"/>
        <w:rPr>
          <w:sz w:val="20"/>
          <w:szCs w:val="20"/>
          <w:color w:val="auto"/>
        </w:rPr>
      </w:pPr>
      <w:r>
        <w:rPr>
          <w:rFonts w:ascii="Times New Roman" w:cs="Times New Roman" w:eastAsia="Times New Roman" w:hAnsi="Times New Roman"/>
          <w:sz w:val="22"/>
          <w:szCs w:val="22"/>
          <w:color w:val="auto"/>
        </w:rPr>
        <w:t>the terms and conditions of the Statement of Work will take precedence over the terms and conditions of this Agreement. Any waiver, modification, or amendment of any provision of this Agreement will be effective only if in writing and signed by the parties hereto. This Agreement may be executed in counterparts, each of which will be deemed an original, but all of which together will constitute one and the same instrument.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AND CONSENTED TO:</w:t>
      </w:r>
    </w:p>
    <w:tbl>
      <w:tblPr>
        <w:tblLayout w:type="fixed"/>
        <w:tblInd w:w="100" w:type="dxa"/>
        <w:tblCellMar>
          <w:top w:w="0" w:type="dxa"/>
          <w:left w:w="0" w:type="dxa"/>
          <w:bottom w:w="0" w:type="dxa"/>
          <w:right w:w="0" w:type="dxa"/>
        </w:tblCellMar>
      </w:tblPr>
      <w:tr>
        <w:trPr>
          <w:trHeight w:val="233"/>
        </w:trPr>
        <w:tc>
          <w:tcPr>
            <w:tcW w:w="3780" w:type="dxa"/>
            <w:vAlign w:val="bottom"/>
            <w:gridSpan w:val="7"/>
          </w:tcPr>
          <w:p>
            <w:pPr>
              <w:spacing w:after="0" w:line="233" w:lineRule="exact"/>
              <w:rPr>
                <w:sz w:val="20"/>
                <w:szCs w:val="20"/>
                <w:color w:val="auto"/>
              </w:rPr>
            </w:pPr>
            <w:r>
              <w:rPr>
                <w:rFonts w:ascii="Times New Roman" w:cs="Times New Roman" w:eastAsia="Times New Roman" w:hAnsi="Times New Roman"/>
                <w:sz w:val="21"/>
                <w:szCs w:val="21"/>
                <w:b w:val="1"/>
                <w:bCs w:val="1"/>
                <w:color w:val="auto"/>
              </w:rPr>
              <w:t>COMPANY:</w:t>
            </w:r>
          </w:p>
        </w:tc>
        <w:tc>
          <w:tcPr>
            <w:tcW w:w="5820" w:type="dxa"/>
            <w:vAlign w:val="bottom"/>
            <w:gridSpan w:val="8"/>
          </w:tcPr>
          <w:p>
            <w:pPr>
              <w:ind w:left="1980"/>
              <w:spacing w:after="0" w:line="233" w:lineRule="exact"/>
              <w:rPr>
                <w:sz w:val="20"/>
                <w:szCs w:val="20"/>
                <w:color w:val="auto"/>
              </w:rPr>
            </w:pPr>
            <w:r>
              <w:rPr>
                <w:rFonts w:ascii="Times New Roman" w:cs="Times New Roman" w:eastAsia="Times New Roman" w:hAnsi="Times New Roman"/>
                <w:sz w:val="21"/>
                <w:szCs w:val="21"/>
                <w:b w:val="1"/>
                <w:bCs w:val="1"/>
                <w:color w:val="auto"/>
              </w:rPr>
              <w:t>CONSULTANT:</w:t>
            </w:r>
          </w:p>
        </w:tc>
      </w:tr>
      <w:tr>
        <w:trPr>
          <w:trHeight w:val="230"/>
        </w:trPr>
        <w:tc>
          <w:tcPr>
            <w:tcW w:w="3780" w:type="dxa"/>
            <w:vAlign w:val="bottom"/>
            <w:gridSpan w:val="7"/>
          </w:tcPr>
          <w:p>
            <w:pPr>
              <w:spacing w:after="0" w:line="230" w:lineRule="exact"/>
              <w:rPr>
                <w:sz w:val="20"/>
                <w:szCs w:val="20"/>
                <w:color w:val="auto"/>
              </w:rPr>
            </w:pPr>
            <w:r>
              <w:rPr>
                <w:rFonts w:ascii="Times New Roman" w:cs="Times New Roman" w:eastAsia="Times New Roman" w:hAnsi="Times New Roman"/>
                <w:sz w:val="22"/>
                <w:szCs w:val="22"/>
                <w:color w:val="auto"/>
              </w:rPr>
              <w:t>By: /s/ John Orwin</w:t>
            </w:r>
          </w:p>
        </w:tc>
        <w:tc>
          <w:tcPr>
            <w:tcW w:w="5820" w:type="dxa"/>
            <w:vAlign w:val="bottom"/>
            <w:gridSpan w:val="8"/>
          </w:tcPr>
          <w:p>
            <w:pPr>
              <w:ind w:left="1980"/>
              <w:spacing w:after="0" w:line="230" w:lineRule="exact"/>
              <w:rPr>
                <w:sz w:val="20"/>
                <w:szCs w:val="20"/>
                <w:color w:val="auto"/>
              </w:rPr>
            </w:pPr>
            <w:r>
              <w:rPr>
                <w:rFonts w:ascii="Times New Roman" w:cs="Times New Roman" w:eastAsia="Times New Roman" w:hAnsi="Times New Roman"/>
                <w:sz w:val="22"/>
                <w:szCs w:val="22"/>
                <w:color w:val="auto"/>
              </w:rPr>
              <w:t>By: /s/ Daniel Faga</w:t>
            </w:r>
          </w:p>
        </w:tc>
      </w:tr>
      <w:tr>
        <w:trPr>
          <w:trHeight w:val="20"/>
        </w:trPr>
        <w:tc>
          <w:tcPr>
            <w:tcW w:w="3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640" w:type="dxa"/>
            <w:vAlign w:val="bottom"/>
            <w:gridSpan w:val="5"/>
          </w:tcPr>
          <w:p>
            <w:pPr>
              <w:spacing w:after="0" w:line="223" w:lineRule="exact"/>
              <w:rPr>
                <w:sz w:val="20"/>
                <w:szCs w:val="20"/>
                <w:color w:val="auto"/>
              </w:rPr>
            </w:pPr>
            <w:r>
              <w:rPr>
                <w:rFonts w:ascii="Times New Roman" w:cs="Times New Roman" w:eastAsia="Times New Roman" w:hAnsi="Times New Roman"/>
                <w:sz w:val="22"/>
                <w:szCs w:val="22"/>
                <w:color w:val="auto"/>
                <w:w w:val="96"/>
              </w:rPr>
              <w:t>Name: John Orwin</w:t>
            </w: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820" w:type="dxa"/>
            <w:vAlign w:val="bottom"/>
            <w:gridSpan w:val="8"/>
          </w:tcPr>
          <w:p>
            <w:pPr>
              <w:ind w:left="1980"/>
              <w:spacing w:after="0" w:line="223" w:lineRule="exact"/>
              <w:rPr>
                <w:sz w:val="20"/>
                <w:szCs w:val="20"/>
                <w:color w:val="auto"/>
              </w:rPr>
            </w:pPr>
            <w:r>
              <w:rPr>
                <w:rFonts w:ascii="Times New Roman" w:cs="Times New Roman" w:eastAsia="Times New Roman" w:hAnsi="Times New Roman"/>
                <w:sz w:val="22"/>
                <w:szCs w:val="22"/>
                <w:color w:val="auto"/>
              </w:rPr>
              <w:t>Name: Daniel Faga</w:t>
            </w:r>
          </w:p>
        </w:tc>
      </w:tr>
      <w:tr>
        <w:trPr>
          <w:trHeight w:val="223"/>
        </w:trPr>
        <w:tc>
          <w:tcPr>
            <w:tcW w:w="64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auto"/>
              </w:rPr>
              <w:t>Title:</w:t>
            </w:r>
          </w:p>
        </w:tc>
        <w:tc>
          <w:tcPr>
            <w:tcW w:w="1000" w:type="dxa"/>
            <w:vAlign w:val="bottom"/>
            <w:tcBorders>
              <w:top w:val="single" w:sz="8" w:color="auto"/>
            </w:tcBorders>
            <w:gridSpan w:val="2"/>
          </w:tcPr>
          <w:p>
            <w:pPr>
              <w:jc w:val="right"/>
              <w:ind w:right="292"/>
              <w:spacing w:after="0" w:line="223" w:lineRule="exact"/>
              <w:rPr>
                <w:sz w:val="20"/>
                <w:szCs w:val="20"/>
                <w:color w:val="auto"/>
              </w:rPr>
            </w:pPr>
            <w:r>
              <w:rPr>
                <w:rFonts w:ascii="Times New Roman" w:cs="Times New Roman" w:eastAsia="Times New Roman" w:hAnsi="Times New Roman"/>
                <w:sz w:val="22"/>
                <w:szCs w:val="22"/>
                <w:color w:val="auto"/>
                <w:w w:val="79"/>
              </w:rPr>
              <w:t>Director</w:t>
            </w: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0" w:type="dxa"/>
            <w:vAlign w:val="bottom"/>
            <w:gridSpan w:val="3"/>
          </w:tcPr>
          <w:p>
            <w:pPr>
              <w:ind w:left="1980"/>
              <w:spacing w:after="0" w:line="223" w:lineRule="exact"/>
              <w:rPr>
                <w:sz w:val="20"/>
                <w:szCs w:val="20"/>
                <w:color w:val="auto"/>
              </w:rPr>
            </w:pPr>
            <w:r>
              <w:rPr>
                <w:rFonts w:ascii="Times New Roman" w:cs="Times New Roman" w:eastAsia="Times New Roman" w:hAnsi="Times New Roman"/>
                <w:sz w:val="22"/>
                <w:szCs w:val="22"/>
                <w:color w:val="auto"/>
              </w:rPr>
              <w:t>Title:</w:t>
            </w:r>
          </w:p>
        </w:tc>
        <w:tc>
          <w:tcPr>
            <w:tcW w:w="1060" w:type="dxa"/>
            <w:vAlign w:val="bottom"/>
            <w:tcBorders>
              <w:top w:val="single" w:sz="8" w:color="auto"/>
            </w:tcBorders>
            <w:gridSpan w:val="2"/>
          </w:tcPr>
          <w:p>
            <w:pPr>
              <w:jc w:val="center"/>
              <w:spacing w:after="0" w:line="223" w:lineRule="exact"/>
              <w:rPr>
                <w:sz w:val="20"/>
                <w:szCs w:val="20"/>
                <w:color w:val="auto"/>
              </w:rPr>
            </w:pPr>
            <w:r>
              <w:rPr>
                <w:rFonts w:ascii="Times New Roman" w:cs="Times New Roman" w:eastAsia="Times New Roman" w:hAnsi="Times New Roman"/>
                <w:sz w:val="22"/>
                <w:szCs w:val="22"/>
                <w:color w:val="auto"/>
                <w:w w:val="88"/>
              </w:rPr>
              <w:t>President and</w:t>
            </w:r>
          </w:p>
        </w:tc>
        <w:tc>
          <w:tcPr>
            <w:tcW w:w="2160" w:type="dxa"/>
            <w:vAlign w:val="bottom"/>
            <w:gridSpan w:val="3"/>
          </w:tcPr>
          <w:p>
            <w:pPr>
              <w:ind w:left="60"/>
              <w:spacing w:after="0" w:line="223" w:lineRule="exact"/>
              <w:rPr>
                <w:sz w:val="20"/>
                <w:szCs w:val="20"/>
                <w:color w:val="auto"/>
              </w:rPr>
            </w:pPr>
            <w:r>
              <w:rPr>
                <w:rFonts w:ascii="Times New Roman" w:cs="Times New Roman" w:eastAsia="Times New Roman" w:hAnsi="Times New Roman"/>
                <w:sz w:val="22"/>
                <w:szCs w:val="22"/>
                <w:color w:val="auto"/>
                <w:w w:val="98"/>
              </w:rPr>
              <w:t>Chief Executive Officer</w:t>
            </w:r>
          </w:p>
        </w:tc>
      </w:tr>
      <w:tr>
        <w:trPr>
          <w:trHeight w:val="223"/>
        </w:trPr>
        <w:tc>
          <w:tcPr>
            <w:tcW w:w="54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auto"/>
              </w:rPr>
              <w:t>Date:</w:t>
            </w:r>
          </w:p>
        </w:tc>
        <w:tc>
          <w:tcPr>
            <w:tcW w:w="700" w:type="dxa"/>
            <w:vAlign w:val="bottom"/>
            <w:tcBorders>
              <w:top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w w:val="85"/>
              </w:rPr>
              <w:t>April 20,</w:t>
            </w:r>
          </w:p>
        </w:tc>
        <w:tc>
          <w:tcPr>
            <w:tcW w:w="5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2026</w:t>
            </w:r>
          </w:p>
        </w:tc>
        <w:tc>
          <w:tcPr>
            <w:tcW w:w="1980" w:type="dxa"/>
            <w:vAlign w:val="bottom"/>
          </w:tcPr>
          <w:p>
            <w:pPr>
              <w:spacing w:after="0"/>
              <w:rPr>
                <w:sz w:val="19"/>
                <w:szCs w:val="19"/>
                <w:color w:val="auto"/>
              </w:rPr>
            </w:pPr>
          </w:p>
        </w:tc>
        <w:tc>
          <w:tcPr>
            <w:tcW w:w="2520" w:type="dxa"/>
            <w:vAlign w:val="bottom"/>
            <w:gridSpan w:val="2"/>
          </w:tcPr>
          <w:p>
            <w:pPr>
              <w:ind w:left="1980"/>
              <w:spacing w:after="0" w:line="223" w:lineRule="exact"/>
              <w:rPr>
                <w:sz w:val="20"/>
                <w:szCs w:val="20"/>
                <w:color w:val="auto"/>
              </w:rPr>
            </w:pPr>
            <w:r>
              <w:rPr>
                <w:rFonts w:ascii="Times New Roman" w:cs="Times New Roman" w:eastAsia="Times New Roman" w:hAnsi="Times New Roman"/>
                <w:sz w:val="22"/>
                <w:szCs w:val="22"/>
                <w:color w:val="auto"/>
              </w:rPr>
              <w:t>Date:</w:t>
            </w:r>
          </w:p>
        </w:tc>
        <w:tc>
          <w:tcPr>
            <w:tcW w:w="3280" w:type="dxa"/>
            <w:vAlign w:val="bottom"/>
            <w:tcBorders>
              <w:top w:val="single" w:sz="8" w:color="auto"/>
            </w:tcBorders>
            <w:gridSpan w:val="5"/>
          </w:tcPr>
          <w:p>
            <w:pPr>
              <w:jc w:val="center"/>
              <w:ind w:right="2040"/>
              <w:spacing w:after="0" w:line="223" w:lineRule="exact"/>
              <w:rPr>
                <w:sz w:val="20"/>
                <w:szCs w:val="20"/>
                <w:color w:val="auto"/>
              </w:rPr>
            </w:pPr>
            <w:r>
              <w:rPr>
                <w:rFonts w:ascii="Times New Roman" w:cs="Times New Roman" w:eastAsia="Times New Roman" w:hAnsi="Times New Roman"/>
                <w:sz w:val="22"/>
                <w:szCs w:val="22"/>
                <w:color w:val="auto"/>
                <w:w w:val="96"/>
              </w:rPr>
              <w:t>April 20, 2026</w:t>
            </w:r>
          </w:p>
        </w:tc>
        <w:tc>
          <w:tcPr>
            <w:tcW w:w="2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6" w:name="page67"/>
    <w:bookmarkEnd w:id="66"/>
    <w:p>
      <w:pPr>
        <w:spacing w:after="0" w:line="18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STATEMENT OF WORK</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7" w:name="page68"/>
    <w:bookmarkEnd w:id="67"/>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DEFEND TRADE SECRETS ACT, 18 U.S. CODE § 1833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1036955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8" w:name="page69"/>
    <w:bookmarkEnd w:id="68"/>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CERTAIN PERSONAL INFORMATION IN THIS EXHIBIT, MARKED BY [*], HAS BEEN REDACTED PURSUANT TO ITEM 601(A)(6) OF REGULATION S-K.</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March 26, 2026</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Dennis Mulroy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u w:val="single" w:color="auto"/>
          <w:color w:val="auto"/>
        </w:rPr>
        <w:t>Terms of Separation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Dennis:</w:t>
      </w:r>
    </w:p>
    <w:p>
      <w:pPr>
        <w:spacing w:after="0" w:line="21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This letter confirms the agreement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between you and AnaptysBio,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concerning the terms of your mutual separation and offers you the separation compensation below in exchange for a general release of claims and covenant not to sue. If you choose to enter into this Agreement, please sign below on March 26, 2026.</w:t>
      </w:r>
    </w:p>
    <w:p>
      <w:pPr>
        <w:spacing w:after="0" w:line="159" w:lineRule="exact"/>
        <w:rPr>
          <w:sz w:val="20"/>
          <w:szCs w:val="20"/>
          <w:color w:val="auto"/>
        </w:rPr>
      </w:pPr>
    </w:p>
    <w:p>
      <w:pPr>
        <w:ind w:left="1020" w:hanging="263"/>
        <w:spacing w:after="0"/>
        <w:tabs>
          <w:tab w:leader="none" w:pos="10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Date; Transition Services:</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Date</w:t>
      </w:r>
      <w:r>
        <w:rPr>
          <w:rFonts w:ascii="Times New Roman" w:cs="Times New Roman" w:eastAsia="Times New Roman" w:hAnsi="Times New Roman"/>
          <w:sz w:val="20"/>
          <w:szCs w:val="20"/>
          <w:color w:val="auto"/>
        </w:rPr>
        <w:t>: Your last day of employment with the Company will be the date on which the Company completes the distribution to its stockholders of shares of common stock of First Tracks Biotherapeutics, Inc. (“</w:t>
      </w:r>
      <w:r>
        <w:rPr>
          <w:rFonts w:ascii="Times New Roman" w:cs="Times New Roman" w:eastAsia="Times New Roman" w:hAnsi="Times New Roman"/>
          <w:sz w:val="20"/>
          <w:szCs w:val="20"/>
          <w:b w:val="1"/>
          <w:bCs w:val="1"/>
          <w:i w:val="1"/>
          <w:iCs w:val="1"/>
          <w:color w:val="auto"/>
        </w:rPr>
        <w:t>TRAX</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i w:val="1"/>
          <w:iCs w:val="1"/>
          <w:color w:val="auto"/>
        </w:rPr>
        <w:t>Separation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w:t>
      </w:r>
    </w:p>
    <w:p>
      <w:pPr>
        <w:spacing w:after="0" w:line="170" w:lineRule="exact"/>
        <w:rPr>
          <w:rFonts w:ascii="Times New Roman" w:cs="Times New Roman" w:eastAsia="Times New Roman" w:hAnsi="Times New Roman"/>
          <w:sz w:val="20"/>
          <w:szCs w:val="20"/>
          <w:color w:val="auto"/>
        </w:rPr>
      </w:pPr>
    </w:p>
    <w:p>
      <w:pPr>
        <w:jc w:val="both"/>
        <w:ind w:firstLine="1505"/>
        <w:spacing w:after="0" w:line="258" w:lineRule="auto"/>
        <w:tabs>
          <w:tab w:leader="none" w:pos="2036"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Transition Services</w:t>
      </w:r>
      <w:r>
        <w:rPr>
          <w:rFonts w:ascii="Times New Roman" w:cs="Times New Roman" w:eastAsia="Times New Roman" w:hAnsi="Times New Roman"/>
          <w:sz w:val="19"/>
          <w:szCs w:val="19"/>
          <w:color w:val="auto"/>
        </w:rPr>
        <w:t>: Between the Announcement Date and the Separation Date (the “</w:t>
      </w:r>
      <w:r>
        <w:rPr>
          <w:rFonts w:ascii="Times New Roman" w:cs="Times New Roman" w:eastAsia="Times New Roman" w:hAnsi="Times New Roman"/>
          <w:sz w:val="19"/>
          <w:szCs w:val="19"/>
          <w:b w:val="1"/>
          <w:bCs w:val="1"/>
          <w:i w:val="1"/>
          <w:iCs w:val="1"/>
          <w:color w:val="auto"/>
        </w:rPr>
        <w:t>Transition Period</w:t>
      </w:r>
      <w:r>
        <w:rPr>
          <w:rFonts w:ascii="Times New Roman" w:cs="Times New Roman" w:eastAsia="Times New Roman" w:hAnsi="Times New Roman"/>
          <w:sz w:val="19"/>
          <w:szCs w:val="19"/>
          <w:color w:val="auto"/>
        </w:rPr>
        <w:t>”), you are expected to facilitate a smooth and effective transition of your duties, responsibilities, and institutional knowledge relating to your role as the Company’s Chief Financial Officer (the “</w:t>
      </w:r>
      <w:r>
        <w:rPr>
          <w:rFonts w:ascii="Times New Roman" w:cs="Times New Roman" w:eastAsia="Times New Roman" w:hAnsi="Times New Roman"/>
          <w:sz w:val="19"/>
          <w:szCs w:val="19"/>
          <w:b w:val="1"/>
          <w:bCs w:val="1"/>
          <w:i w:val="1"/>
          <w:iCs w:val="1"/>
          <w:color w:val="auto"/>
        </w:rPr>
        <w:t>Transition Services</w:t>
      </w:r>
      <w:r>
        <w:rPr>
          <w:rFonts w:ascii="Times New Roman" w:cs="Times New Roman" w:eastAsia="Times New Roman" w:hAnsi="Times New Roman"/>
          <w:sz w:val="19"/>
          <w:szCs w:val="19"/>
          <w:color w:val="auto"/>
        </w:rPr>
        <w:t>”), as coordinated by the Company’s CEO. Any specific Transition Services will be communicated to you by the Company’s CEO. Throughout the Transition Period, you will continue to receive your regular base salary and remain eligible to participate in all benefits customarily offered to the Company’s employees, including Company-sponsored health care coverage and stock option vesting, to the fullest extent permitted by the applicable governing policies, agreements, and plans.</w:t>
      </w:r>
    </w:p>
    <w:p>
      <w:pPr>
        <w:spacing w:after="0" w:line="174" w:lineRule="exact"/>
        <w:rPr>
          <w:rFonts w:ascii="Times New Roman" w:cs="Times New Roman" w:eastAsia="Times New Roman" w:hAnsi="Times New Roman"/>
          <w:sz w:val="19"/>
          <w:szCs w:val="19"/>
          <w:color w:val="auto"/>
        </w:rPr>
      </w:pPr>
    </w:p>
    <w:p>
      <w:pPr>
        <w:jc w:val="both"/>
        <w:ind w:firstLine="757"/>
        <w:spacing w:after="0" w:line="254" w:lineRule="auto"/>
        <w:tabs>
          <w:tab w:leader="none" w:pos="101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from Officer Positions</w:t>
      </w:r>
      <w:r>
        <w:rPr>
          <w:rFonts w:ascii="Times New Roman" w:cs="Times New Roman" w:eastAsia="Times New Roman" w:hAnsi="Times New Roman"/>
          <w:sz w:val="20"/>
          <w:szCs w:val="20"/>
          <w:color w:val="auto"/>
        </w:rPr>
        <w:t xml:space="preserve">: By signing below, you hereby resign, effective as of the Separation Date, from any and all officer positions that you hold with the Company, which resignations you confirm by executing the resignation letter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returning the executed letter to the Company concurrently with this Agreement.</w:t>
      </w:r>
    </w:p>
    <w:p>
      <w:pPr>
        <w:spacing w:after="0" w:line="160"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Payment of Wages</w:t>
      </w:r>
      <w:r>
        <w:rPr>
          <w:rFonts w:ascii="Times New Roman" w:cs="Times New Roman" w:eastAsia="Times New Roman" w:hAnsi="Times New Roman"/>
          <w:sz w:val="20"/>
          <w:szCs w:val="20"/>
          <w:color w:val="auto"/>
        </w:rPr>
        <w:t>: By your signature below, you acknowledge that on or before the Separation Date, we will provide you one or more final paychecks for all wages, salary, earned bonuses and commissions (if applicable), reimbursable expenses previously submitted by you, accrued vacation (if applicable) and any similar payments due you from the Company as of the Separation Date. By signing below, you acknowledge that the Company does not owe you any other amounts beyond the consideration set forth in this Agreement. Please promptly submit for reimbursement all final outstanding expenses, if any.</w:t>
      </w:r>
    </w:p>
    <w:p>
      <w:pPr>
        <w:spacing w:after="0" w:line="184" w:lineRule="exact"/>
        <w:rPr>
          <w:rFonts w:ascii="Times New Roman" w:cs="Times New Roman" w:eastAsia="Times New Roman" w:hAnsi="Times New Roman"/>
          <w:sz w:val="20"/>
          <w:szCs w:val="20"/>
          <w:color w:val="auto"/>
        </w:rPr>
      </w:pPr>
    </w:p>
    <w:p>
      <w:pPr>
        <w:ind w:firstLine="757"/>
        <w:spacing w:after="0" w:line="255" w:lineRule="auto"/>
        <w:tabs>
          <w:tab w:leader="none" w:pos="101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Compensation</w:t>
      </w:r>
      <w:r>
        <w:rPr>
          <w:rFonts w:ascii="Times New Roman" w:cs="Times New Roman" w:eastAsia="Times New Roman" w:hAnsi="Times New Roman"/>
          <w:sz w:val="20"/>
          <w:szCs w:val="20"/>
          <w:color w:val="auto"/>
        </w:rPr>
        <w:t>: In exchange for your agreement to the general release and waiver of claims and covenant not to sue set forth below and your other promises herein, the Company agrees to provide you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color w:val="auto"/>
        </w:rPr>
        <w:t>Dennis Mulroy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38" w:lineRule="exact"/>
        <w:rPr>
          <w:sz w:val="20"/>
          <w:szCs w:val="20"/>
          <w:color w:val="auto"/>
        </w:rPr>
      </w:pPr>
    </w:p>
    <w:p>
      <w:pPr>
        <w:ind w:firstLine="1505"/>
        <w:spacing w:after="0" w:line="260" w:lineRule="exact"/>
        <w:tabs>
          <w:tab w:leader="none" w:pos="203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w:t>
      </w:r>
      <w:r>
        <w:rPr>
          <w:rFonts w:ascii="Times New Roman" w:cs="Times New Roman" w:eastAsia="Times New Roman" w:hAnsi="Times New Roman"/>
          <w:sz w:val="20"/>
          <w:szCs w:val="20"/>
          <w:color w:val="auto"/>
        </w:rPr>
        <w:t>: The Company agrees to pay you, on or before April 20, 2026, a lump</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sum payment equal to nine (9) months of your base salary (as in effect on your Separation Date), less applicable state and federal payroll deductions.</w:t>
      </w:r>
    </w:p>
    <w:p>
      <w:pPr>
        <w:spacing w:after="0" w:line="187" w:lineRule="exact"/>
        <w:rPr>
          <w:rFonts w:ascii="Times New Roman" w:cs="Times New Roman" w:eastAsia="Times New Roman" w:hAnsi="Times New Roman"/>
          <w:sz w:val="20"/>
          <w:szCs w:val="20"/>
          <w:color w:val="auto"/>
        </w:rPr>
      </w:pPr>
    </w:p>
    <w:p>
      <w:pPr>
        <w:jc w:val="both"/>
        <w:ind w:firstLine="1505"/>
        <w:spacing w:after="0" w:line="242" w:lineRule="auto"/>
        <w:tabs>
          <w:tab w:leader="none" w:pos="203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Upon your timely election to continue your existing health benefits under COBRA, and subject to the terms of COBRA and the Company’s health insurance plan, the Company will pay the full insurance premiums to maintain your existing health benefits until the earlier of: (i) the date you become eligible for health benefits through a new employment, or (ii) nine (9) months following the Separation Date. You are required to promptly notify [*], at [*], in writing when you both accept, and commence, alternate employment. You will remain responsible for, and must continue to pay, the, co-payments, and other costs that you would have paid had your employment continued.</w:t>
      </w:r>
    </w:p>
    <w:p>
      <w:pPr>
        <w:spacing w:after="0" w:line="188" w:lineRule="exact"/>
        <w:rPr>
          <w:rFonts w:ascii="Times New Roman" w:cs="Times New Roman" w:eastAsia="Times New Roman" w:hAnsi="Times New Roman"/>
          <w:sz w:val="20"/>
          <w:szCs w:val="20"/>
          <w:color w:val="auto"/>
        </w:rPr>
      </w:pPr>
    </w:p>
    <w:p>
      <w:pPr>
        <w:jc w:val="both"/>
        <w:ind w:firstLine="1505"/>
        <w:spacing w:after="0" w:line="266" w:lineRule="auto"/>
        <w:tabs>
          <w:tab w:leader="none" w:pos="2036"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Consultant Opportunity with the Company</w:t>
      </w:r>
      <w:r>
        <w:rPr>
          <w:rFonts w:ascii="Times New Roman" w:cs="Times New Roman" w:eastAsia="Times New Roman" w:hAnsi="Times New Roman"/>
          <w:sz w:val="19"/>
          <w:szCs w:val="19"/>
          <w:color w:val="auto"/>
        </w:rPr>
        <w:t xml:space="preserve">: The Company may agree to engage you as a consultant pursuant to the terms and conditions of the Consultant Agreement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Nothing in this Agreement constitutes a promise or guarantee that such a consulting opportunity will be offered, and any decision to do so will be made in the Company’s sole discretion. If the Company elects to offer you the consulting opportunity, please sign the Consultant Agreement </w:t>
      </w:r>
      <w:r>
        <w:rPr>
          <w:rFonts w:ascii="Times New Roman" w:cs="Times New Roman" w:eastAsia="Times New Roman" w:hAnsi="Times New Roman"/>
          <w:sz w:val="19"/>
          <w:szCs w:val="19"/>
          <w:b w:val="1"/>
          <w:bCs w:val="1"/>
          <w:i w:val="1"/>
          <w:iCs w:val="1"/>
          <w:color w:val="auto"/>
        </w:rPr>
        <w:t>on, and no earlier than,</w:t>
      </w:r>
      <w:r>
        <w:rPr>
          <w:rFonts w:ascii="Times New Roman" w:cs="Times New Roman" w:eastAsia="Times New Roman" w:hAnsi="Times New Roman"/>
          <w:sz w:val="19"/>
          <w:szCs w:val="19"/>
          <w:color w:val="auto"/>
        </w:rPr>
        <w:t xml:space="preserve"> the Separation Date.</w:t>
      </w:r>
    </w:p>
    <w:p>
      <w:pPr>
        <w:spacing w:after="0" w:line="165" w:lineRule="exact"/>
        <w:rPr>
          <w:rFonts w:ascii="Times New Roman" w:cs="Times New Roman" w:eastAsia="Times New Roman" w:hAnsi="Times New Roman"/>
          <w:sz w:val="19"/>
          <w:szCs w:val="19"/>
          <w:color w:val="auto"/>
        </w:rPr>
      </w:pPr>
    </w:p>
    <w:p>
      <w:pPr>
        <w:jc w:val="both"/>
        <w:ind w:firstLine="1505"/>
        <w:spacing w:after="0" w:line="247" w:lineRule="auto"/>
        <w:tabs>
          <w:tab w:leader="none" w:pos="203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Consultant Opportunity with TRAX</w:t>
      </w:r>
      <w:r>
        <w:rPr>
          <w:rFonts w:ascii="Times New Roman" w:cs="Times New Roman" w:eastAsia="Times New Roman" w:hAnsi="Times New Roman"/>
          <w:sz w:val="20"/>
          <w:szCs w:val="20"/>
          <w:color w:val="auto"/>
        </w:rPr>
        <w:t xml:space="preserve">: The Company agrees to engage you as a consultant pursuant to the terms and conditions of the Consultant Agreement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If you choose to enter into the Consultant Agreement, please sign </w:t>
      </w:r>
      <w:r>
        <w:rPr>
          <w:rFonts w:ascii="Times New Roman" w:cs="Times New Roman" w:eastAsia="Times New Roman" w:hAnsi="Times New Roman"/>
          <w:sz w:val="20"/>
          <w:szCs w:val="20"/>
          <w:b w:val="1"/>
          <w:bCs w:val="1"/>
          <w:i w:val="1"/>
          <w:iCs w:val="1"/>
          <w:color w:val="auto"/>
        </w:rPr>
        <w:t>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and no earlier than</w:t>
      </w:r>
      <w:r>
        <w:rPr>
          <w:rFonts w:ascii="Times New Roman" w:cs="Times New Roman" w:eastAsia="Times New Roman" w:hAnsi="Times New Roman"/>
          <w:sz w:val="20"/>
          <w:szCs w:val="20"/>
          <w:color w:val="auto"/>
        </w:rPr>
        <w:t>, the Separation Date.</w:t>
      </w:r>
    </w:p>
    <w:p>
      <w:pPr>
        <w:spacing w:after="0" w:line="18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By signing below, you acknowledge that you are receiving the separation compensation outlined in this section in consideration for waiving your rights to claims referred to in this Agreement and that you would not otherwise be entitled to the separation compensation. You also agree that you are not entitled to any additional compensation or benefits in connection with your separation from employment under your Amended and Restated Employment Agreement dated April 25, 2022.</w:t>
      </w:r>
    </w:p>
    <w:p>
      <w:pPr>
        <w:spacing w:after="0" w:line="180" w:lineRule="exact"/>
        <w:rPr>
          <w:sz w:val="20"/>
          <w:szCs w:val="20"/>
          <w:color w:val="auto"/>
        </w:rPr>
      </w:pPr>
    </w:p>
    <w:p>
      <w:pPr>
        <w:jc w:val="both"/>
        <w:ind w:firstLine="757"/>
        <w:spacing w:after="0" w:line="247" w:lineRule="auto"/>
        <w:tabs>
          <w:tab w:leader="none" w:pos="101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Company Property</w:t>
      </w:r>
      <w:r>
        <w:rPr>
          <w:rFonts w:ascii="Times New Roman" w:cs="Times New Roman" w:eastAsia="Times New Roman" w:hAnsi="Times New Roman"/>
          <w:sz w:val="20"/>
          <w:szCs w:val="20"/>
          <w:color w:val="auto"/>
        </w:rPr>
        <w:t>: You acknowledge and agree that you will return, on your last day of providing services to the Company (whether as an employee or consultant), or sooner if requested by the Company, all Company property and data of any kind that has been in your possession or control.</w:t>
      </w:r>
    </w:p>
    <w:p>
      <w:pPr>
        <w:spacing w:after="0" w:line="180"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Post-Employment Obligations</w:t>
      </w:r>
      <w:r>
        <w:rPr>
          <w:rFonts w:ascii="Times New Roman" w:cs="Times New Roman" w:eastAsia="Times New Roman" w:hAnsi="Times New Roman"/>
          <w:sz w:val="20"/>
          <w:szCs w:val="20"/>
          <w:color w:val="auto"/>
        </w:rPr>
        <w:t>: You hereby acknowledge that: (a) you continue to be bound by your Proprietary Information and Inventions Agreement, which you previously signed; (b) as a result of your employment with the Company, you have had access to the Company’s proprietary and/or confidential information, and you will continue to hold all such information in strictest confidence and not make use of it on behalf of anyone; and (c) you must, and by your signature below confirm that you shall, deliver to the Company, no later than the Separation Date, all documents and data of any nature containing or pertaining to such information, and not take with you, or otherwise retain in any respect, any such documents or data or any reproduction thereof.</w:t>
      </w:r>
    </w:p>
    <w:p>
      <w:pPr>
        <w:spacing w:after="0" w:line="184"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Report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hereto is an equity report (the “</w:t>
      </w:r>
      <w:r>
        <w:rPr>
          <w:rFonts w:ascii="Times New Roman" w:cs="Times New Roman" w:eastAsia="Times New Roman" w:hAnsi="Times New Roman"/>
          <w:sz w:val="20"/>
          <w:szCs w:val="20"/>
          <w:b w:val="1"/>
          <w:bCs w:val="1"/>
          <w:i w:val="1"/>
          <w:iCs w:val="1"/>
          <w:color w:val="auto"/>
        </w:rPr>
        <w:t>Equity Report</w:t>
      </w:r>
      <w:r>
        <w:rPr>
          <w:rFonts w:ascii="Times New Roman" w:cs="Times New Roman" w:eastAsia="Times New Roman" w:hAnsi="Times New Roman"/>
          <w:sz w:val="20"/>
          <w:szCs w:val="20"/>
          <w:color w:val="auto"/>
        </w:rPr>
        <w:t xml:space="preserve">”) that summarizes your equity holdings (if any) in the Company and TRAX, as applicable, as of the Separation Date, which will continue to be governed by the equity agreement(s) and the equity incentive plan(s) applicable to such holdings. Because your employment is terminating on the Separation Date, none of the unvested shares and/or restricted stock units (if any) identified in the Equity Report can ever vest. </w:t>
      </w:r>
      <w:r>
        <w:rPr>
          <w:rFonts w:ascii="Times New Roman" w:cs="Times New Roman" w:eastAsia="Times New Roman" w:hAnsi="Times New Roman"/>
          <w:sz w:val="20"/>
          <w:szCs w:val="20"/>
          <w:i w:val="1"/>
          <w:iCs w:val="1"/>
          <w:color w:val="auto"/>
        </w:rPr>
        <w:t>However, if you sign this Agreement and it becomes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effective in accordance with its terms, and you also sign any Consultant Agreements (as described in Section 4, or, if applicable, only the Consultant Agreement with TRAX)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2"/>
          <w:szCs w:val="22"/>
          <w:color w:val="auto"/>
        </w:rPr>
        <w:t>Dennis Mulroy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such agreement(s) become effective in accordance with their terms, </w:t>
      </w:r>
      <w:r>
        <w:rPr>
          <w:rFonts w:ascii="Times New Roman" w:cs="Times New Roman" w:eastAsia="Times New Roman" w:hAnsi="Times New Roman"/>
          <w:sz w:val="20"/>
          <w:szCs w:val="20"/>
          <w:color w:val="auto"/>
        </w:rPr>
        <w:t>your unvested equity holdings will continue to vest in accordance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applicable equity agreements and equity incentive plan(s) governing those holdings. For the avoidance of doubt, your equity holdings will cease vesting upon the earlier of: (a) the date you stop providing services as a consultant to the Company or to TRAX, as applicable, or (b) the date your unvested equity holdings are fully vested. You will have the period stated in the Equity Report to exercise any vested shares, as applicable.</w:t>
      </w:r>
    </w:p>
    <w:p>
      <w:pPr>
        <w:spacing w:after="0" w:line="185" w:lineRule="exact"/>
        <w:rPr>
          <w:sz w:val="20"/>
          <w:szCs w:val="20"/>
          <w:color w:val="auto"/>
        </w:rPr>
      </w:pPr>
    </w:p>
    <w:p>
      <w:pPr>
        <w:ind w:left="1020" w:hanging="263"/>
        <w:spacing w:after="0"/>
        <w:tabs>
          <w:tab w:leader="none" w:pos="10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Mutual General Release and Waiver of Claims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30" w:lineRule="exact"/>
        <w:tabs>
          <w:tab w:leader="none" w:pos="2036"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payments and promises set forth in this Agreement are in full satisfaction of all accrued salary, vacation pay, bonus and commission pay, profit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sharing, stock, stock options or other ownership interest in the Company, termination benefits or other compensation to which you may be entitled by virtue of your employment with the Company or your separation from the Company. To the fullest extent permitted by law, you hereby release and waive any other claims you may have against the Company and its owners, agents, officers, shareholders, employees, directors, attorneys, insurers, professional employer organizations, subscribers, subsidiaries, affiliates, successors and assigns (collectively “</w:t>
      </w:r>
      <w:r>
        <w:rPr>
          <w:rFonts w:ascii="Times New Roman" w:cs="Times New Roman" w:eastAsia="Times New Roman" w:hAnsi="Times New Roman"/>
          <w:sz w:val="20"/>
          <w:szCs w:val="20"/>
          <w:b w:val="1"/>
          <w:bCs w:val="1"/>
          <w:i w:val="1"/>
          <w:iCs w:val="1"/>
          <w:color w:val="auto"/>
        </w:rPr>
        <w:t>Company Releasees</w:t>
      </w:r>
      <w:r>
        <w:rPr>
          <w:rFonts w:ascii="Times New Roman" w:cs="Times New Roman" w:eastAsia="Times New Roman" w:hAnsi="Times New Roman"/>
          <w:sz w:val="20"/>
          <w:szCs w:val="20"/>
          <w:color w:val="auto"/>
        </w:rPr>
        <w:t>”),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your separation of employment, claims under Title VII of the 1964 Civil Rights Act, as amended, the California Fair Employment and Housing Act and any other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w:t>
      </w:r>
    </w:p>
    <w:p>
      <w:pPr>
        <w:spacing w:after="0" w:line="194"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signing below, you expressly waive any benefits of Section 1542 of the Civil Code of the State of California, which provides as follows:</w:t>
      </w:r>
    </w:p>
    <w:p>
      <w:pPr>
        <w:spacing w:after="0" w:line="146" w:lineRule="exact"/>
        <w:rPr>
          <w:sz w:val="20"/>
          <w:szCs w:val="20"/>
          <w:color w:val="auto"/>
        </w:rPr>
      </w:pPr>
    </w:p>
    <w:p>
      <w:pPr>
        <w:jc w:val="both"/>
        <w:ind w:left="760" w:firstLine="1497"/>
        <w:spacing w:after="0" w:line="249"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jc w:val="both"/>
        <w:ind w:firstLine="1505"/>
        <w:spacing w:after="0" w:line="243" w:lineRule="auto"/>
        <w:tabs>
          <w:tab w:leader="none" w:pos="203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and the Company do not intend to release claims: (i) that you may not release as a matter of law, including but not limited to claims for indemnity under California Labor Code Section 2802, (ii) for indemnification under any contractual indemnification agreement with the Company and/or pursuant to the Company’s bylaws, insurance policies, or other governing instruments; and (iii) for enforcement of this Agreement. To the fullest extent permitted by law, any dispute regarding the scope of this general release shall be determined by an arbitrator under the procedures set forth in the arbitration clause below.</w:t>
      </w:r>
    </w:p>
    <w:p>
      <w:pPr>
        <w:spacing w:after="0" w:line="185"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law, the Company hereby releases and waives any claims it may have against you and your successors and assigns, whether known or not known, including, but not limited to claims relating to your employment with the Company and separation therefrom, but excluding claims of fraud, misappropriation of trade secrets, and breach of your Employee Invention Assignment and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1136015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auto"/>
        </w:rPr>
        <w:t>Dennis Mulroy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84" w:lineRule="exact"/>
        <w:rPr>
          <w:sz w:val="20"/>
          <w:szCs w:val="20"/>
          <w:color w:val="auto"/>
        </w:rPr>
      </w:pPr>
    </w:p>
    <w:p>
      <w:pPr>
        <w:ind w:left="1020" w:hanging="263"/>
        <w:spacing w:after="0"/>
        <w:tabs>
          <w:tab w:leader="none" w:pos="10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 Not to Sue</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law, at no time subsequent to the execution of this Agreement will you pursue, or cause or knowingly permit the prosecution, in any state, federal or foreign court, or before any local, state, federal or foreign administrative agency, or any other tribunal, of any charge, claim or action of any kind, nature and character whatsoever, known or unknown, which you may now have, have ever had, or may in the future have against Releasees, which is based in whole or in part on any matter released by this Agreement.</w:t>
      </w:r>
    </w:p>
    <w:p>
      <w:pPr>
        <w:spacing w:after="0" w:line="184" w:lineRule="exact"/>
        <w:rPr>
          <w:rFonts w:ascii="Times New Roman" w:cs="Times New Roman" w:eastAsia="Times New Roman" w:hAnsi="Times New Roman"/>
          <w:sz w:val="20"/>
          <w:szCs w:val="20"/>
          <w:color w:val="auto"/>
        </w:rPr>
      </w:pPr>
    </w:p>
    <w:p>
      <w:pPr>
        <w:ind w:firstLine="1505"/>
        <w:spacing w:after="0" w:line="255" w:lineRule="auto"/>
        <w:tabs>
          <w:tab w:leader="none" w:pos="203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section shall prohibit or impair you or the Company from complying with all applicable laws, nor shall this Agreement be construed to obligate either party to commit (or aid or abet in the commission of) any unlawful act.</w:t>
      </w:r>
    </w:p>
    <w:p>
      <w:pPr>
        <w:spacing w:after="0" w:line="172"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Rights</w:t>
      </w:r>
      <w:r>
        <w:rPr>
          <w:rFonts w:ascii="Times New Roman" w:cs="Times New Roman" w:eastAsia="Times New Roman" w:hAnsi="Times New Roman"/>
          <w:sz w:val="20"/>
          <w:szCs w:val="20"/>
          <w:color w:val="auto"/>
        </w:rPr>
        <w:t>: You understand that nothing in this Agreement, including the General Release and Waiver of Claims, Covenant Not to Sue, Non-disparagement and Confidentiality sections contained herein, limits, impedes or restricts your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 w:cs="Times New Roman" w:eastAsia="Times New Roman" w:hAnsi="Times New Roman"/>
          <w:sz w:val="20"/>
          <w:szCs w:val="20"/>
          <w:b w:val="1"/>
          <w:bCs w:val="1"/>
          <w:i w:val="1"/>
          <w:iCs w:val="1"/>
          <w:color w:val="auto"/>
        </w:rPr>
        <w:t>Government Agencies</w:t>
      </w:r>
      <w:r>
        <w:rPr>
          <w:rFonts w:ascii="Times New Roman" w:cs="Times New Roman" w:eastAsia="Times New Roman" w:hAnsi="Times New Roman"/>
          <w:sz w:val="20"/>
          <w:szCs w:val="20"/>
          <w:color w:val="auto"/>
        </w:rPr>
        <w:t>”). You further understand that this Agreement does not limit your ability to communicate with any Government Agencies or otherwise participate and/or assist in any investigation or proceeding that may be conducted by any Government Agency, including providing documents or other information, without notice to the Company. This Agreement does not limit your right to receive an award for information provided to any Government Agencies or prohibit you from providing truthful information in response to a subpoena or other legal process.</w:t>
      </w:r>
    </w:p>
    <w:p>
      <w:pPr>
        <w:spacing w:after="0" w:line="189"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xml:space="preserve">: Subject to the Protected Rights section above, and otherwise to the fullest extent permitted by applicable law, you agree that you will not, directly or indirectly, disparage or make negative remarks regarding Company Releasees or their products, services, agents, representatives, directors, officers, shareholders, attorneys, employees, vendors, affiliates, successors or assigns, or any person acting by, through, under or in concert with any of them, with any written or oral statement, including, but not limited to, any statement posted on social media (including online company review sites) or otherwise on the Internet, whether or not made anonymously or with attribution. Nothing in this Agreement prevents you from discussing or disclosing information about unlawful acts in the workplace, such as harassment or discrimination or any other conduct that you have reason to believe is unlawful. The Company agrees that </w:t>
      </w:r>
      <w:r>
        <w:rPr>
          <w:rFonts w:ascii="Times New Roman" w:cs="Times New Roman" w:eastAsia="Times New Roman" w:hAnsi="Times New Roman"/>
          <w:sz w:val="20"/>
          <w:szCs w:val="20"/>
          <w:color w:val="0E0E0E"/>
        </w:rPr>
        <w:t>its current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E0E0E"/>
        </w:rPr>
        <w:t>officers and directors, for so long as they are employed by or providing board service to the Company, will not disparage you with any written or oral statement</w:t>
      </w:r>
      <w:r>
        <w:rPr>
          <w:rFonts w:ascii="Times New Roman" w:cs="Times New Roman" w:eastAsia="Times New Roman" w:hAnsi="Times New Roman"/>
          <w:sz w:val="20"/>
          <w:szCs w:val="20"/>
          <w:color w:val="000000"/>
        </w:rPr>
        <w:t>.</w:t>
      </w:r>
    </w:p>
    <w:p>
      <w:pPr>
        <w:spacing w:after="0" w:line="189"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Social Media Profile</w:t>
      </w:r>
      <w:r>
        <w:rPr>
          <w:rFonts w:ascii="Times New Roman" w:cs="Times New Roman" w:eastAsia="Times New Roman" w:hAnsi="Times New Roman"/>
          <w:sz w:val="20"/>
          <w:szCs w:val="20"/>
          <w:color w:val="auto"/>
        </w:rPr>
        <w:t>: If you represent your employment with the Company on any social media platform (e.g., LinkedIn), and as a condition precedent to receive the separation compensation outlined above, you agree to update, within five (5) days of the Effective Date of this Agreement, any such information to accurately reflect your title, job responsibilities, and dates of employment.</w:t>
      </w:r>
    </w:p>
    <w:p>
      <w:pPr>
        <w:spacing w:after="0" w:line="180" w:lineRule="exact"/>
        <w:rPr>
          <w:rFonts w:ascii="Times New Roman" w:cs="Times New Roman" w:eastAsia="Times New Roman" w:hAnsi="Times New Roman"/>
          <w:sz w:val="20"/>
          <w:szCs w:val="20"/>
          <w:color w:val="auto"/>
        </w:rPr>
      </w:pPr>
    </w:p>
    <w:p>
      <w:pPr>
        <w:jc w:val="both"/>
        <w:ind w:firstLine="757"/>
        <w:spacing w:after="0" w:line="257" w:lineRule="auto"/>
        <w:tabs>
          <w:tab w:leader="none" w:pos="1018"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 Except for any claim for injunctive relief arising out of a breach of a party’s obligations to protect the other’s proprietary information, the parties agree to arbitrate, in San Diego, California through JAMS, any and all disputes or claims arising out of or related to the validity, enforceability, interpretation, performance or breach of this Agreement, whether sounding in tort, contract, statutory violation or otherwise, or involving the construction or application or any of the terms, provisions, or conditions of this Agreement. Any arbitration may be initiated by a written demand to the other party. The arbitrator's decision shall be final, binding, and conclusive. The parties further agree that this Agreement is intended to be strictly construed to provide for arbitration as the sole and exclusive means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Dennis Mulroy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resolution of all disputes hereunder to the fullest extent permitted by law. The parties expressly waive any entitlement to have such controversies decided by a court or a jury.</w:t>
      </w:r>
    </w:p>
    <w:p>
      <w:pPr>
        <w:spacing w:after="0" w:line="173" w:lineRule="exact"/>
        <w:rPr>
          <w:sz w:val="20"/>
          <w:szCs w:val="20"/>
          <w:color w:val="auto"/>
        </w:rPr>
      </w:pPr>
    </w:p>
    <w:p>
      <w:pPr>
        <w:jc w:val="both"/>
        <w:ind w:right="20" w:firstLine="757"/>
        <w:spacing w:after="0" w:line="254" w:lineRule="auto"/>
        <w:tabs>
          <w:tab w:leader="none" w:pos="101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If any action is brought to enforce the terms of this Agreement, the prevailing party will be entitled to recover its reasonable attorneys’ fees, costs and expenses from the other party, in addition to any other relief to which the prevailing party may be entitled.</w:t>
      </w:r>
    </w:p>
    <w:p>
      <w:pPr>
        <w:spacing w:after="0" w:line="174"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Subject to the Protected Rights section above, and otherwise to the fullest extent permitted by applicable law, the contents, terms and conditions of this Agreement must be kept confidential by you and may not be disclosed except to your immediate family, accountant or attorneys or pursuant to subpoena or court order. You agree that if you are asked for information concerning this Agreement, you will state only that you and the Company reached an amicable resolution of any disputes concerning your separation from the Company. Any breach of this confidentiality provision shall be deemed a material breach of this Agreement.</w:t>
      </w:r>
    </w:p>
    <w:p>
      <w:pPr>
        <w:spacing w:after="0" w:line="185"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Admission of Liability</w:t>
      </w:r>
      <w:r>
        <w:rPr>
          <w:rFonts w:ascii="Times New Roman" w:cs="Times New Roman" w:eastAsia="Times New Roman" w:hAnsi="Times New Roman"/>
          <w:sz w:val="20"/>
          <w:szCs w:val="20"/>
          <w:color w:val="auto"/>
        </w:rPr>
        <w:t>: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 maximum protection allowable under California Evidence Code Section 1152 and/or any other state or federal provisions of similar effect.</w:t>
      </w:r>
    </w:p>
    <w:p>
      <w:pPr>
        <w:spacing w:after="0" w:line="166"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Complete and Voluntary Agreement</w:t>
      </w:r>
      <w:r>
        <w:rPr>
          <w:rFonts w:ascii="Times New Roman" w:cs="Times New Roman" w:eastAsia="Times New Roman" w:hAnsi="Times New Roman"/>
          <w:sz w:val="20"/>
          <w:szCs w:val="20"/>
          <w:color w:val="auto"/>
        </w:rPr>
        <w:t>: This Agreement, together with any exhibits hereto and any applicable equity-related agreements, constitute the entire agreement between you and Releasees with respect to the subject matter hereof and supersedes all prior negotiations and agreements, whether written or oral, relating to such subject matter.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 and that you are executing this Agreement voluntarily, free of any duress or coercion.</w:t>
      </w:r>
    </w:p>
    <w:p>
      <w:pPr>
        <w:spacing w:after="0" w:line="18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are severable, and if any part of it is found to be invalid or unenforceable, including, without limitation, any part of the General Release, Covenant Not to Sue, Non-disparagement and/or Confidentiality sections above,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spacing w:after="0" w:line="184"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 Counterparts; Electronic/PDF Signatures</w:t>
      </w:r>
      <w:r>
        <w:rPr>
          <w:rFonts w:ascii="Times New Roman" w:cs="Times New Roman" w:eastAsia="Times New Roman" w:hAnsi="Times New Roman"/>
          <w:sz w:val="20"/>
          <w:szCs w:val="20"/>
          <w:color w:val="auto"/>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an electronic or PDF copy shall have the same force and effect as execution of an original, and a copy of a signature will be admissible in any legal proceeding as if an original.</w:t>
      </w:r>
    </w:p>
    <w:p>
      <w:pPr>
        <w:spacing w:after="0" w:line="188" w:lineRule="exact"/>
        <w:rPr>
          <w:rFonts w:ascii="Times New Roman" w:cs="Times New Roman" w:eastAsia="Times New Roman" w:hAnsi="Times New Roman"/>
          <w:sz w:val="20"/>
          <w:szCs w:val="20"/>
          <w:color w:val="auto"/>
        </w:rPr>
      </w:pPr>
    </w:p>
    <w:p>
      <w:pPr>
        <w:ind w:right="20" w:firstLine="757"/>
        <w:spacing w:after="0" w:line="255" w:lineRule="auto"/>
        <w:tabs>
          <w:tab w:leader="none" w:pos="101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Review of Separation Agreement; Expiration of Offer:</w:t>
      </w:r>
      <w:r>
        <w:rPr>
          <w:rFonts w:ascii="Times New Roman" w:cs="Times New Roman" w:eastAsia="Times New Roman" w:hAnsi="Times New Roman"/>
          <w:sz w:val="20"/>
          <w:szCs w:val="20"/>
          <w:color w:val="auto"/>
        </w:rPr>
        <w:t xml:space="preserve"> You understand that you have the right to consult with an attorney regarding this Agreement, and that you must sign this Agreement on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Dennis Mulroy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6</w:t>
      </w:r>
    </w:p>
    <w:p>
      <w:pPr>
        <w:spacing w:after="0" w:line="200" w:lineRule="exact"/>
        <w:rPr>
          <w:sz w:val="20"/>
          <w:szCs w:val="20"/>
          <w:color w:val="auto"/>
        </w:rPr>
      </w:pPr>
    </w:p>
    <w:p>
      <w:pPr>
        <w:spacing w:after="0" w:line="2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26, 2026 (the “</w:t>
      </w:r>
      <w:r>
        <w:rPr>
          <w:rFonts w:ascii="Times New Roman" w:cs="Times New Roman" w:eastAsia="Times New Roman" w:hAnsi="Times New Roman"/>
          <w:sz w:val="20"/>
          <w:szCs w:val="20"/>
          <w:b w:val="1"/>
          <w:bCs w:val="1"/>
          <w:i w:val="1"/>
          <w:iCs w:val="1"/>
          <w:color w:val="auto"/>
        </w:rPr>
        <w:t>Consideration Period</w:t>
      </w:r>
      <w:r>
        <w:rPr>
          <w:rFonts w:ascii="Times New Roman" w:cs="Times New Roman" w:eastAsia="Times New Roman" w:hAnsi="Times New Roman"/>
          <w:sz w:val="20"/>
          <w:szCs w:val="20"/>
          <w:color w:val="auto"/>
        </w:rPr>
        <w:t>”). If you do not accept this Agreement before the end of the Consideration Period, the offer set forth in this Agreement will automatically expire.</w:t>
      </w:r>
    </w:p>
    <w:p>
      <w:pPr>
        <w:spacing w:after="0" w:line="165" w:lineRule="exact"/>
        <w:rPr>
          <w:sz w:val="20"/>
          <w:szCs w:val="20"/>
          <w:color w:val="auto"/>
        </w:rPr>
      </w:pPr>
    </w:p>
    <w:p>
      <w:pPr>
        <w:ind w:left="1020" w:hanging="263"/>
        <w:spacing w:after="0"/>
        <w:tabs>
          <w:tab w:leader="none" w:pos="10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This Agreement will be effective on the Separation Date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laws of the State of California.</w:t>
      </w:r>
    </w:p>
    <w:p>
      <w:pPr>
        <w:spacing w:after="0" w:line="216" w:lineRule="exact"/>
        <w:rPr>
          <w:sz w:val="20"/>
          <w:szCs w:val="20"/>
          <w:color w:val="auto"/>
        </w:rPr>
      </w:pPr>
    </w:p>
    <w:p>
      <w:pPr>
        <w:ind w:right="380" w:firstLine="749"/>
        <w:spacing w:after="0" w:line="269" w:lineRule="auto"/>
        <w:rPr>
          <w:sz w:val="20"/>
          <w:szCs w:val="20"/>
          <w:color w:val="auto"/>
        </w:rPr>
      </w:pPr>
      <w:r>
        <w:rPr>
          <w:rFonts w:ascii="Times New Roman" w:cs="Times New Roman" w:eastAsia="Times New Roman" w:hAnsi="Times New Roman"/>
          <w:sz w:val="20"/>
          <w:szCs w:val="20"/>
          <w:color w:val="auto"/>
        </w:rPr>
        <w:t>If you agree to abide by the terms outlined in this Agreement, please sign and return it to me. I wish you the best in your future endeavors.</w:t>
      </w:r>
    </w:p>
    <w:p>
      <w:pPr>
        <w:spacing w:after="0" w:line="3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Sincerely,</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AnaptysBio, Inc.</w:t>
      </w:r>
    </w:p>
    <w:p>
      <w:pPr>
        <w:spacing w:after="0" w:line="200" w:lineRule="exact"/>
        <w:rPr>
          <w:sz w:val="20"/>
          <w:szCs w:val="20"/>
          <w:color w:val="auto"/>
        </w:rPr>
      </w:pPr>
    </w:p>
    <w:p>
      <w:pPr>
        <w:spacing w:after="0" w:line="2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Daniel Faga__________________________</w:t>
      </w:r>
    </w:p>
    <w:p>
      <w:pPr>
        <w:spacing w:after="0" w:line="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Daniel Faga, CEO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READ, UNDERSTOOD AND AGREED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Dennis Mulroy</w:t>
      </w:r>
      <w:r>
        <w:rPr>
          <w:rFonts w:ascii="Times New Roman" w:cs="Times New Roman" w:eastAsia="Times New Roman" w:hAnsi="Times New Roman"/>
          <w:sz w:val="20"/>
          <w:szCs w:val="20"/>
          <w:color w:val="auto"/>
        </w:rPr>
        <w:t xml:space="preserve">_____________________ Date: </w:t>
      </w:r>
      <w:r>
        <w:rPr>
          <w:rFonts w:ascii="Times New Roman" w:cs="Times New Roman" w:eastAsia="Times New Roman" w:hAnsi="Times New Roman"/>
          <w:sz w:val="20"/>
          <w:szCs w:val="20"/>
          <w:u w:val="single" w:color="auto"/>
          <w:color w:val="auto"/>
        </w:rPr>
        <w:t>March 26, 2026</w:t>
      </w:r>
      <w:r>
        <w:rPr>
          <w:rFonts w:ascii="Times New Roman" w:cs="Times New Roman" w:eastAsia="Times New Roman" w:hAnsi="Times New Roman"/>
          <w:sz w:val="20"/>
          <w:szCs w:val="20"/>
          <w:color w:val="auto"/>
        </w:rPr>
        <w:t>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RESIGNATION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1031240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75" w:name="page76"/>
    <w:bookmarkEnd w:id="75"/>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CONSULTING AGREEMENT WITH ANAPTYSBIO,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7100570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CONSULTING AGREEMENT WITH FIRST TRACKS BIOTHERAPEUTICS,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6809105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EQUITY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1177290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78" w:name="page79"/>
    <w:bookmarkEnd w:id="78"/>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CERTAIN PERSONAL INFORMATION IN THIS EXHIBIT, MARKED BY [*], HAS BEEN REDACTED PURSUANT TO ITEM 601(A)(6) OF REGULATION S-K.</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March 26, 2026</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Eric Loumeau</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u w:val="single" w:color="auto"/>
          <w:color w:val="auto"/>
        </w:rPr>
        <w:t>Terms of Separation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Eric:</w:t>
      </w:r>
    </w:p>
    <w:p>
      <w:pPr>
        <w:spacing w:after="0" w:line="21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This letter confirms the agreement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between you and AnaptysBio,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Anaptys</w:t>
      </w:r>
      <w:r>
        <w:rPr>
          <w:rFonts w:ascii="Times New Roman" w:cs="Times New Roman" w:eastAsia="Times New Roman" w:hAnsi="Times New Roman"/>
          <w:sz w:val="20"/>
          <w:szCs w:val="20"/>
          <w:color w:val="auto"/>
        </w:rPr>
        <w:t>”) concerning the terms of your mutual separation and offers you the separation compensation below in exchange for a general release of claims and covenant not to sue. If you choose to enter into this Agreement, please sign below, on March 26, 2026.</w:t>
      </w:r>
    </w:p>
    <w:p>
      <w:pPr>
        <w:spacing w:after="0" w:line="159" w:lineRule="exact"/>
        <w:rPr>
          <w:sz w:val="20"/>
          <w:szCs w:val="20"/>
          <w:color w:val="auto"/>
        </w:rPr>
      </w:pPr>
    </w:p>
    <w:p>
      <w:pPr>
        <w:ind w:left="1020" w:hanging="263"/>
        <w:spacing w:after="0"/>
        <w:tabs>
          <w:tab w:leader="none" w:pos="10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Date; Transition Services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Date</w:t>
      </w:r>
      <w:r>
        <w:rPr>
          <w:rFonts w:ascii="Times New Roman" w:cs="Times New Roman" w:eastAsia="Times New Roman" w:hAnsi="Times New Roman"/>
          <w:sz w:val="20"/>
          <w:szCs w:val="20"/>
          <w:color w:val="auto"/>
        </w:rPr>
        <w:t>: Your last day of employment with the Company will be the date on which the Company completes the distribution to its stockholders of shares of common stock of First Tracks Biotherapeutics, Inc. (“TRAX”) (the “</w:t>
      </w:r>
      <w:r>
        <w:rPr>
          <w:rFonts w:ascii="Times New Roman" w:cs="Times New Roman" w:eastAsia="Times New Roman" w:hAnsi="Times New Roman"/>
          <w:sz w:val="20"/>
          <w:szCs w:val="20"/>
          <w:b w:val="1"/>
          <w:bCs w:val="1"/>
          <w:i w:val="1"/>
          <w:iCs w:val="1"/>
          <w:color w:val="auto"/>
        </w:rPr>
        <w:t>Separation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w:t>
      </w:r>
    </w:p>
    <w:p>
      <w:pPr>
        <w:spacing w:after="0" w:line="170"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Transition Services</w:t>
      </w:r>
      <w:r>
        <w:rPr>
          <w:rFonts w:ascii="Times New Roman" w:cs="Times New Roman" w:eastAsia="Times New Roman" w:hAnsi="Times New Roman"/>
          <w:sz w:val="20"/>
          <w:szCs w:val="20"/>
          <w:color w:val="auto"/>
        </w:rPr>
        <w:t>: Between the Announcement Date and the Separation Date (the “</w:t>
      </w:r>
      <w:r>
        <w:rPr>
          <w:rFonts w:ascii="Times New Roman" w:cs="Times New Roman" w:eastAsia="Times New Roman" w:hAnsi="Times New Roman"/>
          <w:sz w:val="20"/>
          <w:szCs w:val="20"/>
          <w:b w:val="1"/>
          <w:bCs w:val="1"/>
          <w:i w:val="1"/>
          <w:iCs w:val="1"/>
          <w:color w:val="auto"/>
        </w:rPr>
        <w:t>Transition Period</w:t>
      </w:r>
      <w:r>
        <w:rPr>
          <w:rFonts w:ascii="Times New Roman" w:cs="Times New Roman" w:eastAsia="Times New Roman" w:hAnsi="Times New Roman"/>
          <w:sz w:val="20"/>
          <w:szCs w:val="20"/>
          <w:color w:val="auto"/>
        </w:rPr>
        <w:t>”), you are expected to facilitate a smooth and effective transition of your duties, responsibilities, and institutional knowledge relating to your role as the Company’s Chief Legal Officer (the “</w:t>
      </w:r>
      <w:r>
        <w:rPr>
          <w:rFonts w:ascii="Times New Roman" w:cs="Times New Roman" w:eastAsia="Times New Roman" w:hAnsi="Times New Roman"/>
          <w:sz w:val="20"/>
          <w:szCs w:val="20"/>
          <w:b w:val="1"/>
          <w:bCs w:val="1"/>
          <w:i w:val="1"/>
          <w:iCs w:val="1"/>
          <w:color w:val="auto"/>
        </w:rPr>
        <w:t>Transition Services</w:t>
      </w:r>
      <w:r>
        <w:rPr>
          <w:rFonts w:ascii="Times New Roman" w:cs="Times New Roman" w:eastAsia="Times New Roman" w:hAnsi="Times New Roman"/>
          <w:sz w:val="20"/>
          <w:szCs w:val="20"/>
          <w:color w:val="auto"/>
        </w:rPr>
        <w:t>”), as coordinated by the Company’s CEO. Any specific Transition Services will be communicated to you by the Company’s CEO. Throughout the Transition Period, you will continue to receive your regular base salary and remain eligible to participate in all benefits customarily offered to the Company’s employees, including Company-sponsored health care coverage and stock option vesting, to the fullest extent permitted by the applicable governing policies, agreements, and plans.</w:t>
      </w:r>
    </w:p>
    <w:p>
      <w:pPr>
        <w:spacing w:after="0" w:line="186"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from Officer Positions</w:t>
      </w:r>
      <w:r>
        <w:rPr>
          <w:rFonts w:ascii="Times New Roman" w:cs="Times New Roman" w:eastAsia="Times New Roman" w:hAnsi="Times New Roman"/>
          <w:sz w:val="20"/>
          <w:szCs w:val="20"/>
          <w:color w:val="auto"/>
        </w:rPr>
        <w:t xml:space="preserve">: By signing below, you hereby resign, effective as of the Separation Date, from any and all officer positions that you hold with the Company, which resignations you confirm by executing the resignation letter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returning the executed letter to the Company concurrently with this Agreement.</w:t>
      </w:r>
    </w:p>
    <w:p>
      <w:pPr>
        <w:spacing w:after="0" w:line="160"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Payment of Wages</w:t>
      </w:r>
      <w:r>
        <w:rPr>
          <w:rFonts w:ascii="Times New Roman" w:cs="Times New Roman" w:eastAsia="Times New Roman" w:hAnsi="Times New Roman"/>
          <w:sz w:val="20"/>
          <w:szCs w:val="20"/>
          <w:color w:val="auto"/>
        </w:rPr>
        <w:t>: By your signature below, you acknowledge that on or before the Separation Date, we will provide you one or more final paychecks for all wages, salary, earned bonuses and commissions (if applicable), reimbursable expenses previously submitted by you, accrued vacation (if applicable) and any similar payments due you from the Company as of the Separation Date. By signing below, you acknowledge that the Company does not owe you any other amounts. Please promptly submit for reimbursement all final outstanding expenses, if any.</w:t>
      </w:r>
    </w:p>
    <w:p>
      <w:pPr>
        <w:spacing w:after="0" w:line="184" w:lineRule="exact"/>
        <w:rPr>
          <w:rFonts w:ascii="Times New Roman" w:cs="Times New Roman" w:eastAsia="Times New Roman" w:hAnsi="Times New Roman"/>
          <w:sz w:val="20"/>
          <w:szCs w:val="20"/>
          <w:color w:val="auto"/>
        </w:rPr>
      </w:pPr>
    </w:p>
    <w:p>
      <w:pPr>
        <w:ind w:firstLine="757"/>
        <w:spacing w:after="0" w:line="255"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Compensation</w:t>
      </w:r>
      <w:r>
        <w:rPr>
          <w:rFonts w:ascii="Times New Roman" w:cs="Times New Roman" w:eastAsia="Times New Roman" w:hAnsi="Times New Roman"/>
          <w:sz w:val="20"/>
          <w:szCs w:val="20"/>
          <w:color w:val="auto"/>
        </w:rPr>
        <w:t>: In exchange for your agreement to the general release and waiver of claims and covenant not to sue set forth below and your other promises herein, the Company agrees to provide you with the following:</w:t>
      </w:r>
    </w:p>
    <w:p>
      <w:pPr>
        <w:spacing w:after="0" w:line="172"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w:t>
      </w:r>
      <w:r>
        <w:rPr>
          <w:rFonts w:ascii="Times New Roman" w:cs="Times New Roman" w:eastAsia="Times New Roman" w:hAnsi="Times New Roman"/>
          <w:sz w:val="20"/>
          <w:szCs w:val="20"/>
          <w:color w:val="auto"/>
        </w:rPr>
        <w:t>: The Company agrees to pay you, on or before April 20, 2026, a lump sum payment equal to nine (9) months of your base salary (as in effect on your Separation Date), less applicable state and federal payroll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color w:val="auto"/>
        </w:rPr>
        <w:t>Eric Loumeau</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84" w:lineRule="exact"/>
        <w:rPr>
          <w:sz w:val="20"/>
          <w:szCs w:val="20"/>
          <w:color w:val="auto"/>
        </w:rPr>
      </w:pPr>
    </w:p>
    <w:p>
      <w:pPr>
        <w:jc w:val="both"/>
        <w:ind w:firstLine="1505"/>
        <w:spacing w:after="0" w:line="243" w:lineRule="auto"/>
        <w:tabs>
          <w:tab w:leader="none" w:pos="203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Upon your timely election to continue your existing health benefits under COBRA, and subject to the terms of COBRA and the Company’s health insurance plan, the Company will pay the full insurance premiums to maintain your existing health benefits until the earlier of: (i) the date you obtain new employment, or (ii) nine (9) months following the Separation Date. You are required to promptly notify [*], at [*], in writing when you both accept, and commence, alternate employment. You will remain responsible for, and must continue to pay, the, co-payments, and other costs that you would have paid had your employment continued.</w:t>
      </w:r>
    </w:p>
    <w:p>
      <w:pPr>
        <w:spacing w:after="0" w:line="185" w:lineRule="exact"/>
        <w:rPr>
          <w:rFonts w:ascii="Times New Roman" w:cs="Times New Roman" w:eastAsia="Times New Roman" w:hAnsi="Times New Roman"/>
          <w:sz w:val="20"/>
          <w:szCs w:val="20"/>
          <w:color w:val="auto"/>
        </w:rPr>
      </w:pPr>
    </w:p>
    <w:p>
      <w:pPr>
        <w:jc w:val="both"/>
        <w:ind w:firstLine="1505"/>
        <w:spacing w:after="0" w:line="247" w:lineRule="auto"/>
        <w:tabs>
          <w:tab w:leader="none" w:pos="203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Consultant Opportunity with Anaptys</w:t>
      </w:r>
      <w:r>
        <w:rPr>
          <w:rFonts w:ascii="Times New Roman" w:cs="Times New Roman" w:eastAsia="Times New Roman" w:hAnsi="Times New Roman"/>
          <w:sz w:val="20"/>
          <w:szCs w:val="20"/>
          <w:color w:val="auto"/>
        </w:rPr>
        <w:t xml:space="preserve">: The Company agrees to engage you as a consultant, including as acting general counsel, pursuant to the terms and conditions of the Consultant Agreement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If you choose to enter into the Consultant Agreement, please sign </w:t>
      </w:r>
      <w:r>
        <w:rPr>
          <w:rFonts w:ascii="Times New Roman" w:cs="Times New Roman" w:eastAsia="Times New Roman" w:hAnsi="Times New Roman"/>
          <w:sz w:val="20"/>
          <w:szCs w:val="20"/>
          <w:b w:val="1"/>
          <w:bCs w:val="1"/>
          <w:i w:val="1"/>
          <w:iCs w:val="1"/>
          <w:color w:val="auto"/>
        </w:rPr>
        <w:t>on, and no earlier than</w:t>
      </w:r>
      <w:r>
        <w:rPr>
          <w:rFonts w:ascii="Times New Roman" w:cs="Times New Roman" w:eastAsia="Times New Roman" w:hAnsi="Times New Roman"/>
          <w:sz w:val="20"/>
          <w:szCs w:val="20"/>
          <w:color w:val="auto"/>
        </w:rPr>
        <w:t>, the Separation Date.</w:t>
      </w:r>
    </w:p>
    <w:p>
      <w:pPr>
        <w:spacing w:after="0" w:line="180"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Consultant Opportunity with TRAX</w:t>
      </w:r>
      <w:r>
        <w:rPr>
          <w:rFonts w:ascii="Times New Roman" w:cs="Times New Roman" w:eastAsia="Times New Roman" w:hAnsi="Times New Roman"/>
          <w:sz w:val="20"/>
          <w:szCs w:val="20"/>
          <w:color w:val="auto"/>
        </w:rPr>
        <w:t xml:space="preserve">: The Company agrees to use commercially reasonable efforts to cause TRAX to engage you as a consultant, pursuant to the terms and conditions of the Consultant Agreement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If you choose to enter into the Consultant Agreement, please sign </w:t>
      </w:r>
      <w:r>
        <w:rPr>
          <w:rFonts w:ascii="Times New Roman" w:cs="Times New Roman" w:eastAsia="Times New Roman" w:hAnsi="Times New Roman"/>
          <w:sz w:val="20"/>
          <w:szCs w:val="20"/>
          <w:b w:val="1"/>
          <w:bCs w:val="1"/>
          <w:i w:val="1"/>
          <w:iCs w:val="1"/>
          <w:color w:val="auto"/>
        </w:rPr>
        <w:t>on, and no earlier than</w:t>
      </w:r>
      <w:r>
        <w:rPr>
          <w:rFonts w:ascii="Times New Roman" w:cs="Times New Roman" w:eastAsia="Times New Roman" w:hAnsi="Times New Roman"/>
          <w:sz w:val="20"/>
          <w:szCs w:val="20"/>
          <w:color w:val="auto"/>
        </w:rPr>
        <w:t>, the Separation Date.</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By signing below, you acknowledge that you are receiving the separation compensation outlined in this section in consideration for waiving your rights to claims referred to in this Agreement and that you would not otherwise be entitled to the separation compensation. You also agree that you are not entitled to any additional compensation or benefits in connection with your separation from employment under your Amended and Restated Employment Agreement dated May 8, 2023.</w:t>
      </w:r>
    </w:p>
    <w:p>
      <w:pPr>
        <w:spacing w:after="0" w:line="185" w:lineRule="exact"/>
        <w:rPr>
          <w:sz w:val="20"/>
          <w:szCs w:val="20"/>
          <w:color w:val="auto"/>
        </w:rPr>
      </w:pPr>
    </w:p>
    <w:p>
      <w:pPr>
        <w:jc w:val="both"/>
        <w:ind w:firstLine="757"/>
        <w:spacing w:after="0" w:line="254" w:lineRule="auto"/>
        <w:tabs>
          <w:tab w:leader="none" w:pos="10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Company Property</w:t>
      </w:r>
      <w:r>
        <w:rPr>
          <w:rFonts w:ascii="Times New Roman" w:cs="Times New Roman" w:eastAsia="Times New Roman" w:hAnsi="Times New Roman"/>
          <w:sz w:val="20"/>
          <w:szCs w:val="20"/>
          <w:color w:val="auto"/>
        </w:rPr>
        <w:t>: You acknowledge and agree that you will return, on your last day of providing services to the Company (whether as an employee or consultant), or sooner if requested by the Company, all Company property and data of any kind that has been in your possession or control.</w:t>
      </w:r>
    </w:p>
    <w:p>
      <w:pPr>
        <w:spacing w:after="0" w:line="174"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Post-Employment Obligations</w:t>
      </w:r>
      <w:r>
        <w:rPr>
          <w:rFonts w:ascii="Times New Roman" w:cs="Times New Roman" w:eastAsia="Times New Roman" w:hAnsi="Times New Roman"/>
          <w:sz w:val="20"/>
          <w:szCs w:val="20"/>
          <w:color w:val="auto"/>
        </w:rPr>
        <w:t>: You hereby acknowledge that: (a) you continue to be bound by your Proprietary Information and Inventions Agreement, which you previously signed; (b) as a result of your employment with the Company, you have had access to the Company’s proprietary and/or confidential information, and you will continue to hold all such information in strictest confidence and not make use of it on behalf of anyone; and (c) you must, and by your signature below confirm that you shall, deliver to the Company, no later than the end of consulting agreement, all documents and data of any nature containing or pertaining to such information, and not take with you, or otherwise retain in any respect, any such documents or data or any reproduction thereof.</w:t>
      </w:r>
    </w:p>
    <w:p>
      <w:pPr>
        <w:spacing w:after="0" w:line="184"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 Report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hereto is an equity report (the “</w:t>
      </w:r>
      <w:r>
        <w:rPr>
          <w:rFonts w:ascii="Times New Roman" w:cs="Times New Roman" w:eastAsia="Times New Roman" w:hAnsi="Times New Roman"/>
          <w:sz w:val="19"/>
          <w:szCs w:val="19"/>
          <w:b w:val="1"/>
          <w:bCs w:val="1"/>
          <w:i w:val="1"/>
          <w:iCs w:val="1"/>
          <w:color w:val="auto"/>
        </w:rPr>
        <w:t>Equity Report</w:t>
      </w:r>
      <w:r>
        <w:rPr>
          <w:rFonts w:ascii="Times New Roman" w:cs="Times New Roman" w:eastAsia="Times New Roman" w:hAnsi="Times New Roman"/>
          <w:sz w:val="19"/>
          <w:szCs w:val="19"/>
          <w:color w:val="auto"/>
        </w:rPr>
        <w:t xml:space="preserve">”) that summarizes your equity holdings (if any) in the Company and TRAX, as applicable, as of the Separation Date, which will continue to be governed by the equity agreement(s) and the equity incentive plan(s) applicable to such holdings. Because your employment is terminating on the Separation Date, none of the unvested shares and/or restricted stock units (if any) identified in the Equity Report can ever vest. </w:t>
      </w:r>
      <w:r>
        <w:rPr>
          <w:rFonts w:ascii="Times New Roman" w:cs="Times New Roman" w:eastAsia="Times New Roman" w:hAnsi="Times New Roman"/>
          <w:sz w:val="19"/>
          <w:szCs w:val="19"/>
          <w:i w:val="1"/>
          <w:iCs w:val="1"/>
          <w:color w:val="auto"/>
        </w:rPr>
        <w:t>However, if you sign this Agreement and it becomes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effective in accordance with its terms, and you also sign both Consultant Agreements (as described in Section 4,) and such agreement(s) become effective in accordance with their terms, </w:t>
      </w:r>
      <w:r>
        <w:rPr>
          <w:rFonts w:ascii="Times New Roman" w:cs="Times New Roman" w:eastAsia="Times New Roman" w:hAnsi="Times New Roman"/>
          <w:sz w:val="19"/>
          <w:szCs w:val="19"/>
          <w:color w:val="auto"/>
        </w:rPr>
        <w:t>your unvested equity holdings will continue to vest in accordance with the applicable equity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agreements and equity incentive plan(s) governing those holdings. For the avoidance of doubt, your equity holdings will cease vesting upon the earlier of: (a) the date you stop providing services as a consultant to the Company or to TRAX, as applicable, or (b) the date your unvested equity holdings are fully vested. You will have the period stated in the Equity Report to exercise any vested shares,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995680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color w:val="auto"/>
        </w:rPr>
        <w:t>Eric Loumeau</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84" w:lineRule="exact"/>
        <w:rPr>
          <w:sz w:val="20"/>
          <w:szCs w:val="20"/>
          <w:color w:val="auto"/>
        </w:rPr>
      </w:pPr>
    </w:p>
    <w:p>
      <w:pPr>
        <w:ind w:left="1020" w:hanging="263"/>
        <w:spacing w:after="0"/>
        <w:tabs>
          <w:tab w:leader="none" w:pos="10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Release and Waiver of Claims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1505"/>
        <w:spacing w:after="0" w:line="230" w:lineRule="exact"/>
        <w:tabs>
          <w:tab w:leader="none" w:pos="2036"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payments and promises set forth in this Agreement are in full satisfaction of all accrued salary, vacation pay, bonus and commission pay, profit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sharing, stock, stock options or other ownership interest in the Company, termination benefits or other compensation to which you may be entitled by virtue of your employment with the Company or your separation from the Company. To the fullest extent permitted by law, you hereby release and waive any other claims you may have against the Company and its owners, agents, officers, shareholders, employees, directors, attorneys, insurers, professional employer organizations, subscribers, subsidiaries, affiliates, successors and assigns (collectively “</w:t>
      </w:r>
      <w:r>
        <w:rPr>
          <w:rFonts w:ascii="Times New Roman" w:cs="Times New Roman" w:eastAsia="Times New Roman" w:hAnsi="Times New Roman"/>
          <w:sz w:val="20"/>
          <w:szCs w:val="20"/>
          <w:b w:val="1"/>
          <w:bCs w:val="1"/>
          <w:i w:val="1"/>
          <w:iCs w:val="1"/>
          <w:color w:val="auto"/>
        </w:rPr>
        <w:t>Releasees</w:t>
      </w:r>
      <w:r>
        <w:rPr>
          <w:rFonts w:ascii="Times New Roman" w:cs="Times New Roman" w:eastAsia="Times New Roman" w:hAnsi="Times New Roman"/>
          <w:sz w:val="20"/>
          <w:szCs w:val="20"/>
          <w:color w:val="auto"/>
        </w:rPr>
        <w:t>”),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your separation of employment, claims under Title VII of the 1964 Civil Rights Act, as amended, the California Fair Employment and Housing Act and any other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w:t>
      </w:r>
    </w:p>
    <w:p>
      <w:pPr>
        <w:spacing w:after="0" w:line="196" w:lineRule="exact"/>
        <w:rPr>
          <w:rFonts w:ascii="Times New Roman" w:cs="Times New Roman" w:eastAsia="Times New Roman" w:hAnsi="Times New Roman"/>
          <w:sz w:val="20"/>
          <w:szCs w:val="20"/>
          <w:color w:val="auto"/>
        </w:rPr>
      </w:pPr>
    </w:p>
    <w:p>
      <w:pPr>
        <w:ind w:firstLine="1505"/>
        <w:spacing w:after="0" w:line="255" w:lineRule="auto"/>
        <w:tabs>
          <w:tab w:leader="none" w:pos="2036"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signing below, you expressly waive any benefits of Section 1542 of the Civil Code of the State of California, which provides as follows:</w:t>
      </w:r>
    </w:p>
    <w:p>
      <w:pPr>
        <w:spacing w:after="0" w:line="173" w:lineRule="exact"/>
        <w:rPr>
          <w:sz w:val="20"/>
          <w:szCs w:val="20"/>
          <w:color w:val="auto"/>
        </w:rPr>
      </w:pPr>
    </w:p>
    <w:p>
      <w:pPr>
        <w:jc w:val="both"/>
        <w:ind w:left="760" w:firstLine="1497"/>
        <w:spacing w:after="0" w:line="249"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jc w:val="both"/>
        <w:ind w:firstLine="1505"/>
        <w:spacing w:after="0" w:line="243" w:lineRule="auto"/>
        <w:tabs>
          <w:tab w:leader="none" w:pos="203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and the Company do not intend to release claims: (i) that you may not release as a matter of law, including but not limited to claims for indemnity under California Labor Code Section 2802, (ii) for indemnification under any contractual indemnification agreement with the Company and/or pursuant to the Company’s bylaws or other governing instruments; and (iii) for enforcement of this Agreement. To the fullest extent permitted by law, any dispute regarding the scope of this general release shall be determined by an arbitrator under the procedures set forth in the arbitration clause below.</w:t>
      </w:r>
    </w:p>
    <w:p>
      <w:pPr>
        <w:spacing w:after="0" w:line="185" w:lineRule="exact"/>
        <w:rPr>
          <w:rFonts w:ascii="Times New Roman" w:cs="Times New Roman" w:eastAsia="Times New Roman" w:hAnsi="Times New Roman"/>
          <w:sz w:val="20"/>
          <w:szCs w:val="20"/>
          <w:color w:val="auto"/>
        </w:rPr>
      </w:pPr>
    </w:p>
    <w:p>
      <w:pPr>
        <w:ind w:right="40" w:firstLine="1505"/>
        <w:spacing w:after="0" w:line="244" w:lineRule="auto"/>
        <w:tabs>
          <w:tab w:leader="none" w:pos="203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law, the Company hereby releases and waives any claims it may have against you and your successors and assigns, whether known or not known, including, but not limited to claims relating to your employment with the Company and separation therefrom, but excluding claims of fraud, misappropriation of trade secrets, and breach of your Employee Invention Assignment and Confidentiality Agreement.</w:t>
      </w:r>
    </w:p>
    <w:p>
      <w:pPr>
        <w:spacing w:after="0" w:line="18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 Not to Sue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law, at no time subsequent to the execution of this Agreement will you pursue, or cause or knowingly permit the prosecution, in any state, federal or foreign court, or before any local, state, federal or foreign administrative agency, or any other tribunal, of any charge, claim or action of any kind, nature and character whatsoever, known or unknown, which you may now have, have ever had, or may in the future have against Releasees, which is based in whole or in part on any matter released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2"/>
          <w:szCs w:val="22"/>
          <w:color w:val="auto"/>
        </w:rPr>
        <w:t>Eric Loumeau</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84" w:lineRule="exact"/>
        <w:rPr>
          <w:sz w:val="20"/>
          <w:szCs w:val="20"/>
          <w:color w:val="auto"/>
        </w:rPr>
      </w:pPr>
    </w:p>
    <w:p>
      <w:pPr>
        <w:ind w:firstLine="1505"/>
        <w:spacing w:after="0" w:line="255" w:lineRule="auto"/>
        <w:tabs>
          <w:tab w:leader="none" w:pos="2036"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section shall prohibit or impair you or the Company from complying with all applicable laws, nor shall this Agreement be construed to obligate either party to commit (or aid or abet in the commission of) any unlawful act.</w:t>
      </w:r>
    </w:p>
    <w:p>
      <w:pPr>
        <w:spacing w:after="0" w:line="172"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Rights</w:t>
      </w:r>
      <w:r>
        <w:rPr>
          <w:rFonts w:ascii="Times New Roman" w:cs="Times New Roman" w:eastAsia="Times New Roman" w:hAnsi="Times New Roman"/>
          <w:sz w:val="20"/>
          <w:szCs w:val="20"/>
          <w:color w:val="auto"/>
        </w:rPr>
        <w:t>: You understand that nothing in this Agreement, including the General Release and Waiver of Claims, Covenant Not to Sue, Non-disparagement and Confidentiality sections contained herein, limits, impedes or restricts your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 w:cs="Times New Roman" w:eastAsia="Times New Roman" w:hAnsi="Times New Roman"/>
          <w:sz w:val="20"/>
          <w:szCs w:val="20"/>
          <w:b w:val="1"/>
          <w:bCs w:val="1"/>
          <w:i w:val="1"/>
          <w:iCs w:val="1"/>
          <w:color w:val="auto"/>
        </w:rPr>
        <w:t>Government Agencies</w:t>
      </w:r>
      <w:r>
        <w:rPr>
          <w:rFonts w:ascii="Times New Roman" w:cs="Times New Roman" w:eastAsia="Times New Roman" w:hAnsi="Times New Roman"/>
          <w:sz w:val="20"/>
          <w:szCs w:val="20"/>
          <w:color w:val="auto"/>
        </w:rPr>
        <w:t>”). You further understand that this Agreement does not limit your ability to communicate with any Government Agencies or otherwise participate and/or assist in any investigation or proceeding that may be conducted by any Government Agency, including providing documents or other information, without notice to the Company. This Agreement does not limit your right to receive an award for information provided to any Government Agencies or prohibit you from providing truthful information in response to a subpoena or other legal process.</w:t>
      </w:r>
    </w:p>
    <w:p>
      <w:pPr>
        <w:spacing w:after="0" w:line="189"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Non-disparagement</w:t>
      </w:r>
      <w:r>
        <w:rPr>
          <w:rFonts w:ascii="Times New Roman" w:cs="Times New Roman" w:eastAsia="Times New Roman" w:hAnsi="Times New Roman"/>
          <w:sz w:val="19"/>
          <w:szCs w:val="19"/>
          <w:color w:val="auto"/>
        </w:rPr>
        <w:t xml:space="preserve">: Subject to the Protected Rights section above, and otherwise to the fullest extent permitted by applicable law, you agree that you will not, directly or indirectly, disparage or make negative remarks regarding Releasees or their products, services, agents, representatives, directors, officers, shareholders, attorneys, employees, vendors, affiliates, successors or assigns, or any person acting by, through, under or in concert with any of them, with any written or oral statement, including, but not limited to, any statement posted on social media (including online company review sites) or otherwise on the Internet, whether or not made anonymously or with attribution. Nothing in this Agreement prevents you from discussing or disclosing information about unlawful acts in the workplace, such as harassment or discrimination or any other conduct that you have reason to believe is unlawful. The Company agrees that </w:t>
      </w:r>
      <w:r>
        <w:rPr>
          <w:rFonts w:ascii="Times New Roman" w:cs="Times New Roman" w:eastAsia="Times New Roman" w:hAnsi="Times New Roman"/>
          <w:sz w:val="19"/>
          <w:szCs w:val="19"/>
          <w:color w:val="0E0E0E"/>
        </w:rPr>
        <w:t>its current officers and directors,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E0E0E"/>
        </w:rPr>
        <w:t>for so long as they are employed by or providing board service to the Company, will not disparage you with any written or oral statement</w:t>
      </w:r>
      <w:r>
        <w:rPr>
          <w:rFonts w:ascii="Times New Roman" w:cs="Times New Roman" w:eastAsia="Times New Roman" w:hAnsi="Times New Roman"/>
          <w:sz w:val="19"/>
          <w:szCs w:val="19"/>
          <w:color w:val="000000"/>
        </w:rPr>
        <w:t>.</w:t>
      </w:r>
    </w:p>
    <w:p>
      <w:pPr>
        <w:spacing w:after="0" w:line="174" w:lineRule="exact"/>
        <w:rPr>
          <w:rFonts w:ascii="Times New Roman" w:cs="Times New Roman" w:eastAsia="Times New Roman" w:hAnsi="Times New Roman"/>
          <w:sz w:val="19"/>
          <w:szCs w:val="19"/>
          <w:color w:val="auto"/>
        </w:rPr>
      </w:pPr>
    </w:p>
    <w:p>
      <w:pPr>
        <w:jc w:val="both"/>
        <w:ind w:firstLine="757"/>
        <w:spacing w:after="0" w:line="247"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Social Media Profile</w:t>
      </w:r>
      <w:r>
        <w:rPr>
          <w:rFonts w:ascii="Times New Roman" w:cs="Times New Roman" w:eastAsia="Times New Roman" w:hAnsi="Times New Roman"/>
          <w:sz w:val="20"/>
          <w:szCs w:val="20"/>
          <w:color w:val="auto"/>
        </w:rPr>
        <w:t>: If you represent your employment with the Company on any social media platform (e.g., LinkedIn), and as a condition precedent to receive the separation compensation outlined above, you agree to update, within five (5) days of the Effective Date of this Agreement, any such information to accurately reflect your title, job responsibilities, and dates of employment.</w:t>
      </w:r>
    </w:p>
    <w:p>
      <w:pPr>
        <w:spacing w:after="0" w:line="180"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Except for any claim for injunctive relief arising out of a breach of a party’s obligations to protect the other’s proprietary information, the parties agree to arbitrate, in San Diego, California through JAMS, any and all disputes or claims arising out of or related to the validity, enforceability, interpretation, performance or breach of this Agreement, whether sounding in tort, contract, statutory violation or otherwise, or involving the construction or application or any of the terms, provisions, or conditions of this Agreement. Any arbitration may be initiated by a written demand to the other party. The arbitrator's decision shall be final, binding, and conclusive. The parties further agree that this Agreement is intended to be strictly construed to provide for arbitration as the sole and exclusive means for resolution of all disputes hereunder to the fullest extent permitted by law. The parties expressly waive any entitlement to have such controversies decided by a court or a jury.</w:t>
      </w:r>
    </w:p>
    <w:p>
      <w:pPr>
        <w:spacing w:after="0" w:line="191"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If any action is brought to enforce the terms of this Agreement, the prevailing party will be entitled to recover its reasonable attorneys’ fees, costs and expenses from the other party, in addition to any other relief to which the prevailing party may be entitled.</w:t>
      </w:r>
    </w:p>
    <w:p>
      <w:pPr>
        <w:spacing w:after="0" w:line="160"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Subject to the Protected Rights section above, and otherwise to the fullest extent permitted by applicable law, the contents, terms and conditions of this Agreement must be kept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color w:val="auto"/>
        </w:rPr>
        <w:t>Eric Loumeau</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confidential by you and may not be disclosed except to your immediate family, accountant or attorneys or pursuant to subpoena or court order. You agree that if you are asked for information concerning this Agreement, you will state only that you and the Company reached an amicable resolution of any disputes concerning your separation from the Company. Any breach of this confidentiality provision shall be deemed a material breach of this Agreement.</w:t>
      </w:r>
    </w:p>
    <w:p>
      <w:pPr>
        <w:spacing w:after="0" w:line="185" w:lineRule="exact"/>
        <w:rPr>
          <w:sz w:val="20"/>
          <w:szCs w:val="20"/>
          <w:color w:val="auto"/>
        </w:rPr>
      </w:pPr>
    </w:p>
    <w:p>
      <w:pPr>
        <w:jc w:val="both"/>
        <w:ind w:firstLine="757"/>
        <w:spacing w:after="0" w:line="244" w:lineRule="auto"/>
        <w:tabs>
          <w:tab w:leader="none" w:pos="101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Admission of Liability</w:t>
      </w:r>
      <w:r>
        <w:rPr>
          <w:rFonts w:ascii="Times New Roman" w:cs="Times New Roman" w:eastAsia="Times New Roman" w:hAnsi="Times New Roman"/>
          <w:sz w:val="20"/>
          <w:szCs w:val="20"/>
          <w:color w:val="auto"/>
        </w:rPr>
        <w:t>: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 maximum protection allowable under California Evidence Code Section 1152 and/or any other state or federal provisions of similar effect.</w:t>
      </w:r>
    </w:p>
    <w:p>
      <w:pPr>
        <w:spacing w:after="0" w:line="185"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Complete and Voluntary Agreement</w:t>
      </w:r>
      <w:r>
        <w:rPr>
          <w:rFonts w:ascii="Times New Roman" w:cs="Times New Roman" w:eastAsia="Times New Roman" w:hAnsi="Times New Roman"/>
          <w:sz w:val="20"/>
          <w:szCs w:val="20"/>
          <w:color w:val="auto"/>
        </w:rPr>
        <w:t>: This Agreement, together with any exhibits hereto and any applicable equity-related agreements, constitute the entire agreement between you and Releasees with respect to the subject matter hereof and supersedes all prior negotiations and agreements, whether written or oral, relating to such subject matter.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 and that you are executing this Agreement voluntarily, free of any duress or coercion.</w:t>
      </w:r>
    </w:p>
    <w:p>
      <w:pPr>
        <w:spacing w:after="0" w:line="18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are severable, and if any part of it is found to be invalid or unenforceable, including, without limitation, any part of the General Release, Covenant Not to Sue, Non-disparagement and/or Confidentiality sections above,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spacing w:after="0" w:line="171"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 Counterparts; Electronic/PDF Signatures</w:t>
      </w:r>
      <w:r>
        <w:rPr>
          <w:rFonts w:ascii="Times New Roman" w:cs="Times New Roman" w:eastAsia="Times New Roman" w:hAnsi="Times New Roman"/>
          <w:sz w:val="20"/>
          <w:szCs w:val="20"/>
          <w:color w:val="auto"/>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an electronic or PDF copy shall have the same force and effect as execution of an original, and a copy of a signature will be admissible in any legal proceeding as if an original.</w:t>
      </w:r>
    </w:p>
    <w:p>
      <w:pPr>
        <w:spacing w:after="0" w:line="184" w:lineRule="exact"/>
        <w:rPr>
          <w:rFonts w:ascii="Times New Roman" w:cs="Times New Roman" w:eastAsia="Times New Roman" w:hAnsi="Times New Roman"/>
          <w:sz w:val="20"/>
          <w:szCs w:val="20"/>
          <w:color w:val="auto"/>
        </w:rPr>
      </w:pPr>
    </w:p>
    <w:p>
      <w:pPr>
        <w:jc w:val="both"/>
        <w:ind w:right="20" w:firstLine="757"/>
        <w:spacing w:after="0" w:line="247" w:lineRule="auto"/>
        <w:tabs>
          <w:tab w:leader="none" w:pos="101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Review of Separation Agreement; Expiration of Offer:</w:t>
      </w:r>
      <w:r>
        <w:rPr>
          <w:rFonts w:ascii="Times New Roman" w:cs="Times New Roman" w:eastAsia="Times New Roman" w:hAnsi="Times New Roman"/>
          <w:sz w:val="20"/>
          <w:szCs w:val="20"/>
          <w:color w:val="auto"/>
        </w:rPr>
        <w:t xml:space="preserve"> You understand that you have the right to consult with an attorney regarding this Agreement, and that you must sign this Agreement on March 26, 2026 (the “</w:t>
      </w:r>
      <w:r>
        <w:rPr>
          <w:rFonts w:ascii="Times New Roman" w:cs="Times New Roman" w:eastAsia="Times New Roman" w:hAnsi="Times New Roman"/>
          <w:sz w:val="20"/>
          <w:szCs w:val="20"/>
          <w:b w:val="1"/>
          <w:bCs w:val="1"/>
          <w:i w:val="1"/>
          <w:iCs w:val="1"/>
          <w:color w:val="auto"/>
        </w:rPr>
        <w:t>Consideration Period</w:t>
      </w:r>
      <w:r>
        <w:rPr>
          <w:rFonts w:ascii="Times New Roman" w:cs="Times New Roman" w:eastAsia="Times New Roman" w:hAnsi="Times New Roman"/>
          <w:sz w:val="20"/>
          <w:szCs w:val="20"/>
          <w:color w:val="auto"/>
        </w:rPr>
        <w:t>”). If you do not accept this Agreement before the end of the Consideration Period, the offer set forth in this Agreement will automatically expire.</w:t>
      </w:r>
    </w:p>
    <w:p>
      <w:pPr>
        <w:spacing w:after="0" w:line="176"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This Agreement will be effective on the Separation Date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laws of the State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Eric Loumeau</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6</w:t>
      </w:r>
    </w:p>
    <w:p>
      <w:pPr>
        <w:spacing w:after="0" w:line="200" w:lineRule="exact"/>
        <w:rPr>
          <w:sz w:val="20"/>
          <w:szCs w:val="20"/>
          <w:color w:val="auto"/>
        </w:rPr>
      </w:pPr>
    </w:p>
    <w:p>
      <w:pPr>
        <w:spacing w:after="0" w:line="284" w:lineRule="exact"/>
        <w:rPr>
          <w:sz w:val="20"/>
          <w:szCs w:val="20"/>
          <w:color w:val="auto"/>
        </w:rPr>
      </w:pPr>
    </w:p>
    <w:p>
      <w:pPr>
        <w:ind w:right="380" w:firstLine="749"/>
        <w:spacing w:after="0" w:line="255" w:lineRule="auto"/>
        <w:rPr>
          <w:sz w:val="20"/>
          <w:szCs w:val="20"/>
          <w:color w:val="auto"/>
        </w:rPr>
      </w:pPr>
      <w:r>
        <w:rPr>
          <w:rFonts w:ascii="Times New Roman" w:cs="Times New Roman" w:eastAsia="Times New Roman" w:hAnsi="Times New Roman"/>
          <w:sz w:val="20"/>
          <w:szCs w:val="20"/>
          <w:color w:val="auto"/>
        </w:rPr>
        <w:t>If you agree to abide by the terms outlined in this Agreement, please sign and return it to me. I wish you the best in your future endeavors.</w:t>
      </w:r>
    </w:p>
    <w:p>
      <w:pPr>
        <w:spacing w:after="0" w:line="200" w:lineRule="exact"/>
        <w:rPr>
          <w:sz w:val="20"/>
          <w:szCs w:val="20"/>
          <w:color w:val="auto"/>
        </w:rPr>
      </w:pP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Sincerely,</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AnaptysBio, Inc.</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Daniel Faga______________________________</w:t>
      </w:r>
    </w:p>
    <w:p>
      <w:pPr>
        <w:spacing w:after="0" w:line="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Daniel Faga, CEO</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READ, UNDERSTOOD AND AGREED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20"/>
                <w:szCs w:val="20"/>
                <w:color w:val="auto"/>
                <w:w w:val="98"/>
              </w:rPr>
              <w:t>/s/ Eric Loumeau__________________</w:t>
            </w:r>
          </w:p>
        </w:tc>
        <w:tc>
          <w:tcPr>
            <w:tcW w:w="200" w:type="dxa"/>
            <w:vAlign w:val="bottom"/>
          </w:tcPr>
          <w:p>
            <w:pPr>
              <w:spacing w:after="0"/>
              <w:rPr>
                <w:sz w:val="19"/>
                <w:szCs w:val="19"/>
                <w:color w:val="auto"/>
              </w:rPr>
            </w:pPr>
          </w:p>
        </w:tc>
        <w:tc>
          <w:tcPr>
            <w:tcW w:w="78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Date: March 26, 2026______________</w:t>
            </w:r>
          </w:p>
        </w:tc>
      </w:tr>
      <w:tr>
        <w:trPr>
          <w:trHeight w:val="256"/>
        </w:trPr>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Eric Loumeau</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40" w:type="dxa"/>
            <w:vAlign w:val="bottom"/>
            <w:tcBorders>
              <w:top w:val="single" w:sz="8" w:color="auto"/>
            </w:tcBorders>
          </w:tcPr>
          <w:p>
            <w:pPr>
              <w:spacing w:after="0"/>
              <w:rPr>
                <w:sz w:val="22"/>
                <w:szCs w:val="22"/>
                <w:color w:val="auto"/>
              </w:rPr>
            </w:pPr>
          </w:p>
        </w:tc>
        <w:tc>
          <w:tcPr>
            <w:tcW w:w="4500" w:type="dxa"/>
            <w:vAlign w:val="bottom"/>
          </w:tcPr>
          <w:p>
            <w:pPr>
              <w:spacing w:after="0"/>
              <w:rPr>
                <w:sz w:val="22"/>
                <w:szCs w:val="22"/>
                <w:color w:val="auto"/>
              </w:rPr>
            </w:pPr>
          </w:p>
        </w:tc>
      </w:tr>
      <w:tr>
        <w:trPr>
          <w:trHeight w:val="1405"/>
        </w:trPr>
        <w:tc>
          <w:tcPr>
            <w:tcW w:w="3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RESIGNATION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1031240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85" w:name="page86"/>
    <w:bookmarkEnd w:id="85"/>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CONSULTING AGREEMENT WITH ANAPTYSBIO,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7100570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CONSULTING AGREEMENT WITH FIRST TRACKS BIOTHERAPEUTICS,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6663690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EQUITY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Faga, certify that:</w:t>
      </w:r>
    </w:p>
    <w:p>
      <w:pPr>
        <w:spacing w:after="0" w:line="104" w:lineRule="exact"/>
        <w:rPr>
          <w:sz w:val="20"/>
          <w:szCs w:val="20"/>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AnaptysBio, Inc.;</w:t>
      </w:r>
    </w:p>
    <w:p>
      <w:pPr>
        <w:spacing w:after="0" w:line="117" w:lineRule="exact"/>
        <w:rPr>
          <w:rFonts w:ascii="Times New Roman" w:cs="Times New Roman" w:eastAsia="Times New Roman" w:hAnsi="Times New Roman"/>
          <w:sz w:val="18"/>
          <w:szCs w:val="18"/>
          <w:color w:val="auto"/>
        </w:rPr>
      </w:pPr>
    </w:p>
    <w:p>
      <w:pPr>
        <w:jc w:val="both"/>
        <w:ind w:left="380" w:right="360" w:hanging="372"/>
        <w:spacing w:after="0" w:line="250" w:lineRule="auto"/>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380" w:right="320" w:hanging="372"/>
        <w:spacing w:after="0" w:line="266" w:lineRule="auto"/>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380" w:right="340" w:hanging="372"/>
        <w:spacing w:after="0" w:line="258" w:lineRule="auto"/>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760" w:right="240" w:hanging="378"/>
        <w:spacing w:after="0" w:line="258" w:lineRule="auto"/>
        <w:tabs>
          <w:tab w:leader="none" w:pos="7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760" w:right="560" w:hanging="378"/>
        <w:spacing w:after="0" w:line="258" w:lineRule="auto"/>
        <w:tabs>
          <w:tab w:leader="none" w:pos="7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760" w:right="720" w:hanging="378"/>
        <w:spacing w:after="0" w:line="296" w:lineRule="auto"/>
        <w:tabs>
          <w:tab w:leader="none" w:pos="76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7"/>
          <w:szCs w:val="17"/>
          <w:color w:val="auto"/>
        </w:rPr>
      </w:pPr>
    </w:p>
    <w:p>
      <w:pPr>
        <w:ind w:left="760" w:right="220" w:hanging="378"/>
        <w:spacing w:after="0" w:line="250" w:lineRule="auto"/>
        <w:tabs>
          <w:tab w:leader="none" w:pos="7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380" w:right="220" w:hanging="372"/>
        <w:spacing w:after="0" w:line="266" w:lineRule="auto"/>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760" w:right="140" w:hanging="378"/>
        <w:spacing w:after="0" w:line="329" w:lineRule="auto"/>
        <w:tabs>
          <w:tab w:leader="none" w:pos="7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760" w:right="80" w:hanging="378"/>
        <w:spacing w:after="0" w:line="313" w:lineRule="auto"/>
        <w:tabs>
          <w:tab w:leader="none" w:pos="7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18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80"/>
        <w:spacing w:after="0" w:line="237" w:lineRule="auto"/>
        <w:rPr>
          <w:sz w:val="20"/>
          <w:szCs w:val="20"/>
          <w:color w:val="auto"/>
        </w:rPr>
      </w:pPr>
      <w:r>
        <w:rPr>
          <w:rFonts w:ascii="Times New Roman" w:cs="Times New Roman" w:eastAsia="Times New Roman" w:hAnsi="Times New Roman"/>
          <w:sz w:val="18"/>
          <w:szCs w:val="18"/>
          <w:color w:val="auto"/>
        </w:rPr>
        <w:t>Daniel Faga</w:t>
      </w:r>
    </w:p>
    <w:p>
      <w:pPr>
        <w:ind w:left="5680"/>
        <w:spacing w:after="0" w:line="219" w:lineRule="auto"/>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568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7" w:right="37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M. Murphy, certify that:</w:t>
      </w:r>
    </w:p>
    <w:p>
      <w:pPr>
        <w:spacing w:after="0" w:line="104" w:lineRule="exact"/>
        <w:rPr>
          <w:sz w:val="20"/>
          <w:szCs w:val="20"/>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AnaptysBio, Inc.;</w:t>
      </w:r>
    </w:p>
    <w:p>
      <w:pPr>
        <w:spacing w:after="0" w:line="117" w:lineRule="exact"/>
        <w:rPr>
          <w:rFonts w:ascii="Times New Roman" w:cs="Times New Roman" w:eastAsia="Times New Roman" w:hAnsi="Times New Roman"/>
          <w:sz w:val="18"/>
          <w:szCs w:val="18"/>
          <w:color w:val="auto"/>
        </w:rPr>
      </w:pPr>
    </w:p>
    <w:p>
      <w:pPr>
        <w:jc w:val="both"/>
        <w:ind w:left="380" w:right="360" w:hanging="372"/>
        <w:spacing w:after="0" w:line="250" w:lineRule="auto"/>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380" w:right="320" w:hanging="372"/>
        <w:spacing w:after="0" w:line="266" w:lineRule="auto"/>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380" w:right="340" w:hanging="372"/>
        <w:spacing w:after="0" w:line="258" w:lineRule="auto"/>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760" w:right="240" w:hanging="378"/>
        <w:spacing w:after="0" w:line="258" w:lineRule="auto"/>
        <w:tabs>
          <w:tab w:leader="none" w:pos="7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760" w:right="560" w:hanging="378"/>
        <w:spacing w:after="0" w:line="258" w:lineRule="auto"/>
        <w:tabs>
          <w:tab w:leader="none" w:pos="7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760" w:right="720" w:hanging="378"/>
        <w:spacing w:after="0" w:line="296" w:lineRule="auto"/>
        <w:tabs>
          <w:tab w:leader="none" w:pos="76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7"/>
          <w:szCs w:val="17"/>
          <w:color w:val="auto"/>
        </w:rPr>
      </w:pPr>
    </w:p>
    <w:p>
      <w:pPr>
        <w:ind w:left="760" w:right="220" w:hanging="378"/>
        <w:spacing w:after="0" w:line="250" w:lineRule="auto"/>
        <w:tabs>
          <w:tab w:leader="none" w:pos="7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380" w:right="220" w:hanging="372"/>
        <w:spacing w:after="0" w:line="266" w:lineRule="auto"/>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00" w:lineRule="exact"/>
        <w:rPr>
          <w:sz w:val="20"/>
          <w:szCs w:val="20"/>
          <w:color w:val="auto"/>
        </w:rPr>
      </w:pPr>
    </w:p>
    <w:p>
      <w:pPr>
        <w:spacing w:after="0" w:line="21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Christopher M.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80"/>
        <w:spacing w:after="0" w:line="237" w:lineRule="auto"/>
        <w:rPr>
          <w:sz w:val="20"/>
          <w:szCs w:val="20"/>
          <w:color w:val="auto"/>
        </w:rPr>
      </w:pPr>
      <w:r>
        <w:rPr>
          <w:rFonts w:ascii="Times New Roman" w:cs="Times New Roman" w:eastAsia="Times New Roman" w:hAnsi="Times New Roman"/>
          <w:sz w:val="18"/>
          <w:szCs w:val="18"/>
          <w:color w:val="auto"/>
        </w:rPr>
        <w:t>Christopher M. Murphy</w:t>
      </w:r>
    </w:p>
    <w:p>
      <w:pPr>
        <w:ind w:left="5680"/>
        <w:spacing w:after="0" w:line="219"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56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Faga, Chief Executive Officer of AnaptysBio, Inc. (Company), do hereby certify, pursuant to 18 U.S.C. Section 1350, as adopted pursuant to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158" w:lineRule="exact"/>
        <w:rPr>
          <w:sz w:val="20"/>
          <w:szCs w:val="20"/>
          <w:color w:val="auto"/>
        </w:rPr>
      </w:pPr>
    </w:p>
    <w:p>
      <w:pPr>
        <w:ind w:left="760" w:right="560" w:hanging="378"/>
        <w:spacing w:after="0" w:line="313"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2026 (the “Report”), as filed with the Securities and Exchange Commission, fully complies with the requirements of Section 13(a) or 15(d) of the Securities Exchange Act of 1934; and</w:t>
      </w:r>
    </w:p>
    <w:p>
      <w:pPr>
        <w:spacing w:after="0" w:line="67" w:lineRule="exact"/>
        <w:rPr>
          <w:rFonts w:ascii="Times New Roman" w:cs="Times New Roman" w:eastAsia="Times New Roman" w:hAnsi="Times New Roman"/>
          <w:sz w:val="18"/>
          <w:szCs w:val="18"/>
          <w:color w:val="auto"/>
        </w:rPr>
      </w:pPr>
    </w:p>
    <w:p>
      <w:pPr>
        <w:ind w:left="760" w:right="100" w:hanging="378"/>
        <w:spacing w:after="0" w:line="313"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6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80"/>
        <w:spacing w:after="0" w:line="237" w:lineRule="auto"/>
        <w:rPr>
          <w:sz w:val="20"/>
          <w:szCs w:val="20"/>
          <w:color w:val="auto"/>
        </w:rPr>
      </w:pPr>
      <w:r>
        <w:rPr>
          <w:rFonts w:ascii="Times New Roman" w:cs="Times New Roman" w:eastAsia="Times New Roman" w:hAnsi="Times New Roman"/>
          <w:sz w:val="18"/>
          <w:szCs w:val="18"/>
          <w:color w:val="auto"/>
        </w:rPr>
        <w:t>Daniel Faga</w:t>
      </w:r>
    </w:p>
    <w:p>
      <w:pPr>
        <w:ind w:left="5680"/>
        <w:spacing w:after="0" w:line="219" w:lineRule="auto"/>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568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7" w:right="37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56" w:lineRule="exact"/>
        <w:rPr>
          <w:sz w:val="20"/>
          <w:szCs w:val="20"/>
          <w:color w:val="auto"/>
        </w:rPr>
      </w:pPr>
    </w:p>
    <w:p>
      <w:pPr>
        <w:ind w:right="400"/>
        <w:spacing w:after="0" w:line="313" w:lineRule="auto"/>
        <w:rPr>
          <w:sz w:val="20"/>
          <w:szCs w:val="20"/>
          <w:color w:val="auto"/>
        </w:rPr>
      </w:pPr>
      <w:r>
        <w:rPr>
          <w:rFonts w:ascii="Times New Roman" w:cs="Times New Roman" w:eastAsia="Times New Roman" w:hAnsi="Times New Roman"/>
          <w:sz w:val="18"/>
          <w:szCs w:val="18"/>
          <w:color w:val="auto"/>
        </w:rPr>
        <w:t>I, Christopher M. Murphy, Chief Financial Officer of AnaptysBio, Inc. (Company), do hereby certify, pursuant to 18 U.S.C. Section 1350, as adopted pursuant to Section 906 of the Sarbanes-Oxley Act of 2002, that to the best of my knowledge:</w:t>
      </w:r>
    </w:p>
    <w:p>
      <w:pPr>
        <w:spacing w:after="0" w:line="68" w:lineRule="exact"/>
        <w:rPr>
          <w:sz w:val="20"/>
          <w:szCs w:val="20"/>
          <w:color w:val="auto"/>
        </w:rPr>
      </w:pPr>
    </w:p>
    <w:p>
      <w:pPr>
        <w:ind w:left="760" w:right="560" w:hanging="378"/>
        <w:spacing w:after="0" w:line="313"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2026 (the “Report”), as filed with the Securities and Exchange Commission, fully complies with the requirements of Section 13(a) or 15(d) of the Securities Exchange Act of 1934; and</w:t>
      </w:r>
    </w:p>
    <w:p>
      <w:pPr>
        <w:spacing w:after="0" w:line="67" w:lineRule="exact"/>
        <w:rPr>
          <w:rFonts w:ascii="Times New Roman" w:cs="Times New Roman" w:eastAsia="Times New Roman" w:hAnsi="Times New Roman"/>
          <w:sz w:val="18"/>
          <w:szCs w:val="18"/>
          <w:color w:val="auto"/>
        </w:rPr>
      </w:pPr>
    </w:p>
    <w:p>
      <w:pPr>
        <w:ind w:left="760" w:right="100" w:hanging="378"/>
        <w:spacing w:after="0" w:line="313"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6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Christopher M.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80"/>
        <w:spacing w:after="0" w:line="237" w:lineRule="auto"/>
        <w:rPr>
          <w:sz w:val="20"/>
          <w:szCs w:val="20"/>
          <w:color w:val="auto"/>
        </w:rPr>
      </w:pPr>
      <w:r>
        <w:rPr>
          <w:rFonts w:ascii="Times New Roman" w:cs="Times New Roman" w:eastAsia="Times New Roman" w:hAnsi="Times New Roman"/>
          <w:sz w:val="18"/>
          <w:szCs w:val="18"/>
          <w:color w:val="auto"/>
        </w:rPr>
        <w:t>Christopher M. Murphy</w:t>
      </w:r>
    </w:p>
    <w:p>
      <w:pPr>
        <w:ind w:left="5680"/>
        <w:spacing w:after="0" w:line="219"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56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7" w:right="379" w:bottom="1440" w:gutter="0" w:footer="0" w:header="0"/>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2"/>
    </w:lvl>
  </w:abstractNum>
  <w:abstractNum w:abstractNumId="3">
    <w:nsid w:val="4516DDE9"/>
    <w:multiLevelType w:val="hybridMultilevel"/>
    <w:lvl w:ilvl="0">
      <w:lvlJc w:val="left"/>
      <w:lvlText w:val="%1."/>
      <w:numFmt w:val="decimal"/>
      <w:start w:val="3"/>
    </w:lvl>
  </w:abstractNum>
  <w:abstractNum w:abstractNumId="4">
    <w:nsid w:val="3006C83E"/>
    <w:multiLevelType w:val="hybridMultilevel"/>
    <w:lvl w:ilvl="0">
      <w:lvlJc w:val="left"/>
      <w:lvlText w:val="%1."/>
      <w:numFmt w:val="decimal"/>
      <w:start w:val="4"/>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1."/>
      <w:numFmt w:val="decimal"/>
      <w:start w:val="606"/>
    </w:lvl>
  </w:abstractNum>
  <w:abstractNum w:abstractNumId="7">
    <w:nsid w:val="5577F8E1"/>
    <w:multiLevelType w:val="hybridMultilevel"/>
    <w:lvl w:ilvl="0">
      <w:lvlJc w:val="left"/>
      <w:lvlText w:val="(%1)"/>
      <w:numFmt w:val="decimal"/>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1)"/>
      <w:numFmt w:val="decimal"/>
      <w:start w:val="1"/>
    </w:lvl>
  </w:abstractNum>
  <w:abstractNum w:abstractNumId="12">
    <w:nsid w:val="7724C67E"/>
    <w:multiLevelType w:val="hybridMultilevel"/>
    <w:lvl w:ilvl="0">
      <w:lvlJc w:val="left"/>
      <w:lvlText w:val="(%1)"/>
      <w:numFmt w:val="decimal"/>
      <w:start w:val="1"/>
    </w:lvl>
  </w:abstractNum>
  <w:abstractNum w:abstractNumId="13">
    <w:nsid w:val="5C482A97"/>
    <w:multiLevelType w:val="hybridMultilevel"/>
    <w:lvl w:ilvl="0">
      <w:lvlJc w:val="left"/>
      <w:lvlText w:val="(%1)"/>
      <w:numFmt w:val="decimal"/>
      <w:start w:val="1"/>
    </w:lvl>
  </w:abstractNum>
  <w:abstractNum w:abstractNumId="14">
    <w:nsid w:val="2463B9EA"/>
    <w:multiLevelType w:val="hybridMultilevel"/>
    <w:lvl w:ilvl="0">
      <w:lvlJc w:val="left"/>
      <w:lvlText w:val="%1."/>
      <w:numFmt w:val="decimal"/>
      <w:start w:val="7"/>
    </w:lvl>
  </w:abstractNum>
  <w:abstractNum w:abstractNumId="15">
    <w:nsid w:val="5E884ADC"/>
    <w:multiLevelType w:val="hybridMultilevel"/>
    <w:lvl w:ilvl="0">
      <w:lvlJc w:val="left"/>
      <w:lvlText w:val="%1."/>
      <w:numFmt w:val="decimal"/>
      <w:start w:val="8"/>
    </w:lvl>
  </w:abstractNum>
  <w:abstractNum w:abstractNumId="16">
    <w:nsid w:val="51EAD36B"/>
    <w:multiLevelType w:val="hybridMultilevel"/>
    <w:lvl w:ilvl="0">
      <w:lvlJc w:val="left"/>
      <w:lvlText w:val="%1."/>
      <w:numFmt w:val="decimal"/>
      <w:start w:val="9"/>
    </w:lvl>
  </w:abstractNum>
  <w:abstractNum w:abstractNumId="17">
    <w:nsid w:val="2D517796"/>
    <w:multiLevelType w:val="hybridMultilevel"/>
    <w:lvl w:ilvl="0">
      <w:lvlJc w:val="left"/>
      <w:lvlText w:val="(%1)"/>
      <w:numFmt w:val="decimal"/>
      <w:start w:val="1"/>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1."/>
      <w:numFmt w:val="decimal"/>
      <w:start w:val="1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1)"/>
      <w:numFmt w:val="upperLetter"/>
      <w:start w:val="2"/>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1."/>
      <w:numFmt w:val="upperLetter"/>
      <w:start w:val="1"/>
    </w:lvl>
  </w:abstractNum>
  <w:abstractNum w:abstractNumId="33">
    <w:nsid w:val="7644A45C"/>
    <w:multiLevelType w:val="hybridMultilevel"/>
    <w:lvl w:ilvl="0">
      <w:lvlJc w:val="left"/>
      <w:lvlText w:val="%1."/>
      <w:numFmt w:val="decimal"/>
      <w:start w:val="1"/>
    </w:lvl>
    <w:lvl w:ilvl="1">
      <w:lvlJc w:val="left"/>
      <w:lvlText w:val="(%2)"/>
      <w:numFmt w:val="lowerLetter"/>
      <w:start w:val="1"/>
    </w:lvl>
  </w:abstractNum>
  <w:abstractNum w:abstractNumId="34">
    <w:nsid w:val="32FFF90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5">
    <w:nsid w:val="684A481A"/>
    <w:multiLevelType w:val="hybridMultilevel"/>
    <w:lvl w:ilvl="0">
      <w:lvlJc w:val="left"/>
      <w:lvlText w:val="%1."/>
      <w:numFmt w:val="decimal"/>
      <w:start w:val="6"/>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decimal"/>
      <w:start w:val="5"/>
    </w:lvl>
  </w:abstractNum>
  <w:abstractNum w:abstractNumId="38">
    <w:nsid w:val="3DC240FB"/>
    <w:multiLevelType w:val="hybridMultilevel"/>
    <w:lvl w:ilvl="0">
      <w:lvlJc w:val="left"/>
      <w:lvlText w:val="%1."/>
      <w:numFmt w:val="decimal"/>
      <w:start w:val="9"/>
    </w:lvl>
  </w:abstractNum>
  <w:abstractNum w:abstractNumId="39">
    <w:nsid w:val="1BA026FA"/>
    <w:multiLevelType w:val="hybridMultilevel"/>
    <w:lvl w:ilvl="0">
      <w:lvlJc w:val="left"/>
      <w:lvlText w:val="(%1)"/>
      <w:numFmt w:val="lowerLetter"/>
      <w:start w:val="1"/>
    </w:lvl>
  </w:abstractNum>
  <w:abstractNum w:abstractNumId="40">
    <w:nsid w:val="79A1DEAA"/>
    <w:multiLevelType w:val="hybridMultilevel"/>
    <w:lvl w:ilvl="0">
      <w:lvlJc w:val="left"/>
      <w:lvlText w:val="(%1)"/>
      <w:numFmt w:val="lowerLetter"/>
      <w:start w:val="3"/>
    </w:lvl>
  </w:abstractNum>
  <w:abstractNum w:abstractNumId="41">
    <w:nsid w:val="75C6C33A"/>
    <w:multiLevelType w:val="hybridMultilevel"/>
    <w:lvl w:ilvl="0">
      <w:lvlJc w:val="left"/>
      <w:lvlText w:val="%1."/>
      <w:numFmt w:val="decimal"/>
      <w:start w:val="1"/>
    </w:lvl>
    <w:lvl w:ilvl="1">
      <w:lvlJc w:val="left"/>
      <w:lvlText w:val="%2."/>
      <w:numFmt w:val="lowerLetter"/>
      <w:start w:val="1"/>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decimal"/>
      <w:start w:val="5"/>
    </w:lvl>
  </w:abstractNum>
  <w:abstractNum w:abstractNumId="44">
    <w:nsid w:val="520EEDD1"/>
    <w:multiLevelType w:val="hybridMultilevel"/>
    <w:lvl w:ilvl="0">
      <w:lvlJc w:val="left"/>
      <w:lvlText w:val="%1."/>
      <w:numFmt w:val="decimal"/>
      <w:start w:val="8"/>
    </w:lvl>
    <w:lvl w:ilvl="1">
      <w:lvlJc w:val="left"/>
      <w:lvlText w:val="%2."/>
      <w:numFmt w:val="lowerLetter"/>
      <w:start w:val="1"/>
    </w:lvl>
  </w:abstractNum>
  <w:abstractNum w:abstractNumId="45">
    <w:nsid w:val="374A3FE6"/>
    <w:multiLevelType w:val="hybridMultilevel"/>
    <w:lvl w:ilvl="0">
      <w:lvlJc w:val="left"/>
      <w:lvlText w:val="%1."/>
      <w:numFmt w:val="lowerLetter"/>
      <w:start w:val="3"/>
    </w:lvl>
  </w:abstractNum>
  <w:abstractNum w:abstractNumId="46">
    <w:nsid w:val="4F4EF005"/>
    <w:multiLevelType w:val="hybridMultilevel"/>
    <w:lvl w:ilvl="0">
      <w:lvlJc w:val="left"/>
      <w:lvlText w:val="%1."/>
      <w:numFmt w:val="decimal"/>
      <w:start w:val="9"/>
    </w:lvl>
    <w:lvl w:ilvl="1">
      <w:lvlJc w:val="left"/>
      <w:lvlText w:val="%2."/>
      <w:numFmt w:val="lowerLetter"/>
      <w:start w:val="1"/>
    </w:lvl>
  </w:abstractNum>
  <w:abstractNum w:abstractNumId="47">
    <w:nsid w:val="23F9C13C"/>
    <w:multiLevelType w:val="hybridMultilevel"/>
    <w:lvl w:ilvl="0">
      <w:lvlJc w:val="left"/>
      <w:lvlText w:val="%1."/>
      <w:numFmt w:val="decimal"/>
      <w:start w:val="14"/>
    </w:lvl>
  </w:abstractNum>
  <w:abstractNum w:abstractNumId="48">
    <w:nsid w:val="649BB77C"/>
    <w:multiLevelType w:val="hybridMultilevel"/>
    <w:lvl w:ilvl="0">
      <w:lvlJc w:val="left"/>
      <w:lvlText w:val="%1."/>
      <w:numFmt w:val="decimal"/>
      <w:start w:val="21"/>
    </w:lvl>
  </w:abstractNum>
  <w:abstractNum w:abstractNumId="49">
    <w:nsid w:val="275AC794"/>
    <w:multiLevelType w:val="hybridMultilevel"/>
    <w:lvl w:ilvl="0">
      <w:lvlJc w:val="left"/>
      <w:lvlText w:val="%1."/>
      <w:numFmt w:val="decimal"/>
      <w:start w:val="1"/>
    </w:lvl>
    <w:lvl w:ilvl="1">
      <w:lvlJc w:val="left"/>
      <w:lvlText w:val="%2."/>
      <w:numFmt w:val="lowerLetter"/>
      <w:start w:val="1"/>
    </w:lvl>
  </w:abstractNum>
  <w:abstractNum w:abstractNumId="50">
    <w:nsid w:val="39386575"/>
    <w:multiLevelType w:val="hybridMultilevel"/>
    <w:lvl w:ilvl="0">
      <w:lvlJc w:val="left"/>
      <w:lvlText w:val="%1."/>
      <w:numFmt w:val="lowerLetter"/>
      <w:start w:val="2"/>
    </w:lvl>
  </w:abstractNum>
  <w:abstractNum w:abstractNumId="51">
    <w:nsid w:val="1CF10FD8"/>
    <w:multiLevelType w:val="hybridMultilevel"/>
    <w:lvl w:ilvl="0">
      <w:lvlJc w:val="left"/>
      <w:lvlText w:val="%1."/>
      <w:numFmt w:val="decimal"/>
      <w:start w:val="5"/>
    </w:lvl>
  </w:abstractNum>
  <w:abstractNum w:abstractNumId="52">
    <w:nsid w:val="180115BE"/>
    <w:multiLevelType w:val="hybridMultilevel"/>
    <w:lvl w:ilvl="0">
      <w:lvlJc w:val="left"/>
      <w:lvlText w:val="%1."/>
      <w:numFmt w:val="decimal"/>
      <w:start w:val="8"/>
    </w:lvl>
    <w:lvl w:ilvl="1">
      <w:lvlJc w:val="left"/>
      <w:lvlText w:val="%2."/>
      <w:numFmt w:val="lowerLetter"/>
      <w:start w:val="1"/>
    </w:lvl>
  </w:abstractNum>
  <w:abstractNum w:abstractNumId="53">
    <w:nsid w:val="235BA861"/>
    <w:multiLevelType w:val="hybridMultilevel"/>
    <w:lvl w:ilvl="0">
      <w:lvlJc w:val="left"/>
      <w:lvlText w:val="%1"/>
      <w:numFmt w:val="decimal"/>
      <w:start w:val="1"/>
    </w:lvl>
    <w:lvl w:ilvl="1">
      <w:lvlJc w:val="left"/>
      <w:lvlText w:val="%2."/>
      <w:numFmt w:val="lowerLetter"/>
      <w:start w:val="3"/>
    </w:lvl>
  </w:abstractNum>
  <w:abstractNum w:abstractNumId="54">
    <w:nsid w:val="47398C89"/>
    <w:multiLevelType w:val="hybridMultilevel"/>
    <w:lvl w:ilvl="0">
      <w:lvlJc w:val="left"/>
      <w:lvlText w:val="%1."/>
      <w:numFmt w:val="decimal"/>
      <w:start w:val="9"/>
    </w:lvl>
    <w:lvl w:ilvl="1">
      <w:lvlJc w:val="left"/>
      <w:lvlText w:val="%2."/>
      <w:numFmt w:val="lowerLetter"/>
      <w:start w:val="1"/>
    </w:lvl>
  </w:abstractNum>
  <w:abstractNum w:abstractNumId="55">
    <w:nsid w:val="354FE9F9"/>
    <w:multiLevelType w:val="hybridMultilevel"/>
    <w:lvl w:ilvl="0">
      <w:lvlJc w:val="left"/>
      <w:lvlText w:val="%1"/>
      <w:numFmt w:val="decimal"/>
      <w:start w:val="1"/>
    </w:lvl>
    <w:lvl w:ilvl="1">
      <w:lvlJc w:val="left"/>
      <w:lvlText w:val="%2."/>
      <w:numFmt w:val="lowerLetter"/>
      <w:start w:val="2"/>
    </w:lvl>
  </w:abstractNum>
  <w:abstractNum w:abstractNumId="56">
    <w:nsid w:val="15B5AF5C"/>
    <w:multiLevelType w:val="hybridMultilevel"/>
    <w:lvl w:ilvl="0">
      <w:lvlJc w:val="left"/>
      <w:lvlText w:val="%1."/>
      <w:numFmt w:val="decimal"/>
      <w:start w:val="10"/>
    </w:lvl>
    <w:lvl w:ilvl="1">
      <w:lvlJc w:val="left"/>
      <w:lvlText w:val="%2"/>
      <w:numFmt w:val="lowerLetter"/>
      <w:start w:val="1"/>
    </w:lvl>
  </w:abstractNum>
  <w:abstractNum w:abstractNumId="57">
    <w:nsid w:val="741226BB"/>
    <w:multiLevelType w:val="hybridMultilevel"/>
    <w:lvl w:ilvl="0">
      <w:lvlJc w:val="left"/>
      <w:lvlText w:val="%1."/>
      <w:numFmt w:val="decimal"/>
      <w:start w:val="16"/>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2026-05-12T15:39:38Z</dcterms:created>
  <dcterms:modified xsi:type="dcterms:W3CDTF">2026-05-12T15:39:38Z</dcterms:modified>
</cp:coreProperties>
</file>