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As filed with the Securities and Exchange Commission on December 30, 2021</w:t>
      </w:r>
    </w:p>
    <w:p>
      <w:pPr>
        <w:spacing w:after="0" w:line="27" w:lineRule="exact"/>
        <w:rPr>
          <w:sz w:val="24"/>
          <w:szCs w:val="24"/>
          <w:color w:val="auto"/>
        </w:rPr>
      </w:pPr>
    </w:p>
    <w:p>
      <w:pPr>
        <w:ind w:left="90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REGISTRATION STATEMENT</w:t>
      </w:r>
    </w:p>
    <w:p>
      <w:pPr>
        <w:jc w:val="center"/>
        <w:ind w:right="-2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1"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ANAPTYSBIO,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2840" w:type="dxa"/>
            <w:vAlign w:val="bottom"/>
          </w:tcPr>
          <w:p>
            <w:pPr>
              <w:jc w:val="center"/>
              <w:ind w:right="882"/>
              <w:spacing w:after="0"/>
              <w:rPr>
                <w:sz w:val="20"/>
                <w:szCs w:val="20"/>
                <w:color w:val="auto"/>
              </w:rPr>
            </w:pPr>
            <w:r>
              <w:rPr>
                <w:rFonts w:ascii="Arial" w:cs="Arial" w:eastAsia="Arial" w:hAnsi="Arial"/>
                <w:sz w:val="18"/>
                <w:szCs w:val="18"/>
                <w:b w:val="1"/>
                <w:bCs w:val="1"/>
                <w:color w:val="auto"/>
                <w:w w:val="91"/>
              </w:rPr>
              <w:t>Delaware</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9"/>
              </w:rPr>
              <w:t>2834</w:t>
            </w:r>
          </w:p>
        </w:tc>
        <w:tc>
          <w:tcPr>
            <w:tcW w:w="2420" w:type="dxa"/>
            <w:vAlign w:val="bottom"/>
          </w:tcPr>
          <w:p>
            <w:pPr>
              <w:jc w:val="center"/>
              <w:ind w:left="922"/>
              <w:spacing w:after="0"/>
              <w:rPr>
                <w:sz w:val="20"/>
                <w:szCs w:val="20"/>
                <w:color w:val="auto"/>
              </w:rPr>
            </w:pPr>
            <w:r>
              <w:rPr>
                <w:rFonts w:ascii="Arial" w:cs="Arial" w:eastAsia="Arial" w:hAnsi="Arial"/>
                <w:sz w:val="18"/>
                <w:szCs w:val="18"/>
                <w:b w:val="1"/>
                <w:bCs w:val="1"/>
                <w:color w:val="auto"/>
                <w:w w:val="89"/>
              </w:rPr>
              <w:t>20-3828755</w:t>
            </w:r>
          </w:p>
        </w:tc>
      </w:tr>
      <w:tr>
        <w:trPr>
          <w:trHeight w:val="149"/>
        </w:trPr>
        <w:tc>
          <w:tcPr>
            <w:tcW w:w="2840" w:type="dxa"/>
            <w:vAlign w:val="bottom"/>
          </w:tcPr>
          <w:p>
            <w:pPr>
              <w:jc w:val="center"/>
              <w:ind w:right="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420" w:type="dxa"/>
            <w:vAlign w:val="bottom"/>
          </w:tcPr>
          <w:p>
            <w:pPr>
              <w:jc w:val="center"/>
              <w:ind w:left="92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40" w:type="dxa"/>
            <w:vAlign w:val="bottom"/>
          </w:tcPr>
          <w:p>
            <w:pPr>
              <w:jc w:val="center"/>
              <w:ind w:right="882"/>
              <w:spacing w:after="0"/>
              <w:rPr>
                <w:sz w:val="20"/>
                <w:szCs w:val="20"/>
                <w:color w:val="auto"/>
              </w:rPr>
            </w:pPr>
            <w:r>
              <w:rPr>
                <w:rFonts w:ascii="Arial" w:cs="Arial" w:eastAsia="Arial" w:hAnsi="Arial"/>
                <w:sz w:val="14"/>
                <w:szCs w:val="14"/>
                <w:b w:val="1"/>
                <w:bCs w:val="1"/>
                <w:color w:val="auto"/>
                <w:w w:val="94"/>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4"/>
              </w:rPr>
              <w:t>Classification Code Number)</w:t>
            </w:r>
          </w:p>
        </w:tc>
        <w:tc>
          <w:tcPr>
            <w:tcW w:w="2420" w:type="dxa"/>
            <w:vAlign w:val="bottom"/>
          </w:tcPr>
          <w:p>
            <w:pPr>
              <w:jc w:val="center"/>
              <w:ind w:left="92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8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10770 Wateridge Circle, Suite 210</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(858) 362-6295</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Hamza Suria</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AnaptysBio, Inc.</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10770 Wateridge Circle, Suite 210</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(858) 362-6295</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4"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Effie Toshav, Esq.</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Matthew S. Rossiter, Esq.</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Ryan G. Mitteness, Esq.</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Fenwick &amp; West LLP</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555 California Street</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San Francisco, CA 94104</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(415) 875-2300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2"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144" w:lineRule="exact"/>
        <w:rPr>
          <w:sz w:val="24"/>
          <w:szCs w:val="24"/>
          <w:color w:val="auto"/>
        </w:rPr>
      </w:pPr>
    </w:p>
    <w:p>
      <w:pPr>
        <w:ind w:left="120" w:right="30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74" w:lineRule="exact"/>
        <w:rPr>
          <w:sz w:val="24"/>
          <w:szCs w:val="24"/>
          <w:color w:val="auto"/>
        </w:rPr>
      </w:pPr>
    </w:p>
    <w:p>
      <w:pPr>
        <w:ind w:left="120" w:right="2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74" w:lineRule="exact"/>
        <w:rPr>
          <w:sz w:val="24"/>
          <w:szCs w:val="24"/>
          <w:color w:val="auto"/>
        </w:rPr>
      </w:pPr>
    </w:p>
    <w:p>
      <w:pPr>
        <w:ind w:left="12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ectPr>
          <w:pgSz w:w="11900" w:h="16838" w:orient="portrait"/>
          <w:cols w:equalWidth="0" w:num="1">
            <w:col w:w="11040"/>
          </w:cols>
          <w:pgMar w:left="320" w:top="230" w:right="5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earliest effective registration statement for the same offering: </w:t>
      </w:r>
      <w:r>
        <w:rPr>
          <w:rFonts w:ascii="MS PGothic" w:cs="MS PGothic" w:eastAsia="MS PGothic" w:hAnsi="MS PGothic"/>
          <w:sz w:val="18"/>
          <w:szCs w:val="18"/>
          <w:color w:val="auto"/>
        </w:rPr>
        <w:t>☐</w:t>
      </w:r>
    </w:p>
    <w:p>
      <w:pPr>
        <w:spacing w:after="0" w:line="74" w:lineRule="exact"/>
        <w:rPr>
          <w:sz w:val="20"/>
          <w:szCs w:val="20"/>
          <w:color w:val="auto"/>
        </w:rPr>
      </w:pPr>
    </w:p>
    <w:p>
      <w:pPr>
        <w:ind w:left="120" w:right="6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74" w:lineRule="exact"/>
        <w:rPr>
          <w:sz w:val="20"/>
          <w:szCs w:val="20"/>
          <w:color w:val="auto"/>
        </w:rPr>
      </w:pPr>
    </w:p>
    <w:p>
      <w:pPr>
        <w:ind w:left="120" w:right="18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 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74"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56"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33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140" w:type="dxa"/>
            <w:vAlign w:val="bottom"/>
          </w:tcPr>
          <w:p>
            <w:pPr>
              <w:ind w:left="278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0"/>
          <w:szCs w:val="20"/>
          <w:color w:val="auto"/>
        </w:rPr>
      </w:pPr>
    </w:p>
    <w:p>
      <w:pPr>
        <w:ind w:left="120"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120" w:type="dxa"/>
        <w:tblCellMar>
          <w:top w:w="0" w:type="dxa"/>
          <w:left w:w="0" w:type="dxa"/>
          <w:bottom w:w="0" w:type="dxa"/>
          <w:right w:w="0" w:type="dxa"/>
        </w:tblCellMar>
      </w:tblPr>
      <w:tr>
        <w:trPr>
          <w:trHeight w:val="40"/>
        </w:trPr>
        <w:tc>
          <w:tcPr>
            <w:tcW w:w="432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32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w:t>
            </w:r>
          </w:p>
        </w:tc>
        <w:tc>
          <w:tcPr>
            <w:tcW w:w="1640" w:type="dxa"/>
            <w:vAlign w:val="bottom"/>
            <w:tcBorders>
              <w:right w:val="single" w:sz="8" w:color="auto"/>
            </w:tcBorders>
          </w:tcPr>
          <w:p>
            <w:pPr>
              <w:jc w:val="center"/>
              <w:ind w:left="11"/>
              <w:spacing w:after="0" w:line="106" w:lineRule="exact"/>
              <w:rPr>
                <w:sz w:val="20"/>
                <w:szCs w:val="20"/>
                <w:color w:val="auto"/>
              </w:rPr>
            </w:pPr>
            <w:r>
              <w:rPr>
                <w:rFonts w:ascii="Arial" w:cs="Arial" w:eastAsia="Arial" w:hAnsi="Arial"/>
                <w:sz w:val="12"/>
                <w:szCs w:val="12"/>
                <w:b w:val="1"/>
                <w:bCs w:val="1"/>
                <w:color w:val="auto"/>
              </w:rPr>
              <w:t>Proposed</w:t>
            </w:r>
          </w:p>
        </w:tc>
        <w:tc>
          <w:tcPr>
            <w:tcW w:w="1660" w:type="dxa"/>
            <w:vAlign w:val="bottom"/>
            <w:tcBorders>
              <w:right w:val="single" w:sz="8" w:color="auto"/>
            </w:tcBorders>
          </w:tcPr>
          <w:p>
            <w:pPr>
              <w:jc w:val="center"/>
              <w:ind w:left="6"/>
              <w:spacing w:after="0" w:line="106" w:lineRule="exact"/>
              <w:rPr>
                <w:sz w:val="20"/>
                <w:szCs w:val="20"/>
                <w:color w:val="auto"/>
              </w:rPr>
            </w:pPr>
            <w:r>
              <w:rPr>
                <w:rFonts w:ascii="Arial" w:cs="Arial" w:eastAsia="Arial" w:hAnsi="Arial"/>
                <w:sz w:val="12"/>
                <w:szCs w:val="12"/>
                <w:b w:val="1"/>
                <w:bCs w:val="1"/>
                <w:color w:val="auto"/>
              </w:rPr>
              <w:t>Proposed</w:t>
            </w: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320" w:type="dxa"/>
            <w:vAlign w:val="bottom"/>
            <w:tcBorders>
              <w:right w:val="single" w:sz="8" w:color="auto"/>
            </w:tcBorders>
            <w:vMerge w:val="restart"/>
          </w:tcPr>
          <w:p>
            <w:pPr>
              <w:ind w:left="1500"/>
              <w:spacing w:after="0"/>
              <w:rPr>
                <w:sz w:val="20"/>
                <w:szCs w:val="20"/>
                <w:color w:val="auto"/>
              </w:rPr>
            </w:pPr>
            <w:r>
              <w:rPr>
                <w:rFonts w:ascii="Arial" w:cs="Arial" w:eastAsia="Arial" w:hAnsi="Arial"/>
                <w:sz w:val="14"/>
                <w:szCs w:val="14"/>
                <w:b w:val="1"/>
                <w:bCs w:val="1"/>
                <w:color w:val="auto"/>
              </w:rPr>
              <w:t>Title of Each Class of</w:t>
            </w:r>
          </w:p>
        </w:tc>
        <w:tc>
          <w:tcPr>
            <w:tcW w:w="166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tcPr>
          <w:p>
            <w:pPr>
              <w:jc w:val="center"/>
              <w:ind w:left="11"/>
              <w:spacing w:after="0" w:line="145" w:lineRule="exact"/>
              <w:rPr>
                <w:sz w:val="20"/>
                <w:szCs w:val="20"/>
                <w:color w:val="auto"/>
              </w:rPr>
            </w:pPr>
            <w:r>
              <w:rPr>
                <w:rFonts w:ascii="Arial" w:cs="Arial" w:eastAsia="Arial" w:hAnsi="Arial"/>
                <w:sz w:val="14"/>
                <w:szCs w:val="14"/>
                <w:b w:val="1"/>
                <w:bCs w:val="1"/>
                <w:color w:val="auto"/>
                <w:w w:val="99"/>
              </w:rPr>
              <w:t>Maximum</w:t>
            </w:r>
          </w:p>
        </w:tc>
        <w:tc>
          <w:tcPr>
            <w:tcW w:w="166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9"/>
              </w:rPr>
              <w:t>Maximum</w:t>
            </w:r>
          </w:p>
        </w:tc>
        <w:tc>
          <w:tcPr>
            <w:tcW w:w="1740" w:type="dxa"/>
            <w:vAlign w:val="bottom"/>
            <w:vMerge w:val="restart"/>
          </w:tcPr>
          <w:p>
            <w:pPr>
              <w:jc w:val="center"/>
              <w:ind w:left="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32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9"/>
              </w:rPr>
              <w:t>to be</w:t>
            </w:r>
          </w:p>
        </w:tc>
        <w:tc>
          <w:tcPr>
            <w:tcW w:w="164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66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89"/>
              </w:rPr>
              <w:t>Aggregate</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320" w:type="dxa"/>
            <w:vAlign w:val="bottom"/>
            <w:tcBorders>
              <w:bottom w:val="single" w:sz="8" w:color="auto"/>
              <w:right w:val="single" w:sz="8" w:color="auto"/>
            </w:tcBorders>
          </w:tcPr>
          <w:p>
            <w:pPr>
              <w:ind w:left="1260"/>
              <w:spacing w:after="0"/>
              <w:rPr>
                <w:sz w:val="20"/>
                <w:szCs w:val="20"/>
                <w:color w:val="auto"/>
              </w:rPr>
            </w:pPr>
            <w:r>
              <w:rPr>
                <w:rFonts w:ascii="Arial" w:cs="Arial" w:eastAsia="Arial" w:hAnsi="Arial"/>
                <w:sz w:val="14"/>
                <w:szCs w:val="14"/>
                <w:b w:val="1"/>
                <w:bCs w:val="1"/>
                <w:color w:val="auto"/>
              </w:rPr>
              <w:t>Securities to be Registered(1)</w:t>
            </w:r>
          </w:p>
        </w:tc>
        <w:tc>
          <w:tcPr>
            <w:tcW w:w="166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Registered(1)(2)</w:t>
            </w:r>
          </w:p>
        </w:tc>
        <w:tc>
          <w:tcPr>
            <w:tcW w:w="164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3"/>
              </w:rPr>
              <w:t>Per Security(3)</w:t>
            </w:r>
          </w:p>
        </w:tc>
        <w:tc>
          <w:tcPr>
            <w:tcW w:w="166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6"/>
              </w:rPr>
              <w:t>Offering Price(3)</w:t>
            </w:r>
          </w:p>
        </w:tc>
        <w:tc>
          <w:tcPr>
            <w:tcW w:w="174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3"/>
              </w:rPr>
              <w:t>Registration Fee(4)</w:t>
            </w:r>
          </w:p>
        </w:tc>
        <w:tc>
          <w:tcPr>
            <w:tcW w:w="0" w:type="dxa"/>
            <w:vAlign w:val="bottom"/>
          </w:tcPr>
          <w:p>
            <w:pPr>
              <w:spacing w:after="0"/>
              <w:rPr>
                <w:sz w:val="1"/>
                <w:szCs w:val="1"/>
                <w:color w:val="auto"/>
              </w:rPr>
            </w:pPr>
          </w:p>
        </w:tc>
      </w:tr>
      <w:tr>
        <w:trPr>
          <w:trHeight w:val="209"/>
        </w:trPr>
        <w:tc>
          <w:tcPr>
            <w:tcW w:w="4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$0.001 par value per share</w:t>
            </w:r>
          </w:p>
        </w:tc>
        <w:tc>
          <w:tcPr>
            <w:tcW w:w="16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Preferred stock, $0.001 par value per share</w:t>
            </w:r>
          </w:p>
        </w:tc>
        <w:tc>
          <w:tcPr>
            <w:tcW w:w="16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Debt securities</w:t>
            </w:r>
          </w:p>
        </w:tc>
        <w:tc>
          <w:tcPr>
            <w:tcW w:w="16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Warrants</w:t>
            </w:r>
          </w:p>
        </w:tc>
        <w:tc>
          <w:tcPr>
            <w:tcW w:w="16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Subscription rights</w:t>
            </w:r>
          </w:p>
        </w:tc>
        <w:tc>
          <w:tcPr>
            <w:tcW w:w="16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Units</w:t>
            </w:r>
          </w:p>
        </w:tc>
        <w:tc>
          <w:tcPr>
            <w:tcW w:w="16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6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88"/>
              </w:rPr>
              <w:t>$300,000,000</w:t>
            </w:r>
          </w:p>
        </w:tc>
        <w:tc>
          <w:tcPr>
            <w:tcW w:w="174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89"/>
              </w:rPr>
              <w:t>$27,810</w:t>
            </w:r>
          </w:p>
        </w:tc>
        <w:tc>
          <w:tcPr>
            <w:tcW w:w="0" w:type="dxa"/>
            <w:vAlign w:val="bottom"/>
          </w:tcPr>
          <w:p>
            <w:pPr>
              <w:spacing w:after="0"/>
              <w:rPr>
                <w:sz w:val="1"/>
                <w:szCs w:val="1"/>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20" w:hanging="424"/>
        <w:spacing w:after="0" w:line="267" w:lineRule="auto"/>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There is being registered hereunder an indeterminate number of shares of (a) common stock, (b) preferred stock, (c) debt securities, (d) warrants to purchase common stock, preferred stock or debt securities of the Registrant, (e) subscription rights to purchase common stock, preferred stock or debt securities of the Registrant, and (f) units, consisting of some or all of these securities in any combination, as may be sold from time to time by the Registrant. Any securities registered hereunder may be sold separately or as units with other securities registered hereunder. There is also being registered hereunder an indeterminate number of shares of common stock, preferred stock and debt securities as shall be issuable upon conversion, exchange or exercise of any securities that provide for such issuance. In no event will the aggregate offering price of all types of securities issued by the Registrant pursuant to this registration statement exceed $300,000,000.</w:t>
      </w:r>
    </w:p>
    <w:p>
      <w:pPr>
        <w:spacing w:after="0" w:line="3" w:lineRule="exact"/>
        <w:rPr>
          <w:rFonts w:ascii="Arial" w:cs="Arial" w:eastAsia="Arial" w:hAnsi="Arial"/>
          <w:sz w:val="17"/>
          <w:szCs w:val="17"/>
          <w:color w:val="auto"/>
        </w:rPr>
      </w:pPr>
    </w:p>
    <w:p>
      <w:pPr>
        <w:ind w:left="540" w:right="40" w:hanging="424"/>
        <w:spacing w:after="0" w:line="250"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this registration statement also covers any additional securities that may be offered or issued in connection with any stock split, stock dividend or similar transaction.</w:t>
      </w:r>
    </w:p>
    <w:p>
      <w:pPr>
        <w:ind w:left="540" w:right="360" w:hanging="424"/>
        <w:spacing w:after="0" w:line="265" w:lineRule="auto"/>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proposed maximum offering price per share and proposed maximum aggregate offering price for each type of security will be determined from time to time by the Registrant in connection with the issuance by the Registrant of the securities registered hereunder.</w:t>
      </w: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457(o)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2" w:lineRule="exact"/>
        <w:rPr>
          <w:sz w:val="20"/>
          <w:szCs w:val="20"/>
          <w:color w:val="auto"/>
        </w:rPr>
      </w:pPr>
    </w:p>
    <w:p>
      <w:pPr>
        <w:jc w:val="both"/>
        <w:ind w:left="120" w:right="64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registration statement contains two prospectuses:</w:t>
      </w:r>
    </w:p>
    <w:p>
      <w:pPr>
        <w:spacing w:after="0" w:line="252" w:lineRule="exact"/>
        <w:rPr>
          <w:sz w:val="20"/>
          <w:szCs w:val="20"/>
          <w:color w:val="auto"/>
        </w:rPr>
      </w:pPr>
    </w:p>
    <w:p>
      <w:pPr>
        <w:ind w:left="1080" w:right="240" w:hanging="424"/>
        <w:spacing w:after="0" w:line="286" w:lineRule="auto"/>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base prospectus, which covers the offering, issuance and sale by us of up to $300,000,000 of our common stock, preferred stock, debt securities, warrants to purchase our common stock, preferred stock or debt securities, subscription rights to purchase our common stock, preferred stock or debt securities and/or units consisting of some or all of these securities; and</w:t>
      </w:r>
    </w:p>
    <w:p>
      <w:pPr>
        <w:spacing w:after="0" w:line="70" w:lineRule="exact"/>
        <w:rPr>
          <w:rFonts w:ascii="Arial" w:cs="Arial" w:eastAsia="Arial" w:hAnsi="Arial"/>
          <w:sz w:val="17"/>
          <w:szCs w:val="17"/>
          <w:color w:val="auto"/>
        </w:rPr>
      </w:pPr>
    </w:p>
    <w:p>
      <w:pPr>
        <w:ind w:left="1080" w:right="20" w:hanging="424"/>
        <w:spacing w:after="0" w:line="34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sales agreement prospectus covering the offering, issuance and sale by us of up to a maximum aggregate offering price of $150 million of our common stock that may be issued and sold under an Open Market Sale Agreement dated December 30, 2021 with Jefferies LLC.</w:t>
      </w:r>
    </w:p>
    <w:p>
      <w:pPr>
        <w:spacing w:after="0" w:line="124"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The base prospectus immediately follows this explanatory note. The specific terms of any securities to be offered pursuant to the base prospectus will be specified in a prospectus supplement to the base prospectus. The sales agreement prospectus immediately follows the base prospectus.</w:t>
      </w:r>
    </w:p>
    <w:p>
      <w:pPr>
        <w:spacing w:after="0" w:line="14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prospectus relating to the sales agreement immediately follows the base prospectus. The common stock that may be offered, issued and sold by us under the sales agreement prospectus is included in the $300,000,000 of securities that may be offered, issued and sold by us under the base prospectus. Upon termination of the sales agreement with Jefferies, any portion of the $150,000,000 included in the sales agreement prospectus that is not sold pursuant to the sales agreement will be available for sale in other offerings pursuant to the base prospectus and a corresponding prospectus supplement, and if no shares are sold under the sales agreement, the full $150,000,000 of securities may be sold in other offerings pursuant to the base prospectus and a corresponding prospectus supplement.</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160"/>
        <w:spacing w:after="0" w:line="266" w:lineRule="auto"/>
        <w:rPr>
          <w:sz w:val="20"/>
          <w:szCs w:val="20"/>
          <w:color w:val="auto"/>
        </w:rPr>
      </w:pPr>
      <w:r>
        <w:rPr>
          <w:rFonts w:ascii="Arial" w:cs="Arial" w:eastAsia="Arial" w:hAnsi="Arial"/>
          <w:sz w:val="18"/>
          <w:szCs w:val="18"/>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4338"/>
        </w:rPr>
        <w:t>SUBJECT TO COMPLETION, DATED DECEMBER 30, 2021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$300,000,000</w:t>
      </w: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AnaptysBio, Inc.</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 Preferred Stock,</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Debt Securities, Warrants, Subscription Rights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From time to time, we may offer up to $300,000,000 aggregate dollar amount of shares of our common stock or preferred stock, debt securities, warrants to purchase our common stock, preferred stock or debt securities, subscription rights to purchase our common stock, preferred stock or debt securities and/or units consisting of some or all of these securities, in any combination, together or separately, in one or more offerings, in amounts, at prices and on the terms that we will determine at the time of the offering and which will be set forth in a prospectus supplement and any related free writing prospectus. The prospectus supplement and any related free writing prospectus may also add, update or change information contained in this prospectus. The total amount of these securities will have an initial aggregate offering price of up to $300,000,000.</w:t>
      </w:r>
    </w:p>
    <w:p>
      <w:pPr>
        <w:spacing w:after="0" w:line="178"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You should read this prospectus, the information incorporated, or deemed to be incorporated, by reference in this prospectus, and any applicable prospectus supplement and related free writing prospectus carefully before you invest.</w:t>
      </w:r>
    </w:p>
    <w:p>
      <w:pPr>
        <w:spacing w:after="0" w:line="170"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Our common stock is traded on the Nasdaq Global Market under the symbol “ANAB.” On December 28, 2021 the last reported sales price for our common stock was $35.93 per share. None of the other securities we may offer are currently traded on any securities exchange. The applicable prospectus supplement and any related free writing prospectus will contain information, where applicable, as to any other listing on The Nasdaq Global Market or any securities market or exchange of the securities covered by the prospectus supplement and any related free writing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194310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120" w:right="140"/>
        <w:spacing w:after="0" w:line="280" w:lineRule="auto"/>
        <w:rPr>
          <w:rFonts w:ascii="Arial" w:cs="Arial" w:eastAsia="Arial" w:hAnsi="Arial"/>
          <w:sz w:val="21"/>
          <w:szCs w:val="21"/>
          <w:b w:val="1"/>
          <w:bCs w:val="1"/>
          <w:color w:val="auto"/>
        </w:rPr>
      </w:pPr>
      <w:r>
        <w:rPr>
          <w:rFonts w:ascii="Arial" w:cs="Arial" w:eastAsia="Arial" w:hAnsi="Arial"/>
          <w:sz w:val="21"/>
          <w:szCs w:val="21"/>
          <w:b w:val="1"/>
          <w:bCs w:val="1"/>
          <w:color w:val="auto"/>
        </w:rPr>
        <w:t>An investment in our securities involves a high degree of risk. You should carefully consider the information under the heading “</w:t>
      </w:r>
      <w:hyperlink w:anchor="page9">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4 of this prospectus before investing in our securities.</w:t>
      </w:r>
    </w:p>
    <w:p>
      <w:pPr>
        <w:spacing w:after="0" w:line="44"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Common stock, preferred stock, debt securities, warrants, subscription rights and/or units may be sold by us to or through underwriters or dealers, directly to purchasers or through agents designated from time to time. For additional information on the methods of sale, you should refer to the section entitled “Plan of Distribution” in this prospectus. If any underwriters, dealers or agents are involved in the sale of any securities with respect to which this prospectus is being delivered, the names of such underwriters or agents and any applicable fees, discounts or commissions, details regarding over-allotment options, if any, and the net proceeds to us will be set forth in a prospectus supplement. The price to the public of such securities and the net proceeds we expect to receive from such sale will also be set forth in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207645</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20" w:right="60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194945</wp:posOffset>
            </wp:positionV>
            <wp:extent cx="147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392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 2022</w:t>
            </w:r>
          </w:p>
        </w:tc>
      </w:tr>
    </w:tbl>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20" w:type="dxa"/>
            <w:vAlign w:val="bottom"/>
            <w:gridSpan w:val="3"/>
          </w:tcPr>
          <w:p>
            <w:pPr>
              <w:ind w:left="8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4460" w:type="dxa"/>
            <w:vAlign w:val="bottom"/>
            <w:gridSpan w:val="15"/>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ABOUT THIS PROSPECTUS</w:t>
              </w:r>
            </w:hyperlink>
          </w:p>
        </w:tc>
        <w:tc>
          <w:tcPr>
            <w:tcW w:w="6100" w:type="dxa"/>
            <w:vAlign w:val="bottom"/>
          </w:tcPr>
          <w:p>
            <w:pPr>
              <w:spacing w:after="0"/>
              <w:rPr>
                <w:sz w:val="24"/>
                <w:szCs w:val="2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4460" w:type="dxa"/>
            <w:vAlign w:val="bottom"/>
            <w:gridSpan w:val="15"/>
            <w:vMerge w:val="continue"/>
          </w:tcPr>
          <w:p>
            <w:pPr>
              <w:spacing w:after="0"/>
              <w:rPr>
                <w:sz w:val="14"/>
                <w:szCs w:val="14"/>
                <w:color w:val="auto"/>
              </w:rPr>
            </w:pPr>
          </w:p>
        </w:tc>
        <w:tc>
          <w:tcPr>
            <w:tcW w:w="6100" w:type="dxa"/>
            <w:vAlign w:val="bottom"/>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8"/>
          </w:tcPr>
          <w:p>
            <w:pPr>
              <w:spacing w:after="0" w:line="19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PROSPECTUS SUMMARY</w:t>
              </w:r>
            </w:hyperlink>
          </w:p>
        </w:tc>
        <w:tc>
          <w:tcPr>
            <w:tcW w:w="2240" w:type="dxa"/>
            <w:vAlign w:val="bottom"/>
            <w:gridSpan w:val="7"/>
          </w:tcPr>
          <w:p>
            <w:pPr>
              <w:spacing w:after="0"/>
              <w:rPr>
                <w:sz w:val="17"/>
                <w:szCs w:val="17"/>
                <w:color w:val="auto"/>
              </w:rPr>
            </w:pPr>
          </w:p>
        </w:tc>
        <w:tc>
          <w:tcPr>
            <w:tcW w:w="6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2380" w:type="dxa"/>
            <w:vAlign w:val="bottom"/>
            <w:gridSpan w:val="8"/>
          </w:tcPr>
          <w:p>
            <w:pPr>
              <w:spacing w:after="0"/>
              <w:rPr>
                <w:sz w:val="17"/>
                <w:szCs w:val="17"/>
                <w:color w:val="auto"/>
              </w:rPr>
            </w:pPr>
          </w:p>
        </w:tc>
        <w:tc>
          <w:tcPr>
            <w:tcW w:w="6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gridSpan w:val="15"/>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FORWARD-LOOKING STATEMENTS</w:t>
              </w:r>
            </w:hyperlink>
          </w:p>
        </w:tc>
        <w:tc>
          <w:tcPr>
            <w:tcW w:w="6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gridSpan w:val="15"/>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WHERE YOU CAN FIND MORE INFORMATION</w:t>
              </w:r>
            </w:hyperlink>
          </w:p>
        </w:tc>
        <w:tc>
          <w:tcPr>
            <w:tcW w:w="6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12">
              <w:r>
                <w:rPr>
                  <w:rFonts w:ascii="Arial" w:cs="Arial" w:eastAsia="Arial" w:hAnsi="Arial"/>
                  <w:sz w:val="18"/>
                  <w:szCs w:val="18"/>
                  <w:color w:val="0000EE"/>
                  <w:w w:val="95"/>
                </w:rPr>
                <w:t>INCORPORATION OF INFORMATION BY REFERENCE</w:t>
              </w:r>
            </w:hyperlink>
          </w:p>
        </w:tc>
        <w:tc>
          <w:tcPr>
            <w:tcW w:w="80" w:type="dxa"/>
            <w:vAlign w:val="bottom"/>
          </w:tcPr>
          <w:p>
            <w:pPr>
              <w:spacing w:after="0"/>
              <w:rPr>
                <w:sz w:val="17"/>
                <w:szCs w:val="17"/>
                <w:color w:val="auto"/>
              </w:rPr>
            </w:pPr>
          </w:p>
        </w:tc>
        <w:tc>
          <w:tcPr>
            <w:tcW w:w="6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USE OF PROCEEDS</w:t>
              </w:r>
            </w:hyperlink>
          </w:p>
        </w:tc>
        <w:tc>
          <w:tcPr>
            <w:tcW w:w="2860" w:type="dxa"/>
            <w:vAlign w:val="bottom"/>
            <w:gridSpan w:val="10"/>
          </w:tcPr>
          <w:p>
            <w:pPr>
              <w:spacing w:after="0"/>
              <w:rPr>
                <w:sz w:val="17"/>
                <w:szCs w:val="17"/>
                <w:color w:val="auto"/>
              </w:rPr>
            </w:pPr>
          </w:p>
        </w:tc>
        <w:tc>
          <w:tcPr>
            <w:tcW w:w="6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4"/>
          </w:tcPr>
          <w:p>
            <w:pPr>
              <w:spacing w:after="0" w:line="196" w:lineRule="exact"/>
              <w:rPr>
                <w:rFonts w:ascii="Arial" w:cs="Arial" w:eastAsia="Arial" w:hAnsi="Arial"/>
                <w:sz w:val="18"/>
                <w:szCs w:val="18"/>
                <w:color w:val="0000EE"/>
                <w:w w:val="99"/>
              </w:rPr>
            </w:pPr>
            <w:hyperlink w:anchor="page13">
              <w:r>
                <w:rPr>
                  <w:rFonts w:ascii="Arial" w:cs="Arial" w:eastAsia="Arial" w:hAnsi="Arial"/>
                  <w:sz w:val="18"/>
                  <w:szCs w:val="18"/>
                  <w:color w:val="0000EE"/>
                  <w:w w:val="99"/>
                </w:rPr>
                <w:t>DIVIDEND POLICY</w:t>
              </w:r>
            </w:hyperlink>
          </w:p>
        </w:tc>
        <w:tc>
          <w:tcPr>
            <w:tcW w:w="2880" w:type="dxa"/>
            <w:vAlign w:val="bottom"/>
            <w:gridSpan w:val="11"/>
          </w:tcPr>
          <w:p>
            <w:pPr>
              <w:spacing w:after="0"/>
              <w:rPr>
                <w:sz w:val="17"/>
                <w:szCs w:val="17"/>
                <w:color w:val="auto"/>
              </w:rPr>
            </w:pPr>
          </w:p>
        </w:tc>
        <w:tc>
          <w:tcPr>
            <w:tcW w:w="6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460" w:type="dxa"/>
            <w:vAlign w:val="bottom"/>
            <w:gridSpan w:val="1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PLAN OF DISTRIBUTION</w:t>
              </w:r>
            </w:hyperlink>
          </w:p>
        </w:tc>
        <w:tc>
          <w:tcPr>
            <w:tcW w:w="6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gridSpan w:val="3"/>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gridSpan w:val="1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DESCRIPTION OF CAPITAL STOCK</w:t>
              </w:r>
            </w:hyperlink>
          </w:p>
        </w:tc>
        <w:tc>
          <w:tcPr>
            <w:tcW w:w="6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DESCRIPTION OF DEBT SECURITIES</w:t>
              </w:r>
            </w:hyperlink>
          </w:p>
        </w:tc>
        <w:tc>
          <w:tcPr>
            <w:tcW w:w="1440" w:type="dxa"/>
            <w:vAlign w:val="bottom"/>
            <w:gridSpan w:val="4"/>
          </w:tcPr>
          <w:p>
            <w:pPr>
              <w:spacing w:after="0"/>
              <w:rPr>
                <w:sz w:val="17"/>
                <w:szCs w:val="17"/>
                <w:color w:val="auto"/>
              </w:rPr>
            </w:pPr>
          </w:p>
        </w:tc>
        <w:tc>
          <w:tcPr>
            <w:tcW w:w="6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DESCRIPTION OF WARRANTS</w:t>
              </w:r>
            </w:hyperlink>
          </w:p>
        </w:tc>
        <w:tc>
          <w:tcPr>
            <w:tcW w:w="1980" w:type="dxa"/>
            <w:vAlign w:val="bottom"/>
            <w:gridSpan w:val="6"/>
          </w:tcPr>
          <w:p>
            <w:pPr>
              <w:spacing w:after="0"/>
              <w:rPr>
                <w:sz w:val="17"/>
                <w:szCs w:val="17"/>
                <w:color w:val="auto"/>
              </w:rPr>
            </w:pPr>
          </w:p>
        </w:tc>
        <w:tc>
          <w:tcPr>
            <w:tcW w:w="6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460" w:type="dxa"/>
            <w:vAlign w:val="bottom"/>
            <w:gridSpan w:val="15"/>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SUBSCRIPTION RIGHTS</w:t>
              </w:r>
            </w:hyperlink>
          </w:p>
        </w:tc>
        <w:tc>
          <w:tcPr>
            <w:tcW w:w="6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DESCRIPTION OF UNITS</w:t>
              </w:r>
            </w:hyperlink>
          </w:p>
        </w:tc>
        <w:tc>
          <w:tcPr>
            <w:tcW w:w="1420" w:type="dxa"/>
            <w:vAlign w:val="bottom"/>
            <w:tcBorders>
              <w:top w:val="single" w:sz="8" w:color="0000EE"/>
            </w:tcBorders>
            <w:gridSpan w:val="6"/>
          </w:tcPr>
          <w:p>
            <w:pPr>
              <w:spacing w:after="0"/>
              <w:rPr>
                <w:sz w:val="17"/>
                <w:szCs w:val="17"/>
                <w:color w:val="auto"/>
              </w:rPr>
            </w:pPr>
          </w:p>
        </w:tc>
        <w:tc>
          <w:tcPr>
            <w:tcW w:w="1000" w:type="dxa"/>
            <w:vAlign w:val="bottom"/>
            <w:gridSpan w:val="3"/>
          </w:tcPr>
          <w:p>
            <w:pPr>
              <w:spacing w:after="0"/>
              <w:rPr>
                <w:sz w:val="17"/>
                <w:szCs w:val="17"/>
                <w:color w:val="auto"/>
              </w:rPr>
            </w:pPr>
          </w:p>
        </w:tc>
        <w:tc>
          <w:tcPr>
            <w:tcW w:w="6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32">
              <w:r>
                <w:rPr>
                  <w:rFonts w:ascii="Arial" w:cs="Arial" w:eastAsia="Arial" w:hAnsi="Arial"/>
                  <w:sz w:val="18"/>
                  <w:szCs w:val="18"/>
                  <w:color w:val="0000EE"/>
                  <w:w w:val="96"/>
                </w:rPr>
                <w:t>LEGAL MATTERS</w:t>
              </w:r>
            </w:hyperlink>
          </w:p>
        </w:tc>
        <w:tc>
          <w:tcPr>
            <w:tcW w:w="3000" w:type="dxa"/>
            <w:vAlign w:val="bottom"/>
            <w:gridSpan w:val="12"/>
          </w:tcPr>
          <w:p>
            <w:pPr>
              <w:spacing w:after="0"/>
              <w:rPr>
                <w:sz w:val="17"/>
                <w:szCs w:val="17"/>
                <w:color w:val="auto"/>
              </w:rPr>
            </w:pPr>
          </w:p>
        </w:tc>
        <w:tc>
          <w:tcPr>
            <w:tcW w:w="6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460" w:type="dxa"/>
            <w:vAlign w:val="bottom"/>
            <w:gridSpan w:val="1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EXPERTS</w:t>
              </w:r>
            </w:hyperlink>
          </w:p>
        </w:tc>
        <w:tc>
          <w:tcPr>
            <w:tcW w:w="6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60"/>
        <w:spacing w:after="0" w:line="287"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(the SEC), using a “shelf” registration process. Under this shelf registration process, from time to time, we may sell any combination of the securities described in this prospectus in one or more offerings, up to a total dollar amount of $300,000,000. Each time we offer our securities under this prospectus, we will provide a prospectus supplement that will contain more specific information about the terms of the offering. We may also add, update or change in a prospectus supplement any of the information contained in this prospectus or in documents we have incorporated by reference into this prospectus. To the extent there is a conflict between the information contained in this prospectus and the prospectus supplement, you should rely on the information in the prospectus supplement; provided that, if any statement in one of these documents is inconsistent with a statement in another document having a later date—for example, a document incorporated by reference in this prospectus or any prospectus supplement—the statement in the document having the later date modifies or supersedes the earlier statement. This prospectus, together with the applicable prospectus supplements and the documents incorporated by reference into this prospectus, includes all material information relating to this offering. You should carefully read both this prospectus and the applicable prospectus supplement, together with the additional information described under the headings “Incorporation of Information by Reference” and “Where You Can Find More Information” before buying any of our securities in this offering.</w:t>
      </w:r>
    </w:p>
    <w:p>
      <w:pPr>
        <w:spacing w:after="0" w:line="16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You should rely only on the information contained in or incorporated by reference into this prospectus or any applicable prospectus supplement. No dealer, salesperson or any other person is authorized to give any information or to make any representation other than the information and representations contained in or incorporated by reference into this prospectus or any applicable prospectus supplement. If different information is given or different representations are made, you may not rely on that information or those representations as having been authorized by us. You may not imply from the delivery of this prospectus and any applicable prospectus supplement, nor from a sale made under this prospectus and any applicable prospectus supplement, that our affairs are unchanged since the date of this prospectus and any applicable prospectus supplement or that the information contained in any document incorporated by reference is accurate as of any date other than the date of the document incorporated by reference, regardless of the time of delivery of this prospectus and any applicable prospectus supplement or any sale of a security. This prospectus and any applicable prospectus supplement may only be used where it is legal to sell the securities.</w:t>
      </w:r>
    </w:p>
    <w:p>
      <w:pPr>
        <w:spacing w:after="0" w:line="181"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THIS PROSPECTUS MAY NOT BE USED TO OFFER AND SELL SECURITIES UNLESS IT IS ACCOMPANIED BY A PROSPECTUS SUPPLEMENT.</w:t>
      </w:r>
    </w:p>
    <w:p>
      <w:pPr>
        <w:spacing w:after="0" w:line="170"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this prospectus, unless the context otherwise requires, the terms “AnaptysBio,” the “Company,” “we,” “us,” and “our” refer to AnaptysBio, Inc., a Delaware corporation. This prospectus supplement, the accompanying prospectus and the information incorporated by reference herein and therein may contain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9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i w:val="1"/>
          <w:iCs w:val="1"/>
          <w:color w:val="auto"/>
        </w:rPr>
        <w:t>This summary may not contain all the information that you should consider before investing in securities. You should read the entire prospectus and the information incorporated by reference in this prospectus carefully, including “Risk Factors” and the financial data and related notes and other information incorporated by reference, before making an investment decision.</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300" w:right="60"/>
        <w:spacing w:after="0" w:line="254" w:lineRule="auto"/>
        <w:rPr>
          <w:sz w:val="20"/>
          <w:szCs w:val="20"/>
          <w:color w:val="auto"/>
        </w:rPr>
      </w:pPr>
      <w:r>
        <w:rPr>
          <w:rFonts w:ascii="Arial" w:cs="Arial" w:eastAsia="Arial" w:hAnsi="Arial"/>
          <w:sz w:val="18"/>
          <w:szCs w:val="18"/>
          <w:color w:val="auto"/>
        </w:rPr>
        <w:t>We are a clinical stage biotechnology company developing first-in-class immunology therapeutic product candidates focused on emerging immune control mechanisms applicable to inflammation and immuno-oncology indications. We develop our product candidates to address emerging biological targets using our proprietary antibody discovery technology platform, which is based upon a breakthrough understanding of the natural process of antibody generation, known as somatic hypermutation (“SHM”) and replicates this natural process of antibody generation in vitro. Our strategy is to advance the development of our proprietary product candidates, and where applicable, establish partnerships with leading biopharmaceutical companies where we retain certain development and commercialization rights. Our most advanced wholly-owned antibody programs, imsidolimab, rosnilimab and ANB032, are designed to modulate therapeutic targets that are genetically associated with human inflammatory disorders.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180"/>
        <w:spacing w:after="0" w:line="311" w:lineRule="auto"/>
        <w:rPr>
          <w:sz w:val="20"/>
          <w:szCs w:val="20"/>
          <w:color w:val="auto"/>
        </w:rPr>
      </w:pPr>
      <w:r>
        <w:rPr>
          <w:rFonts w:ascii="Arial" w:cs="Arial" w:eastAsia="Arial" w:hAnsi="Arial"/>
          <w:sz w:val="16"/>
          <w:szCs w:val="16"/>
          <w:color w:val="auto"/>
        </w:rPr>
        <w:t>We were incorporated under the laws of the State of Delaware in November 2005. Our principal executive offices are located at 10770 Wateridge Circle, Suite 210, San Diego, California 92121, and our telephone number is (858) 362-6295. Our website address is www.anaptysbio.com. The information contained on, or that can be accessed through, our website is not part of, and is not incorporated by reference into, this prospectus.</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Securities We May Offer</w:t>
      </w:r>
    </w:p>
    <w:p>
      <w:pPr>
        <w:spacing w:after="0" w:line="121" w:lineRule="exact"/>
        <w:rPr>
          <w:sz w:val="20"/>
          <w:szCs w:val="20"/>
          <w:color w:val="auto"/>
        </w:rPr>
      </w:pPr>
    </w:p>
    <w:p>
      <w:pPr>
        <w:ind w:left="300" w:right="300"/>
        <w:spacing w:after="0" w:line="257" w:lineRule="auto"/>
        <w:rPr>
          <w:sz w:val="20"/>
          <w:szCs w:val="20"/>
          <w:color w:val="auto"/>
        </w:rPr>
      </w:pPr>
      <w:r>
        <w:rPr>
          <w:rFonts w:ascii="Arial" w:cs="Arial" w:eastAsia="Arial" w:hAnsi="Arial"/>
          <w:sz w:val="18"/>
          <w:szCs w:val="18"/>
          <w:color w:val="auto"/>
        </w:rPr>
        <w:t>With this prospectus, we may offer common stock, preferred stock, debt securities, warrants, subscription rights to purchase our common stock, preferred stock or debt securities, and/or units consisting of some or all of these securities in any combination. The aggregate offering price of securities that we offer with this prospectus will not exceed $300,000,000. Each time we offer securities with this prospectus, we will provide offerees with a prospectus supplement that will contain the specific terms of the securities being offered. The following is a summary of the securities we may offer with this prospectus.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may offer shares of our common stock, par value $0.001 per share.</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ind w:left="300" w:right="100"/>
        <w:spacing w:after="0" w:line="301" w:lineRule="auto"/>
        <w:rPr>
          <w:sz w:val="20"/>
          <w:szCs w:val="20"/>
          <w:color w:val="auto"/>
        </w:rPr>
      </w:pPr>
      <w:r>
        <w:rPr>
          <w:rFonts w:ascii="Arial" w:cs="Arial" w:eastAsia="Arial" w:hAnsi="Arial"/>
          <w:sz w:val="16"/>
          <w:szCs w:val="16"/>
          <w:color w:val="auto"/>
        </w:rPr>
        <w:t>We may offer shares of our preferred stock, par value $0.001 per share, in one or more series. Our board of directors or a committee designated by the board will determine the dividend, voting, conversion and other rights of the series of shares of preferred stock being offered. Each series of preferred stock will be more fully described in the particular prospectus supplement that will accompany this prospectus, including redemption provisions, rights in the event of our liquidation, dissolution or the winding up, voting rights and rights to convert into common stock.</w:t>
      </w:r>
    </w:p>
    <w:p>
      <w:pPr>
        <w:spacing w:after="0" w:line="26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007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40074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Debt Securities</w:t>
      </w:r>
    </w:p>
    <w:p>
      <w:pPr>
        <w:spacing w:after="0" w:line="117" w:lineRule="exact"/>
        <w:rPr>
          <w:sz w:val="20"/>
          <w:szCs w:val="20"/>
          <w:color w:val="auto"/>
        </w:rPr>
      </w:pPr>
    </w:p>
    <w:p>
      <w:pPr>
        <w:jc w:val="both"/>
        <w:ind w:left="300" w:right="80"/>
        <w:spacing w:after="0" w:line="263" w:lineRule="auto"/>
        <w:rPr>
          <w:sz w:val="20"/>
          <w:szCs w:val="20"/>
          <w:color w:val="auto"/>
        </w:rPr>
      </w:pPr>
      <w:r>
        <w:rPr>
          <w:rFonts w:ascii="Arial" w:cs="Arial" w:eastAsia="Arial" w:hAnsi="Arial"/>
          <w:sz w:val="18"/>
          <w:szCs w:val="18"/>
          <w:color w:val="auto"/>
        </w:rPr>
        <w:t>We may offer general obligations, which may be secured or unsecured, senior or subordinated and convertible into shares of our common stock or preferred stock. In this prospectus, we refer to the senior debt securities and the subordinated debt securities together as the “debt securities.” Our board of directors will determine the terms of each series of debt securities being offered.</w:t>
      </w:r>
    </w:p>
    <w:p>
      <w:pPr>
        <w:spacing w:after="0" w:line="184"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We will issue the debt securities under an indenture between us and a trustee. In this document, we have summarized general features of the debt securities from the indenture. We encourage you to read the indenture, which is an exhibit to the registration statement of which this prospectus is a part.</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ind w:left="300" w:right="880"/>
        <w:spacing w:after="0" w:line="308" w:lineRule="auto"/>
        <w:rPr>
          <w:sz w:val="20"/>
          <w:szCs w:val="20"/>
          <w:color w:val="auto"/>
        </w:rPr>
      </w:pPr>
      <w:r>
        <w:rPr>
          <w:rFonts w:ascii="Arial" w:cs="Arial" w:eastAsia="Arial" w:hAnsi="Arial"/>
          <w:sz w:val="17"/>
          <w:szCs w:val="17"/>
          <w:color w:val="auto"/>
        </w:rPr>
        <w:t>We may offer warrants for the purchase of debt securities, shares of preferred stock or shares of common stock. We may issue warrants independently or together with other securities. Our board of directors will determine the terms of the warrants.</w:t>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Subscription Rights</w:t>
      </w:r>
    </w:p>
    <w:p>
      <w:pPr>
        <w:spacing w:after="0" w:line="117" w:lineRule="exact"/>
        <w:rPr>
          <w:sz w:val="20"/>
          <w:szCs w:val="20"/>
          <w:color w:val="auto"/>
        </w:rPr>
      </w:pPr>
    </w:p>
    <w:p>
      <w:pPr>
        <w:ind w:left="300" w:right="840"/>
        <w:spacing w:after="0" w:line="308" w:lineRule="auto"/>
        <w:rPr>
          <w:sz w:val="20"/>
          <w:szCs w:val="20"/>
          <w:color w:val="auto"/>
        </w:rPr>
      </w:pPr>
      <w:r>
        <w:rPr>
          <w:rFonts w:ascii="Arial" w:cs="Arial" w:eastAsia="Arial" w:hAnsi="Arial"/>
          <w:sz w:val="17"/>
          <w:szCs w:val="17"/>
          <w:color w:val="auto"/>
        </w:rPr>
        <w:t>We may offer subscription rights for the purchase of common stock, preferred stock or debt securities. We may issue subscription rights independently or together with other securities. Our board of directors will determine the terms of the subscription rights.</w:t>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Units</w:t>
      </w:r>
    </w:p>
    <w:p>
      <w:pPr>
        <w:spacing w:after="0" w:line="117" w:lineRule="exact"/>
        <w:rPr>
          <w:sz w:val="20"/>
          <w:szCs w:val="20"/>
          <w:color w:val="auto"/>
        </w:rPr>
      </w:pPr>
    </w:p>
    <w:p>
      <w:pPr>
        <w:ind w:left="300" w:right="100"/>
        <w:spacing w:after="0" w:line="259" w:lineRule="auto"/>
        <w:rPr>
          <w:sz w:val="20"/>
          <w:szCs w:val="20"/>
          <w:color w:val="auto"/>
        </w:rPr>
      </w:pPr>
      <w:r>
        <w:rPr>
          <w:rFonts w:ascii="Arial" w:cs="Arial" w:eastAsia="Arial" w:hAnsi="Arial"/>
          <w:sz w:val="18"/>
          <w:szCs w:val="18"/>
          <w:color w:val="auto"/>
        </w:rPr>
        <w:t>We may offer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18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 * *</w:t>
      </w:r>
    </w:p>
    <w:p>
      <w:pPr>
        <w:spacing w:after="0" w:line="33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320" w:top="459" w:right="6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An investment in our securities involves a high degree of risk. The prospectus supplement applicable to each offering of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Part II, Item 1A, “Risk Factors,” in our Quarterly Report on Form 10-Q for the quarterly period ended September 30, 2021, which is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This prospectus and documents incorporated herein by reference contain “forward-looking statements” within the meaning of the Private Securities Litigation Reform Act of 1995.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 Such statements include, but are not limited to, statements about future financial and operating results, plans, objectives, expectations and intentions, costs and expenses, interest rates, outcome of contingencies, financial condition, results of operations, liquidity, cost savings, objectives of management, business strategies, debt financing, clinical trial timing and plans, the achievement of clinical and commercial milestones, the advancement of our technologies and our proprietary and partnered products and product candidates, and other statements that are not historical facts. You can find many of these statements by looking for words like “believes,” “expects,” “anticipates,” “estimates,” “may,” “might,” “should,” “will,” “could,” “plan,” “intend,” “project,” “seek” or similar expressions in this prospectus or in documents incorporated by reference into this prospectus. We intend that such forward-looking statements be subject to the safe harbors created thereby.</w:t>
      </w:r>
    </w:p>
    <w:p>
      <w:pPr>
        <w:spacing w:after="0" w:line="168"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These forward-looking statements are based on the current beliefs and expectations of our management and are subject to significant risks and uncertainties. If underlying assumptions prove inaccurate or unknown risks or uncertainties materialize, actual results may differ materially from current expectations and projections. Factors that might cause such a difference include those discussed in Part II, Item 1A, “Risk Factors,” in our Quarterly Report on Form 10-Q for the quarterly period ended September 30, 2021, as well as those discussed in this prospectus and in the documents incorporated by reference into this prospectus. You are cautioned not to place undue reliance on these forward-looking statements, which speak only as of the date of this prospectus or, in the case of documents referred to or incorporated by reference, the date of those documents.</w:t>
      </w:r>
    </w:p>
    <w:p>
      <w:pPr>
        <w:spacing w:after="0" w:line="16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 If we do update one or more forward-looking statements, no inference should be drawn that we will make additional updates with respect to those or other forward-looking statements.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are subject to the informational requirements of the Securities Exchange Act of 1934, as amended (the Exchange Act) and are required to file annual, quarterly and other reports, proxy statements and other information with the SEC. The SEC maintains an Internet site (http://www.sec.gov) that contains reports, proxy and information statements, and various other information about us.</w:t>
      </w:r>
    </w:p>
    <w:p>
      <w:pPr>
        <w:spacing w:after="0" w:line="184"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Information about us is also available at our website at http://www.anaptysbio.com. However, the information on our website is not a part of this prospectus and is not incorporated by reference into this prospectus.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320" w:top="459" w:right="5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2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SEC allows us to “incorporate by reference” information that we file with the SEC, which means that we can disclose important information to you by referring you to those other documents. The information incorporated by reference is an important part of this prospectus, and information we file later with the SEC will automatically update and supersede this information. A Current Report (or portion thereof) furnished, but not filed, on Form 8-K shall not be incorporated by reference into this prospectus. We incorporate by reference the documents listed below and any future filings we make with the SEC under Section 13(a), 13(c), 14, or 15(d) of the Exchange Act prior to the termination of any offering of securities made by this prospectus:</w:t>
      </w:r>
    </w:p>
    <w:p>
      <w:pPr>
        <w:spacing w:after="0" w:line="67" w:lineRule="exact"/>
        <w:rPr>
          <w:sz w:val="20"/>
          <w:szCs w:val="20"/>
          <w:color w:val="auto"/>
        </w:rPr>
      </w:pPr>
    </w:p>
    <w:p>
      <w:pPr>
        <w:jc w:val="both"/>
        <w:ind w:left="540" w:hanging="316"/>
        <w:spacing w:after="0" w:line="263"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3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December 31, 2020 filed with the SEC on February 25, 2021, including those portions of our Definitive Proxy Statement on </w:t>
      </w:r>
      <w:hyperlink r:id="rId38">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April 26, 2021 that are specifically incorporated by reference into such Annual Report on Form 10-K;</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39">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2021 and filed with the SEC on May 4, 2021;</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40">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June 30, 2021 and filed with the SEC on August 9, 2021;</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41">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September 30, 2021 and filed with the SEC on November 4, 2021;</w:t>
      </w:r>
    </w:p>
    <w:p>
      <w:pPr>
        <w:spacing w:after="0" w:line="130" w:lineRule="exact"/>
        <w:rPr>
          <w:rFonts w:ascii="Arial" w:cs="Arial" w:eastAsia="Arial" w:hAnsi="Arial"/>
          <w:sz w:val="18"/>
          <w:szCs w:val="18"/>
          <w:color w:val="auto"/>
        </w:rPr>
      </w:pPr>
    </w:p>
    <w:p>
      <w:pPr>
        <w:ind w:left="540" w:right="540" w:hanging="316"/>
        <w:spacing w:after="0" w:line="277" w:lineRule="auto"/>
        <w:tabs>
          <w:tab w:leader="none" w:pos="540" w:val="left"/>
        </w:tabs>
        <w:numPr>
          <w:ilvl w:val="0"/>
          <w:numId w:val="3"/>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on </w:t>
      </w:r>
      <w:hyperlink r:id="rId42">
        <w:r>
          <w:rPr>
            <w:rFonts w:ascii="Arial" w:cs="Arial" w:eastAsia="Arial" w:hAnsi="Arial"/>
            <w:sz w:val="18"/>
            <w:szCs w:val="18"/>
            <w:u w:val="single" w:color="auto"/>
            <w:color w:val="0000EE"/>
          </w:rPr>
          <w:t>January 19, 2021</w:t>
        </w:r>
      </w:hyperlink>
      <w:r>
        <w:rPr>
          <w:rFonts w:ascii="Arial" w:cs="Arial" w:eastAsia="Arial" w:hAnsi="Arial"/>
          <w:sz w:val="18"/>
          <w:szCs w:val="18"/>
          <w:color w:val="auto"/>
        </w:rPr>
        <w:t xml:space="preserve">, </w:t>
      </w:r>
      <w:hyperlink r:id="rId43">
        <w:r>
          <w:rPr>
            <w:rFonts w:ascii="Arial" w:cs="Arial" w:eastAsia="Arial" w:hAnsi="Arial"/>
            <w:sz w:val="18"/>
            <w:szCs w:val="18"/>
            <w:u w:val="single" w:color="auto"/>
            <w:color w:val="0000EE"/>
          </w:rPr>
          <w:t>April 12, 2021</w:t>
        </w:r>
      </w:hyperlink>
      <w:r>
        <w:rPr>
          <w:rFonts w:ascii="Arial" w:cs="Arial" w:eastAsia="Arial" w:hAnsi="Arial"/>
          <w:sz w:val="18"/>
          <w:szCs w:val="18"/>
          <w:color w:val="auto"/>
        </w:rPr>
        <w:t xml:space="preserve">, </w:t>
      </w:r>
      <w:hyperlink r:id="rId44">
        <w:r>
          <w:rPr>
            <w:rFonts w:ascii="Arial" w:cs="Arial" w:eastAsia="Arial" w:hAnsi="Arial"/>
            <w:sz w:val="18"/>
            <w:szCs w:val="18"/>
            <w:u w:val="single" w:color="auto"/>
            <w:color w:val="0000EE"/>
          </w:rPr>
          <w:t>June 17, 2021</w:t>
        </w:r>
      </w:hyperlink>
      <w:r>
        <w:rPr>
          <w:rFonts w:ascii="Arial" w:cs="Arial" w:eastAsia="Arial" w:hAnsi="Arial"/>
          <w:sz w:val="18"/>
          <w:szCs w:val="18"/>
          <w:color w:val="auto"/>
        </w:rPr>
        <w:t xml:space="preserve">, </w:t>
      </w:r>
      <w:hyperlink r:id="rId45">
        <w:r>
          <w:rPr>
            <w:rFonts w:ascii="Arial" w:cs="Arial" w:eastAsia="Arial" w:hAnsi="Arial"/>
            <w:sz w:val="18"/>
            <w:szCs w:val="18"/>
            <w:u w:val="single" w:color="auto"/>
            <w:color w:val="0000EE"/>
          </w:rPr>
          <w:t>October 25, 2021</w:t>
        </w:r>
      </w:hyperlink>
      <w:r>
        <w:rPr>
          <w:rFonts w:ascii="Arial" w:cs="Arial" w:eastAsia="Arial" w:hAnsi="Arial"/>
          <w:sz w:val="18"/>
          <w:szCs w:val="18"/>
          <w:color w:val="auto"/>
        </w:rPr>
        <w:t xml:space="preserve">, </w:t>
      </w:r>
      <w:hyperlink r:id="rId46">
        <w:r>
          <w:rPr>
            <w:rFonts w:ascii="Arial" w:cs="Arial" w:eastAsia="Arial" w:hAnsi="Arial"/>
            <w:sz w:val="18"/>
            <w:szCs w:val="18"/>
            <w:u w:val="single" w:color="auto"/>
            <w:color w:val="0000EE"/>
          </w:rPr>
          <w:t>November 29,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7">
        <w:r>
          <w:rPr>
            <w:rFonts w:ascii="Arial" w:cs="Arial" w:eastAsia="Arial" w:hAnsi="Arial"/>
            <w:sz w:val="18"/>
            <w:szCs w:val="18"/>
            <w:u w:val="single" w:color="auto"/>
            <w:color w:val="0000EE"/>
          </w:rPr>
          <w:t>December 1, 2021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75" w:lineRule="exact"/>
        <w:rPr>
          <w:rFonts w:ascii="Arial" w:cs="Arial" w:eastAsia="Arial" w:hAnsi="Arial"/>
          <w:sz w:val="18"/>
          <w:szCs w:val="18"/>
          <w:color w:val="0000EE"/>
        </w:rPr>
      </w:pPr>
    </w:p>
    <w:p>
      <w:pPr>
        <w:ind w:left="540" w:right="160" w:hanging="316"/>
        <w:spacing w:after="0" w:line="279" w:lineRule="auto"/>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contained in our registration statement on </w:t>
      </w:r>
      <w:hyperlink r:id="rId48">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filed with the SEC on January 17, 2017 under Section 12 of the Exchange Act, as further amended by </w:t>
      </w:r>
      <w:hyperlink r:id="rId49">
        <w:r>
          <w:rPr>
            <w:rFonts w:ascii="Arial" w:cs="Arial" w:eastAsia="Arial" w:hAnsi="Arial"/>
            <w:sz w:val="17"/>
            <w:szCs w:val="17"/>
            <w:u w:val="single" w:color="auto"/>
            <w:color w:val="0000EE"/>
          </w:rPr>
          <w:t>Exhibit 4.3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(Description of the Registrant’s Securities Registered Pursuant to Section 12 of the Securities Exchange Act of 1934) to our Annual Report on </w:t>
      </w:r>
      <w:hyperlink r:id="rId50">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December 31, 2019 and filed with the SEC on March 2, 2020, including any amendment or report filed for the purpose of updating such description.</w:t>
      </w:r>
    </w:p>
    <w:p>
      <w:pPr>
        <w:spacing w:after="0" w:line="171" w:lineRule="exact"/>
        <w:rPr>
          <w:rFonts w:ascii="Arial" w:cs="Arial" w:eastAsia="Arial" w:hAnsi="Arial"/>
          <w:sz w:val="17"/>
          <w:szCs w:val="17"/>
          <w:color w:val="auto"/>
        </w:rPr>
      </w:pPr>
    </w:p>
    <w:p>
      <w:pPr>
        <w:jc w:val="both"/>
        <w:ind w:left="120" w:right="280"/>
        <w:spacing w:after="0" w:line="296" w:lineRule="auto"/>
        <w:rPr>
          <w:sz w:val="20"/>
          <w:szCs w:val="20"/>
          <w:color w:val="auto"/>
        </w:rPr>
      </w:pPr>
      <w:r>
        <w:rPr>
          <w:rFonts w:ascii="Arial" w:cs="Arial" w:eastAsia="Arial" w:hAnsi="Arial"/>
          <w:sz w:val="16"/>
          <w:szCs w:val="16"/>
          <w:color w:val="auto"/>
        </w:rPr>
        <w:t>Upon written or oral request, we will provide without charge to each person, including any beneficial owner, to whom this prospectus is delivered, a copy of any or all of such information that has been incorporated herein by reference (other than exhibits to such documents unless such exhibits are specifically incorporated by reference into the documents that this prospectus incorporates). Written or oral requests for copies should be directed to AnaptysBio, Inc., Attn: Investor Relations, 10770 Wateridge Circle, Suite 210, telephone number (858) 362-6295. See the section of this prospectus entitled “Where You Can Find More Information” for information concerning how to read and obtain copies of materials that we file with the SEC.</w:t>
      </w:r>
    </w:p>
    <w:p>
      <w:pPr>
        <w:spacing w:after="0" w:line="161" w:lineRule="exact"/>
        <w:rPr>
          <w:rFonts w:ascii="Arial" w:cs="Arial" w:eastAsia="Arial" w:hAnsi="Arial"/>
          <w:sz w:val="17"/>
          <w:szCs w:val="17"/>
          <w:color w:val="auto"/>
        </w:rPr>
      </w:pPr>
    </w:p>
    <w:p>
      <w:pPr>
        <w:ind w:left="120" w:right="80"/>
        <w:spacing w:after="0" w:line="259" w:lineRule="auto"/>
        <w:rPr>
          <w:sz w:val="20"/>
          <w:szCs w:val="20"/>
          <w:color w:val="auto"/>
        </w:rPr>
      </w:pPr>
      <w:r>
        <w:rPr>
          <w:rFonts w:ascii="Arial" w:cs="Arial" w:eastAsia="Arial" w:hAnsi="Arial"/>
          <w:sz w:val="18"/>
          <w:szCs w:val="18"/>
          <w:color w:val="auto"/>
        </w:rPr>
        <w:t>Any statement contained in this prospectus, or in a document all or a portion of which is incorporated by reference, shall be modified or superseded for purposes of this prospectus to the extent that a statement contained in this prospectus, any prospectus supplement or any document incorporated by reference modifies or supersedes such statement. Any such statement so modified or superseded shall not, except as so modified or superseded, constitute a part of this prospectus.</w:t>
      </w:r>
    </w:p>
    <w:p>
      <w:pPr>
        <w:spacing w:after="0" w:line="119" w:lineRule="exact"/>
        <w:rPr>
          <w:rFonts w:ascii="Arial" w:cs="Arial" w:eastAsia="Arial" w:hAnsi="Arial"/>
          <w:sz w:val="17"/>
          <w:szCs w:val="17"/>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will retain broad discretion over the use of the net proceeds to us from the sale of our securities under this prospectus. Unless otherwise provided in the applicable prospectus supplement, we intend to use the net proceeds from the sale of securities under this prospectus for general corporate purposes, which may include funding research and development for our clinical development and ongoing preclinical, discovery and research programs, increasing our working capital, acquisitions or investments in businesses, products or technologies that are complementary to our own and capital expenditures. We will set forth in the prospectus supplement our intended use for the net proceeds received from the sale of any securities. Pending the application of the net proceeds, we intend to invest the net proceeds in short-term or long-term, investment-grade, interest-bearing securities.</w:t>
      </w: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320" w:top="459" w:right="5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We may sell the securities covered by this prospectus to one or more underwriters for public offering and sale by them, and may also sell the securities to investors directly, including our affiliates, through agents or through a combination of any of these methods. We will name any underwriter or agent involved in the offer and sale of securities in the applicable prospectus supplement. We have reserved the right to sell or exchange securities directly to investors on our own behalf in jurisdictions where we are authorized to do so. We may distribute the securities from time to time in one or more transactions:</w:t>
      </w:r>
    </w:p>
    <w:p>
      <w:pPr>
        <w:spacing w:after="0" w:line="93" w:lineRule="exact"/>
        <w:rPr>
          <w:sz w:val="20"/>
          <w:szCs w:val="20"/>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We may directly solicit offers to purchase the securities being offered by this prospectus. We may also designate agents to solicit offers to purchase the securities from time to time. We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18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or commissions from the purchasers for whom they may act as agent.</w:t>
      </w:r>
    </w:p>
    <w:p>
      <w:pPr>
        <w:spacing w:after="0" w:line="192"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will provide in the applicable prospectus supplement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of 1933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and to reimburse them for certain expenses. We may grant underwriters who participate in the distribution of our securities under this prospectus an option to purchase additional securities to cover any over-allotments in connection with the distribution.</w:t>
      </w:r>
    </w:p>
    <w:p>
      <w:pPr>
        <w:spacing w:after="0" w:line="166"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The securities we offer under this prospectus may or may not be listed through the Nasdaq Global Market or any other securities exchange. To facilitate the offering of securities, certain persons participating in the offering may engage in transactions that stabilize, maintain or otherwise affect the price of the securities. This may include short sales of the securities, which involves the sale by persons participating in the offering of more securities than we sold to them. In these circumstances, these persons would cover such short positions by making purchases in the open market or by exercising their option to purchase additional securities.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will file a prospectus supplement to describe the terms of any offering of our securities covered by this prospectus. The prospectus supplement will disclose:</w:t>
      </w:r>
    </w:p>
    <w:p>
      <w:pPr>
        <w:spacing w:after="0" w:line="76" w:lineRule="exact"/>
        <w:rPr>
          <w:sz w:val="20"/>
          <w:szCs w:val="20"/>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terms of the offer;</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names of any underwriters, including any managing underwriters, as well as any dealers or agents;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purchase price of the securities from us;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net proceeds to us from the sale of the securities;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over-allotment or other options under which underwriters, if any, may purchase additional securities from us;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underwriting discounts, commissions or other items constituting underwriters’ compensation, and any commissions paid to agents;</w:t>
      </w:r>
    </w:p>
    <w:p>
      <w:pPr>
        <w:spacing w:after="0" w:line="142" w:lineRule="exact"/>
        <w:rPr>
          <w:rFonts w:ascii="Arial" w:cs="Arial" w:eastAsia="Arial" w:hAnsi="Arial"/>
          <w:sz w:val="17"/>
          <w:szCs w:val="17"/>
          <w:color w:val="auto"/>
        </w:rPr>
      </w:pPr>
    </w:p>
    <w:p>
      <w:pPr>
        <w:ind w:left="540" w:right="340" w:hanging="316"/>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 subscription rights offering, whether we have engaged dealer-managers to facilitate the offering or subscription, including their name or names and compensation;</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public offering price;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facts material to the transaction.</w:t>
      </w:r>
    </w:p>
    <w:p>
      <w:pPr>
        <w:spacing w:after="0" w:line="225" w:lineRule="exact"/>
        <w:rPr>
          <w:sz w:val="20"/>
          <w:szCs w:val="20"/>
          <w:color w:val="auto"/>
        </w:rPr>
      </w:pPr>
    </w:p>
    <w:p>
      <w:pPr>
        <w:ind w:left="120" w:right="440"/>
        <w:spacing w:after="0" w:line="342" w:lineRule="auto"/>
        <w:rPr>
          <w:sz w:val="20"/>
          <w:szCs w:val="20"/>
          <w:color w:val="auto"/>
        </w:rPr>
      </w:pPr>
      <w:r>
        <w:rPr>
          <w:rFonts w:ascii="Arial" w:cs="Arial" w:eastAsia="Arial" w:hAnsi="Arial"/>
          <w:sz w:val="16"/>
          <w:szCs w:val="16"/>
          <w:color w:val="auto"/>
        </w:rPr>
        <w:t>We will bear all or substantially all of the costs, expenses and fees in connection with the registration of our securities under this prospectus. The underwriters, dealers and agents may engage in transactions with us, or perform services for us, in the ordinary course of business.</w:t>
      </w:r>
    </w:p>
    <w:p>
      <w:pPr>
        <w:spacing w:after="0" w:line="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320" w:top="459" w:right="5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The following description of our common stock, together with the additional information we include in any applicable prospectus supplement, summarizes the material terms and provisions of the common stock that we may offer from time to time pursuant to this prospectus. While the terms we have summarized below will apply generally to any future shares of common stock that we may offer, we will describe the particular terms of any offering in more detail in the applicable prospectus supplement. The following description of our common stock and provisions of our Amended and Restated Certificate of Incorporation are summaries and are qualified in its entirety by reference to applicable Delaware law and our Amended and Restated Certificate of Incorporation, a copy of which has been filed as Exhibit 3.1 to our Quarterly Report on Form 10-Q for the quarterly period March 31, 2017 and filed with the SEC on May 12, 2017.</w:t>
      </w:r>
    </w:p>
    <w:p>
      <w:pPr>
        <w:spacing w:after="0" w:line="19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are authorized to issue 510,000,000 shares of all classes of capital stock, of which 500,000,000 shares are common stock, $0.001 par value per share, and 10,000,000 shares are preferred stock, $0.001 par value per share. Our capital is stated in U.S. dollars. As of December 28, 2021 we had 27,644,726 outstanding shares of common stock and no outstanding shares of preferred stock.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“Dividend Policy” above.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We have not provided for cumulative voting for the election of directors in our restated certificate of incorporation. Accordingly, pursuant to our restated certificate of incorporation, holders of a majority of the shares of our common stock can elect all of our directors. Our restated certificate of incorporation establishes a classified board of directors, divided into three classes with staggered three-year terms. Only one class of directors is elected at each annual meeting of our stockholders, with the other classes continuing for the remainder of their respective three-year terms.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Preemptive or Similar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 to Receive Liquidation Distributions</w:t>
      </w:r>
    </w:p>
    <w:p>
      <w:pPr>
        <w:spacing w:after="0" w:line="121" w:lineRule="exact"/>
        <w:rPr>
          <w:sz w:val="20"/>
          <w:szCs w:val="20"/>
          <w:color w:val="auto"/>
        </w:rPr>
      </w:pPr>
    </w:p>
    <w:p>
      <w:pPr>
        <w:jc w:val="both"/>
        <w:ind w:left="120" w:right="320" w:firstLine="440"/>
        <w:spacing w:after="0" w:line="311" w:lineRule="auto"/>
        <w:rPr>
          <w:sz w:val="20"/>
          <w:szCs w:val="20"/>
          <w:color w:val="auto"/>
        </w:rPr>
      </w:pPr>
      <w:r>
        <w:rPr>
          <w:rFonts w:ascii="Arial" w:cs="Arial" w:eastAsia="Arial" w:hAnsi="Arial"/>
          <w:sz w:val="16"/>
          <w:szCs w:val="16"/>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According to the terms of our amended and restated investors’ rights agreement entered into in July 2015, as amended by Amendment No. 1 our amended and restated investors’ rights agreement entered into on May 8. 2018, certain of our common stockholders are entitled to demand, piggyback and Form S-3 registration rights.</w:t>
      </w:r>
    </w:p>
    <w:p>
      <w:pPr>
        <w:spacing w:after="0" w:line="184"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i w:val="1"/>
          <w:iCs w:val="1"/>
          <w:color w:val="auto"/>
        </w:rPr>
        <w:t xml:space="preserve">Demand Registration Rights. </w:t>
      </w:r>
      <w:r>
        <w:rPr>
          <w:rFonts w:ascii="Arial" w:cs="Arial" w:eastAsia="Arial" w:hAnsi="Arial"/>
          <w:sz w:val="18"/>
          <w:szCs w:val="18"/>
          <w:color w:val="auto"/>
        </w:rPr>
        <w:t>At any point, the holders of at least a majority of the then-outstanding registrable securities may make a written request to</w:t>
      </w:r>
      <w:r>
        <w:rPr>
          <w:rFonts w:ascii="Arial" w:cs="Arial" w:eastAsia="Arial" w:hAnsi="Arial"/>
          <w:sz w:val="18"/>
          <w:szCs w:val="18"/>
          <w:i w:val="1"/>
          <w:iCs w:val="1"/>
          <w:color w:val="auto"/>
        </w:rPr>
        <w:t xml:space="preserve"> </w:t>
      </w:r>
      <w:r>
        <w:rPr>
          <w:rFonts w:ascii="Arial" w:cs="Arial" w:eastAsia="Arial" w:hAnsi="Arial"/>
          <w:sz w:val="18"/>
          <w:szCs w:val="18"/>
          <w:color w:val="auto"/>
        </w:rPr>
        <w:t>us for the registration of any of the registrable securities under the Securities Act. Within 30 days of such request, we are obligated to provide written notice of such request to all stockholders to file a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 respect to such filing not more than once during any 12-month period for a total period of not more than 60 days if our board of directors determines in its good faith judgment that it would be seriously detrimental to us and our stockholders for such registration statement to be effected at such time.</w:t>
      </w:r>
    </w:p>
    <w:p>
      <w:pPr>
        <w:spacing w:after="0" w:line="192" w:lineRule="exact"/>
        <w:rPr>
          <w:sz w:val="20"/>
          <w:szCs w:val="20"/>
          <w:color w:val="auto"/>
        </w:rPr>
      </w:pPr>
    </w:p>
    <w:p>
      <w:pPr>
        <w:ind w:left="120" w:right="120"/>
        <w:spacing w:after="0" w:line="289" w:lineRule="auto"/>
        <w:rPr>
          <w:sz w:val="20"/>
          <w:szCs w:val="20"/>
          <w:color w:val="auto"/>
        </w:rPr>
      </w:pPr>
      <w:r>
        <w:rPr>
          <w:rFonts w:ascii="Arial" w:cs="Arial" w:eastAsia="Arial" w:hAnsi="Arial"/>
          <w:sz w:val="16"/>
          <w:szCs w:val="16"/>
          <w:i w:val="1"/>
          <w:iCs w:val="1"/>
          <w:color w:val="auto"/>
        </w:rPr>
        <w:t xml:space="preserve">Piggyback Registration Rights. </w:t>
      </w:r>
      <w:r>
        <w:rPr>
          <w:rFonts w:ascii="Arial" w:cs="Arial" w:eastAsia="Arial" w:hAnsi="Arial"/>
          <w:sz w:val="16"/>
          <w:szCs w:val="16"/>
          <w:color w:val="auto"/>
        </w:rPr>
        <w:t>If we register any of our securities for public sale in an offering, holders of registrable securities will have the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their shares in the registration statement. However, this right does not apply to a registration relating to employee benefit plans, a registration relating to a corporate reorganization or a registration of only common stock issuable upon conversion of debt securities that are also being registered. We have the right to terminate any registration we have initiated before the effective date of such registration, whether or not any holder has elected to include registrable securities in such registration. The underwriters of any underwritten offering will have the right to limit the number of shares registered by these holders if they determine in good faith that marketing factors require limitation, in which case the number of shares to be registered will be apportioned pro rata among these holders, according to the total amount of securities entitled to be included by each holder, or in a manner mutually agreed upon by the holders. However, in any underwriting not in connection with an initial public offering, the number of shares to be registered by these holders cannot be reduced below 30% of the total shares covered by the registration statement.</w:t>
      </w:r>
    </w:p>
    <w:p>
      <w:pPr>
        <w:spacing w:after="0" w:line="166"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i w:val="1"/>
          <w:iCs w:val="1"/>
          <w:color w:val="auto"/>
        </w:rPr>
        <w:t xml:space="preserve">Form S-3 Registration Rights. </w:t>
      </w:r>
      <w:r>
        <w:rPr>
          <w:rFonts w:ascii="Arial" w:cs="Arial" w:eastAsia="Arial" w:hAnsi="Arial"/>
          <w:sz w:val="17"/>
          <w:szCs w:val="17"/>
          <w:color w:val="auto"/>
        </w:rPr>
        <w:t>Any holder of then-outstanding registrable securities can request that we register all or part of their shares on Form S-3 if</w:t>
      </w:r>
      <w:r>
        <w:rPr>
          <w:rFonts w:ascii="Arial" w:cs="Arial" w:eastAsia="Arial" w:hAnsi="Arial"/>
          <w:sz w:val="17"/>
          <w:szCs w:val="17"/>
          <w:i w:val="1"/>
          <w:iCs w:val="1"/>
          <w:color w:val="auto"/>
        </w:rPr>
        <w:t xml:space="preserve"> </w:t>
      </w:r>
      <w:r>
        <w:rPr>
          <w:rFonts w:ascii="Arial" w:cs="Arial" w:eastAsia="Arial" w:hAnsi="Arial"/>
          <w:sz w:val="17"/>
          <w:szCs w:val="17"/>
          <w:color w:val="auto"/>
        </w:rPr>
        <w:t>we are eligible to file a registration statement on Form S-3 and if the aggregate price to the public of the shares offered is at least $2,000,000. The stockholders may only require us to effect two registration statements on Form S-3 in a 12-month period. We may postpone taking action with respect to such filing once during any 12-month period for a total cumulative period of not more than 90 days if our board of directors determines in its good faith judgment that the filing would be materially detrimental to us and our stockholders.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Expenses of Registration. </w:t>
      </w:r>
      <w:r>
        <w:rPr>
          <w:rFonts w:ascii="Arial" w:cs="Arial" w:eastAsia="Arial" w:hAnsi="Arial"/>
          <w:sz w:val="18"/>
          <w:szCs w:val="18"/>
          <w:color w:val="auto"/>
        </w:rPr>
        <w:t>We generally will pay all expenses, other than underwriting discounts and commissions.</w:t>
      </w:r>
    </w:p>
    <w:p>
      <w:pPr>
        <w:spacing w:after="0" w:line="22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i w:val="1"/>
          <w:iCs w:val="1"/>
          <w:color w:val="auto"/>
        </w:rPr>
        <w:t>Expiration of Registration Right</w:t>
      </w:r>
      <w:r>
        <w:rPr>
          <w:rFonts w:ascii="Arial" w:cs="Arial" w:eastAsia="Arial" w:hAnsi="Arial"/>
          <w:sz w:val="18"/>
          <w:szCs w:val="18"/>
          <w:color w:val="auto"/>
        </w:rPr>
        <w:t>s. The registration rights described above will expire, with respect to any particular holder of these rights, on the earlier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fifth anniversary of the closing of our initial public offering, and such time as we have completed our initial public offering and all registrable securities issuable or issued upon conversion of our shares held by and issuable to a holder with such registration rights (and its affiliates) may be sold pursuant to Rule 144 during any 90-day period.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As of September 30, 2021, no shares of our preferred stock are issued and outstanding and no such shares were subject to outstanding options or other rights to purchase or acquire. However, shares of preferred stock may be issued in one or more series from time to time by our board of directors, and the board of directors is expressly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authorized to fix by resolution or resolutions the designations and the powers, preferences and rights, and the qualifications, limitations and restrictions thereof, of the shares of each series of preferred stock. Subject to the determination of our board of directors, any shares of our preferred stock that may be issued in the future would generally have preferences over our common stock with respect to the payment of dividends and the distribution of assets in the event of our liquidation, dissolution or winding up.</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 of Unissued Shares of Capital Stock</w:t>
      </w:r>
    </w:p>
    <w:p>
      <w:pPr>
        <w:spacing w:after="0" w:line="121"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i w:val="1"/>
          <w:iCs w:val="1"/>
          <w:color w:val="auto"/>
        </w:rPr>
        <w:t xml:space="preserve">Common Stock. </w:t>
      </w:r>
      <w:r>
        <w:rPr>
          <w:rFonts w:ascii="Arial" w:cs="Arial" w:eastAsia="Arial" w:hAnsi="Arial"/>
          <w:sz w:val="17"/>
          <w:szCs w:val="17"/>
          <w:color w:val="auto"/>
        </w:rPr>
        <w:t>Our shares of authorized and unissued common stock are available for future issuance without additional stockholder approval. While</w:t>
      </w:r>
      <w:r>
        <w:rPr>
          <w:rFonts w:ascii="Arial" w:cs="Arial" w:eastAsia="Arial" w:hAnsi="Arial"/>
          <w:sz w:val="17"/>
          <w:szCs w:val="17"/>
          <w:i w:val="1"/>
          <w:iCs w:val="1"/>
          <w:color w:val="auto"/>
        </w:rPr>
        <w:t xml:space="preserve"> </w:t>
      </w:r>
      <w:r>
        <w:rPr>
          <w:rFonts w:ascii="Arial" w:cs="Arial" w:eastAsia="Arial" w:hAnsi="Arial"/>
          <w:sz w:val="17"/>
          <w:szCs w:val="17"/>
          <w:color w:val="auto"/>
        </w:rPr>
        <w:t>these additional shares are not designed to deter or prevent a change of control, under some circumstances we could use the additional shares to create voting impediments or to frustrate persons seeking to effect a takeover or otherwise gain control by, for example, issuing those shares in private placements to purchasers who might side with our board of directors in opposing a hostile takeover bid.</w:t>
      </w:r>
    </w:p>
    <w:p>
      <w:pPr>
        <w:spacing w:after="0" w:line="171"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i w:val="1"/>
          <w:iCs w:val="1"/>
          <w:color w:val="auto"/>
        </w:rPr>
        <w:t xml:space="preserve">Preferred Stock. </w:t>
      </w:r>
      <w:r>
        <w:rPr>
          <w:rFonts w:ascii="Arial" w:cs="Arial" w:eastAsia="Arial" w:hAnsi="Arial"/>
          <w:sz w:val="17"/>
          <w:szCs w:val="17"/>
          <w:color w:val="auto"/>
        </w:rPr>
        <w:t>Our certificate of incorporation grants our board of directors the authority, without any further vote or action by our stockholders, to</w:t>
      </w:r>
      <w:r>
        <w:rPr>
          <w:rFonts w:ascii="Arial" w:cs="Arial" w:eastAsia="Arial" w:hAnsi="Arial"/>
          <w:sz w:val="17"/>
          <w:szCs w:val="17"/>
          <w:i w:val="1"/>
          <w:iCs w:val="1"/>
          <w:color w:val="auto"/>
        </w:rPr>
        <w:t xml:space="preserve"> </w:t>
      </w:r>
      <w:r>
        <w:rPr>
          <w:rFonts w:ascii="Arial" w:cs="Arial" w:eastAsia="Arial" w:hAnsi="Arial"/>
          <w:sz w:val="17"/>
          <w:szCs w:val="17"/>
          <w:color w:val="auto"/>
        </w:rPr>
        <w:t>issue preferred stock in one or more series and to fix the number of shares constituting any such series and the preferences, limitations and relative rights, including dividend rights, dividend rate, voting rights, terms of redemption, redemption price or prices, conversion rights and liquidation preferences of the shares constituting any series. The existence of authorized but unissued preferred stock could reduce our attractiveness as a target for an unsolicited takeover bid since we could, for example, issue shares of preferred stock to parties who might oppose such a takeover bid or shares that contain terms the potential acquirer may find unattractive. This may have the effect of delaying or preventing a change in control, may discourage bids for the common stock at a premium over the market price of the common stock, and may adversely affect the market price of, and the voting and other rights of the holders of, common stock.</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The provisions of Delaware law, our restated certificate of incorporation and our restated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We are subject to the provisions of Section 203 of the Delaware General Corporation Law regulating corporate takeovers. This section prevents some Delaware corporations, including us,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63" w:lineRule="exact"/>
        <w:rPr>
          <w:sz w:val="20"/>
          <w:szCs w:val="20"/>
          <w:color w:val="auto"/>
        </w:rPr>
      </w:pPr>
    </w:p>
    <w:p>
      <w:pPr>
        <w:ind w:left="540" w:right="360" w:hanging="316"/>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540" w:right="160" w:hanging="316"/>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75" w:lineRule="exact"/>
        <w:rPr>
          <w:rFonts w:ascii="Arial" w:cs="Arial" w:eastAsia="Arial" w:hAnsi="Arial"/>
          <w:sz w:val="18"/>
          <w:szCs w:val="18"/>
          <w:color w:val="auto"/>
        </w:rPr>
      </w:pPr>
    </w:p>
    <w:p>
      <w:pPr>
        <w:ind w:left="540" w:right="280" w:hanging="316"/>
        <w:spacing w:after="0" w:line="263"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or subsequent to such time that the stockholder became an interested stockholder, the business combination is approved by the board of directors and authorized at an annual or special meeting of stockholders by at least two-thirds of the outstanding voting stock not owned by the interested stockholder.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and do not plan to “opt out” of these provisions. The statute could prohibit or delay mergers or other takeover or change in control attempts and, accordingly, may discourage attempts to acquire us.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Restated Certificate of Incorporation and Restated Bylaw Provisions</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restated certificate of incorporation and our restated bylaws include a number of provisions that may have the effect of deterring hostile takeovers or delaying or preventing changes in control, including the following:</w:t>
      </w:r>
    </w:p>
    <w:p>
      <w:pPr>
        <w:spacing w:after="0" w:line="76" w:lineRule="exact"/>
        <w:rPr>
          <w:sz w:val="20"/>
          <w:szCs w:val="20"/>
          <w:color w:val="auto"/>
        </w:rPr>
      </w:pPr>
    </w:p>
    <w:p>
      <w:pPr>
        <w:ind w:left="540" w:right="20" w:hanging="316"/>
        <w:spacing w:after="0" w:line="275"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Board of Directors Vacancies. </w:t>
      </w:r>
      <w:r>
        <w:rPr>
          <w:rFonts w:ascii="Arial" w:cs="Arial" w:eastAsia="Arial" w:hAnsi="Arial"/>
          <w:sz w:val="17"/>
          <w:szCs w:val="17"/>
          <w:color w:val="auto"/>
        </w:rPr>
        <w:t>Our restated certificate of incorporation and restated bylaws authorize only our board of directors to fill vacant</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81" w:lineRule="exact"/>
        <w:rPr>
          <w:rFonts w:ascii="Arial" w:cs="Arial" w:eastAsia="Arial" w:hAnsi="Arial"/>
          <w:sz w:val="17"/>
          <w:szCs w:val="17"/>
          <w:color w:val="auto"/>
        </w:rPr>
      </w:pPr>
    </w:p>
    <w:p>
      <w:pPr>
        <w:ind w:left="540" w:right="40" w:hanging="316"/>
        <w:spacing w:after="0" w:line="311"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Classified Board. </w:t>
      </w:r>
      <w:r>
        <w:rPr>
          <w:rFonts w:ascii="Arial" w:cs="Arial" w:eastAsia="Arial" w:hAnsi="Arial"/>
          <w:sz w:val="16"/>
          <w:szCs w:val="16"/>
          <w:color w:val="auto"/>
        </w:rPr>
        <w:t>Our restated certificate of incorporation and restated bylaws provide that our board is classified into three classes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each with staggered three-year terms.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54" w:lineRule="exact"/>
        <w:rPr>
          <w:rFonts w:ascii="Arial" w:cs="Arial" w:eastAsia="Arial" w:hAnsi="Arial"/>
          <w:sz w:val="16"/>
          <w:szCs w:val="16"/>
          <w:color w:val="auto"/>
        </w:rPr>
      </w:pPr>
    </w:p>
    <w:p>
      <w:pPr>
        <w:ind w:left="540" w:right="40" w:hanging="316"/>
        <w:spacing w:after="0" w:line="291"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Stockholder Action; Special Meetings of Stockholders. </w:t>
      </w:r>
      <w:r>
        <w:rPr>
          <w:rFonts w:ascii="Arial" w:cs="Arial" w:eastAsia="Arial" w:hAnsi="Arial"/>
          <w:sz w:val="16"/>
          <w:szCs w:val="16"/>
          <w:color w:val="auto"/>
        </w:rPr>
        <w:t>Our restated certificate of incorporation provides that our stockholders may not take action</w:t>
      </w:r>
      <w:r>
        <w:rPr>
          <w:rFonts w:ascii="Arial" w:cs="Arial" w:eastAsia="Arial" w:hAnsi="Arial"/>
          <w:sz w:val="16"/>
          <w:szCs w:val="16"/>
          <w:i w:val="1"/>
          <w:iCs w:val="1"/>
          <w:color w:val="auto"/>
        </w:rPr>
        <w:t xml:space="preserve"> </w:t>
      </w:r>
      <w:r>
        <w:rPr>
          <w:rFonts w:ascii="Arial" w:cs="Arial" w:eastAsia="Arial" w:hAnsi="Arial"/>
          <w:sz w:val="16"/>
          <w:szCs w:val="16"/>
          <w:color w:val="auto"/>
        </w:rPr>
        <w:t>by 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restated bylaws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71" w:lineRule="exact"/>
        <w:rPr>
          <w:rFonts w:ascii="Arial" w:cs="Arial" w:eastAsia="Arial" w:hAnsi="Arial"/>
          <w:sz w:val="16"/>
          <w:szCs w:val="16"/>
          <w:color w:val="auto"/>
        </w:rPr>
      </w:pPr>
    </w:p>
    <w:p>
      <w:pPr>
        <w:ind w:left="540" w:hanging="316"/>
        <w:spacing w:after="0" w:line="25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restated bylaws provide advance notice procedures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seeking to bring business before our annual meeting of stockholders or to nominate candidates for election as directors at our annual meeting of stockholders. Our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00" w:lineRule="exact"/>
        <w:rPr>
          <w:rFonts w:ascii="Arial" w:cs="Arial" w:eastAsia="Arial" w:hAnsi="Arial"/>
          <w:sz w:val="18"/>
          <w:szCs w:val="18"/>
          <w:color w:val="auto"/>
        </w:rPr>
      </w:pPr>
    </w:p>
    <w:p>
      <w:pPr>
        <w:jc w:val="both"/>
        <w:ind w:left="540" w:right="280" w:hanging="316"/>
        <w:spacing w:after="0" w:line="263"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Delaware General Corporation Law provides that stockholders are not entitled to the right to cumulate votes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of directors unless a corporation’s certificate of incorporation provides otherwise. Our restated certificate of incorporation and restated bylaws do not provide for cumulative voting.</w:t>
      </w:r>
    </w:p>
    <w:p>
      <w:pPr>
        <w:spacing w:after="0" w:line="89" w:lineRule="exact"/>
        <w:rPr>
          <w:rFonts w:ascii="Arial" w:cs="Arial" w:eastAsia="Arial" w:hAnsi="Arial"/>
          <w:sz w:val="18"/>
          <w:szCs w:val="18"/>
          <w:color w:val="auto"/>
        </w:rPr>
      </w:pPr>
    </w:p>
    <w:p>
      <w:pPr>
        <w:ind w:left="540" w:right="180" w:hanging="316"/>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Directors Removed Only for Cause. </w:t>
      </w:r>
      <w:r>
        <w:rPr>
          <w:rFonts w:ascii="Arial" w:cs="Arial" w:eastAsia="Arial" w:hAnsi="Arial"/>
          <w:sz w:val="18"/>
          <w:szCs w:val="18"/>
          <w:color w:val="auto"/>
        </w:rPr>
        <w:t>Our restated certificate of incorporation provides that stockholders may remove directors only for cause and</w:t>
      </w:r>
      <w:r>
        <w:rPr>
          <w:rFonts w:ascii="Arial" w:cs="Arial" w:eastAsia="Arial" w:hAnsi="Arial"/>
          <w:sz w:val="18"/>
          <w:szCs w:val="18"/>
          <w:i w:val="1"/>
          <w:iCs w:val="1"/>
          <w:color w:val="auto"/>
        </w:rPr>
        <w:t xml:space="preserve"> </w:t>
      </w:r>
      <w:r>
        <w:rPr>
          <w:rFonts w:ascii="Arial" w:cs="Arial" w:eastAsia="Arial" w:hAnsi="Arial"/>
          <w:sz w:val="18"/>
          <w:szCs w:val="18"/>
          <w:color w:val="auto"/>
        </w:rPr>
        <w:t>only by the affirmative vote of the holders of at least two-thirds of our outstanding common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0" w:hanging="316"/>
        <w:spacing w:after="0" w:line="342"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Amendment to Certificate of Incorporation and Bylaws. </w:t>
      </w:r>
      <w:r>
        <w:rPr>
          <w:rFonts w:ascii="Arial" w:cs="Arial" w:eastAsia="Arial" w:hAnsi="Arial"/>
          <w:sz w:val="16"/>
          <w:szCs w:val="16"/>
          <w:color w:val="auto"/>
        </w:rPr>
        <w:t>Any amendment of the above provisions in our restated certificate of incorporation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restated bylaws requires approval by holders of at least two-thirds of our then-outstanding capital stock entitled to vote in the election of directors.</w:t>
      </w:r>
    </w:p>
    <w:p>
      <w:pPr>
        <w:spacing w:after="0" w:line="29" w:lineRule="exact"/>
        <w:rPr>
          <w:rFonts w:ascii="Arial" w:cs="Arial" w:eastAsia="Arial" w:hAnsi="Arial"/>
          <w:sz w:val="16"/>
          <w:szCs w:val="16"/>
          <w:color w:val="auto"/>
        </w:rPr>
      </w:pPr>
    </w:p>
    <w:p>
      <w:pPr>
        <w:ind w:left="540" w:right="100" w:hanging="316"/>
        <w:spacing w:after="0" w:line="279"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Issuance of Undesignated Preferred Stock. </w:t>
      </w:r>
      <w:r>
        <w:rPr>
          <w:rFonts w:ascii="Arial" w:cs="Arial" w:eastAsia="Arial" w:hAnsi="Arial"/>
          <w:sz w:val="17"/>
          <w:szCs w:val="17"/>
          <w:color w:val="auto"/>
        </w:rPr>
        <w:t>Our board of directors has the authority, without further action by the stockholders, to issue up to</w:t>
      </w:r>
      <w:r>
        <w:rPr>
          <w:rFonts w:ascii="Arial" w:cs="Arial" w:eastAsia="Arial" w:hAnsi="Arial"/>
          <w:sz w:val="17"/>
          <w:szCs w:val="17"/>
          <w:i w:val="1"/>
          <w:iCs w:val="1"/>
          <w:color w:val="auto"/>
        </w:rPr>
        <w:t xml:space="preserve"> </w:t>
      </w:r>
      <w:r>
        <w:rPr>
          <w:rFonts w:ascii="Arial" w:cs="Arial" w:eastAsia="Arial" w:hAnsi="Arial"/>
          <w:sz w:val="17"/>
          <w:szCs w:val="17"/>
          <w:color w:val="auto"/>
        </w:rPr>
        <w:t>10,000,000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76" w:lineRule="exact"/>
        <w:rPr>
          <w:rFonts w:ascii="Arial" w:cs="Arial" w:eastAsia="Arial" w:hAnsi="Arial"/>
          <w:sz w:val="17"/>
          <w:szCs w:val="17"/>
          <w:color w:val="auto"/>
        </w:rPr>
      </w:pPr>
    </w:p>
    <w:p>
      <w:pPr>
        <w:ind w:left="540" w:hanging="316"/>
        <w:spacing w:after="0" w:line="286"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Choice of Forum. </w:t>
      </w:r>
      <w:r>
        <w:rPr>
          <w:rFonts w:ascii="Arial" w:cs="Arial" w:eastAsia="Arial" w:hAnsi="Arial"/>
          <w:sz w:val="16"/>
          <w:szCs w:val="16"/>
          <w:color w:val="auto"/>
        </w:rPr>
        <w:t>Our restated certificate of incorporation provides that the Court of Chancery of the State of Delaware will be the exclusive</w:t>
      </w:r>
      <w:r>
        <w:rPr>
          <w:rFonts w:ascii="Arial" w:cs="Arial" w:eastAsia="Arial" w:hAnsi="Arial"/>
          <w:sz w:val="16"/>
          <w:szCs w:val="16"/>
          <w:i w:val="1"/>
          <w:iCs w:val="1"/>
          <w:color w:val="auto"/>
        </w:rPr>
        <w:t xml:space="preserve"> </w:t>
      </w:r>
      <w:r>
        <w:rPr>
          <w:rFonts w:ascii="Arial" w:cs="Arial" w:eastAsia="Arial" w:hAnsi="Arial"/>
          <w:sz w:val="16"/>
          <w:szCs w:val="16"/>
          <w:color w:val="auto"/>
        </w:rPr>
        <w:t>forum for any derivative action or proceeding brought on our behalf; any action asserting a breach of fiduciary duty; any action asserting a claim against us arising pursuant to the Delaware General Corporation Law, our restated certificate of incorporation or our restated bylaws; or any action asserting a claim against us that is governed by the internal affairs doctrine. This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The enforceability of similar choice of forum provisions in other companies’ certificates of incorporation has been challenged in legal proceedings, and although our restated certificate contains the choice of forum provision described above, it is possible that a court could rule that such a provision is inapplicable for a particular claim or action or that such provision is unenforceable.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transfer agent and registrar for our common stock is America Stock Transfer &amp; Trust Company, LLC.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quoted on the Nasdaq Global Market under the trading symbol “ANAB.”</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DEBT SECURITIES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 Unless otherwise specified in the applicable prospectus supplement, the debt securities will represent our direct, unsecured obligations and will rank equally with all of our other unsecured indebtedness.</w:t>
      </w:r>
    </w:p>
    <w:p>
      <w:pPr>
        <w:spacing w:after="0" w:line="70"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may offer under this prospectus up to an aggregate principal amount of $300,000,000 in debt securities, or if debt securities are issued at a discount, or in a foreign currency, foreign currency units or composite currency, the principal amount as may be sold for an aggregate public offering price of up to $300,000,000. Unless otherwise specified in the applicable prospectus supplement, the debt securities will represent our direct, unsecured obligations and will rank equally with all of our other unsecured indebtedness.</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 The prospectus supplement relating to the particular series of debt securities being offered will specify the particular amounts, prices and terms of those debt securities. These terms may include:</w:t>
      </w:r>
    </w:p>
    <w:p>
      <w:pPr>
        <w:spacing w:after="0" w:line="92" w:lineRule="exact"/>
        <w:rPr>
          <w:sz w:val="20"/>
          <w:szCs w:val="20"/>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of the series;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aggregate principal amount, and, if a series, the total amount authorized and the total amount outstanding;</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issue price or prices, expressed as a percentage of the aggregate principal amount of the debt securities;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or dates on which principal is payable;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or, if applicable, the method used to determine such rate or rates;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or dates from which interest, if any, will be payable and any regular record date for the interest payable;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place or places where principal and, if applicable, premium and interest, is payable;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and conditions upon which we may, or the holders may require us to, redeem or repurchase the debt securities;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denominations in which such debt securities may be issuable, if other than denominations of $1,000 or any integral multiple of that number;</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whether the debt securities are to be issuable in the form of certificated securities (as described below) or global securities (as described below);</w:t>
      </w:r>
    </w:p>
    <w:p>
      <w:pPr>
        <w:spacing w:after="0" w:line="153" w:lineRule="exact"/>
        <w:rPr>
          <w:rFonts w:ascii="Arial" w:cs="Arial" w:eastAsia="Arial" w:hAnsi="Arial"/>
          <w:sz w:val="16"/>
          <w:szCs w:val="16"/>
          <w:color w:val="auto"/>
        </w:rPr>
      </w:pPr>
    </w:p>
    <w:p>
      <w:pPr>
        <w:ind w:left="540" w:right="80" w:hanging="316"/>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portion of principal amount that will be payable upon declaration of acceleration of the maturity date if other than the principal amount of the debt securities;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currency of denomination;</w:t>
      </w:r>
    </w:p>
    <w:p>
      <w:pPr>
        <w:spacing w:after="0" w:line="130" w:lineRule="exact"/>
        <w:rPr>
          <w:rFonts w:ascii="Arial" w:cs="Arial" w:eastAsia="Arial" w:hAnsi="Arial"/>
          <w:sz w:val="18"/>
          <w:szCs w:val="18"/>
          <w:color w:val="auto"/>
        </w:rPr>
      </w:pPr>
    </w:p>
    <w:p>
      <w:pPr>
        <w:jc w:val="center"/>
        <w:ind w:left="5540" w:right="40" w:hanging="5316"/>
        <w:spacing w:after="0" w:line="449" w:lineRule="auto"/>
        <w:tabs>
          <w:tab w:leader="none" w:pos="55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and, if applicable, premium and interest, will be made; 16</w:t>
      </w:r>
    </w:p>
    <w:p>
      <w:pPr>
        <w:sectPr>
          <w:pgSz w:w="11900" w:h="16838" w:orient="portrait"/>
          <w:cols w:equalWidth="0" w:num="1">
            <w:col w:w="11080"/>
          </w:cols>
          <w:pgMar w:left="32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80" w:hanging="316"/>
        <w:spacing w:after="0" w:line="308"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payments of principal and, if applicable, premium or interest, on the debt securities are to be made in one or more currencies or currency units other than the currency of denomination, the manner in which the exchange rate with respect to such payments will be determined;</w:t>
      </w:r>
    </w:p>
    <w:p>
      <w:pPr>
        <w:spacing w:after="0" w:line="51" w:lineRule="exact"/>
        <w:rPr>
          <w:rFonts w:ascii="Arial" w:cs="Arial" w:eastAsia="Arial" w:hAnsi="Arial"/>
          <w:sz w:val="17"/>
          <w:szCs w:val="17"/>
          <w:color w:val="auto"/>
        </w:rPr>
      </w:pPr>
    </w:p>
    <w:p>
      <w:pPr>
        <w:ind w:left="540" w:right="160" w:hanging="316"/>
        <w:spacing w:after="0" w:line="263"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provisions, if any, relating to any collateral provided for such debt securities;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addition to or change in the covenants and/or the acceleration provisions described in this prospectus or in the indenture;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events of default, if not otherwise described below under “Events of Default”;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and conditions, if any, for conversion into or exchange for shares of our common stock or preferred stock;</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and conditions, if any, upon which the debt securities shall be subordinated in right of payment to our other indebtedness.</w:t>
      </w:r>
    </w:p>
    <w:p>
      <w:pPr>
        <w:spacing w:after="0" w:line="22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w:t>
      </w:r>
    </w:p>
    <w:p>
      <w:pPr>
        <w:spacing w:after="0" w:line="17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8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Debt securities offered under this prospectus and any prospectus supplement will be subordinated in right of payment to certain of our outstanding senior indebtedness. In addition, we will seek the consent of the holders of any such senior indebtedness prior to issuing any debt securities under this prospectus to the extent required by the agreements evidencing such senior indebtedness.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Registrar and Paying Agent</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debt securities may be presented for registration of transfer or for exchange at the corporate trust office of the security registrar or at any other office or agency that we maintain for those purposes. In addition, the debt securities may be presented for payment of principal, interest and any premium at the office of the paying agent or at any office or agency that we maintain for those purposes.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Debt securities may be convertible into or exchangeable for shares of our common stock. The terms and conditions of conversion or exchange will be stated in the applicable prospectus supplement. The terms will include, among others, the following:</w:t>
      </w:r>
    </w:p>
    <w:p>
      <w:pPr>
        <w:spacing w:after="0" w:line="76" w:lineRule="exact"/>
        <w:rPr>
          <w:sz w:val="20"/>
          <w:szCs w:val="20"/>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provisions regarding the convertibility or exchangeability of the debt securities, including who may convert or exchange;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anti-dilution provisions, if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Registered Global Securities</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If we decide to issue debt securities in the form of one or more global securities, then we will register the global securities in the name of the depositary for the global securities or the nominee of the depositary, and the global securities will be delivered by the trustee to the depositary for credit to the accounts of the holders of beneficial interests in the debt securities.</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prospectus supplement will describe the specific terms of the depositary arrangement for debt securities of a series that are issued in global form. None of us, the trustee, any payment agent or the security registrar will have any responsibility or liability for any aspect of the records relating to or payments made on account of beneficial ownership interests in a global debt security or for maintaining, supervising or reviewing any records relating to these beneficial ownership interests.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Protection in the Event of Change of Control</w:t>
      </w:r>
    </w:p>
    <w:p>
      <w:pPr>
        <w:spacing w:after="0" w:line="121"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The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Unless otherwise indicated in this prospectus or the applicable prospectus supplement, our debt securities will not have the benefit of any covenants that limit or restrict our business or operations, the pledging of our assets or the incurrence by us of indebtedness. We will describe in the applicable prospectus supplement any material covenants in respect of a series of debt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12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form of indenture provides that we will not consolidate with or merge into any other person or convey, transfer, sell or lease our properties and assets substantially as an entirety to any person, unless:</w:t>
      </w:r>
    </w:p>
    <w:p>
      <w:pPr>
        <w:spacing w:after="0" w:line="76" w:lineRule="exact"/>
        <w:rPr>
          <w:sz w:val="20"/>
          <w:szCs w:val="20"/>
          <w:color w:val="auto"/>
        </w:rPr>
      </w:pPr>
    </w:p>
    <w:p>
      <w:pPr>
        <w:ind w:left="540" w:right="100" w:hanging="316"/>
        <w:spacing w:after="0" w:line="275"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are the surviving person of such merger or consolidation, or if we are not the surviving person, the person formed by the consolidation or into or with which we are merged or the person to which our properties and assets are conveyed, transferred, sold or leased, is a corporation organized and existing under the laws of the U.S., any state or the District of Columbia or a corporation or comparable legal entity organized under the laws of a foreign jurisdiction and has expressly assumed all of our obligations, including the payment of the principal of and, premium, if any, and interest on the debt securities and the performance of the other covenants under the indenture; and</w:t>
      </w:r>
    </w:p>
    <w:p>
      <w:pPr>
        <w:spacing w:after="0" w:line="81" w:lineRule="exact"/>
        <w:rPr>
          <w:rFonts w:ascii="Arial" w:cs="Arial" w:eastAsia="Arial" w:hAnsi="Arial"/>
          <w:sz w:val="17"/>
          <w:szCs w:val="17"/>
          <w:color w:val="auto"/>
        </w:rPr>
      </w:pPr>
    </w:p>
    <w:p>
      <w:pPr>
        <w:ind w:left="540" w:right="440" w:hanging="316"/>
        <w:spacing w:after="0" w:line="308"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immediately before and immediately after giving effect to the transaction on a pro forma basis, no event of default, and no event which, after notice or lapse of time or both, would become an event of default, has occurred and is continuing under the indenture.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Unless otherwise specified in the applicable prospectus supplement, the following events will be events of default under the indenture with respect to debt securities of any series:</w:t>
      </w:r>
    </w:p>
    <w:p>
      <w:pPr>
        <w:spacing w:after="0" w:line="76"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fail to pay any principal or premium, if any, when it becomes due;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fail to pay any interest within 30 days after it becomes due;</w:t>
      </w:r>
    </w:p>
    <w:p>
      <w:pPr>
        <w:spacing w:after="0" w:line="130" w:lineRule="exact"/>
        <w:rPr>
          <w:rFonts w:ascii="Arial" w:cs="Arial" w:eastAsia="Arial" w:hAnsi="Arial"/>
          <w:sz w:val="18"/>
          <w:szCs w:val="18"/>
          <w:color w:val="auto"/>
        </w:rPr>
      </w:pPr>
    </w:p>
    <w:p>
      <w:pPr>
        <w:ind w:left="540" w:right="100" w:hanging="316"/>
        <w:spacing w:after="0" w:line="308"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fail to observe or perform any other covenant in the debt securities or the indenture for 60 days after written notice specifying the failure from the trustee or the holders of not less than 25% in aggregate principal amount of the outstanding debt securities of that series; and</w:t>
      </w:r>
    </w:p>
    <w:p>
      <w:pPr>
        <w:spacing w:after="0" w:line="51" w:lineRule="exact"/>
        <w:rPr>
          <w:rFonts w:ascii="Arial" w:cs="Arial" w:eastAsia="Arial" w:hAnsi="Arial"/>
          <w:sz w:val="17"/>
          <w:szCs w:val="17"/>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events involving bankruptcy, insolvency or reorganization of us or any of our significant subsidiaries.</w:t>
      </w:r>
    </w:p>
    <w:p>
      <w:pPr>
        <w:spacing w:after="0" w:line="225"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The trustee may withhold notice to the holders of the debt securities of any series of any default, except in payment of principal of or premium, if any, or interest on the debt securities of a series, if the trustee considers it to be in the best interest of the holders of the debt securities of that series to do so.</w:t>
      </w:r>
    </w:p>
    <w:p>
      <w:pPr>
        <w:spacing w:after="0" w:line="124"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If an event of default (other than an event of default resulting from certain events of bankruptcy, insolvency or reorganization) occurs, and is continuing, then the trustee or the holders of not less than 25% in aggregate principal amount of the outstanding debt securities of any series may accelerate the maturity of the debt securities. If this happens, the entire principal amount, plus the premium, if any, of all the outstanding debt securities of the affected series plus accrued interest to the date of acceleration will be immediately due and payable. At any time after the acceleration, but before a judgment or decree based on such acceleration is obtained by the trustee, the holders of a majority in aggregate principal amount of outstanding debt securities of such series may rescind and annul such acceleration if:</w:t>
      </w:r>
    </w:p>
    <w:p>
      <w:pPr>
        <w:spacing w:after="0" w:line="98" w:lineRule="exact"/>
        <w:rPr>
          <w:sz w:val="20"/>
          <w:szCs w:val="20"/>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events of default (other than nonpayment of accelerated principal, premium or interest) have been cured or waived;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lawful interest on overdue interest and overdue principal has been paid;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rescission would not conflict with any judgment or decree.</w:t>
      </w:r>
    </w:p>
    <w:p>
      <w:pPr>
        <w:spacing w:after="0" w:line="22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addition, if the acceleration occurs at any time when we have outstanding indebtedness that is senior to the debt securities, the payment of the principal amount of outstanding debt securities may be subordinated in right of payment to the prior payment of any amounts due under the senior indebtedness, in which case the holders of debt securities will be entitled to payment under the terms prescribed in the instruments evidencing the senior indebtedness and the indenture.</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If an event of default resulting from certain events of bankruptcy, insolvency or reorganization occurs, the principal, premium and interest amount with respect to all of the debt securities of any series will be due and payable immediately without any declaration or other act on the part of the trustee or the holders of the debt securities of that series.</w:t>
      </w:r>
    </w:p>
    <w:p>
      <w:pPr>
        <w:spacing w:after="0" w:line="184" w:lineRule="exact"/>
        <w:rPr>
          <w:sz w:val="20"/>
          <w:szCs w:val="20"/>
          <w:color w:val="auto"/>
        </w:rPr>
      </w:pPr>
    </w:p>
    <w:p>
      <w:pPr>
        <w:jc w:val="both"/>
        <w:ind w:left="120" w:right="820"/>
        <w:spacing w:after="0" w:line="286" w:lineRule="auto"/>
        <w:rPr>
          <w:sz w:val="20"/>
          <w:szCs w:val="20"/>
          <w:color w:val="auto"/>
        </w:rPr>
      </w:pPr>
      <w:r>
        <w:rPr>
          <w:rFonts w:ascii="Arial" w:cs="Arial" w:eastAsia="Arial" w:hAnsi="Arial"/>
          <w:sz w:val="17"/>
          <w:szCs w:val="17"/>
          <w:color w:val="auto"/>
        </w:rPr>
        <w:t>The holders of a majority in principal amount of the outstanding debt securities of a series will have the right to waive any existing default or compliance with any provision of the indenture or the debt securities of that series and to direct the time, method and place of conducting any proceeding for any remedy available to the trustee, subject to certain limitations specified in the indenture.</w:t>
      </w:r>
    </w:p>
    <w:p>
      <w:pPr>
        <w:spacing w:after="0" w:line="16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No holder of any debt security of a series will have any right to institute any proceeding with respect to the indenture or for any remedy under the indenture, unless:</w:t>
      </w:r>
    </w:p>
    <w:p>
      <w:pPr>
        <w:spacing w:after="0" w:line="76" w:lineRule="exact"/>
        <w:rPr>
          <w:sz w:val="20"/>
          <w:szCs w:val="20"/>
          <w:color w:val="auto"/>
        </w:rPr>
      </w:pPr>
    </w:p>
    <w:p>
      <w:pPr>
        <w:ind w:left="5540" w:right="5060" w:hanging="5316"/>
        <w:spacing w:after="0" w:line="535" w:lineRule="auto"/>
        <w:tabs>
          <w:tab w:leader="none" w:pos="554"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holder gives to the trustee written notice of a continuing event of default; 19</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00" w:hanging="316"/>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the affected series make a written request and offer reasonable indemnity to the trustee to institute a proceeding as trustee;</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trustee fails to institute a proceeding within 60 days after such request; and</w:t>
      </w:r>
    </w:p>
    <w:p>
      <w:pPr>
        <w:spacing w:after="0" w:line="130" w:lineRule="exact"/>
        <w:rPr>
          <w:rFonts w:ascii="Arial" w:cs="Arial" w:eastAsia="Arial" w:hAnsi="Arial"/>
          <w:sz w:val="18"/>
          <w:szCs w:val="18"/>
          <w:color w:val="auto"/>
        </w:rPr>
      </w:pPr>
    </w:p>
    <w:p>
      <w:pPr>
        <w:ind w:left="540" w:right="180" w:hanging="316"/>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outstanding debt securities of the affected series do not give the trustee a direction inconsistent with such request during such 60-day period.</w:t>
      </w:r>
    </w:p>
    <w:p>
      <w:pPr>
        <w:spacing w:after="0" w:line="17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These limitations do not, however, apply to a suit instituted for payment on debt securities of any series on or after the due dates expressed in the debt securities.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periodically deliver certificates to the trustee regarding our compliance with our obligations under the indenture.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From time to time, we and the trustee may, without the consent of holders of the debt securities of one or more series, amend the indenture or the debt securities of one or more series, or supplement the indenture, for certain specified purposes, including:</w:t>
      </w:r>
    </w:p>
    <w:p>
      <w:pPr>
        <w:spacing w:after="0" w:line="76" w:lineRule="exact"/>
        <w:rPr>
          <w:sz w:val="20"/>
          <w:szCs w:val="20"/>
          <w:color w:val="auto"/>
        </w:rPr>
      </w:pPr>
    </w:p>
    <w:p>
      <w:pPr>
        <w:ind w:left="540" w:right="540" w:hanging="316"/>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provide that the surviving entity following a change of control permitted under the indenture will assume all of our obligations under the indenture and debt securities;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provide for certificated debt securities in addition to uncertificated debt securities;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comply with any requirements of the SEC under the Trust Indenture Act of 1939;</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debt securities of any series as permitted by the indenture;</w:t>
      </w:r>
    </w:p>
    <w:p>
      <w:pPr>
        <w:spacing w:after="0" w:line="142" w:lineRule="exact"/>
        <w:rPr>
          <w:rFonts w:ascii="Arial" w:cs="Arial" w:eastAsia="Arial" w:hAnsi="Arial"/>
          <w:sz w:val="17"/>
          <w:szCs w:val="17"/>
          <w:color w:val="auto"/>
        </w:rPr>
      </w:pPr>
    </w:p>
    <w:p>
      <w:pPr>
        <w:ind w:left="540" w:hanging="316"/>
        <w:spacing w:after="0"/>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cure any ambiguity, defect or inconsistency, or make any other change that does not materially and adversely affect the rights of any holder; and</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appoint a successor trustee under the indenture with respect to one or more series.</w:t>
      </w:r>
    </w:p>
    <w:p>
      <w:pPr>
        <w:spacing w:after="0" w:line="225"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From time to time we and the trustee may, with the consent of holders of at least a majority in principal amount of an outstanding series of debt securities, amend or supplement the indenture or the debt securities series, or waive compliance in a particular instance by us with any provision of the indenture or the debt securities. We may not, however, without the consent of each holder affected by such action, modify or supplement the indenture or the debt securities or waive compliance with any provision of the indenture or the debt securities in order to:</w:t>
      </w:r>
    </w:p>
    <w:p>
      <w:pPr>
        <w:spacing w:after="0" w:line="77" w:lineRule="exact"/>
        <w:rPr>
          <w:sz w:val="20"/>
          <w:szCs w:val="20"/>
          <w:color w:val="auto"/>
        </w:rPr>
      </w:pPr>
    </w:p>
    <w:p>
      <w:pPr>
        <w:ind w:left="540" w:hanging="316"/>
        <w:spacing w:after="0"/>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reduce the amount of debt securities whose holders must consent to an amendment, supplement, or waiver to the indenture or such debt security;</w:t>
      </w:r>
    </w:p>
    <w:p>
      <w:pPr>
        <w:spacing w:after="0" w:line="153" w:lineRule="exact"/>
        <w:rPr>
          <w:rFonts w:ascii="Arial" w:cs="Arial" w:eastAsia="Arial" w:hAnsi="Arial"/>
          <w:sz w:val="16"/>
          <w:szCs w:val="16"/>
          <w:color w:val="auto"/>
        </w:rPr>
      </w:pPr>
    </w:p>
    <w:p>
      <w:pPr>
        <w:ind w:left="540" w:right="700" w:hanging="316"/>
        <w:spacing w:after="0" w:line="27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or reduce the amount of or postpone the date for payment of sinking fund or analogous obligations;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principal of or change the stated maturity of the debt securities;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any debt security payable in money other than that stated in the debt security;</w:t>
      </w:r>
    </w:p>
    <w:p>
      <w:pPr>
        <w:spacing w:after="0" w:line="130" w:lineRule="exact"/>
        <w:rPr>
          <w:rFonts w:ascii="Arial" w:cs="Arial" w:eastAsia="Arial" w:hAnsi="Arial"/>
          <w:sz w:val="18"/>
          <w:szCs w:val="18"/>
          <w:color w:val="auto"/>
        </w:rPr>
      </w:pPr>
    </w:p>
    <w:p>
      <w:pPr>
        <w:ind w:left="540" w:right="320" w:hanging="316"/>
        <w:spacing w:after="0" w:line="27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 the amount or time of any payment required or reduce the premium payable upon any redemption, or change the time before which no such redemption may be made;</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if any, or interest on the debt securities or a redemption payment;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waive a redemption payment with respect to any debt securities or change any provision with respect to redemption of debt securities; or</w:t>
      </w:r>
    </w:p>
    <w:p>
      <w:pPr>
        <w:spacing w:after="0" w:line="142" w:lineRule="exact"/>
        <w:rPr>
          <w:rFonts w:ascii="Arial" w:cs="Arial" w:eastAsia="Arial" w:hAnsi="Arial"/>
          <w:sz w:val="17"/>
          <w:szCs w:val="17"/>
          <w:color w:val="auto"/>
        </w:rPr>
      </w:pPr>
    </w:p>
    <w:p>
      <w:pPr>
        <w:ind w:left="540" w:hanging="316"/>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take any other action otherwise prohibited by the indenture to be taken without the consent of each holder affected by the action.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indenture permits us, at any time, to elect to discharge our obligations with respect to one or more series of debt securities by following certain procedures described in the indenture. These procedures will allow us either:</w:t>
      </w:r>
    </w:p>
    <w:p>
      <w:pPr>
        <w:spacing w:after="0" w:line="76" w:lineRule="exact"/>
        <w:rPr>
          <w:sz w:val="20"/>
          <w:szCs w:val="20"/>
          <w:color w:val="auto"/>
        </w:rPr>
      </w:pPr>
    </w:p>
    <w:p>
      <w:pPr>
        <w:ind w:left="540" w:right="220" w:hanging="316"/>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defease and be discharged from any and all of our obligations with respect to any debt securities except for the following obligations (which discharge is referred to as “legal defeasance”):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register the transfer or exchange of such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replace temporary or mutilated, destroyed, lost or stolen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compensate and indemnify the trustee;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maintain an office or agency in respect of the debt securities and to hold monies for payment in trust; or</w:t>
      </w:r>
    </w:p>
    <w:p>
      <w:pPr>
        <w:spacing w:after="0" w:line="130" w:lineRule="exact"/>
        <w:rPr>
          <w:rFonts w:ascii="Arial" w:cs="Arial" w:eastAsia="Arial" w:hAnsi="Arial"/>
          <w:sz w:val="18"/>
          <w:szCs w:val="18"/>
          <w:color w:val="auto"/>
        </w:rPr>
      </w:pPr>
    </w:p>
    <w:p>
      <w:pPr>
        <w:ind w:left="540" w:hanging="316"/>
        <w:spacing w:after="0" w:line="342"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be released from our obligations with respect to the debt securities under certain covenants contained in the indenture, as well as any additional covenants which may be contained in the applicable supplemental indenture (which release is referred to as “covenant defeasance”).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order to exercise either defeasance option, we must irrevocably deposit with the trustee or other qualifying trustee, in trust for that purpose:</w:t>
      </w:r>
    </w:p>
    <w:p>
      <w:pPr>
        <w:spacing w:after="0" w:line="142" w:lineRule="exact"/>
        <w:rPr>
          <w:sz w:val="20"/>
          <w:szCs w:val="20"/>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money;</w:t>
      </w:r>
    </w:p>
    <w:p>
      <w:pPr>
        <w:spacing w:after="0" w:line="130" w:lineRule="exact"/>
        <w:rPr>
          <w:rFonts w:ascii="Arial" w:cs="Arial" w:eastAsia="Arial" w:hAnsi="Arial"/>
          <w:sz w:val="18"/>
          <w:szCs w:val="18"/>
          <w:color w:val="auto"/>
        </w:rPr>
      </w:pPr>
    </w:p>
    <w:p>
      <w:pPr>
        <w:ind w:left="540" w:right="40" w:hanging="316"/>
        <w:spacing w:after="0" w:line="259"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 Government Obligations (as described below) or Foreign Government Obligations (as described below) that through the scheduled payment of principal and interest in accordance with their terms will provide money; or a combination of money and/or U.S. Government Obligations and/or Foreign Government Obligations sufficient in the written opinion of a nationally-recognized firm of independent accountants to provide money;</w:t>
      </w:r>
    </w:p>
    <w:p>
      <w:pPr>
        <w:spacing w:after="0" w:line="92" w:lineRule="exact"/>
        <w:rPr>
          <w:rFonts w:ascii="Arial" w:cs="Arial" w:eastAsia="Arial" w:hAnsi="Arial"/>
          <w:sz w:val="18"/>
          <w:szCs w:val="18"/>
          <w:color w:val="auto"/>
        </w:rPr>
      </w:pPr>
    </w:p>
    <w:p>
      <w:pPr>
        <w:ind w:left="540" w:right="60" w:hanging="316"/>
        <w:spacing w:after="0" w:line="308"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that, in each case specified above, provides a sufficient amount to pay the principal of, premium, if any, and interest, if any, on the debt securities of the series, on the scheduled due dates or on a selected date of redemption in accordance with the terms of the indenture.</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defeasance may be effected only if, among other things:</w:t>
      </w:r>
    </w:p>
    <w:p>
      <w:pPr>
        <w:spacing w:after="0" w:line="131" w:lineRule="exact"/>
        <w:rPr>
          <w:sz w:val="20"/>
          <w:szCs w:val="20"/>
          <w:color w:val="auto"/>
        </w:rPr>
      </w:pPr>
    </w:p>
    <w:p>
      <w:pPr>
        <w:ind w:left="540" w:right="40" w:hanging="316"/>
        <w:spacing w:after="0" w:line="263"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case of either legal or covenant defeasance, we deliver to the trustee an opinion of counsel, as specified in the indenture, stating that as a result of the defeasance neither the trust nor the trustee will be required to register as an investment company under the Investment Company Act of 1940;</w:t>
      </w:r>
    </w:p>
    <w:p>
      <w:pPr>
        <w:spacing w:after="0" w:line="89" w:lineRule="exact"/>
        <w:rPr>
          <w:rFonts w:ascii="Arial" w:cs="Arial" w:eastAsia="Arial" w:hAnsi="Arial"/>
          <w:sz w:val="18"/>
          <w:szCs w:val="18"/>
          <w:color w:val="auto"/>
        </w:rPr>
      </w:pPr>
    </w:p>
    <w:p>
      <w:pPr>
        <w:ind w:left="540" w:right="40" w:hanging="316"/>
        <w:spacing w:after="0" w:line="296"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the case of legal defeasance, we deliver to the trustee an opinion of counsel stating that we have received from, or there has been published by, the Internal Revenue Service a ruling to the effect that, or there has been a change in any applicable federal income tax law with the effect that (and the opinion shall confirm that), the holders of outstanding debt securities will not recognize income, gain or loss for U.S. federal income tax purposes solely as a result of such legal defeasance and will be subject to U.S. federal income tax on the same amounts, in the same manner, including as a result of prepayment, and at the same times as would have been the case if legal defeasance had not occurred;</w:t>
      </w:r>
    </w:p>
    <w:p>
      <w:pPr>
        <w:spacing w:after="0" w:line="66" w:lineRule="exact"/>
        <w:rPr>
          <w:rFonts w:ascii="Arial" w:cs="Arial" w:eastAsia="Arial" w:hAnsi="Arial"/>
          <w:sz w:val="16"/>
          <w:szCs w:val="16"/>
          <w:color w:val="auto"/>
        </w:rPr>
      </w:pPr>
    </w:p>
    <w:p>
      <w:pPr>
        <w:ind w:left="540" w:right="120" w:hanging="316"/>
        <w:spacing w:after="0" w:line="277"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case of covenant defeasance, we deliver to the trustee an opinion of counsel to the effect that the holders of the outstanding debt securities will not recognize income, gain or loss for U.S. federal income tax</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40"/>
          </w:cols>
          <w:pgMar w:left="320" w:top="459" w:right="5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20"/>
        <w:spacing w:after="0" w:line="277" w:lineRule="auto"/>
        <w:rPr>
          <w:sz w:val="20"/>
          <w:szCs w:val="20"/>
          <w:color w:val="auto"/>
        </w:rPr>
      </w:pPr>
      <w:r>
        <w:rPr>
          <w:rFonts w:ascii="Arial" w:cs="Arial" w:eastAsia="Arial" w:hAnsi="Arial"/>
          <w:sz w:val="18"/>
          <w:szCs w:val="18"/>
          <w:color w:val="auto"/>
        </w:rPr>
        <w:t>purposes as a result of covenant defeasance and will be subject to U.S. federal income tax on the same amounts, in the same manner and at the same times as would have been the case if covenant defeasance had not occurred; and</w:t>
      </w:r>
    </w:p>
    <w:p>
      <w:pPr>
        <w:spacing w:after="0" w:line="76" w:lineRule="exact"/>
        <w:rPr>
          <w:sz w:val="20"/>
          <w:szCs w:val="20"/>
          <w:color w:val="auto"/>
        </w:rPr>
      </w:pPr>
    </w:p>
    <w:p>
      <w:pPr>
        <w:ind w:left="540" w:hanging="316"/>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other conditions described in the indenture are satisfied.</w:t>
      </w:r>
    </w:p>
    <w:p>
      <w:pPr>
        <w:spacing w:after="0" w:line="225"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If we fail to comply with our remaining obligations under the indenture and applicable supplemental indenture after a covenant defeasance of the indenture and applicable supplemental indenture, and the debt securities are declared due and payable because of the occurrence of any undefeased event of default, the amount of money and/or U.S. Government Obligations and/or Foreign Government Obligations on deposit with the trustee could be insufficient to pay amounts due under the debt securities of the affected series at the time of acceleration. We will, however, remain liable in respect of these payments.</w:t>
      </w:r>
    </w:p>
    <w:p>
      <w:pPr>
        <w:spacing w:after="0" w:line="188"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term “U.S. Government Obligations” as used in the above discussion means securities that are direct obligations of or non-callable obligations guaranteed by the United States of America for the payment of which obligation or guarantee the full faith and credit of the United States of America is pledged.</w:t>
      </w:r>
    </w:p>
    <w:p>
      <w:pPr>
        <w:spacing w:after="0" w:line="184"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term “Foreign Government Obligations” as used in the above discussion means, with respect to debt securities of any series that are denominated in a currency other than U.S. dollars, (1) direct obligations of the government that issued or caused to be issued such currency for the payment of which obligations its full faith and credit is pledged or (2) obligations of a person controlled or supervised by or acting as an agent or instrumentality of such government the timely payment of which is unconditionally guaranteed as a full faith and credit obligation by that government, which in either case under clauses (1) or (2), are not callable or redeemable at the option of the issuer.</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Regarding the Trustee</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will identify the trustee with respect to any series of debt securities in the prospectus supplement relating to the applicable debt securities. You should note that if the trustee becomes a creditor of ours, the indenture and the Trust Indenture Act of 1939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w:t>
      </w:r>
    </w:p>
    <w:p>
      <w:pPr>
        <w:spacing w:after="0" w:line="176"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holders of a majority in principal amount of the then outstanding debt securities of any series may direct the time, method and place of conducting any proceeding for exercising any remedy available to the trustee. If an event of default occurs and is continuing, the trustee, in the exercise of its rights and powers, must use the degree of care and skill of a prudent person in the conduct of his or her own affairs. Subject to that provision, the trustee will be under no obligation to exercise any of its rights or powers under the indenture at the request of any of the holders of the debt securities, unless they have offered to the trustee reasonable indemnity or security.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21"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Each indenture provides that no incorporator and no past, present or future stockholder, officer or director of our company or any successor corporation in those capacities will have any individual liability for any of our obligations, covenants or agreements under the debt securities or such indenture.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WARRANTS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may issue warrants for the purchase of our debt securities, preferred stock,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Warrants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prospectus supplement relating to a particular issue of warrants to purchase debt securities will describe the terms of the debt warrants, including the following:</w:t>
      </w:r>
    </w:p>
    <w:p>
      <w:pPr>
        <w:spacing w:after="0" w:line="76" w:lineRule="exact"/>
        <w:rPr>
          <w:sz w:val="20"/>
          <w:szCs w:val="20"/>
          <w:color w:val="auto"/>
        </w:rPr>
      </w:pPr>
    </w:p>
    <w:p>
      <w:pPr>
        <w:ind w:left="540" w:hanging="316"/>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offering price for the debt warrants, if any;</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and terms of the debt securities, including any conversion rights, purchasable upon exercise of the debt warrants;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applicable, the date from and after which the debt warrants and any debt securities issued with them will be separately transferable;</w:t>
      </w:r>
    </w:p>
    <w:p>
      <w:pPr>
        <w:spacing w:after="0" w:line="142" w:lineRule="exact"/>
        <w:rPr>
          <w:rFonts w:ascii="Arial" w:cs="Arial" w:eastAsia="Arial" w:hAnsi="Arial"/>
          <w:sz w:val="17"/>
          <w:szCs w:val="17"/>
          <w:color w:val="auto"/>
        </w:rPr>
      </w:pPr>
    </w:p>
    <w:p>
      <w:pPr>
        <w:ind w:left="540" w:right="160" w:hanging="316"/>
        <w:spacing w:after="0" w:line="277"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dates on which the right to exercise the debt warrants will commence and expire;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debt warrants that may be exercised at any one time;</w:t>
      </w:r>
    </w:p>
    <w:p>
      <w:pPr>
        <w:spacing w:after="0" w:line="130" w:lineRule="exact"/>
        <w:rPr>
          <w:rFonts w:ascii="Arial" w:cs="Arial" w:eastAsia="Arial" w:hAnsi="Arial"/>
          <w:sz w:val="18"/>
          <w:szCs w:val="18"/>
          <w:color w:val="auto"/>
        </w:rPr>
      </w:pPr>
    </w:p>
    <w:p>
      <w:pPr>
        <w:ind w:left="540" w:right="60" w:hanging="316"/>
        <w:spacing w:after="0" w:line="277"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antidilution provisions of the debt warrants, if any;</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debt warrants;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debt warrants upon a change in control or similar event; and</w:t>
      </w:r>
    </w:p>
    <w:p>
      <w:pPr>
        <w:spacing w:after="0" w:line="142" w:lineRule="exact"/>
        <w:rPr>
          <w:rFonts w:ascii="Arial" w:cs="Arial" w:eastAsia="Arial" w:hAnsi="Arial"/>
          <w:sz w:val="17"/>
          <w:szCs w:val="17"/>
          <w:color w:val="auto"/>
        </w:rPr>
      </w:pPr>
    </w:p>
    <w:p>
      <w:pPr>
        <w:ind w:left="540" w:right="500" w:hanging="316"/>
        <w:spacing w:after="0" w:line="277"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additional terms of the debt warrants, including procedures and limitations relating to the exchange, exercise, and settlement of the debt warrants.</w:t>
      </w:r>
    </w:p>
    <w:p>
      <w:pPr>
        <w:spacing w:after="0" w:line="170"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Warrants</w:t>
      </w:r>
    </w:p>
    <w:p>
      <w:pPr>
        <w:spacing w:after="0" w:line="12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prospectus supplement relating to a particular series of warrants to purchase our common stock or preferred stock will describe the terms of the warrants, including the following:</w:t>
      </w:r>
    </w:p>
    <w:p>
      <w:pPr>
        <w:spacing w:after="0" w:line="76" w:lineRule="exact"/>
        <w:rPr>
          <w:sz w:val="20"/>
          <w:szCs w:val="20"/>
          <w:color w:val="auto"/>
        </w:rPr>
      </w:pPr>
    </w:p>
    <w:p>
      <w:pPr>
        <w:ind w:left="540" w:hanging="316"/>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and terms of the common stock or preferred stock that may be purchased upon exercise of the warrants;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applicable, the designation and terms of the securities with which the warrants are issued and the number of warrants issued with each security;</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securities issued with the warrants will be separately transferable;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number of shares of common stock or preferred stock that may be purchased upon exercise of a warrant and the exercise price for the warrants;</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shall commence and expire;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warrants;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provisions with respect to a holder’s right to require us to repurchase the warrants upon a change in control or similar event;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additional terms of the warrants, including procedures and limitations relating to the exchange, exercise and settlement of the warrants.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Holders of equity warrants will not be entitled:</w:t>
      </w:r>
    </w:p>
    <w:p>
      <w:pPr>
        <w:spacing w:after="0" w:line="131" w:lineRule="exact"/>
        <w:rPr>
          <w:sz w:val="20"/>
          <w:szCs w:val="20"/>
          <w:color w:val="auto"/>
        </w:rPr>
      </w:pPr>
    </w:p>
    <w:p>
      <w:pPr>
        <w:ind w:left="540" w:hanging="316"/>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exercise any rights as stockholders.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may issue subscription rights to purchase our common stock, preferred stock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8"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76" w:lineRule="exact"/>
        <w:rPr>
          <w:sz w:val="20"/>
          <w:szCs w:val="20"/>
          <w:color w:val="auto"/>
        </w:rPr>
      </w:pPr>
    </w:p>
    <w:p>
      <w:pPr>
        <w:ind w:left="540" w:hanging="316"/>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price, if any, for the subscription rights;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exercise price payable for our common stock, preferred stock or debt securities upon the exercise of the subscription rights;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subscription rights to be issued to each stockholder;</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and terms of our common stock, preferred stock or debt securities which may be purchased per each subscription right;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to which the subscription rights are transferable;</w:t>
      </w:r>
    </w:p>
    <w:p>
      <w:pPr>
        <w:spacing w:after="0" w:line="130" w:lineRule="exact"/>
        <w:rPr>
          <w:rFonts w:ascii="Arial" w:cs="Arial" w:eastAsia="Arial" w:hAnsi="Arial"/>
          <w:sz w:val="18"/>
          <w:szCs w:val="18"/>
          <w:color w:val="auto"/>
        </w:rPr>
      </w:pPr>
    </w:p>
    <w:p>
      <w:pPr>
        <w:ind w:left="540" w:right="20" w:hanging="316"/>
        <w:spacing w:after="0" w:line="277"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the terms, procedures and limitations relating to the exchange and exercise of the subscription rights;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date on which the right to exercise the subscription rights shall commence, and the date on which the subscription rights shall expire;</w:t>
      </w:r>
    </w:p>
    <w:p>
      <w:pPr>
        <w:spacing w:after="0" w:line="142" w:lineRule="exact"/>
        <w:rPr>
          <w:rFonts w:ascii="Arial" w:cs="Arial" w:eastAsia="Arial" w:hAnsi="Arial"/>
          <w:sz w:val="17"/>
          <w:szCs w:val="17"/>
          <w:color w:val="auto"/>
        </w:rPr>
      </w:pPr>
    </w:p>
    <w:p>
      <w:pPr>
        <w:ind w:left="540" w:right="80" w:hanging="316"/>
        <w:spacing w:after="0" w:line="277"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75" w:lineRule="exact"/>
        <w:rPr>
          <w:rFonts w:ascii="Arial" w:cs="Arial" w:eastAsia="Arial" w:hAnsi="Arial"/>
          <w:sz w:val="18"/>
          <w:szCs w:val="18"/>
          <w:color w:val="auto"/>
        </w:rPr>
      </w:pPr>
    </w:p>
    <w:p>
      <w:pPr>
        <w:ind w:left="540" w:right="340" w:hanging="316"/>
        <w:spacing w:after="0" w:line="277"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purchase arrangement which may be entered into by us in connection with the offering of subscription rights.</w:t>
      </w:r>
    </w:p>
    <w:p>
      <w:pPr>
        <w:spacing w:after="0" w:line="170"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The description in the applicable prospectus supplement of any subscription rights we offer will not necessarily be complete and will be qualified in its entirety by reference to the applicable subscription rights certificate, which will be filed with the SEC if we offer subscription rights. We urge you to read the applicable subscription rights certificate and any applicable prospectus supplement in their entirety.</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may issue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Fenwick &amp; West LLP, Mountain View, California, will issue an opinion about certain legal matters with respect to the securities. Any underwriters or agents will be advised about legal matters relating to any offering by their own counsel.</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consolidated financial statements of AnaptysBio, Inc. as of December 31, 2020 and 2019, and for each of the years in the three-year period ended December 31, 2020,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00"/>
        <w:spacing w:after="0"/>
        <w:rPr>
          <w:sz w:val="20"/>
          <w:szCs w:val="20"/>
          <w:color w:val="auto"/>
        </w:rPr>
      </w:pPr>
      <w:r>
        <w:rPr>
          <w:rFonts w:ascii="Arial" w:cs="Arial" w:eastAsia="Arial" w:hAnsi="Arial"/>
          <w:sz w:val="43"/>
          <w:szCs w:val="43"/>
          <w:b w:val="1"/>
          <w:bCs w:val="1"/>
          <w:color w:val="auto"/>
        </w:rPr>
        <w:t>AnaptysBio, Inc.</w:t>
      </w:r>
    </w:p>
    <w:p>
      <w:pPr>
        <w:spacing w:after="0" w:line="241"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Common Stock, Preferred Stock,</w:t>
      </w:r>
    </w:p>
    <w:p>
      <w:pPr>
        <w:spacing w:after="0" w:line="38"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Debt Securities, Warrants, Subscription Rights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1044575</wp:posOffset>
            </wp:positionV>
            <wp:extent cx="1474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311150</wp:posOffset>
            </wp:positionV>
            <wp:extent cx="1474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3928745</wp:posOffset>
            </wp:positionV>
            <wp:extent cx="6995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3988435</wp:posOffset>
            </wp:positionV>
            <wp:extent cx="699516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66" w:lineRule="auto"/>
        <w:rPr>
          <w:sz w:val="20"/>
          <w:szCs w:val="20"/>
          <w:color w:val="auto"/>
        </w:rPr>
      </w:pPr>
      <w:r>
        <w:rPr>
          <w:rFonts w:ascii="Arial" w:cs="Arial" w:eastAsia="Arial" w:hAnsi="Arial"/>
          <w:sz w:val="18"/>
          <w:szCs w:val="18"/>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Subject to completion, dated December 30, 2021</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182"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AnaptysBio, Inc.</w:t>
      </w: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Up to $150,000,000</w:t>
      </w: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have entered into an Open Market Sale Agreement</w:t>
      </w:r>
      <w:r>
        <w:rPr>
          <w:rFonts w:ascii="Arial" w:cs="Arial" w:eastAsia="Arial" w:hAnsi="Arial"/>
          <w:sz w:val="15"/>
          <w:szCs w:val="15"/>
          <w:color w:val="auto"/>
        </w:rPr>
        <w:t>SM</w:t>
      </w:r>
      <w:r>
        <w:rPr>
          <w:rFonts w:ascii="Arial" w:cs="Arial" w:eastAsia="Arial" w:hAnsi="Arial"/>
          <w:sz w:val="18"/>
          <w:szCs w:val="18"/>
          <w:color w:val="auto"/>
        </w:rPr>
        <w:t>, or the sales agreement, with Jefferies LLC, or Jefferies, relating to the sale of shares of our common stock, $0.001 par value per share, offered by this prospectus and the accompanying prospectus. In accordance with the terms of the sales agreement, under this prospectus, we may offer and sell shares of our common stock, having an aggregate offering price of up to $150 million from time to time through Jefferies, acting as our agent.</w:t>
      </w:r>
    </w:p>
    <w:p>
      <w:pPr>
        <w:spacing w:after="0" w:line="18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Our common stock is traded on The Nasdaq Global Market under the symbol “ANAB.” The last reported sales price of our common stock on The Nasdaq Global Market on December 28, 2021 was $35.93 per share.</w:t>
      </w:r>
    </w:p>
    <w:p>
      <w:pPr>
        <w:spacing w:after="0" w:line="170"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Sales of our common stock, if any, under this prospectus may be made in sales deemed to be an “at the market offering” as defined in Rule 415(a)(4) promulgated under the Securities Act of 1933, as amended, or the Securities Act. Jefferies is not required to sell any specific number or dollar amount of securities, but will act as a sales agent using commercially reasonable efforts consistent with its normal trading and sales practices, on mutually agreed terms between Jefferies and us. There is no arrangement for funds to be received in any escrow, trust or similar arrangement.</w:t>
      </w:r>
    </w:p>
    <w:p>
      <w:pPr>
        <w:spacing w:after="0" w:line="157"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The compensation to Jefferies for sales of common stock sold pursuant to the sales agreement will be at a commission rate up to 3.0% of the aggregate gross proceeds of any shares of common stock sold under the sales agreement. In connection with the sale of the common stock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liabilities under the Securities Act or the Securities Exchange Act of 1934, as amended, or the Exchange Act. See “Plan of Distribution” beginning on page 10 regarding the compensation to be paid to 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207645</wp:posOffset>
            </wp:positionV>
            <wp:extent cx="1474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20"/>
        <w:spacing w:after="0" w:line="237"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You should review carefully the risks and uncertainties referenced under the heading “</w:t>
      </w:r>
      <w:hyperlink w:anchor="page39">
        <w:r>
          <w:rPr>
            <w:rFonts w:ascii="Arial" w:cs="Arial" w:eastAsia="Arial" w:hAnsi="Arial"/>
            <w:sz w:val="22"/>
            <w:szCs w:val="22"/>
            <w:b w:val="1"/>
            <w:bCs w:val="1"/>
            <w:u w:val="single" w:color="auto"/>
            <w:color w:val="0000EE"/>
          </w:rPr>
          <w:t>Risk Factors</w:t>
        </w:r>
        <w:r>
          <w:rPr>
            <w:rFonts w:ascii="Arial" w:cs="Arial" w:eastAsia="Arial" w:hAnsi="Arial"/>
            <w:sz w:val="22"/>
            <w:szCs w:val="22"/>
            <w:b w:val="1"/>
            <w:bCs w:val="1"/>
            <w:u w:val="single" w:color="auto"/>
            <w:color w:val="auto"/>
          </w:rPr>
          <w:t xml:space="preserve"> </w:t>
        </w:r>
      </w:hyperlink>
      <w:r>
        <w:rPr>
          <w:rFonts w:ascii="Arial" w:cs="Arial" w:eastAsia="Arial" w:hAnsi="Arial"/>
          <w:sz w:val="22"/>
          <w:szCs w:val="22"/>
          <w:b w:val="1"/>
          <w:bCs w:val="1"/>
          <w:color w:val="auto"/>
        </w:rPr>
        <w:t>” on page 4 of this prospectus as well as those contained in any accompanying prospectus and any related free writing prospectus or prospectus supplement we prepare or authorize in connection with this offering, and in the other documents that are incorporated by reference into this prospectus or the accompanying prospectus.</w:t>
      </w:r>
    </w:p>
    <w:p>
      <w:pPr>
        <w:spacing w:after="0" w:line="191" w:lineRule="exact"/>
        <w:rPr>
          <w:sz w:val="20"/>
          <w:szCs w:val="20"/>
          <w:color w:val="auto"/>
        </w:rPr>
      </w:pPr>
    </w:p>
    <w:p>
      <w:pPr>
        <w:ind w:left="120" w:right="56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Jefferies</w:t>
      </w:r>
    </w:p>
    <w:p>
      <w:pPr>
        <w:spacing w:after="0" w:line="234"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 2022.</w:t>
            </w:r>
          </w:p>
        </w:tc>
      </w:tr>
    </w:tbl>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20" w:type="dxa"/>
            <w:vAlign w:val="bottom"/>
            <w:gridSpan w:val="3"/>
          </w:tcPr>
          <w:p>
            <w:pPr>
              <w:ind w:left="8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4460" w:type="dxa"/>
            <w:vAlign w:val="bottom"/>
            <w:gridSpan w:val="12"/>
            <w:vMerge w:val="restart"/>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ABOUT THIS PROSPECTUS</w:t>
              </w:r>
            </w:hyperlink>
          </w:p>
        </w:tc>
        <w:tc>
          <w:tcPr>
            <w:tcW w:w="6100" w:type="dxa"/>
            <w:vAlign w:val="bottom"/>
          </w:tcPr>
          <w:p>
            <w:pPr>
              <w:spacing w:after="0"/>
              <w:rPr>
                <w:sz w:val="24"/>
                <w:szCs w:val="2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4460" w:type="dxa"/>
            <w:vAlign w:val="bottom"/>
            <w:gridSpan w:val="12"/>
            <w:vMerge w:val="continue"/>
          </w:tcPr>
          <w:p>
            <w:pPr>
              <w:spacing w:after="0"/>
              <w:rPr>
                <w:sz w:val="14"/>
                <w:szCs w:val="14"/>
                <w:color w:val="auto"/>
              </w:rPr>
            </w:pPr>
          </w:p>
        </w:tc>
        <w:tc>
          <w:tcPr>
            <w:tcW w:w="6100" w:type="dxa"/>
            <w:vAlign w:val="bottom"/>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8"/>
          </w:tcPr>
          <w:p>
            <w:pPr>
              <w:spacing w:after="0" w:line="196" w:lineRule="exact"/>
              <w:rPr>
                <w:rFonts w:ascii="Arial" w:cs="Arial" w:eastAsia="Arial" w:hAnsi="Arial"/>
                <w:sz w:val="18"/>
                <w:szCs w:val="18"/>
                <w:color w:val="0000EE"/>
                <w:w w:val="99"/>
              </w:rPr>
            </w:pPr>
            <w:hyperlink w:anchor="page37">
              <w:r>
                <w:rPr>
                  <w:rFonts w:ascii="Arial" w:cs="Arial" w:eastAsia="Arial" w:hAnsi="Arial"/>
                  <w:sz w:val="18"/>
                  <w:szCs w:val="18"/>
                  <w:color w:val="0000EE"/>
                  <w:w w:val="99"/>
                </w:rPr>
                <w:t>PROSPECTUS SUMMARY</w:t>
              </w:r>
            </w:hyperlink>
          </w:p>
        </w:tc>
        <w:tc>
          <w:tcPr>
            <w:tcW w:w="2240" w:type="dxa"/>
            <w:vAlign w:val="bottom"/>
            <w:gridSpan w:val="4"/>
          </w:tcPr>
          <w:p>
            <w:pPr>
              <w:spacing w:after="0"/>
              <w:rPr>
                <w:sz w:val="17"/>
                <w:szCs w:val="17"/>
                <w:color w:val="auto"/>
              </w:rPr>
            </w:pPr>
          </w:p>
        </w:tc>
        <w:tc>
          <w:tcPr>
            <w:tcW w:w="6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2380" w:type="dxa"/>
            <w:vAlign w:val="bottom"/>
            <w:gridSpan w:val="5"/>
          </w:tcPr>
          <w:p>
            <w:pPr>
              <w:spacing w:after="0"/>
              <w:rPr>
                <w:sz w:val="17"/>
                <w:szCs w:val="17"/>
                <w:color w:val="auto"/>
              </w:rPr>
            </w:pPr>
          </w:p>
        </w:tc>
        <w:tc>
          <w:tcPr>
            <w:tcW w:w="6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gridSpan w:val="1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FORWARD-LOOKING STATEMENTS</w:t>
              </w:r>
            </w:hyperlink>
          </w:p>
        </w:tc>
        <w:tc>
          <w:tcPr>
            <w:tcW w:w="6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gridSpan w:val="1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WHERE YOU CAN FIND MORE INFORMATION</w:t>
              </w:r>
            </w:hyperlink>
          </w:p>
        </w:tc>
        <w:tc>
          <w:tcPr>
            <w:tcW w:w="6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INCORPORATION OF INFORMATION BY REFERENCE</w:t>
              </w:r>
            </w:hyperlink>
          </w:p>
        </w:tc>
        <w:tc>
          <w:tcPr>
            <w:tcW w:w="80" w:type="dxa"/>
            <w:vAlign w:val="bottom"/>
          </w:tcPr>
          <w:p>
            <w:pPr>
              <w:spacing w:after="0"/>
              <w:rPr>
                <w:sz w:val="17"/>
                <w:szCs w:val="17"/>
                <w:color w:val="auto"/>
              </w:rPr>
            </w:pPr>
          </w:p>
        </w:tc>
        <w:tc>
          <w:tcPr>
            <w:tcW w:w="6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USE OF PROCEEDS</w:t>
              </w:r>
            </w:hyperlink>
          </w:p>
        </w:tc>
        <w:tc>
          <w:tcPr>
            <w:tcW w:w="2860" w:type="dxa"/>
            <w:vAlign w:val="bottom"/>
            <w:gridSpan w:val="7"/>
          </w:tcPr>
          <w:p>
            <w:pPr>
              <w:spacing w:after="0"/>
              <w:rPr>
                <w:sz w:val="17"/>
                <w:szCs w:val="17"/>
                <w:color w:val="auto"/>
              </w:rPr>
            </w:pPr>
          </w:p>
        </w:tc>
        <w:tc>
          <w:tcPr>
            <w:tcW w:w="6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4"/>
          </w:tcPr>
          <w:p>
            <w:pPr>
              <w:spacing w:after="0" w:line="196" w:lineRule="exact"/>
              <w:rPr>
                <w:rFonts w:ascii="Arial" w:cs="Arial" w:eastAsia="Arial" w:hAnsi="Arial"/>
                <w:sz w:val="18"/>
                <w:szCs w:val="18"/>
                <w:color w:val="0000EE"/>
                <w:w w:val="99"/>
              </w:rPr>
            </w:pPr>
            <w:hyperlink w:anchor="page43">
              <w:r>
                <w:rPr>
                  <w:rFonts w:ascii="Arial" w:cs="Arial" w:eastAsia="Arial" w:hAnsi="Arial"/>
                  <w:sz w:val="18"/>
                  <w:szCs w:val="18"/>
                  <w:color w:val="0000EE"/>
                  <w:w w:val="99"/>
                </w:rPr>
                <w:t>DIVIDEND POLICY</w:t>
              </w:r>
            </w:hyperlink>
          </w:p>
        </w:tc>
        <w:tc>
          <w:tcPr>
            <w:tcW w:w="2880" w:type="dxa"/>
            <w:vAlign w:val="bottom"/>
            <w:gridSpan w:val="8"/>
          </w:tcPr>
          <w:p>
            <w:pPr>
              <w:spacing w:after="0"/>
              <w:rPr>
                <w:sz w:val="17"/>
                <w:szCs w:val="17"/>
                <w:color w:val="auto"/>
              </w:rPr>
            </w:pPr>
          </w:p>
        </w:tc>
        <w:tc>
          <w:tcPr>
            <w:tcW w:w="6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460" w:type="dxa"/>
            <w:vAlign w:val="bottom"/>
            <w:gridSpan w:val="12"/>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PLAN OF DISTRIBUTION</w:t>
              </w:r>
            </w:hyperlink>
          </w:p>
        </w:tc>
        <w:tc>
          <w:tcPr>
            <w:tcW w:w="6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6"/>
              </w:rPr>
            </w:pPr>
            <w:hyperlink w:anchor="page47">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3"/>
          </w:tcPr>
          <w:p>
            <w:pPr>
              <w:spacing w:after="0"/>
              <w:rPr>
                <w:sz w:val="17"/>
                <w:szCs w:val="17"/>
                <w:color w:val="auto"/>
              </w:rPr>
            </w:pPr>
          </w:p>
        </w:tc>
        <w:tc>
          <w:tcPr>
            <w:tcW w:w="2420" w:type="dxa"/>
            <w:vAlign w:val="bottom"/>
            <w:gridSpan w:val="6"/>
          </w:tcPr>
          <w:p>
            <w:pPr>
              <w:spacing w:after="0"/>
              <w:rPr>
                <w:sz w:val="17"/>
                <w:szCs w:val="17"/>
                <w:color w:val="auto"/>
              </w:rPr>
            </w:pPr>
          </w:p>
        </w:tc>
        <w:tc>
          <w:tcPr>
            <w:tcW w:w="6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460" w:type="dxa"/>
            <w:vAlign w:val="bottom"/>
            <w:gridSpan w:val="12"/>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EXPERTS</w:t>
              </w:r>
            </w:hyperlink>
          </w:p>
        </w:tc>
        <w:tc>
          <w:tcPr>
            <w:tcW w:w="65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registration process, we may from time to time sell shares of our common stock. Under this prospectus, we may from time to time sell shares of our common stock having an aggregate offering price of up to $150 million, at prices and on terms to be determined by market conditions at the time of the offering.</w:t>
      </w:r>
    </w:p>
    <w:p>
      <w:pPr>
        <w:spacing w:after="0" w:line="187"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This prospectus describes the terms of this offering of common stock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 in one of these documents is inconsistent with a statement in another document having a later date—for example, a document incorporated by reference into this prospectus—the statement in the document having the later date modifies or supersedes the earlier statement.</w:t>
      </w:r>
    </w:p>
    <w:p>
      <w:pPr>
        <w:spacing w:after="0" w:line="17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have not, and Jefferies has not, authorized anyone to provide you with any information other than that contained or incorporated by reference in this prospectus or any accompanying prospectus supplement or related free writing prospectus to which we have referred you. Neither we nor Jefferies take any responsibility for, and can provide no assurance as to the reliability of, any other information others may give you. We are not, and Jefferies is not, making an offer to sell these securities in any jurisdiction where the offer or sale is not permitted or in which the person making that offer or solicitation is not qualified to do so or to anyone to whom it is unlawful to make an offer or solicitation. You should assume that the information appearing in this prospectus, the accompanying base prospectus, the documents incorporated by reference herein and therein and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the accompanying base prospectus, the documents incorporated by reference herein and therein and any free writing prospectus that we have authorized for use in connection with this offering, in their entirety before making an investment decision.</w:t>
      </w:r>
    </w:p>
    <w:p>
      <w:pPr>
        <w:spacing w:after="0" w:line="18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this prospectus, unless the context otherwise requires, the terms “AnaptysBio,” the “Company,” “we,” “us,” and “our” refer to AnaptysBio, Inc., a Delaware corporation. This prospectus, the accompanying prospectus and the information incorporated by reference herein and therein may contain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2531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6998970" cy="32531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i w:val="1"/>
          <w:iCs w:val="1"/>
          <w:color w:val="auto"/>
        </w:rPr>
        <w:t>This summary may not contain all the information that you should consider before investing in securities. You should read the entire prospectus and the information incorporated by reference in this prospectus carefully, including “Risk Factors” and the financial data and related notes and other information incorporated by reference, before making an investment decision.</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300" w:right="60"/>
        <w:spacing w:after="0" w:line="254" w:lineRule="auto"/>
        <w:rPr>
          <w:sz w:val="20"/>
          <w:szCs w:val="20"/>
          <w:color w:val="auto"/>
        </w:rPr>
      </w:pPr>
      <w:r>
        <w:rPr>
          <w:rFonts w:ascii="Arial" w:cs="Arial" w:eastAsia="Arial" w:hAnsi="Arial"/>
          <w:sz w:val="18"/>
          <w:szCs w:val="18"/>
          <w:color w:val="auto"/>
        </w:rPr>
        <w:t>We are a clinical stage biotechnology company developing first-in-class immunology therapeutic product candidates focused on emerging immune control mechanisms applicable to inflammation and immuno-oncology indications. We develop our product candidates to address emerging biological targets using our proprietary antibody discovery technology platform, which is based upon a breakthrough understanding of the natural process of antibody generation, known as somatic hypermutation (“SHM”) and replicates this natural process of antibody generation in vitro. Our strategy is to advance the development of our proprietary product candidates, and where applicable, establish partnerships with leading biopharmaceutical companies where we retain certain development and commercialization rights. Our most advanced wholly-owned antibody programs, imsidolimab, rosnilimab and ANB032, are designed to modulate therapeutic targets that are genetically associated with human inflammatory disorders.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180"/>
        <w:spacing w:after="0" w:line="311" w:lineRule="auto"/>
        <w:rPr>
          <w:sz w:val="20"/>
          <w:szCs w:val="20"/>
          <w:color w:val="auto"/>
        </w:rPr>
      </w:pPr>
      <w:r>
        <w:rPr>
          <w:rFonts w:ascii="Arial" w:cs="Arial" w:eastAsia="Arial" w:hAnsi="Arial"/>
          <w:sz w:val="16"/>
          <w:szCs w:val="16"/>
          <w:color w:val="auto"/>
        </w:rPr>
        <w:t>We were incorporated under the laws of the State of Delaware in November 2005. Our principal executive offices are located at 10770 Wateridge Circle, Suite 210, San Diego, California 92121, and our telephone number is (858) 362-6295. Our website address is www.anaptysbio.com. The information contained on, or that can be accessed through, our website is not part of, and is not incorporated by reference into, this prospectus.</w:t>
      </w: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40"/>
          </w:cols>
          <w:pgMar w:left="320" w:top="459" w:right="63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having an aggregate offering price of up to $150 million.</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85" w:lineRule="exact"/>
        <w:rPr>
          <w:sz w:val="20"/>
          <w:szCs w:val="20"/>
          <w:color w:val="auto"/>
        </w:rPr>
      </w:pPr>
    </w:p>
    <w:p>
      <w:pPr>
        <w:ind w:left="380" w:hanging="78"/>
        <w:spacing w:after="0" w:line="282" w:lineRule="auto"/>
        <w:rPr>
          <w:sz w:val="20"/>
          <w:szCs w:val="20"/>
          <w:color w:val="auto"/>
        </w:rPr>
      </w:pPr>
      <w:r>
        <w:rPr>
          <w:rFonts w:ascii="Arial" w:cs="Arial" w:eastAsia="Arial" w:hAnsi="Arial"/>
          <w:sz w:val="18"/>
          <w:szCs w:val="18"/>
          <w:b w:val="1"/>
          <w:bCs w:val="1"/>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 to 31,628,567 shares (as more fully described in the notes following this table), assuming sales of 4,174,784 shares of our common stock in this offering at an offering price of $35.93 per share, which was the last reported sale price of our common shares on The Nasdaq Global Market on December 28, 2021. The actual number of shares issued will vary depending on the sales price under this offering.</w:t>
      </w:r>
    </w:p>
    <w:p>
      <w:pPr>
        <w:spacing w:after="0" w:line="200" w:lineRule="exact"/>
        <w:rPr>
          <w:sz w:val="20"/>
          <w:szCs w:val="20"/>
          <w:color w:val="auto"/>
        </w:rPr>
      </w:pPr>
    </w:p>
    <w:p>
      <w:pPr>
        <w:sectPr>
          <w:pgSz w:w="11900" w:h="16838" w:orient="portrait"/>
          <w:cols w:equalWidth="0" w:num="2">
            <w:col w:w="4240" w:space="100"/>
            <w:col w:w="6600"/>
          </w:cols>
          <w:pgMar w:left="320" w:top="459" w:right="639" w:bottom="1440" w:gutter="0" w:footer="0" w:header="0"/>
          <w:type w:val="continuous"/>
        </w:sectPr>
      </w:pPr>
    </w:p>
    <w:p>
      <w:pPr>
        <w:spacing w:after="0" w:line="1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Plan of Distribution</w:t>
      </w:r>
    </w:p>
    <w:p>
      <w:pPr>
        <w:spacing w:after="0" w:line="20" w:lineRule="exact"/>
        <w:rPr>
          <w:sz w:val="20"/>
          <w:szCs w:val="20"/>
          <w:color w:val="auto"/>
        </w:rPr>
      </w:pPr>
      <w:r>
        <w:rPr>
          <w:sz w:val="20"/>
          <w:szCs w:val="20"/>
          <w:color w:val="auto"/>
        </w:rPr>
        <w:br w:type="column"/>
      </w:r>
    </w:p>
    <w:p>
      <w:pPr>
        <w:ind w:right="440"/>
        <w:spacing w:after="0" w:line="342" w:lineRule="auto"/>
        <w:rPr>
          <w:sz w:val="20"/>
          <w:szCs w:val="20"/>
          <w:color w:val="auto"/>
        </w:rPr>
      </w:pPr>
      <w:r>
        <w:rPr>
          <w:rFonts w:ascii="Arial" w:cs="Arial" w:eastAsia="Arial" w:hAnsi="Arial"/>
          <w:sz w:val="16"/>
          <w:szCs w:val="16"/>
          <w:color w:val="auto"/>
        </w:rPr>
        <w:t>“At the market offering” that may be made from time to time through our sales agent, Jefferies LLC, or Jefferies. See “Plan of Distribution” on page 10 of this prospectus</w:t>
      </w:r>
    </w:p>
    <w:p>
      <w:pPr>
        <w:spacing w:after="0" w:line="147"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ind w:right="100"/>
        <w:spacing w:after="0" w:line="259" w:lineRule="auto"/>
        <w:rPr>
          <w:sz w:val="20"/>
          <w:szCs w:val="20"/>
          <w:color w:val="auto"/>
        </w:rPr>
      </w:pPr>
      <w:r>
        <w:rPr>
          <w:rFonts w:ascii="Arial" w:cs="Arial" w:eastAsia="Arial" w:hAnsi="Arial"/>
          <w:sz w:val="18"/>
          <w:szCs w:val="18"/>
          <w:color w:val="auto"/>
        </w:rPr>
        <w:t>We currently intend to use the net proceeds of this offering primarily for general corporate purposes, which may include funding research, clinical and process development and manufacturing of our product candidates, working capital and capital expenditures. See “Use of Proceeds” on page 8 of this prospectus</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10"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ind w:right="280"/>
        <w:spacing w:after="0" w:line="286" w:lineRule="auto"/>
        <w:rPr>
          <w:sz w:val="20"/>
          <w:szCs w:val="20"/>
          <w:color w:val="auto"/>
        </w:rPr>
      </w:pPr>
      <w:r>
        <w:rPr>
          <w:rFonts w:ascii="Arial" w:cs="Arial" w:eastAsia="Arial" w:hAnsi="Arial"/>
          <w:sz w:val="17"/>
          <w:szCs w:val="17"/>
          <w:color w:val="auto"/>
        </w:rPr>
        <w:t>Investing in our common stock involves significant risks. See the disclosure under the heading “Risk Factors” on page 4 of this prospectus and under similar headings in other documents incorporated by reference into this prospectus.</w:t>
      </w:r>
    </w:p>
    <w:p>
      <w:pPr>
        <w:spacing w:after="0" w:line="188"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6"/>
          <w:szCs w:val="16"/>
          <w:b w:val="1"/>
          <w:bCs w:val="1"/>
          <w:color w:val="auto"/>
        </w:rPr>
        <w:t>The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“ANAB”</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39" w:lineRule="exact"/>
        <w:rPr>
          <w:sz w:val="20"/>
          <w:szCs w:val="20"/>
          <w:color w:val="auto"/>
        </w:rPr>
      </w:pPr>
    </w:p>
    <w:p>
      <w:pPr>
        <w:ind w:left="300" w:right="160"/>
        <w:spacing w:after="0" w:line="277" w:lineRule="auto"/>
        <w:rPr>
          <w:sz w:val="20"/>
          <w:szCs w:val="20"/>
          <w:color w:val="auto"/>
        </w:rPr>
      </w:pPr>
      <w:r>
        <w:rPr>
          <w:rFonts w:ascii="Arial" w:cs="Arial" w:eastAsia="Arial" w:hAnsi="Arial"/>
          <w:sz w:val="18"/>
          <w:szCs w:val="18"/>
          <w:color w:val="auto"/>
        </w:rPr>
        <w:t>The number of shares of our common stock shown above to be outstanding after this offering is based on 27,453,783 shares of our common stock outstanding as of September 30, 2021, and excludes:</w:t>
      </w:r>
    </w:p>
    <w:p>
      <w:pPr>
        <w:spacing w:after="0" w:line="197" w:lineRule="exact"/>
        <w:rPr>
          <w:sz w:val="20"/>
          <w:szCs w:val="20"/>
          <w:color w:val="auto"/>
        </w:rPr>
      </w:pPr>
    </w:p>
    <w:p>
      <w:pPr>
        <w:ind w:left="1240" w:right="140" w:hanging="415"/>
        <w:spacing w:after="0" w:line="277" w:lineRule="auto"/>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3,663,143 shares of common stock issuable upon exercise of outstanding options as of September 30, 2021, with a weighted-average exercise price of $27.75 per share;</w:t>
      </w:r>
    </w:p>
    <w:p>
      <w:pPr>
        <w:spacing w:after="0" w:line="197" w:lineRule="exact"/>
        <w:rPr>
          <w:rFonts w:ascii="Arial" w:cs="Arial" w:eastAsia="Arial" w:hAnsi="Arial"/>
          <w:sz w:val="18"/>
          <w:szCs w:val="18"/>
          <w:color w:val="auto"/>
        </w:rPr>
      </w:pPr>
    </w:p>
    <w:p>
      <w:pPr>
        <w:ind w:left="1240" w:right="420" w:hanging="415"/>
        <w:spacing w:after="0" w:line="277" w:lineRule="auto"/>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48,871 shares of common stock issuable upon the exercise of options granted after September 30, 2021, with a weighted-average exercise price of $30.57 per share;</w:t>
      </w:r>
    </w:p>
    <w:p>
      <w:pPr>
        <w:spacing w:after="0" w:line="197" w:lineRule="exact"/>
        <w:rPr>
          <w:rFonts w:ascii="Arial" w:cs="Arial" w:eastAsia="Arial" w:hAnsi="Arial"/>
          <w:sz w:val="18"/>
          <w:szCs w:val="18"/>
          <w:color w:val="auto"/>
        </w:rPr>
      </w:pPr>
    </w:p>
    <w:p>
      <w:pPr>
        <w:ind w:left="1240" w:hanging="415"/>
        <w:spacing w:after="0"/>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3,239,673 shares of common stock reserved for future issuance under our 2017 Equity Incentive Plan as of September 30, 2021; and</w:t>
      </w:r>
    </w:p>
    <w:p>
      <w:pPr>
        <w:spacing w:after="0" w:line="275" w:lineRule="exact"/>
        <w:rPr>
          <w:rFonts w:ascii="Arial" w:cs="Arial" w:eastAsia="Arial" w:hAnsi="Arial"/>
          <w:sz w:val="16"/>
          <w:szCs w:val="16"/>
          <w:color w:val="auto"/>
        </w:rPr>
      </w:pPr>
    </w:p>
    <w:p>
      <w:pPr>
        <w:ind w:left="1240" w:right="260" w:hanging="415"/>
        <w:spacing w:after="0" w:line="277" w:lineRule="auto"/>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1,271,237 shares of common stock reserved for future issuance under our 2017 Employee Stock Purchase Plan as of September 30, 2021.</w:t>
      </w:r>
    </w:p>
    <w:p>
      <w:pPr>
        <w:spacing w:after="0" w:line="170" w:lineRule="exact"/>
        <w:rPr>
          <w:sz w:val="20"/>
          <w:szCs w:val="20"/>
          <w:color w:val="auto"/>
        </w:rPr>
      </w:pPr>
    </w:p>
    <w:p>
      <w:pPr>
        <w:ind w:left="300" w:right="240"/>
        <w:spacing w:after="0" w:line="277" w:lineRule="auto"/>
        <w:rPr>
          <w:sz w:val="20"/>
          <w:szCs w:val="20"/>
          <w:color w:val="auto"/>
        </w:rPr>
      </w:pPr>
      <w:r>
        <w:rPr>
          <w:rFonts w:ascii="Arial" w:cs="Arial" w:eastAsia="Arial" w:hAnsi="Arial"/>
          <w:sz w:val="18"/>
          <w:szCs w:val="18"/>
          <w:color w:val="auto"/>
        </w:rPr>
        <w:t>Except as otherwise indicated, all information in this prospectus assumes no exercise of the outstanding options or warrants described above and does not assume or give effect to any exercise of outstanding options after September 30, 2021.</w:t>
      </w:r>
    </w:p>
    <w:p>
      <w:pPr>
        <w:spacing w:after="0" w:line="17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 * *</w:t>
      </w:r>
    </w:p>
    <w:p>
      <w:pPr>
        <w:spacing w:after="0" w:line="3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00"/>
        <w:spacing w:after="0" w:line="290" w:lineRule="auto"/>
        <w:rPr>
          <w:sz w:val="20"/>
          <w:szCs w:val="20"/>
          <w:color w:val="auto"/>
        </w:rPr>
      </w:pPr>
      <w:r>
        <w:rPr>
          <w:rFonts w:ascii="Arial" w:cs="Arial" w:eastAsia="Arial" w:hAnsi="Arial"/>
          <w:sz w:val="16"/>
          <w:szCs w:val="16"/>
          <w:i w:val="1"/>
          <w:iCs w:val="1"/>
          <w:color w:val="auto"/>
        </w:rPr>
        <w:t>An investment in our securities involves a high degree of risk. The prospectus supplement applicable to each offering of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Part II, Item 1A, “Risk Factors,” in our Quarterly Report on Form 10-Q for the quarterly period ended September 30, 2021, which is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this Offering</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b w:val="1"/>
          <w:bCs w:val="1"/>
          <w:i w:val="1"/>
          <w:iCs w:val="1"/>
          <w:color w:val="auto"/>
        </w:rPr>
        <w:t>If you purchase shares of our common stock sold in this offering, you may experience immediate and substantial dilution in the net tangible book value of your shares. In addition, we may issue additional equity or convertible debt securities in the future, which may result in additional dilution to you.</w:t>
      </w:r>
    </w:p>
    <w:p>
      <w:pPr>
        <w:spacing w:after="0" w:line="76"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The price per share of our common stock being offered may be higher than the net tangible book value per share of our outstanding common stock prior to this offering. Assuming that an aggregate of 4,174,784 shares of our common stock are sold at a price of $35.93 per share, the last reported sale price of our common stock on the Nasdaq Global Market on December 28, 2021, for aggregate gross proceeds of approximately $150 million, and after deducting commissions and estimated offering expenses payable by us, new investors in this offering will incur immediate dilution of $19.20 per share. For a more detailed discussion of the foregoing, see the section entitled “Dilution” below. To the extent outstanding stock options or warrants are exercised, there will be further dilution to new investors. In addition, to the extent we need to raise additional capital in the future and we issue additional shares of common stock or securities convertible or exchangeable for our common stock, our then existing stockholders may experience dilution and the new securities may have rights senior to those of our common stock offered in this offering.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1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to fund research, clinical and process development and manufacturing of our product candidates, working capital, capital expenditures and other general corporate purposes. Additionally, we may use a portion of the net proceeds from this offering to develop our commercialization infrastructure, expand our manufacturing capabilities and expand our current business by in-licensing or acquiring, as the case may be, commercial products, product candidates, technologies, compounds, other assets or complementary businesses, using cash or shares of our common stock. However, we have no current commitments or obligations to do so. The failure by our management to apply these funds effectively could harm our business. Pending their use, we plan to invest the net proceeds from this offering in short-term or long-term,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actual number of shares we will issue under the sales agreement, at any one time or in total, is uncertain.</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Subject to certain limitations in the sales agreement and compliance with applicable law, we have the discretion to deliver a placement notice to Jefferies at any time throughout the term of the sales agreement. The number of shares that are sold by Jefferies after delivering a placement notice will fluctuate based on the market price of the common shares during the sales period and limits we set with Jefferies. Because the price per share of each share sold will fluctuate based on the market price of our common stock during the sales period, it is not possible at this stage to predict the number of shares that will be ultimately issued.</w:t>
      </w:r>
    </w:p>
    <w:p>
      <w:pPr>
        <w:spacing w:after="0" w:line="29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The common stock offered hereby will be sold in “at the market offerings”, and investors who buy shares at different times will likely pay different prices.</w:t>
      </w:r>
    </w:p>
    <w:p>
      <w:pPr>
        <w:spacing w:after="0" w:line="62"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This prospectus and documents incorporated herein by reference contain “forward-looking statements” within the meaning of the Private Securities Litigation Reform Act of 1995.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 Such statements include, but are not limited to, statements about future financial and operating results, plans, objectives, expectations and intentions, costs and expenses, interest rates, outcome of contingencies, financial condition, results of operations, liquidity, cost savings, objectives of management, business strategies, debt financing, clinical trial timing and plans, the achievement of clinical and commercial milestones, the advancement of our technologies and our proprietary and partnered products and product candidates, and other statements that are not historical facts. You can find many of these statements by looking for words like “believes,” “expects,” “anticipates,” “estimates,” “may,” “might,” “should,” “will,” “could,” “plan,” “intend,” “project,” “seek” or similar expressions in this prospectus or in documents incorporated by reference into this prospectus. We intend that such forward-looking statements be subject to the safe harbors created thereby.</w:t>
      </w:r>
    </w:p>
    <w:p>
      <w:pPr>
        <w:spacing w:after="0" w:line="168"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These forward-looking statements are based on the current beliefs and expectations of our management and are subject to significant risks and uncertainties. If underlying assumptions prove inaccurate or unknown risks or uncertainties materialize, actual results may differ materially from current expectations and projections. Factors that might cause such a difference include those discussed in Part II, Item 1A, “Risk Factors,” in our Quarterly Report on Form 10-Q for the quarterly period ended September 30, 2021, as well as those discussed in this prospectus and in the documents incorporated by reference into this prospectus. You are cautioned not to place undue reliance on these forward-looking statements, which speak only as of the date of this prospectus or, in the case of documents referred to or incorporated by reference, the date of those documents.</w:t>
      </w:r>
    </w:p>
    <w:p>
      <w:pPr>
        <w:spacing w:after="0" w:line="16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 If we do update one or more forward-looking statements, no inference should be drawn that we will make additional updates with respect to those or other forward-looking statements.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are subject to the informational requirements of the Securities Exchange Act of 1934, as amended (the Exchange Act) and are required to file annual, quarterly and other reports, proxy statements and other information with the SEC. The SEC maintains an Internet site (http://www.sec.gov) that contains reports, proxy and information statements, and various other information about us.</w:t>
      </w:r>
    </w:p>
    <w:p>
      <w:pPr>
        <w:spacing w:after="0" w:line="184"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Information about us is also available at our website at http://www.anaptysbio.com. However, the information on our website is not a part of this prospectus and is not incorporated by reference into this prospectus.</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2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 SEC allows us to “incorporate by reference” information that we file with the SEC, which means that we can disclose important information to you by referring you to those other documents. The information incorporated by reference is an important part of this prospectus, and information we file later with the SEC will automatically update and supersede this information. A Current Report (or portion thereof) furnished, but not filed, on Form 8-K shall not be incorporated by reference into this prospectus. We incorporate by reference the documents listed below and any future filings we make with the SEC under Section 13(a), 13(c), 14, or 15(d) of the Exchange Act prior to the termination of any offering of securities made by this prospectus:</w:t>
      </w:r>
    </w:p>
    <w:p>
      <w:pPr>
        <w:spacing w:after="0" w:line="67" w:lineRule="exact"/>
        <w:rPr>
          <w:sz w:val="20"/>
          <w:szCs w:val="20"/>
          <w:color w:val="auto"/>
        </w:rPr>
      </w:pPr>
    </w:p>
    <w:p>
      <w:pPr>
        <w:jc w:val="both"/>
        <w:ind w:left="540" w:hanging="316"/>
        <w:spacing w:after="0" w:line="263"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3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December 31, 2020 filed with the SEC on February 25, 2021, including those portions of our Definitive Proxy Statement on </w:t>
      </w:r>
      <w:hyperlink r:id="rId38">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April 26, 2021 that are specifically incorporated by reference into such Annual Report on Form 10-K;</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39">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2021 and filed with the SEC on May 4, 2021;</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40">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June 30, 2021 and filed with the SEC on August 9, 2021;</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41">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September 30, 2021 and filed with the SEC on November 4, 2021;</w:t>
      </w:r>
    </w:p>
    <w:p>
      <w:pPr>
        <w:spacing w:after="0" w:line="130" w:lineRule="exact"/>
        <w:rPr>
          <w:rFonts w:ascii="Arial" w:cs="Arial" w:eastAsia="Arial" w:hAnsi="Arial"/>
          <w:sz w:val="18"/>
          <w:szCs w:val="18"/>
          <w:color w:val="auto"/>
        </w:rPr>
      </w:pPr>
    </w:p>
    <w:p>
      <w:pPr>
        <w:ind w:left="540" w:right="600" w:hanging="316"/>
        <w:spacing w:after="0" w:line="277" w:lineRule="auto"/>
        <w:tabs>
          <w:tab w:leader="none" w:pos="540" w:val="left"/>
        </w:tabs>
        <w:numPr>
          <w:ilvl w:val="0"/>
          <w:numId w:val="30"/>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on </w:t>
      </w:r>
      <w:hyperlink r:id="rId42">
        <w:r>
          <w:rPr>
            <w:rFonts w:ascii="Arial" w:cs="Arial" w:eastAsia="Arial" w:hAnsi="Arial"/>
            <w:sz w:val="18"/>
            <w:szCs w:val="18"/>
            <w:u w:val="single" w:color="auto"/>
            <w:color w:val="0000EE"/>
          </w:rPr>
          <w:t>January 19, 2021</w:t>
        </w:r>
      </w:hyperlink>
      <w:r>
        <w:rPr>
          <w:rFonts w:ascii="Arial" w:cs="Arial" w:eastAsia="Arial" w:hAnsi="Arial"/>
          <w:sz w:val="18"/>
          <w:szCs w:val="18"/>
          <w:color w:val="auto"/>
        </w:rPr>
        <w:t xml:space="preserve">, </w:t>
      </w:r>
      <w:hyperlink r:id="rId43">
        <w:r>
          <w:rPr>
            <w:rFonts w:ascii="Arial" w:cs="Arial" w:eastAsia="Arial" w:hAnsi="Arial"/>
            <w:sz w:val="18"/>
            <w:szCs w:val="18"/>
            <w:u w:val="single" w:color="auto"/>
            <w:color w:val="0000EE"/>
          </w:rPr>
          <w:t>April 12, 2021</w:t>
        </w:r>
      </w:hyperlink>
      <w:r>
        <w:rPr>
          <w:rFonts w:ascii="Arial" w:cs="Arial" w:eastAsia="Arial" w:hAnsi="Arial"/>
          <w:sz w:val="18"/>
          <w:szCs w:val="18"/>
          <w:color w:val="auto"/>
        </w:rPr>
        <w:t xml:space="preserve">, </w:t>
      </w:r>
      <w:hyperlink r:id="rId44">
        <w:r>
          <w:rPr>
            <w:rFonts w:ascii="Arial" w:cs="Arial" w:eastAsia="Arial" w:hAnsi="Arial"/>
            <w:sz w:val="18"/>
            <w:szCs w:val="18"/>
            <w:u w:val="single" w:color="auto"/>
            <w:color w:val="0000EE"/>
          </w:rPr>
          <w:t>June 17, 2021</w:t>
        </w:r>
      </w:hyperlink>
      <w:r>
        <w:rPr>
          <w:rFonts w:ascii="Arial" w:cs="Arial" w:eastAsia="Arial" w:hAnsi="Arial"/>
          <w:sz w:val="18"/>
          <w:szCs w:val="18"/>
          <w:color w:val="auto"/>
        </w:rPr>
        <w:t xml:space="preserve">, </w:t>
      </w:r>
      <w:hyperlink r:id="rId45">
        <w:r>
          <w:rPr>
            <w:rFonts w:ascii="Arial" w:cs="Arial" w:eastAsia="Arial" w:hAnsi="Arial"/>
            <w:sz w:val="18"/>
            <w:szCs w:val="18"/>
            <w:u w:val="single" w:color="auto"/>
            <w:color w:val="0000EE"/>
          </w:rPr>
          <w:t>October 25, 2021</w:t>
        </w:r>
      </w:hyperlink>
      <w:r>
        <w:rPr>
          <w:rFonts w:ascii="Arial" w:cs="Arial" w:eastAsia="Arial" w:hAnsi="Arial"/>
          <w:sz w:val="18"/>
          <w:szCs w:val="18"/>
          <w:color w:val="auto"/>
        </w:rPr>
        <w:t xml:space="preserve">, </w:t>
      </w:r>
      <w:hyperlink r:id="rId46">
        <w:r>
          <w:rPr>
            <w:rFonts w:ascii="Arial" w:cs="Arial" w:eastAsia="Arial" w:hAnsi="Arial"/>
            <w:sz w:val="18"/>
            <w:szCs w:val="18"/>
            <w:u w:val="single" w:color="auto"/>
            <w:color w:val="0000EE"/>
          </w:rPr>
          <w:t>November 29,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7">
        <w:r>
          <w:rPr>
            <w:rFonts w:ascii="Arial" w:cs="Arial" w:eastAsia="Arial" w:hAnsi="Arial"/>
            <w:sz w:val="18"/>
            <w:szCs w:val="18"/>
            <w:u w:val="single" w:color="auto"/>
            <w:color w:val="0000EE"/>
          </w:rPr>
          <w:t>December 1, 2021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75" w:lineRule="exact"/>
        <w:rPr>
          <w:rFonts w:ascii="Arial" w:cs="Arial" w:eastAsia="Arial" w:hAnsi="Arial"/>
          <w:sz w:val="18"/>
          <w:szCs w:val="18"/>
          <w:color w:val="0000EE"/>
        </w:rPr>
      </w:pPr>
    </w:p>
    <w:p>
      <w:pPr>
        <w:ind w:left="540" w:right="160" w:hanging="316"/>
        <w:spacing w:after="0" w:line="279"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contained in our registration statement on </w:t>
      </w:r>
      <w:hyperlink r:id="rId48">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filed with the SEC on January 17, 2017 under Section 12 of the Exchange Act, as further amended by </w:t>
      </w:r>
      <w:hyperlink r:id="rId49">
        <w:r>
          <w:rPr>
            <w:rFonts w:ascii="Arial" w:cs="Arial" w:eastAsia="Arial" w:hAnsi="Arial"/>
            <w:sz w:val="17"/>
            <w:szCs w:val="17"/>
            <w:u w:val="single" w:color="auto"/>
            <w:color w:val="0000EE"/>
          </w:rPr>
          <w:t>Exhibit 4.3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(Description of the Registrant’s Securities Registered Pursuant to Section 12 of the Securities Exchange Act of 1934) to our Annual Report on </w:t>
      </w:r>
      <w:hyperlink r:id="rId50">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December 31, 2019 and filed with the SEC on March 2, 2020, including any amendment or report filed for the purpose of updating such description.</w:t>
      </w:r>
    </w:p>
    <w:p>
      <w:pPr>
        <w:spacing w:after="0" w:line="171" w:lineRule="exact"/>
        <w:rPr>
          <w:rFonts w:ascii="Arial" w:cs="Arial" w:eastAsia="Arial" w:hAnsi="Arial"/>
          <w:sz w:val="17"/>
          <w:szCs w:val="17"/>
          <w:color w:val="auto"/>
        </w:rPr>
      </w:pPr>
    </w:p>
    <w:p>
      <w:pPr>
        <w:jc w:val="both"/>
        <w:ind w:left="120" w:right="280"/>
        <w:spacing w:after="0" w:line="296" w:lineRule="auto"/>
        <w:rPr>
          <w:sz w:val="20"/>
          <w:szCs w:val="20"/>
          <w:color w:val="auto"/>
        </w:rPr>
      </w:pPr>
      <w:r>
        <w:rPr>
          <w:rFonts w:ascii="Arial" w:cs="Arial" w:eastAsia="Arial" w:hAnsi="Arial"/>
          <w:sz w:val="16"/>
          <w:szCs w:val="16"/>
          <w:color w:val="auto"/>
        </w:rPr>
        <w:t>Upon written or oral request, we will provide without charge to each person, including any beneficial owner, to whom this prospectus is delivered, a copy of any or all of such information that has been incorporated herein by reference (other than exhibits to such documents unless such exhibits are specifically incorporated by reference into the documents that this prospectus incorporates). Written or oral requests for copies should be directed to AnaptysBio, Inc., Attn: Investor Relations, 10770 Wateridge Circle, Suite 210, telephone number (858) 362-6295. See the section of this prospectus entitled “Where You Can Find More Information” for information concerning how to read and obtain copies of materials that we file with the SEC.</w:t>
      </w:r>
    </w:p>
    <w:p>
      <w:pPr>
        <w:spacing w:after="0" w:line="161" w:lineRule="exact"/>
        <w:rPr>
          <w:rFonts w:ascii="Arial" w:cs="Arial" w:eastAsia="Arial" w:hAnsi="Arial"/>
          <w:sz w:val="17"/>
          <w:szCs w:val="17"/>
          <w:color w:val="auto"/>
        </w:rPr>
      </w:pPr>
    </w:p>
    <w:p>
      <w:pPr>
        <w:ind w:left="120" w:right="80"/>
        <w:spacing w:after="0" w:line="259" w:lineRule="auto"/>
        <w:rPr>
          <w:sz w:val="20"/>
          <w:szCs w:val="20"/>
          <w:color w:val="auto"/>
        </w:rPr>
      </w:pPr>
      <w:r>
        <w:rPr>
          <w:rFonts w:ascii="Arial" w:cs="Arial" w:eastAsia="Arial" w:hAnsi="Arial"/>
          <w:sz w:val="18"/>
          <w:szCs w:val="18"/>
          <w:color w:val="auto"/>
        </w:rPr>
        <w:t>Any statement contained in this prospectus, or in a document all or a portion of which is incorporated by reference, shall be modified or superseded for purposes of this prospectus to the extent that a statement contained in this prospectus, any prospectus supplement or any document incorporated by reference modifies or supersedes such statement. Any such statement so modified or superseded shall not, except as so modified or superseded, constitute a part of this prospectus.</w:t>
      </w:r>
    </w:p>
    <w:p>
      <w:pPr>
        <w:spacing w:after="0" w:line="119" w:lineRule="exact"/>
        <w:rPr>
          <w:rFonts w:ascii="Arial" w:cs="Arial" w:eastAsia="Arial" w:hAnsi="Arial"/>
          <w:sz w:val="17"/>
          <w:szCs w:val="17"/>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may issue and sell shares of our common stock having aggregate sales proceeds of up to $150 million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sales agreement with Jefferies as a source of financing.</w:t>
      </w:r>
    </w:p>
    <w:p>
      <w:pPr>
        <w:spacing w:after="0" w:line="18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currently intend to use any net proceeds from the sale of securities under this prospectus primarily to fund research, clinical and process development and manufacturing of our product candidates, working capital, capital expenditures and other general corporate purposes. Additionally, we may use a portion of the net proceeds from this offering to develop our commercialization infrastructure, expand our manufacturing capabilities and expand our current business by in-licensing or acquiring, as the case may be, commercial products, product candidates, technologies, compounds, other assets or complementary businesses, using cash or shares of our common stock. However, we have no current commitments or obligations to do so.</w:t>
      </w:r>
    </w:p>
    <w:p>
      <w:pPr>
        <w:spacing w:after="0" w:line="16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amounts and timing of our actual expenditures will depend on numerous factors, including the progress of our clinical trials and other development efforts and other factors described under “Risk Factors” in this prospectus, the accompanying base prospectus and the documents incorporated by reference herein and therein,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this offering in short-term or long-term, investment-grade, interest-bearing securities.</w:t>
      </w:r>
    </w:p>
    <w:p>
      <w:pPr>
        <w:spacing w:after="0" w:line="3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60"/>
          </w:cols>
          <w:pgMar w:left="320" w:top="459" w:right="5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price per share you pay in this offering and the net tangible book value per share of our common stock immediately after this offering. Our net tangible book value of our common stock as of September 30, 2021 was approximately $383.6 million, or approximately $13.97 per share of common stock based upon 27,453,783 shares outstanding. Net tangible book value per share is equal to our total tangible assets, less our total liabilities, divided by the total number of shares outstanding as of September 30, 2021.</w:t>
      </w:r>
    </w:p>
    <w:p>
      <w:pPr>
        <w:spacing w:after="0" w:line="188"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After giving effect to the sale of our common stock in the aggregate amount of $150 million at an assumed offering price of $35.93 per share, the last reported sale price of our common stock on the Nasdaq Global Market on December 28, 2021, and after deducting commissions and estimated offering expenses payable by us, our as adjusted net tangible book value as of September 31, 2021 would have been $529.3 million, or $16.73 per share of common stock. This represents an immediate increase in net tangible book value of $2.76 per share to our existing stockholders and an immediate dilution in net tangible book value of $19.20 per share to new investors in this offering.</w:t>
      </w:r>
    </w:p>
    <w:p>
      <w:pPr>
        <w:spacing w:after="0" w:line="17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following table illustrates this calculation on a per share basis. The as-adjusted information is illustrative only and will adjust based on the actual price to the public, the actual number of shares sold and other terms of the offering determined at the time shares of our common stock are sold pursuant to this prospectus. The as-adjusted information assumes that all of our common stock in the aggregate amount of $150 million is sold at the assumed offering price of $35.93 per share, the last reported sale price of our common stock on the Nasdaq Global Market on December 28, 2021. The shares sold in this offering, if any, will be sold from time to time at various prices.</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$35.93</w:t>
            </w: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Net tangible book value per share as of September 30, 2021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90"/>
              <w:spacing w:after="0"/>
              <w:rPr>
                <w:sz w:val="20"/>
                <w:szCs w:val="20"/>
                <w:color w:val="auto"/>
              </w:rPr>
            </w:pPr>
            <w:r>
              <w:rPr>
                <w:rFonts w:ascii="Arial" w:cs="Arial" w:eastAsia="Arial" w:hAnsi="Arial"/>
                <w:sz w:val="18"/>
                <w:szCs w:val="18"/>
                <w:color w:val="auto"/>
                <w:w w:val="84"/>
              </w:rPr>
              <w:t>13.97</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net tangible book value per share attributable to the offering</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2.76</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As adjusted net tangible book value per share after giving effect to the offering</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16.73</w:t>
            </w:r>
          </w:p>
        </w:tc>
      </w:tr>
      <w:tr>
        <w:trPr>
          <w:trHeight w:val="27"/>
        </w:trPr>
        <w:tc>
          <w:tcPr>
            <w:tcW w:w="6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the offering</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19.20</w:t>
            </w:r>
          </w:p>
        </w:tc>
      </w:tr>
      <w:tr>
        <w:trPr>
          <w:trHeight w:val="20"/>
        </w:trPr>
        <w:tc>
          <w:tcPr>
            <w:tcW w:w="6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number of shares of our common stock shown above to be outstanding after this offering is based on 27,453,783 shares of our common stock outstanding as of September 30, 2021, and excludes:</w:t>
      </w:r>
    </w:p>
    <w:p>
      <w:pPr>
        <w:spacing w:after="0" w:line="76" w:lineRule="exact"/>
        <w:rPr>
          <w:sz w:val="20"/>
          <w:szCs w:val="20"/>
          <w:color w:val="auto"/>
        </w:rPr>
      </w:pPr>
    </w:p>
    <w:p>
      <w:pPr>
        <w:ind w:left="1080" w:right="42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3,663,143 shares of common stock issuable upon exercise of outstanding options as of September 30, 2021, with a weighted-average exercise price of $27.75 per share;</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48,871 shares of common stock issuable upon the exercise of options granted after September 30, 2021, with a weighted-average exercise price of $30.57 per share;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3,239,673 shares of common stock reserved for future issuance under our 2017 Equity Incentive Plan as of September 30, 2021;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1,271,237 shares of common stock reserved for future issuance under our 2017 Employee Stock Purchase Plan as of September 30, 2021.</w:t>
      </w:r>
    </w:p>
    <w:p>
      <w:pPr>
        <w:spacing w:after="0" w:line="248"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foregoing table assumes no exercise of the outstanding options or warrants described above and does not assume or give effect to any exercise of outstanding options after September 30, 2021.</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have entered into a sales agreement with Jefferies, under which we may offer and sell shares of our common stock from time to time through Jefferies acting as agent. Pursuant to this prospectus and the accompanying prospectus, we may offer and sell up to $150 million of our shares of common stock from time to time through Jefferies acting as agent. Sales of our shares of common stock, if any, under this prospectus and the accompanying prospectus will be made by any method that is deemed to be an “at the market offering” as defined in Rule 415(a)(4) under the Securities Act.</w:t>
      </w:r>
    </w:p>
    <w:p>
      <w:pPr>
        <w:spacing w:after="0" w:line="188"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Each time we wish to issue and sell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w:t>
      </w:r>
    </w:p>
    <w:p>
      <w:pPr>
        <w:spacing w:after="0" w:line="192" w:lineRule="exact"/>
        <w:rPr>
          <w:sz w:val="20"/>
          <w:szCs w:val="20"/>
          <w:color w:val="auto"/>
        </w:rPr>
      </w:pPr>
    </w:p>
    <w:p>
      <w:pPr>
        <w:jc w:val="both"/>
        <w:ind w:left="120" w:right="260"/>
        <w:spacing w:after="0" w:line="259" w:lineRule="auto"/>
        <w:rPr>
          <w:sz w:val="20"/>
          <w:szCs w:val="20"/>
          <w:color w:val="auto"/>
        </w:rPr>
      </w:pPr>
      <w:r>
        <w:rPr>
          <w:rFonts w:ascii="Arial" w:cs="Arial" w:eastAsia="Arial" w:hAnsi="Arial"/>
          <w:sz w:val="18"/>
          <w:szCs w:val="18"/>
          <w:color w:val="auto"/>
        </w:rPr>
        <w:t>The settlement of sales of shares between us and Jefferies is generally anticipated to occur on the second trading day following the date on which the sale was made. Sales of our shares of common stock as contemplated in this prospectus will be settled through the facilities of The Depository Trust Company or by such other means as we and Jefferies may agree upon. There is no arrangement for funds to be received in an escrow, trust or similar arrangement.</w:t>
      </w:r>
    </w:p>
    <w:p>
      <w:pPr>
        <w:spacing w:after="0" w:line="18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We will pay Jefferies a commission up to 3.0% of the aggregate gross proceeds of any shares of common stock sold under the sales agreement.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$75,000, in addition to certain ongoing disbursements of its legal counsel, unless we and Jefferies otherwise agree. We estimate that the total expenses for the offering, excluding any commissions or expense reimbursement payable to Jefferies under the terms of the sales agreement, will be approximately $300,000. The remaining sale proceeds, after deducting any other transaction fees, will equal our net proceeds from the sale of such shares.</w:t>
      </w:r>
    </w:p>
    <w:p>
      <w:pPr>
        <w:spacing w:after="0" w:line="17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Jefferies will provide written confirmation to us before the open on The Nasdaq Global Market on the day following each day on which our shares of common stock are sold under the sales agreement. Each confirmation will include the number of shares sold on that day, the aggregate gross proceeds of such sales and the proceeds to us.</w:t>
      </w:r>
    </w:p>
    <w:p>
      <w:pPr>
        <w:spacing w:after="0" w:line="184"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In connection with the sale of the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offering of our shares of common stock pursuant to the sales agreement will terminate as permitted in the sales agreement.</w:t>
      </w:r>
    </w:p>
    <w:p>
      <w:pPr>
        <w:spacing w:after="0" w:line="22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This summary of the material provisions of the sales agreement does not purport to be a complete statement of its terms and conditions. A copy of the sales agreement is filed as an exhibit to the registration statement of which this prospectus forms a part.</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Jefferies and its affiliates may in the future provide various investment banking, commercial banking, financial advisory and other financial services for us and our affiliates, for which services they may in the future receive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customary fees. In the course of its business, Jefferies may actively trade our securities for its own account or for the accounts of customers, and, accordingly, Jefferies may at any time hold long or short positions in such securities.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 prospectus and the accompanying prospectus in electronic format may be made available on a website maintained by Jefferies, and Jefferies may distribute the prospectus and the accompanying prospectus electronically.</w:t>
      </w:r>
    </w:p>
    <w:p>
      <w:pPr>
        <w:spacing w:after="0" w:line="10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20"/>
          </w:cols>
          <w:pgMar w:left="320" w:top="459" w:right="8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Fenwick &amp; West LLP, Mountain View, California, will pass on certain legal matters relating to the issuance and sale of the securities offered hereby on behalf of AnaptysBio, Inc. Jefferies LLC is being represented in connection with this offering by Cooley LLP, New York, New York.</w:t>
      </w:r>
    </w:p>
    <w:p>
      <w:pPr>
        <w:spacing w:after="0" w:line="35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consolidated financial statements of AnaptysBio, Inc. as of December 31, 2020 and 2019, and for each of the years in the three-year period ended December 31, 2020,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80"/>
        <w:spacing w:after="0"/>
        <w:rPr>
          <w:sz w:val="20"/>
          <w:szCs w:val="20"/>
          <w:color w:val="auto"/>
        </w:rPr>
      </w:pPr>
      <w:r>
        <w:rPr>
          <w:rFonts w:ascii="Arial" w:cs="Arial" w:eastAsia="Arial" w:hAnsi="Arial"/>
          <w:sz w:val="39"/>
          <w:szCs w:val="39"/>
          <w:b w:val="1"/>
          <w:bCs w:val="1"/>
          <w:color w:val="auto"/>
        </w:rPr>
        <w:t>AnaptysBio, Inc.</w:t>
      </w:r>
    </w:p>
    <w:p>
      <w:pPr>
        <w:spacing w:after="0" w:line="200" w:lineRule="exact"/>
        <w:rPr>
          <w:sz w:val="20"/>
          <w:szCs w:val="20"/>
          <w:color w:val="auto"/>
        </w:rPr>
      </w:pPr>
    </w:p>
    <w:p>
      <w:pPr>
        <w:spacing w:after="0" w:line="304" w:lineRule="exact"/>
        <w:rPr>
          <w:sz w:val="20"/>
          <w:szCs w:val="20"/>
          <w:color w:val="auto"/>
        </w:rPr>
      </w:pPr>
    </w:p>
    <w:p>
      <w:pPr>
        <w:ind w:left="4600"/>
        <w:spacing w:after="0"/>
        <w:rPr>
          <w:sz w:val="20"/>
          <w:szCs w:val="20"/>
          <w:color w:val="auto"/>
        </w:rPr>
      </w:pPr>
      <w:r>
        <w:rPr>
          <w:rFonts w:ascii="Arial" w:cs="Arial" w:eastAsia="Arial" w:hAnsi="Arial"/>
          <w:sz w:val="25"/>
          <w:szCs w:val="25"/>
          <w:b w:val="1"/>
          <w:bCs w:val="1"/>
          <w:color w:val="auto"/>
        </w:rPr>
        <w:t>Up to $150,000,000</w:t>
      </w:r>
    </w:p>
    <w:p>
      <w:pPr>
        <w:spacing w:after="0" w:line="200" w:lineRule="exact"/>
        <w:rPr>
          <w:sz w:val="20"/>
          <w:szCs w:val="20"/>
          <w:color w:val="auto"/>
        </w:rPr>
      </w:pPr>
    </w:p>
    <w:p>
      <w:pPr>
        <w:spacing w:after="0" w:line="242"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406400</wp:posOffset>
            </wp:positionV>
            <wp:extent cx="1474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100"/>
        <w:spacing w:after="0"/>
        <w:rPr>
          <w:sz w:val="20"/>
          <w:szCs w:val="20"/>
          <w:color w:val="auto"/>
        </w:rPr>
      </w:pPr>
      <w:r>
        <w:rPr>
          <w:rFonts w:ascii="Arial" w:cs="Arial" w:eastAsia="Arial" w:hAnsi="Arial"/>
          <w:sz w:val="29"/>
          <w:szCs w:val="29"/>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660400</wp:posOffset>
            </wp:positionV>
            <wp:extent cx="6995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720090</wp:posOffset>
            </wp:positionV>
            <wp:extent cx="699516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estimated expenses in connection with the issuance and distribution of the securities being registered:</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27,810</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Nasdaq listing fee</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4"/>
        </w:trPr>
        <w:tc>
          <w:tcPr>
            <w:tcW w:w="68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340" w:right="340" w:hanging="224"/>
        <w:spacing w:after="0" w:line="259" w:lineRule="auto"/>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Estimated expenses are not presently known. The foregoing sets forth the general categories of expenses (other than underwriting discounts and commissions) that we anticipate we will incur in connection with the offering of securities under this registration statement. An estimate of the aggregate expenses in connection with the issuance and distribution of the securities being offered will be included in the applicable prospectus supplement.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Indemnification of Officers and Directors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or the Securities Act.</w:t>
      </w:r>
    </w:p>
    <w:p>
      <w:pPr>
        <w:spacing w:after="0" w:line="187"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As permitted by the Delaware General Corporation Law, the Registrant’s restated certificate of incorporation contains provisions that eliminate the personal liability of its directors for monetary damages for any breach of fiduciary duties as a director, except liability for the following:</w:t>
      </w:r>
    </w:p>
    <w:p>
      <w:pPr>
        <w:spacing w:after="0" w:line="29" w:lineRule="exact"/>
        <w:rPr>
          <w:sz w:val="20"/>
          <w:szCs w:val="20"/>
          <w:color w:val="auto"/>
        </w:rPr>
      </w:pPr>
    </w:p>
    <w:p>
      <w:pPr>
        <w:ind w:left="540" w:hanging="316"/>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(regarding unlawful dividends and stock purchases); or</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permitted by the Delaware General Corporation Law, the Registrant’s restated bylaws provide that:</w:t>
      </w:r>
    </w:p>
    <w:p>
      <w:pPr>
        <w:spacing w:after="0" w:line="131" w:lineRule="exact"/>
        <w:rPr>
          <w:sz w:val="20"/>
          <w:szCs w:val="20"/>
          <w:color w:val="auto"/>
        </w:rPr>
      </w:pPr>
    </w:p>
    <w:p>
      <w:pPr>
        <w:ind w:left="540" w:right="260" w:hanging="316"/>
        <w:spacing w:after="0" w:line="277"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executive officers to the fullest extent permitted by the Delaware General Corporation Law, subject to very limited exceptions;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 may indemnify its other employees and agents as set forth in the Delaware General Corporation Law;</w:t>
      </w:r>
    </w:p>
    <w:p>
      <w:pPr>
        <w:spacing w:after="0" w:line="130" w:lineRule="exact"/>
        <w:rPr>
          <w:rFonts w:ascii="Arial" w:cs="Arial" w:eastAsia="Arial" w:hAnsi="Arial"/>
          <w:sz w:val="18"/>
          <w:szCs w:val="18"/>
          <w:color w:val="auto"/>
        </w:rPr>
      </w:pPr>
    </w:p>
    <w:p>
      <w:pPr>
        <w:ind w:left="540" w:right="320" w:hanging="316"/>
        <w:spacing w:after="0" w:line="277"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executive officers in connection with a legal proceeding to the fullest extent permitted by the Delaware General Corporation Law, subject to very limited exceptions; and</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rights conferred in the restated bylaws are not exclusive.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20"/>
          </w:cols>
          <w:pgMar w:left="320" w:top="459" w:right="5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Registrant has entered, and intends to continue to enter, into separate indemnification agreements with its directors and executive officers to provide these directors and executive officers additional contractual assurances regarding the scope of the indemnification set forth in the Registrant’s restated certificate of incorporation and restated bylaws and to provide additional procedural protections. At present, there is no pending litigation or proceeding involving a director or executive officer of the Registrant regarding which indemnification is sought. The indemnification provisions in the Registrant’s restated certificate of incorporation,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Registrant currently carries liability insurance for its directors and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Incorporated by Reference</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6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80" w:type="dxa"/>
            <w:vAlign w:val="bottom"/>
            <w:gridSpan w:val="12"/>
            <w:vMerge w:val="restart"/>
          </w:tcPr>
          <w:p>
            <w:pPr>
              <w:ind w:left="320"/>
              <w:spacing w:after="0"/>
              <w:rPr>
                <w:sz w:val="20"/>
                <w:szCs w:val="20"/>
                <w:color w:val="auto"/>
              </w:rPr>
            </w:pPr>
            <w:r>
              <w:rPr>
                <w:rFonts w:ascii="Arial" w:cs="Arial" w:eastAsia="Arial" w:hAnsi="Arial"/>
                <w:sz w:val="14"/>
                <w:szCs w:val="14"/>
                <w:b w:val="1"/>
                <w:bCs w:val="1"/>
                <w:color w:val="auto"/>
              </w:rPr>
              <w:t>Exhibit Description</w:t>
            </w:r>
          </w:p>
        </w:tc>
        <w:tc>
          <w:tcPr>
            <w:tcW w:w="220" w:type="dxa"/>
            <w:vAlign w:val="bottom"/>
            <w:vMerge w:val="restart"/>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Form</w:t>
            </w:r>
          </w:p>
        </w:tc>
        <w:tc>
          <w:tcPr>
            <w:tcW w:w="260" w:type="dxa"/>
            <w:vAlign w:val="bottom"/>
            <w:vMerge w:val="restart"/>
          </w:tcPr>
          <w:p>
            <w:pPr>
              <w:spacing w:after="0"/>
              <w:rPr>
                <w:sz w:val="10"/>
                <w:szCs w:val="10"/>
                <w:color w:val="auto"/>
              </w:rPr>
            </w:pPr>
          </w:p>
        </w:tc>
        <w:tc>
          <w:tcPr>
            <w:tcW w:w="10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Exhibit</w:t>
            </w:r>
          </w:p>
        </w:tc>
        <w:tc>
          <w:tcPr>
            <w:tcW w:w="280" w:type="dxa"/>
            <w:vAlign w:val="bottom"/>
            <w:vMerge w:val="restart"/>
          </w:tcPr>
          <w:p>
            <w:pPr>
              <w:spacing w:after="0"/>
              <w:rPr>
                <w:sz w:val="10"/>
                <w:szCs w:val="10"/>
                <w:color w:val="auto"/>
              </w:rPr>
            </w:pPr>
          </w:p>
        </w:tc>
        <w:tc>
          <w:tcPr>
            <w:tcW w:w="186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Filing Date</w:t>
            </w:r>
          </w:p>
        </w:tc>
        <w:tc>
          <w:tcPr>
            <w:tcW w:w="200" w:type="dxa"/>
            <w:vAlign w:val="bottom"/>
            <w:vMerge w:val="restart"/>
          </w:tcPr>
          <w:p>
            <w:pPr>
              <w:spacing w:after="0"/>
              <w:rPr>
                <w:sz w:val="10"/>
                <w:szCs w:val="10"/>
                <w:color w:val="auto"/>
              </w:rPr>
            </w:pPr>
          </w:p>
        </w:tc>
        <w:tc>
          <w:tcPr>
            <w:tcW w:w="640" w:type="dxa"/>
            <w:vAlign w:val="bottom"/>
          </w:tcPr>
          <w:p>
            <w:pPr>
              <w:ind w:left="180"/>
              <w:spacing w:after="0" w:line="119" w:lineRule="exact"/>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171"/>
        </w:trPr>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1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86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04"/>
        </w:trPr>
        <w:tc>
          <w:tcPr>
            <w:tcW w:w="54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auto"/>
              </w:rPr>
              <w:t>Form of Underwriting Agreement</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40" w:type="dxa"/>
            <w:vAlign w:val="bottom"/>
          </w:tcPr>
          <w:p>
            <w:pPr>
              <w:jc w:val="right"/>
              <w:ind w:right="132"/>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2"/>
                <w:szCs w:val="22"/>
                <w:color w:val="auto"/>
              </w:rPr>
            </w:pPr>
          </w:p>
        </w:tc>
        <w:tc>
          <w:tcPr>
            <w:tcW w:w="2140" w:type="dxa"/>
            <w:vAlign w:val="bottom"/>
            <w:gridSpan w:val="5"/>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Open Market Sale Agreement</w:t>
              </w:r>
            </w:hyperlink>
          </w:p>
        </w:tc>
        <w:tc>
          <w:tcPr>
            <w:tcW w:w="1920" w:type="dxa"/>
            <w:vAlign w:val="bottom"/>
            <w:tcBorders>
              <w:bottom w:val="single" w:sz="8" w:color="0000EE"/>
            </w:tcBorders>
            <w:gridSpan w:val="5"/>
          </w:tcPr>
          <w:p>
            <w:pPr>
              <w:spacing w:after="0"/>
              <w:rPr>
                <w:rFonts w:ascii="Arial" w:cs="Arial" w:eastAsia="Arial" w:hAnsi="Arial"/>
                <w:sz w:val="15"/>
                <w:szCs w:val="15"/>
                <w:color w:val="0000EE"/>
                <w:w w:val="91"/>
              </w:rPr>
            </w:pPr>
            <w:hyperlink w:anchor="page55">
              <w:r>
                <w:rPr>
                  <w:rFonts w:ascii="Arial" w:cs="Arial" w:eastAsia="Arial" w:hAnsi="Arial"/>
                  <w:sz w:val="15"/>
                  <w:szCs w:val="15"/>
                  <w:color w:val="0000EE"/>
                  <w:w w:val="91"/>
                </w:rPr>
                <w:t>SM, dated December 30, 2021,</w:t>
              </w:r>
            </w:hyperlink>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gridSpan w:val="2"/>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ind w:left="52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40" w:type="dxa"/>
            <w:vAlign w:val="bottom"/>
            <w:tcBorders>
              <w:bottom w:val="single" w:sz="8" w:color="0000EE"/>
            </w:tcBorders>
            <w:gridSpan w:val="8"/>
          </w:tcPr>
          <w:p>
            <w:pPr>
              <w:spacing w:after="0" w:line="156" w:lineRule="exact"/>
              <w:rPr>
                <w:sz w:val="20"/>
                <w:szCs w:val="20"/>
                <w:color w:val="auto"/>
              </w:rPr>
            </w:pPr>
            <w:r>
              <w:rPr>
                <w:rFonts w:ascii="Arial" w:cs="Arial" w:eastAsia="Arial" w:hAnsi="Arial"/>
                <w:sz w:val="15"/>
                <w:szCs w:val="15"/>
                <w:color w:val="0000EE"/>
                <w:w w:val="91"/>
              </w:rPr>
              <w:t>between the Registrant and Jefferies LLC</w:t>
            </w:r>
          </w:p>
        </w:tc>
        <w:tc>
          <w:tcPr>
            <w:tcW w:w="2180" w:type="dxa"/>
            <w:vAlign w:val="bottom"/>
            <w:gridSpan w:val="8"/>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40" w:type="dxa"/>
            <w:vAlign w:val="bottom"/>
          </w:tcPr>
          <w:p>
            <w:pPr>
              <w:jc w:val="right"/>
              <w:ind w:right="132"/>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4720" w:type="dxa"/>
            <w:vAlign w:val="bottom"/>
            <w:gridSpan w:val="16"/>
          </w:tcPr>
          <w:p>
            <w:pPr>
              <w:spacing w:after="0"/>
              <w:rPr>
                <w:rFonts w:ascii="Arial" w:cs="Arial" w:eastAsia="Arial" w:hAnsi="Arial"/>
                <w:sz w:val="18"/>
                <w:szCs w:val="18"/>
                <w:color w:val="0000EE"/>
              </w:rPr>
            </w:pPr>
            <w:hyperlink r:id="rId107">
              <w:r>
                <w:rPr>
                  <w:rFonts w:ascii="Arial" w:cs="Arial" w:eastAsia="Arial" w:hAnsi="Arial"/>
                  <w:sz w:val="18"/>
                  <w:szCs w:val="18"/>
                  <w:color w:val="0000EE"/>
                </w:rPr>
                <w:t>Amended and Restated Certificate of Incorporation of the</w:t>
              </w:r>
            </w:hyperlink>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10-Q</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001-37985</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3.1</w:t>
            </w:r>
          </w:p>
        </w:tc>
        <w:tc>
          <w:tcPr>
            <w:tcW w:w="2060" w:type="dxa"/>
            <w:vAlign w:val="bottom"/>
            <w:gridSpan w:val="2"/>
          </w:tcPr>
          <w:p>
            <w:pPr>
              <w:jc w:val="right"/>
              <w:ind w:right="200"/>
              <w:spacing w:after="0"/>
              <w:rPr>
                <w:sz w:val="20"/>
                <w:szCs w:val="20"/>
                <w:color w:val="auto"/>
              </w:rPr>
            </w:pPr>
            <w:r>
              <w:rPr>
                <w:rFonts w:ascii="Arial" w:cs="Arial" w:eastAsia="Arial" w:hAnsi="Arial"/>
                <w:sz w:val="18"/>
                <w:szCs w:val="18"/>
                <w:color w:val="auto"/>
              </w:rPr>
              <w:t>May 12, 2017</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107">
              <w:r>
                <w:rPr>
                  <w:rFonts w:ascii="Arial" w:cs="Arial" w:eastAsia="Arial" w:hAnsi="Arial"/>
                  <w:sz w:val="18"/>
                  <w:szCs w:val="18"/>
                  <w:color w:val="0000EE"/>
                  <w:w w:val="87"/>
                </w:rPr>
                <w:t>Registrant</w:t>
              </w:r>
            </w:hyperlink>
          </w:p>
        </w:tc>
        <w:tc>
          <w:tcPr>
            <w:tcW w:w="3400" w:type="dxa"/>
            <w:vAlign w:val="bottom"/>
            <w:tcBorders>
              <w:top w:val="single" w:sz="8" w:color="0000EE"/>
            </w:tcBorders>
            <w:gridSpan w:val="10"/>
          </w:tcPr>
          <w:p>
            <w:pPr>
              <w:spacing w:after="0"/>
              <w:rPr>
                <w:sz w:val="17"/>
                <w:szCs w:val="17"/>
                <w:color w:val="auto"/>
              </w:rPr>
            </w:pPr>
          </w:p>
        </w:tc>
        <w:tc>
          <w:tcPr>
            <w:tcW w:w="580" w:type="dxa"/>
            <w:vAlign w:val="bottom"/>
            <w:gridSpan w:val="5"/>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40" w:type="dxa"/>
            <w:vAlign w:val="bottom"/>
          </w:tcPr>
          <w:p>
            <w:pPr>
              <w:jc w:val="right"/>
              <w:ind w:right="132"/>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4720" w:type="dxa"/>
            <w:vAlign w:val="bottom"/>
            <w:gridSpan w:val="16"/>
          </w:tcPr>
          <w:p>
            <w:pPr>
              <w:spacing w:after="0"/>
              <w:rPr>
                <w:rFonts w:ascii="Arial" w:cs="Arial" w:eastAsia="Arial" w:hAnsi="Arial"/>
                <w:sz w:val="18"/>
                <w:szCs w:val="18"/>
                <w:color w:val="0000EE"/>
              </w:rPr>
            </w:pPr>
            <w:hyperlink r:id="rId108">
              <w:r>
                <w:rPr>
                  <w:rFonts w:ascii="Arial" w:cs="Arial" w:eastAsia="Arial" w:hAnsi="Arial"/>
                  <w:sz w:val="18"/>
                  <w:szCs w:val="18"/>
                  <w:color w:val="0000EE"/>
                </w:rPr>
                <w:t>Restated Bylaws of the Registrant</w:t>
              </w:r>
            </w:hyperlink>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S-1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333-206849</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3.4</w:t>
            </w:r>
          </w:p>
        </w:tc>
        <w:tc>
          <w:tcPr>
            <w:tcW w:w="2060" w:type="dxa"/>
            <w:vAlign w:val="bottom"/>
            <w:gridSpan w:val="2"/>
          </w:tcPr>
          <w:p>
            <w:pPr>
              <w:jc w:val="right"/>
              <w:ind w:right="200"/>
              <w:spacing w:after="0"/>
              <w:rPr>
                <w:sz w:val="20"/>
                <w:szCs w:val="20"/>
                <w:color w:val="auto"/>
              </w:rPr>
            </w:pPr>
            <w:r>
              <w:rPr>
                <w:rFonts w:ascii="Arial" w:cs="Arial" w:eastAsia="Arial" w:hAnsi="Arial"/>
                <w:sz w:val="18"/>
                <w:szCs w:val="18"/>
                <w:color w:val="auto"/>
              </w:rPr>
              <w:t>September 9, 2015</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3"/>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Pr>
          <w:p>
            <w:pPr>
              <w:jc w:val="right"/>
              <w:ind w:right="132"/>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4720" w:type="dxa"/>
            <w:vAlign w:val="bottom"/>
            <w:gridSpan w:val="16"/>
          </w:tcPr>
          <w:p>
            <w:pPr>
              <w:spacing w:after="0"/>
              <w:rPr>
                <w:rFonts w:ascii="Arial" w:cs="Arial" w:eastAsia="Arial" w:hAnsi="Arial"/>
                <w:sz w:val="18"/>
                <w:szCs w:val="18"/>
                <w:color w:val="0000EE"/>
              </w:rPr>
            </w:pPr>
            <w:hyperlink r:id="rId109">
              <w:r>
                <w:rPr>
                  <w:rFonts w:ascii="Arial" w:cs="Arial" w:eastAsia="Arial" w:hAnsi="Arial"/>
                  <w:sz w:val="18"/>
                  <w:szCs w:val="18"/>
                  <w:color w:val="0000EE"/>
                </w:rPr>
                <w:t>Fourth Amended and Restated Investor Rights Agreement,</w:t>
              </w:r>
            </w:hyperlink>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S-1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333-206849</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4.2</w:t>
            </w:r>
          </w:p>
        </w:tc>
        <w:tc>
          <w:tcPr>
            <w:tcW w:w="2060" w:type="dxa"/>
            <w:vAlign w:val="bottom"/>
            <w:gridSpan w:val="2"/>
          </w:tcPr>
          <w:p>
            <w:pPr>
              <w:jc w:val="right"/>
              <w:ind w:right="200"/>
              <w:spacing w:after="0"/>
              <w:rPr>
                <w:sz w:val="20"/>
                <w:szCs w:val="20"/>
                <w:color w:val="auto"/>
              </w:rPr>
            </w:pPr>
            <w:r>
              <w:rPr>
                <w:rFonts w:ascii="Arial" w:cs="Arial" w:eastAsia="Arial" w:hAnsi="Arial"/>
                <w:sz w:val="18"/>
                <w:szCs w:val="18"/>
                <w:color w:val="auto"/>
              </w:rPr>
              <w:t>September 9, 2015</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3"/>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109">
              <w:r>
                <w:rPr>
                  <w:rFonts w:ascii="Arial" w:cs="Arial" w:eastAsia="Arial" w:hAnsi="Arial"/>
                  <w:sz w:val="18"/>
                  <w:szCs w:val="18"/>
                  <w:color w:val="0000EE"/>
                  <w:w w:val="89"/>
                </w:rPr>
                <w:t>dated as of July 13, 2015, by and among the Registrant and</w:t>
              </w:r>
            </w:hyperlink>
          </w:p>
        </w:tc>
        <w:tc>
          <w:tcPr>
            <w:tcW w:w="42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certain of its stockholders.</w:t>
              </w:r>
            </w:hyperlink>
          </w:p>
        </w:tc>
        <w:tc>
          <w:tcPr>
            <w:tcW w:w="2820" w:type="dxa"/>
            <w:vAlign w:val="bottom"/>
            <w:gridSpan w:val="12"/>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40" w:type="dxa"/>
            <w:vAlign w:val="bottom"/>
          </w:tcPr>
          <w:p>
            <w:pPr>
              <w:jc w:val="right"/>
              <w:ind w:right="52"/>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auto"/>
              </w:rPr>
              <w:t>Form of Debt Security</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4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13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96">
              <w:r>
                <w:rPr>
                  <w:rFonts w:ascii="Arial" w:cs="Arial" w:eastAsia="Arial" w:hAnsi="Arial"/>
                  <w:sz w:val="18"/>
                  <w:szCs w:val="18"/>
                  <w:color w:val="0000EE"/>
                  <w:w w:val="90"/>
                </w:rPr>
                <w:t>Form of Indenture</w:t>
              </w:r>
            </w:hyperlink>
          </w:p>
        </w:tc>
        <w:tc>
          <w:tcPr>
            <w:tcW w:w="3400" w:type="dxa"/>
            <w:vAlign w:val="bottom"/>
            <w:gridSpan w:val="13"/>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ind w:left="52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45"/>
        </w:trPr>
        <w:tc>
          <w:tcPr>
            <w:tcW w:w="540" w:type="dxa"/>
            <w:vAlign w:val="bottom"/>
          </w:tcPr>
          <w:p>
            <w:pPr>
              <w:jc w:val="right"/>
              <w:ind w:right="52"/>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auto"/>
              </w:rPr>
              <w:t>Form of Warrant</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tcPr>
          <w:p>
            <w:pPr>
              <w:jc w:val="right"/>
              <w:ind w:right="52"/>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auto"/>
              </w:rPr>
              <w:t>Form of Warrant Agreement</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tcPr>
          <w:p>
            <w:pPr>
              <w:jc w:val="right"/>
              <w:ind w:right="52"/>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4"/>
                <w:szCs w:val="24"/>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auto"/>
              </w:rPr>
              <w:t>Form of Preferred Stock Certificate</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40" w:type="dxa"/>
            <w:vAlign w:val="bottom"/>
          </w:tcPr>
          <w:p>
            <w:pPr>
              <w:jc w:val="right"/>
              <w:ind w:right="132"/>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2440" w:type="dxa"/>
            <w:vAlign w:val="bottom"/>
            <w:tcBorders>
              <w:bottom w:val="single" w:sz="8" w:color="0000EE"/>
            </w:tcBorders>
            <w:gridSpan w:val="7"/>
          </w:tcPr>
          <w:p>
            <w:pPr>
              <w:spacing w:after="0"/>
              <w:rPr>
                <w:rFonts w:ascii="Arial" w:cs="Arial" w:eastAsia="Arial" w:hAnsi="Arial"/>
                <w:sz w:val="18"/>
                <w:szCs w:val="18"/>
                <w:color w:val="0000EE"/>
                <w:w w:val="94"/>
              </w:rPr>
            </w:pPr>
            <w:hyperlink w:anchor="page139">
              <w:r>
                <w:rPr>
                  <w:rFonts w:ascii="Arial" w:cs="Arial" w:eastAsia="Arial" w:hAnsi="Arial"/>
                  <w:sz w:val="18"/>
                  <w:szCs w:val="18"/>
                  <w:color w:val="0000EE"/>
                  <w:w w:val="94"/>
                </w:rPr>
                <w:t>Opinion of Fenwick &amp; West LLP</w:t>
              </w:r>
            </w:hyperlink>
          </w:p>
        </w:tc>
        <w:tc>
          <w:tcPr>
            <w:tcW w:w="2280" w:type="dxa"/>
            <w:vAlign w:val="bottom"/>
            <w:gridSpan w:val="9"/>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ind w:left="52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04"/>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23.1</w:t>
            </w:r>
          </w:p>
        </w:tc>
        <w:tc>
          <w:tcPr>
            <w:tcW w:w="220" w:type="dxa"/>
            <w:vAlign w:val="bottom"/>
          </w:tcPr>
          <w:p>
            <w:pPr>
              <w:spacing w:after="0"/>
              <w:rPr>
                <w:sz w:val="24"/>
                <w:szCs w:val="24"/>
                <w:color w:val="auto"/>
              </w:rPr>
            </w:pPr>
          </w:p>
        </w:tc>
        <w:tc>
          <w:tcPr>
            <w:tcW w:w="4720" w:type="dxa"/>
            <w:vAlign w:val="bottom"/>
            <w:gridSpan w:val="16"/>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Consent of KPMG LLP, independent registered public</w:t>
              </w:r>
            </w:hyperlink>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ind w:left="52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145">
              <w:r>
                <w:rPr>
                  <w:rFonts w:ascii="Arial" w:cs="Arial" w:eastAsia="Arial" w:hAnsi="Arial"/>
                  <w:sz w:val="18"/>
                  <w:szCs w:val="18"/>
                  <w:color w:val="0000EE"/>
                  <w:w w:val="91"/>
                </w:rPr>
                <w:t>accounting firm</w:t>
              </w:r>
            </w:hyperlink>
          </w:p>
        </w:tc>
        <w:tc>
          <w:tcPr>
            <w:tcW w:w="2760" w:type="dxa"/>
            <w:vAlign w:val="bottom"/>
            <w:tcBorders>
              <w:top w:val="single" w:sz="8" w:color="0000EE"/>
            </w:tcBorders>
            <w:gridSpan w:val="7"/>
          </w:tcPr>
          <w:p>
            <w:pPr>
              <w:spacing w:after="0"/>
              <w:rPr>
                <w:sz w:val="17"/>
                <w:szCs w:val="17"/>
                <w:color w:val="auto"/>
              </w:rPr>
            </w:pPr>
          </w:p>
        </w:tc>
        <w:tc>
          <w:tcPr>
            <w:tcW w:w="820" w:type="dxa"/>
            <w:vAlign w:val="bottom"/>
            <w:gridSpan w:val="7"/>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23.2</w:t>
            </w:r>
          </w:p>
        </w:tc>
        <w:tc>
          <w:tcPr>
            <w:tcW w:w="220" w:type="dxa"/>
            <w:vAlign w:val="bottom"/>
          </w:tcPr>
          <w:p>
            <w:pPr>
              <w:spacing w:after="0"/>
              <w:rPr>
                <w:sz w:val="24"/>
                <w:szCs w:val="24"/>
                <w:color w:val="auto"/>
              </w:rPr>
            </w:pPr>
          </w:p>
        </w:tc>
        <w:tc>
          <w:tcPr>
            <w:tcW w:w="4720" w:type="dxa"/>
            <w:vAlign w:val="bottom"/>
            <w:gridSpan w:val="16"/>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Consent of Fenwick &amp; West LLP (included in Exhibit 5.1)</w:t>
              </w:r>
            </w:hyperlink>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ind w:left="52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04"/>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24.1</w:t>
            </w:r>
          </w:p>
        </w:tc>
        <w:tc>
          <w:tcPr>
            <w:tcW w:w="220" w:type="dxa"/>
            <w:vAlign w:val="bottom"/>
          </w:tcPr>
          <w:p>
            <w:pPr>
              <w:spacing w:after="0"/>
              <w:rPr>
                <w:sz w:val="24"/>
                <w:szCs w:val="24"/>
                <w:color w:val="auto"/>
              </w:rPr>
            </w:pPr>
          </w:p>
        </w:tc>
        <w:tc>
          <w:tcPr>
            <w:tcW w:w="4220" w:type="dxa"/>
            <w:vAlign w:val="bottom"/>
            <w:tcBorders>
              <w:top w:val="single" w:sz="8" w:color="0000EE"/>
            </w:tcBorders>
            <w:gridSpan w:val="13"/>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Power of Attorney (included on the signature page hereto)</w:t>
              </w:r>
            </w:hyperlink>
          </w:p>
        </w:tc>
        <w:tc>
          <w:tcPr>
            <w:tcW w:w="500" w:type="dxa"/>
            <w:vAlign w:val="bottom"/>
            <w:gridSpan w:val="3"/>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ind w:left="52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330"/>
        </w:trPr>
        <w:tc>
          <w:tcPr>
            <w:tcW w:w="540" w:type="dxa"/>
            <w:vAlign w:val="bottom"/>
          </w:tcPr>
          <w:p>
            <w:pPr>
              <w:jc w:val="right"/>
              <w:spacing w:after="0"/>
              <w:rPr>
                <w:sz w:val="20"/>
                <w:szCs w:val="20"/>
                <w:color w:val="auto"/>
              </w:rPr>
            </w:pPr>
            <w:r>
              <w:rPr>
                <w:rFonts w:ascii="Arial" w:cs="Arial" w:eastAsia="Arial" w:hAnsi="Arial"/>
                <w:sz w:val="18"/>
                <w:szCs w:val="18"/>
                <w:color w:val="auto"/>
                <w:w w:val="97"/>
              </w:rPr>
              <w:t>25.1**</w:t>
            </w:r>
          </w:p>
        </w:tc>
        <w:tc>
          <w:tcPr>
            <w:tcW w:w="220" w:type="dxa"/>
            <w:vAlign w:val="bottom"/>
          </w:tcPr>
          <w:p>
            <w:pPr>
              <w:spacing w:after="0"/>
              <w:rPr>
                <w:sz w:val="24"/>
                <w:szCs w:val="24"/>
                <w:color w:val="auto"/>
              </w:rPr>
            </w:pPr>
          </w:p>
        </w:tc>
        <w:tc>
          <w:tcPr>
            <w:tcW w:w="418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auto"/>
                <w:w w:val="97"/>
              </w:rPr>
              <w:t>Form T-1 Statement of Eligibility of Trustee for Senior</w:t>
            </w:r>
          </w:p>
        </w:tc>
        <w:tc>
          <w:tcPr>
            <w:tcW w:w="540" w:type="dxa"/>
            <w:vAlign w:val="bottom"/>
            <w:gridSpan w:val="4"/>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auto"/>
              </w:rPr>
              <w:t>Indenture under the Trust Indenture Act of 1939.</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40" w:type="dxa"/>
            <w:vAlign w:val="bottom"/>
          </w:tcPr>
          <w:p>
            <w:pPr>
              <w:jc w:val="right"/>
              <w:spacing w:after="0"/>
              <w:rPr>
                <w:sz w:val="20"/>
                <w:szCs w:val="20"/>
                <w:color w:val="auto"/>
              </w:rPr>
            </w:pPr>
            <w:r>
              <w:rPr>
                <w:rFonts w:ascii="Arial" w:cs="Arial" w:eastAsia="Arial" w:hAnsi="Arial"/>
                <w:sz w:val="18"/>
                <w:szCs w:val="18"/>
                <w:color w:val="auto"/>
                <w:w w:val="97"/>
              </w:rPr>
              <w:t>25.2**</w:t>
            </w:r>
          </w:p>
        </w:tc>
        <w:tc>
          <w:tcPr>
            <w:tcW w:w="220" w:type="dxa"/>
            <w:vAlign w:val="bottom"/>
          </w:tcPr>
          <w:p>
            <w:pPr>
              <w:spacing w:after="0"/>
              <w:rPr>
                <w:sz w:val="24"/>
                <w:szCs w:val="24"/>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auto"/>
                <w:w w:val="97"/>
              </w:rPr>
              <w:t>Form T-1 Statement of Eligibility of Trustee for Subordinated</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auto"/>
              </w:rPr>
              <w:t>Indenture under the Trust Indenture Act of 1939.</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0" w:right="120" w:hanging="4"/>
        <w:spacing w:after="0" w:line="342" w:lineRule="auto"/>
        <w:tabs>
          <w:tab w:leader="none" w:pos="552" w:val="left"/>
        </w:tabs>
        <w:numPr>
          <w:ilvl w:val="0"/>
          <w:numId w:val="35"/>
        </w:numPr>
        <w:rPr>
          <w:rFonts w:ascii="Arial" w:cs="Arial" w:eastAsia="Arial" w:hAnsi="Arial"/>
          <w:sz w:val="16"/>
          <w:szCs w:val="16"/>
          <w:b w:val="1"/>
          <w:bCs w:val="1"/>
          <w:color w:val="auto"/>
        </w:rPr>
      </w:pPr>
      <w:r>
        <w:rPr>
          <w:rFonts w:ascii="Arial" w:cs="Arial" w:eastAsia="Arial" w:hAnsi="Arial"/>
          <w:sz w:val="16"/>
          <w:szCs w:val="16"/>
          <w:color w:val="auto"/>
        </w:rPr>
        <w:t xml:space="preserve">To be filed, when and if necessary, as an exhibit to a Current Report on Form 8-K and incorporated by reference or by post-effective amendment. </w:t>
      </w:r>
      <w:r>
        <w:rPr>
          <w:rFonts w:ascii="Arial" w:cs="Arial" w:eastAsia="Arial" w:hAnsi="Arial"/>
          <w:sz w:val="16"/>
          <w:szCs w:val="16"/>
          <w:b w:val="1"/>
          <w:bCs w:val="1"/>
          <w:color w:val="auto"/>
        </w:rPr>
        <w:t xml:space="preserve">** </w:t>
      </w:r>
      <w:r>
        <w:rPr>
          <w:rFonts w:ascii="Arial" w:cs="Arial" w:eastAsia="Arial" w:hAnsi="Arial"/>
          <w:sz w:val="16"/>
          <w:szCs w:val="16"/>
          <w:color w:val="auto"/>
        </w:rPr>
        <w:t>To be filed in accordance with the requirements of Section 305(b)(2) of the Trust Indenture Act of 1939 and Rule 5b-3 thereunder.</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380" w:hanging="264"/>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 of 1933;</w:t>
      </w:r>
    </w:p>
    <w:p>
      <w:pPr>
        <w:spacing w:after="0" w:line="225" w:lineRule="exact"/>
        <w:rPr>
          <w:sz w:val="20"/>
          <w:szCs w:val="20"/>
          <w:color w:val="auto"/>
        </w:rPr>
      </w:pPr>
    </w:p>
    <w:p>
      <w:pPr>
        <w:ind w:left="120" w:right="160" w:hanging="4"/>
        <w:spacing w:after="0" w:line="254" w:lineRule="auto"/>
        <w:tabs>
          <w:tab w:leader="none" w:pos="3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94" w:lineRule="exact"/>
        <w:rPr>
          <w:rFonts w:ascii="Arial" w:cs="Arial" w:eastAsia="Arial" w:hAnsi="Arial"/>
          <w:sz w:val="18"/>
          <w:szCs w:val="18"/>
          <w:color w:val="auto"/>
        </w:rPr>
      </w:pPr>
    </w:p>
    <w:p>
      <w:pPr>
        <w:ind w:left="120" w:right="380" w:hanging="4"/>
        <w:spacing w:after="0" w:line="277" w:lineRule="auto"/>
        <w:tabs>
          <w:tab w:leader="none" w:pos="4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subparagraphs (i), (ii), and (iii)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ind w:left="120" w:right="60" w:hanging="4"/>
        <w:spacing w:after="0" w:line="263" w:lineRule="auto"/>
        <w:tabs>
          <w:tab w:leader="none" w:pos="3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183" w:lineRule="exact"/>
        <w:rPr>
          <w:rFonts w:ascii="Arial" w:cs="Arial" w:eastAsia="Arial" w:hAnsi="Arial"/>
          <w:sz w:val="18"/>
          <w:szCs w:val="18"/>
          <w:color w:val="auto"/>
        </w:rPr>
      </w:pPr>
    </w:p>
    <w:p>
      <w:pPr>
        <w:ind w:left="120" w:hanging="4"/>
        <w:spacing w:after="0" w:line="277" w:lineRule="auto"/>
        <w:tabs>
          <w:tab w:leader="none" w:pos="3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380" w:hanging="264"/>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sz w:val="20"/>
          <w:szCs w:val="20"/>
          <w:color w:val="auto"/>
        </w:rPr>
      </w:pPr>
    </w:p>
    <w:p>
      <w:pPr>
        <w:ind w:left="120" w:right="380" w:hanging="4"/>
        <w:spacing w:after="0" w:line="277"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120" w:right="20" w:hanging="4"/>
        <w:spacing w:after="0" w:line="257" w:lineRule="auto"/>
        <w:tabs>
          <w:tab w:leader="none" w:pos="3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 xml:space="preserve">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the registration statement or made in a document incorporated or</w:t>
      </w:r>
      <w:r>
        <w:rPr>
          <w:rFonts w:ascii="Arial" w:cs="Arial" w:eastAsia="Arial" w:hAnsi="Arial"/>
          <w:sz w:val="16"/>
          <w:szCs w:val="16"/>
          <w:i w:val="1"/>
          <w:iCs w:val="1"/>
          <w:color w:val="auto"/>
        </w:rPr>
        <w:t xml:space="preserve"> </w:t>
      </w:r>
      <w:r>
        <w:rPr>
          <w:rFonts w:ascii="Arial" w:cs="Arial" w:eastAsia="Arial" w:hAnsi="Arial"/>
          <w:sz w:val="16"/>
          <w:szCs w:val="16"/>
          <w:color w:val="auto"/>
        </w:rPr>
        <w:t>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64" w:lineRule="exact"/>
        <w:rPr>
          <w:sz w:val="20"/>
          <w:szCs w:val="20"/>
          <w:color w:val="auto"/>
        </w:rPr>
      </w:pPr>
    </w:p>
    <w:p>
      <w:pPr>
        <w:ind w:left="120" w:right="180" w:hanging="4"/>
        <w:spacing w:after="0" w:line="257" w:lineRule="auto"/>
        <w:tabs>
          <w:tab w:leader="none" w:pos="3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8" w:lineRule="exact"/>
        <w:rPr>
          <w:sz w:val="20"/>
          <w:szCs w:val="20"/>
          <w:color w:val="auto"/>
        </w:rPr>
      </w:pPr>
    </w:p>
    <w:p>
      <w:pPr>
        <w:ind w:left="340" w:hanging="224"/>
        <w:spacing w:after="0"/>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left="120" w:right="160" w:hanging="4"/>
        <w:spacing w:after="0" w:line="277" w:lineRule="auto"/>
        <w:tabs>
          <w:tab w:leader="none" w:pos="3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20" w:right="460" w:hanging="4"/>
        <w:spacing w:after="0" w:line="277" w:lineRule="auto"/>
        <w:tabs>
          <w:tab w:leader="none" w:pos="4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420" w:hanging="304"/>
        <w:spacing w:after="0"/>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120" w:right="200" w:hanging="4"/>
        <w:spacing w:after="0" w:line="257" w:lineRule="auto"/>
        <w:tabs>
          <w:tab w:leader="none" w:pos="3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left="120" w:hanging="4"/>
        <w:spacing w:after="0" w:line="271" w:lineRule="auto"/>
        <w:tabs>
          <w:tab w:leader="none" w:pos="365"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78" w:lineRule="exact"/>
        <w:rPr>
          <w:rFonts w:ascii="Arial" w:cs="Arial" w:eastAsia="Arial" w:hAnsi="Arial"/>
          <w:sz w:val="17"/>
          <w:szCs w:val="17"/>
          <w:color w:val="auto"/>
        </w:rPr>
      </w:pPr>
    </w:p>
    <w:p>
      <w:pPr>
        <w:ind w:left="120" w:right="160" w:hanging="4"/>
        <w:spacing w:after="0" w:line="263" w:lineRule="auto"/>
        <w:tabs>
          <w:tab w:leader="none" w:pos="3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and when applicable, the Registrant hereby further undertakes to file an application for the purpose of determining the eligibility of the trustee to act under subsection (a) of Section 310 of the Trust Indenture Act in accordance with the rules and regulations prescribed by the Securities and Exchange Commission under Section 305(b)(2) of the Trust Indenture Act.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120" w:right="56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 Diego, State of California, on December 30, 2021.</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5715</wp:posOffset>
            </wp:positionV>
            <wp:extent cx="25628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Hamza Suria</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each person whose signature appears below hereby constitutes and appoints Hamza Suria and</w:t>
      </w:r>
      <w:r>
        <w:rPr>
          <w:rFonts w:ascii="Arial" w:cs="Arial" w:eastAsia="Arial" w:hAnsi="Arial"/>
          <w:sz w:val="17"/>
          <w:szCs w:val="17"/>
          <w:b w:val="1"/>
          <w:bCs w:val="1"/>
          <w:color w:val="auto"/>
        </w:rPr>
        <w:t xml:space="preserve"> </w:t>
      </w:r>
      <w:r>
        <w:rPr>
          <w:rFonts w:ascii="Arial" w:cs="Arial" w:eastAsia="Arial" w:hAnsi="Arial"/>
          <w:sz w:val="17"/>
          <w:szCs w:val="17"/>
          <w:color w:val="auto"/>
        </w:rPr>
        <w:t>Dennis Mulroy, or each one of them individually, as the undersigned’s true and lawful attorney-in-fact and agents, with full power of substitution and resubstitution for such person and in such person’s name, place and stead, in any and all capacities, to sign any and all amendments (including post-effective amendments, exhibits thereto, and other documents in connection therewith to this Registration Statement and any later registration statement filed by the registrant under Rule 462(b) of the Securities Act of 1933, which relates to this Registration Statement) and to file the same with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such person might or could do in person, hereby ratifying and confirming all that each of said attorney-in-fact and agent, or their substitute or substitutes may lawfully do or cause to be done by virtue hereof.</w:t>
      </w:r>
    </w:p>
    <w:p>
      <w:pPr>
        <w:spacing w:after="0" w:line="178"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140" w:type="dxa"/>
            <w:vAlign w:val="bottom"/>
          </w:tcPr>
          <w:p>
            <w:pPr>
              <w:spacing w:after="0"/>
              <w:rPr>
                <w:sz w:val="16"/>
                <w:szCs w:val="16"/>
                <w:color w:val="auto"/>
              </w:rPr>
            </w:pPr>
          </w:p>
        </w:tc>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w:t>
            </w:r>
          </w:p>
        </w:tc>
      </w:tr>
      <w:tr>
        <w:trPr>
          <w:trHeight w:val="412"/>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Hamza Suria</w:t>
            </w:r>
          </w:p>
        </w:tc>
        <w:tc>
          <w:tcPr>
            <w:tcW w:w="140" w:type="dxa"/>
            <w:vAlign w:val="bottom"/>
          </w:tcPr>
          <w:p>
            <w:pPr>
              <w:spacing w:after="0"/>
              <w:rPr>
                <w:sz w:val="24"/>
                <w:szCs w:val="24"/>
                <w:color w:val="auto"/>
              </w:rPr>
            </w:pPr>
          </w:p>
        </w:tc>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President, Chief Executive Officer</w:t>
            </w:r>
          </w:p>
        </w:tc>
        <w:tc>
          <w:tcPr>
            <w:tcW w:w="1980" w:type="dxa"/>
            <w:vAlign w:val="bottom"/>
          </w:tcPr>
          <w:p>
            <w:pPr>
              <w:ind w:left="280"/>
              <w:spacing w:after="0"/>
              <w:rPr>
                <w:sz w:val="20"/>
                <w:szCs w:val="20"/>
                <w:color w:val="auto"/>
              </w:rPr>
            </w:pPr>
            <w:r>
              <w:rPr>
                <w:rFonts w:ascii="Arial" w:cs="Arial" w:eastAsia="Arial" w:hAnsi="Arial"/>
                <w:sz w:val="18"/>
                <w:szCs w:val="18"/>
                <w:color w:val="auto"/>
              </w:rPr>
              <w:t>December 22, 2021</w:t>
            </w:r>
          </w:p>
        </w:tc>
      </w:tr>
      <w:tr>
        <w:trPr>
          <w:trHeight w:val="182"/>
        </w:trPr>
        <w:tc>
          <w:tcPr>
            <w:tcW w:w="4400" w:type="dxa"/>
            <w:vAlign w:val="bottom"/>
          </w:tcPr>
          <w:p>
            <w:pPr>
              <w:jc w:val="center"/>
              <w:spacing w:after="0" w:line="182" w:lineRule="exact"/>
              <w:rPr>
                <w:sz w:val="20"/>
                <w:szCs w:val="20"/>
                <w:color w:val="auto"/>
              </w:rPr>
            </w:pPr>
            <w:r>
              <w:rPr>
                <w:rFonts w:ascii="Arial" w:cs="Arial" w:eastAsia="Arial" w:hAnsi="Arial"/>
                <w:sz w:val="18"/>
                <w:szCs w:val="18"/>
                <w:color w:val="auto"/>
                <w:w w:val="90"/>
              </w:rPr>
              <w:t>Hamza Suria</w:t>
            </w:r>
          </w:p>
        </w:tc>
        <w:tc>
          <w:tcPr>
            <w:tcW w:w="140" w:type="dxa"/>
            <w:vAlign w:val="bottom"/>
          </w:tcPr>
          <w:p>
            <w:pPr>
              <w:spacing w:after="0"/>
              <w:rPr>
                <w:sz w:val="15"/>
                <w:szCs w:val="15"/>
                <w:color w:val="auto"/>
              </w:rPr>
            </w:pPr>
          </w:p>
        </w:tc>
        <w:tc>
          <w:tcPr>
            <w:tcW w:w="4500" w:type="dxa"/>
            <w:vAlign w:val="bottom"/>
            <w:gridSpan w:val="2"/>
          </w:tcPr>
          <w:p>
            <w:pPr>
              <w:jc w:val="center"/>
              <w:ind w:right="120"/>
              <w:spacing w:after="0" w:line="182" w:lineRule="exact"/>
              <w:rPr>
                <w:sz w:val="20"/>
                <w:szCs w:val="20"/>
                <w:color w:val="auto"/>
              </w:rPr>
            </w:pPr>
            <w:r>
              <w:rPr>
                <w:rFonts w:ascii="Arial" w:cs="Arial" w:eastAsia="Arial" w:hAnsi="Arial"/>
                <w:sz w:val="18"/>
                <w:szCs w:val="18"/>
                <w:color w:val="auto"/>
                <w:w w:val="91"/>
              </w:rPr>
              <w:t>and Director</w:t>
            </w:r>
          </w:p>
        </w:tc>
        <w:tc>
          <w:tcPr>
            <w:tcW w:w="1980" w:type="dxa"/>
            <w:vAlign w:val="bottom"/>
          </w:tcPr>
          <w:p>
            <w:pPr>
              <w:spacing w:after="0"/>
              <w:rPr>
                <w:sz w:val="15"/>
                <w:szCs w:val="15"/>
                <w:color w:val="auto"/>
              </w:rPr>
            </w:pPr>
          </w:p>
        </w:tc>
      </w:tr>
      <w:tr>
        <w:trPr>
          <w:trHeight w:val="230"/>
        </w:trPr>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Executive Officer)</w:t>
            </w:r>
          </w:p>
        </w:tc>
        <w:tc>
          <w:tcPr>
            <w:tcW w:w="1980" w:type="dxa"/>
            <w:vAlign w:val="bottom"/>
          </w:tcPr>
          <w:p>
            <w:pPr>
              <w:spacing w:after="0"/>
              <w:rPr>
                <w:sz w:val="20"/>
                <w:szCs w:val="20"/>
                <w:color w:val="auto"/>
              </w:rPr>
            </w:pPr>
          </w:p>
        </w:tc>
      </w:tr>
      <w:tr>
        <w:trPr>
          <w:trHeight w:val="445"/>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Dennis Mulroy</w:t>
            </w:r>
          </w:p>
        </w:tc>
        <w:tc>
          <w:tcPr>
            <w:tcW w:w="140" w:type="dxa"/>
            <w:vAlign w:val="bottom"/>
          </w:tcPr>
          <w:p>
            <w:pPr>
              <w:spacing w:after="0"/>
              <w:rPr>
                <w:sz w:val="24"/>
                <w:szCs w:val="24"/>
                <w:color w:val="auto"/>
              </w:rPr>
            </w:pPr>
          </w:p>
        </w:tc>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Chief Financial Officer</w:t>
            </w:r>
          </w:p>
        </w:tc>
        <w:tc>
          <w:tcPr>
            <w:tcW w:w="1980" w:type="dxa"/>
            <w:vAlign w:val="bottom"/>
          </w:tcPr>
          <w:p>
            <w:pPr>
              <w:ind w:left="280"/>
              <w:spacing w:after="0"/>
              <w:rPr>
                <w:sz w:val="20"/>
                <w:szCs w:val="20"/>
                <w:color w:val="auto"/>
              </w:rPr>
            </w:pPr>
            <w:r>
              <w:rPr>
                <w:rFonts w:ascii="Arial" w:cs="Arial" w:eastAsia="Arial" w:hAnsi="Arial"/>
                <w:sz w:val="18"/>
                <w:szCs w:val="18"/>
                <w:color w:val="auto"/>
              </w:rPr>
              <w:t>December 22, 2021</w:t>
            </w:r>
          </w:p>
        </w:tc>
      </w:tr>
      <w:tr>
        <w:trPr>
          <w:trHeight w:val="224"/>
        </w:trPr>
        <w:tc>
          <w:tcPr>
            <w:tcW w:w="4400" w:type="dxa"/>
            <w:vAlign w:val="bottom"/>
          </w:tcPr>
          <w:p>
            <w:pPr>
              <w:jc w:val="center"/>
              <w:spacing w:after="0"/>
              <w:rPr>
                <w:sz w:val="20"/>
                <w:szCs w:val="20"/>
                <w:color w:val="auto"/>
              </w:rPr>
            </w:pPr>
            <w:r>
              <w:rPr>
                <w:rFonts w:ascii="Arial" w:cs="Arial" w:eastAsia="Arial" w:hAnsi="Arial"/>
                <w:sz w:val="18"/>
                <w:szCs w:val="18"/>
                <w:color w:val="auto"/>
                <w:w w:val="95"/>
              </w:rPr>
              <w:t>Dennis Mulroy</w:t>
            </w:r>
          </w:p>
        </w:tc>
        <w:tc>
          <w:tcPr>
            <w:tcW w:w="140" w:type="dxa"/>
            <w:vAlign w:val="bottom"/>
          </w:tcPr>
          <w:p>
            <w:pPr>
              <w:spacing w:after="0"/>
              <w:rPr>
                <w:sz w:val="19"/>
                <w:szCs w:val="19"/>
                <w:color w:val="auto"/>
              </w:rPr>
            </w:pPr>
          </w:p>
        </w:tc>
        <w:tc>
          <w:tcPr>
            <w:tcW w:w="45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Accounting and Financial Officer)</w:t>
            </w:r>
          </w:p>
        </w:tc>
        <w:tc>
          <w:tcPr>
            <w:tcW w:w="1980" w:type="dxa"/>
            <w:vAlign w:val="bottom"/>
          </w:tcPr>
          <w:p>
            <w:pPr>
              <w:spacing w:after="0"/>
              <w:rPr>
                <w:sz w:val="19"/>
                <w:szCs w:val="19"/>
                <w:color w:val="auto"/>
              </w:rPr>
            </w:pPr>
          </w:p>
        </w:tc>
      </w:tr>
      <w:tr>
        <w:trPr>
          <w:trHeight w:val="431"/>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Daniel Faga</w:t>
            </w:r>
          </w:p>
        </w:tc>
        <w:tc>
          <w:tcPr>
            <w:tcW w:w="140" w:type="dxa"/>
            <w:vAlign w:val="bottom"/>
          </w:tcPr>
          <w:p>
            <w:pPr>
              <w:spacing w:after="0"/>
              <w:rPr>
                <w:sz w:val="24"/>
                <w:szCs w:val="24"/>
                <w:color w:val="auto"/>
              </w:rPr>
            </w:pPr>
          </w:p>
        </w:tc>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ind w:left="280"/>
              <w:spacing w:after="0"/>
              <w:rPr>
                <w:sz w:val="20"/>
                <w:szCs w:val="20"/>
                <w:color w:val="auto"/>
              </w:rPr>
            </w:pPr>
            <w:r>
              <w:rPr>
                <w:rFonts w:ascii="Arial" w:cs="Arial" w:eastAsia="Arial" w:hAnsi="Arial"/>
                <w:sz w:val="18"/>
                <w:szCs w:val="18"/>
                <w:color w:val="auto"/>
              </w:rPr>
              <w:t>December 22, 2021</w:t>
            </w:r>
          </w:p>
        </w:tc>
      </w:tr>
      <w:tr>
        <w:trPr>
          <w:trHeight w:val="224"/>
        </w:trPr>
        <w:tc>
          <w:tcPr>
            <w:tcW w:w="4400" w:type="dxa"/>
            <w:vAlign w:val="bottom"/>
          </w:tcPr>
          <w:p>
            <w:pPr>
              <w:jc w:val="center"/>
              <w:spacing w:after="0"/>
              <w:rPr>
                <w:sz w:val="20"/>
                <w:szCs w:val="20"/>
                <w:color w:val="auto"/>
              </w:rPr>
            </w:pPr>
            <w:r>
              <w:rPr>
                <w:rFonts w:ascii="Arial" w:cs="Arial" w:eastAsia="Arial" w:hAnsi="Arial"/>
                <w:sz w:val="18"/>
                <w:szCs w:val="18"/>
                <w:color w:val="auto"/>
                <w:w w:val="90"/>
              </w:rPr>
              <w:t>Daniel Faga</w:t>
            </w:r>
          </w:p>
        </w:tc>
        <w:tc>
          <w:tcPr>
            <w:tcW w:w="1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31"/>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Dennis Fenton</w:t>
            </w:r>
          </w:p>
        </w:tc>
        <w:tc>
          <w:tcPr>
            <w:tcW w:w="140" w:type="dxa"/>
            <w:vAlign w:val="bottom"/>
          </w:tcPr>
          <w:p>
            <w:pPr>
              <w:spacing w:after="0"/>
              <w:rPr>
                <w:sz w:val="24"/>
                <w:szCs w:val="24"/>
                <w:color w:val="auto"/>
              </w:rPr>
            </w:pPr>
          </w:p>
        </w:tc>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ind w:left="280"/>
              <w:spacing w:after="0"/>
              <w:rPr>
                <w:sz w:val="20"/>
                <w:szCs w:val="20"/>
                <w:color w:val="auto"/>
              </w:rPr>
            </w:pPr>
            <w:r>
              <w:rPr>
                <w:rFonts w:ascii="Arial" w:cs="Arial" w:eastAsia="Arial" w:hAnsi="Arial"/>
                <w:sz w:val="18"/>
                <w:szCs w:val="18"/>
                <w:color w:val="auto"/>
              </w:rPr>
              <w:t>December 22, 2021</w:t>
            </w:r>
          </w:p>
        </w:tc>
      </w:tr>
      <w:tr>
        <w:trPr>
          <w:trHeight w:val="224"/>
        </w:trPr>
        <w:tc>
          <w:tcPr>
            <w:tcW w:w="4400" w:type="dxa"/>
            <w:vAlign w:val="bottom"/>
          </w:tcPr>
          <w:p>
            <w:pPr>
              <w:jc w:val="center"/>
              <w:spacing w:after="0"/>
              <w:rPr>
                <w:sz w:val="20"/>
                <w:szCs w:val="20"/>
                <w:color w:val="auto"/>
              </w:rPr>
            </w:pPr>
            <w:r>
              <w:rPr>
                <w:rFonts w:ascii="Arial" w:cs="Arial" w:eastAsia="Arial" w:hAnsi="Arial"/>
                <w:sz w:val="18"/>
                <w:szCs w:val="18"/>
                <w:color w:val="auto"/>
                <w:w w:val="90"/>
              </w:rPr>
              <w:t>Dennis Fenton, Ph. D.</w:t>
            </w:r>
          </w:p>
        </w:tc>
        <w:tc>
          <w:tcPr>
            <w:tcW w:w="1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31"/>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Laura J. Hamill</w:t>
            </w:r>
          </w:p>
        </w:tc>
        <w:tc>
          <w:tcPr>
            <w:tcW w:w="140" w:type="dxa"/>
            <w:vAlign w:val="bottom"/>
          </w:tcPr>
          <w:p>
            <w:pPr>
              <w:spacing w:after="0"/>
              <w:rPr>
                <w:sz w:val="24"/>
                <w:szCs w:val="24"/>
                <w:color w:val="auto"/>
              </w:rPr>
            </w:pPr>
          </w:p>
        </w:tc>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ind w:left="280"/>
              <w:spacing w:after="0"/>
              <w:rPr>
                <w:sz w:val="20"/>
                <w:szCs w:val="20"/>
                <w:color w:val="auto"/>
              </w:rPr>
            </w:pPr>
            <w:r>
              <w:rPr>
                <w:rFonts w:ascii="Arial" w:cs="Arial" w:eastAsia="Arial" w:hAnsi="Arial"/>
                <w:sz w:val="18"/>
                <w:szCs w:val="18"/>
                <w:color w:val="auto"/>
              </w:rPr>
              <w:t>December 22, 2021</w:t>
            </w:r>
          </w:p>
        </w:tc>
      </w:tr>
      <w:tr>
        <w:trPr>
          <w:trHeight w:val="224"/>
        </w:trPr>
        <w:tc>
          <w:tcPr>
            <w:tcW w:w="4400" w:type="dxa"/>
            <w:vAlign w:val="bottom"/>
          </w:tcPr>
          <w:p>
            <w:pPr>
              <w:jc w:val="center"/>
              <w:spacing w:after="0"/>
              <w:rPr>
                <w:sz w:val="20"/>
                <w:szCs w:val="20"/>
                <w:color w:val="auto"/>
              </w:rPr>
            </w:pPr>
            <w:r>
              <w:rPr>
                <w:rFonts w:ascii="Arial" w:cs="Arial" w:eastAsia="Arial" w:hAnsi="Arial"/>
                <w:sz w:val="18"/>
                <w:szCs w:val="18"/>
                <w:color w:val="auto"/>
                <w:w w:val="93"/>
              </w:rPr>
              <w:t>Laura J. Hamill</w:t>
            </w:r>
          </w:p>
        </w:tc>
        <w:tc>
          <w:tcPr>
            <w:tcW w:w="1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31"/>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Magda Marquet</w:t>
            </w:r>
          </w:p>
        </w:tc>
        <w:tc>
          <w:tcPr>
            <w:tcW w:w="140" w:type="dxa"/>
            <w:vAlign w:val="bottom"/>
          </w:tcPr>
          <w:p>
            <w:pPr>
              <w:spacing w:after="0"/>
              <w:rPr>
                <w:sz w:val="24"/>
                <w:szCs w:val="24"/>
                <w:color w:val="auto"/>
              </w:rPr>
            </w:pPr>
          </w:p>
        </w:tc>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ind w:left="280"/>
              <w:spacing w:after="0"/>
              <w:rPr>
                <w:sz w:val="20"/>
                <w:szCs w:val="20"/>
                <w:color w:val="auto"/>
              </w:rPr>
            </w:pPr>
            <w:r>
              <w:rPr>
                <w:rFonts w:ascii="Arial" w:cs="Arial" w:eastAsia="Arial" w:hAnsi="Arial"/>
                <w:sz w:val="18"/>
                <w:szCs w:val="18"/>
                <w:color w:val="auto"/>
              </w:rPr>
              <w:t>December 22, 2021</w:t>
            </w:r>
          </w:p>
        </w:tc>
      </w:tr>
      <w:tr>
        <w:trPr>
          <w:trHeight w:val="224"/>
        </w:trPr>
        <w:tc>
          <w:tcPr>
            <w:tcW w:w="4400" w:type="dxa"/>
            <w:vAlign w:val="bottom"/>
          </w:tcPr>
          <w:p>
            <w:pPr>
              <w:jc w:val="center"/>
              <w:spacing w:after="0"/>
              <w:rPr>
                <w:sz w:val="20"/>
                <w:szCs w:val="20"/>
                <w:color w:val="auto"/>
              </w:rPr>
            </w:pPr>
            <w:r>
              <w:rPr>
                <w:rFonts w:ascii="Arial" w:cs="Arial" w:eastAsia="Arial" w:hAnsi="Arial"/>
                <w:sz w:val="18"/>
                <w:szCs w:val="18"/>
                <w:color w:val="auto"/>
                <w:w w:val="91"/>
              </w:rPr>
              <w:t>Magda Marquet, Ph.D.</w:t>
            </w:r>
          </w:p>
        </w:tc>
        <w:tc>
          <w:tcPr>
            <w:tcW w:w="1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bl>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/s/ Oleg Nodelman</w:t>
            </w:r>
          </w:p>
        </w:tc>
        <w:tc>
          <w:tcPr>
            <w:tcW w:w="3780" w:type="dxa"/>
            <w:vAlign w:val="bottom"/>
          </w:tcPr>
          <w:p>
            <w:pPr>
              <w:ind w:left="2040"/>
              <w:spacing w:after="0"/>
              <w:rPr>
                <w:sz w:val="20"/>
                <w:szCs w:val="20"/>
                <w:color w:val="auto"/>
              </w:rPr>
            </w:pPr>
            <w:r>
              <w:rPr>
                <w:rFonts w:ascii="Arial" w:cs="Arial" w:eastAsia="Arial" w:hAnsi="Arial"/>
                <w:sz w:val="17"/>
                <w:szCs w:val="17"/>
                <w:color w:val="auto"/>
              </w:rPr>
              <w:t>Director</w:t>
            </w:r>
          </w:p>
        </w:tc>
        <w:tc>
          <w:tcPr>
            <w:tcW w:w="2520" w:type="dxa"/>
            <w:vAlign w:val="bottom"/>
          </w:tcPr>
          <w:p>
            <w:pPr>
              <w:ind w:left="1180"/>
              <w:spacing w:after="0"/>
              <w:rPr>
                <w:sz w:val="20"/>
                <w:szCs w:val="20"/>
                <w:color w:val="auto"/>
              </w:rPr>
            </w:pPr>
            <w:r>
              <w:rPr>
                <w:rFonts w:ascii="Arial" w:cs="Arial" w:eastAsia="Arial" w:hAnsi="Arial"/>
                <w:sz w:val="17"/>
                <w:szCs w:val="17"/>
                <w:color w:val="auto"/>
                <w:w w:val="88"/>
              </w:rPr>
              <w:t>December 22, 2021</w:t>
            </w:r>
          </w:p>
        </w:tc>
      </w:tr>
      <w:tr>
        <w:trPr>
          <w:trHeight w:val="212"/>
        </w:trPr>
        <w:tc>
          <w:tcPr>
            <w:tcW w:w="4400" w:type="dxa"/>
            <w:vAlign w:val="bottom"/>
          </w:tcPr>
          <w:p>
            <w:pPr>
              <w:jc w:val="center"/>
              <w:spacing w:after="0"/>
              <w:rPr>
                <w:sz w:val="20"/>
                <w:szCs w:val="20"/>
                <w:color w:val="auto"/>
              </w:rPr>
            </w:pPr>
            <w:r>
              <w:rPr>
                <w:rFonts w:ascii="Arial" w:cs="Arial" w:eastAsia="Arial" w:hAnsi="Arial"/>
                <w:sz w:val="17"/>
                <w:szCs w:val="17"/>
                <w:color w:val="auto"/>
                <w:w w:val="91"/>
              </w:rPr>
              <w:t>Oleg Nodelman</w:t>
            </w:r>
          </w:p>
        </w:tc>
        <w:tc>
          <w:tcPr>
            <w:tcW w:w="378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416"/>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Hollings Renton</w:t>
            </w:r>
          </w:p>
        </w:tc>
        <w:tc>
          <w:tcPr>
            <w:tcW w:w="3780" w:type="dxa"/>
            <w:vAlign w:val="bottom"/>
          </w:tcPr>
          <w:p>
            <w:pPr>
              <w:ind w:left="2040"/>
              <w:spacing w:after="0"/>
              <w:rPr>
                <w:sz w:val="20"/>
                <w:szCs w:val="20"/>
                <w:color w:val="auto"/>
              </w:rPr>
            </w:pPr>
            <w:r>
              <w:rPr>
                <w:rFonts w:ascii="Arial" w:cs="Arial" w:eastAsia="Arial" w:hAnsi="Arial"/>
                <w:sz w:val="17"/>
                <w:szCs w:val="17"/>
                <w:color w:val="auto"/>
              </w:rPr>
              <w:t>Director</w:t>
            </w:r>
          </w:p>
        </w:tc>
        <w:tc>
          <w:tcPr>
            <w:tcW w:w="2520" w:type="dxa"/>
            <w:vAlign w:val="bottom"/>
          </w:tcPr>
          <w:p>
            <w:pPr>
              <w:ind w:left="1180"/>
              <w:spacing w:after="0"/>
              <w:rPr>
                <w:sz w:val="20"/>
                <w:szCs w:val="20"/>
                <w:color w:val="auto"/>
              </w:rPr>
            </w:pPr>
            <w:r>
              <w:rPr>
                <w:rFonts w:ascii="Arial" w:cs="Arial" w:eastAsia="Arial" w:hAnsi="Arial"/>
                <w:sz w:val="17"/>
                <w:szCs w:val="17"/>
                <w:color w:val="auto"/>
                <w:w w:val="88"/>
              </w:rPr>
              <w:t>December 23, 2021</w:t>
            </w:r>
          </w:p>
        </w:tc>
      </w:tr>
      <w:tr>
        <w:trPr>
          <w:trHeight w:val="212"/>
        </w:trPr>
        <w:tc>
          <w:tcPr>
            <w:tcW w:w="4400" w:type="dxa"/>
            <w:vAlign w:val="bottom"/>
          </w:tcPr>
          <w:p>
            <w:pPr>
              <w:jc w:val="center"/>
              <w:spacing w:after="0"/>
              <w:rPr>
                <w:sz w:val="20"/>
                <w:szCs w:val="20"/>
                <w:color w:val="auto"/>
              </w:rPr>
            </w:pPr>
            <w:r>
              <w:rPr>
                <w:rFonts w:ascii="Arial" w:cs="Arial" w:eastAsia="Arial" w:hAnsi="Arial"/>
                <w:sz w:val="17"/>
                <w:szCs w:val="17"/>
                <w:color w:val="auto"/>
                <w:w w:val="93"/>
              </w:rPr>
              <w:t>Hollings Renton</w:t>
            </w:r>
          </w:p>
        </w:tc>
        <w:tc>
          <w:tcPr>
            <w:tcW w:w="378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416"/>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/s/ John Schmid</w:t>
            </w:r>
          </w:p>
        </w:tc>
        <w:tc>
          <w:tcPr>
            <w:tcW w:w="3780" w:type="dxa"/>
            <w:vAlign w:val="bottom"/>
          </w:tcPr>
          <w:p>
            <w:pPr>
              <w:ind w:left="2040"/>
              <w:spacing w:after="0"/>
              <w:rPr>
                <w:sz w:val="20"/>
                <w:szCs w:val="20"/>
                <w:color w:val="auto"/>
              </w:rPr>
            </w:pPr>
            <w:r>
              <w:rPr>
                <w:rFonts w:ascii="Arial" w:cs="Arial" w:eastAsia="Arial" w:hAnsi="Arial"/>
                <w:sz w:val="17"/>
                <w:szCs w:val="17"/>
                <w:color w:val="auto"/>
              </w:rPr>
              <w:t>Director</w:t>
            </w:r>
          </w:p>
        </w:tc>
        <w:tc>
          <w:tcPr>
            <w:tcW w:w="2520" w:type="dxa"/>
            <w:vAlign w:val="bottom"/>
          </w:tcPr>
          <w:p>
            <w:pPr>
              <w:ind w:left="1180"/>
              <w:spacing w:after="0"/>
              <w:rPr>
                <w:sz w:val="20"/>
                <w:szCs w:val="20"/>
                <w:color w:val="auto"/>
              </w:rPr>
            </w:pPr>
            <w:r>
              <w:rPr>
                <w:rFonts w:ascii="Arial" w:cs="Arial" w:eastAsia="Arial" w:hAnsi="Arial"/>
                <w:sz w:val="17"/>
                <w:szCs w:val="17"/>
                <w:color w:val="auto"/>
                <w:w w:val="88"/>
              </w:rPr>
              <w:t>December 23, 2021</w:t>
            </w:r>
          </w:p>
        </w:tc>
      </w:tr>
      <w:tr>
        <w:trPr>
          <w:trHeight w:val="212"/>
        </w:trPr>
        <w:tc>
          <w:tcPr>
            <w:tcW w:w="4400" w:type="dxa"/>
            <w:vAlign w:val="bottom"/>
          </w:tcPr>
          <w:p>
            <w:pPr>
              <w:jc w:val="center"/>
              <w:spacing w:after="0"/>
              <w:rPr>
                <w:sz w:val="20"/>
                <w:szCs w:val="20"/>
                <w:color w:val="auto"/>
              </w:rPr>
            </w:pPr>
            <w:r>
              <w:rPr>
                <w:rFonts w:ascii="Arial" w:cs="Arial" w:eastAsia="Arial" w:hAnsi="Arial"/>
                <w:sz w:val="17"/>
                <w:szCs w:val="17"/>
                <w:color w:val="auto"/>
                <w:w w:val="89"/>
              </w:rPr>
              <w:t>John Schmid</w:t>
            </w:r>
          </w:p>
        </w:tc>
        <w:tc>
          <w:tcPr>
            <w:tcW w:w="378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416"/>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/s/ James N. Topper</w:t>
            </w:r>
          </w:p>
        </w:tc>
        <w:tc>
          <w:tcPr>
            <w:tcW w:w="3780" w:type="dxa"/>
            <w:vAlign w:val="bottom"/>
          </w:tcPr>
          <w:p>
            <w:pPr>
              <w:ind w:left="2040"/>
              <w:spacing w:after="0"/>
              <w:rPr>
                <w:sz w:val="20"/>
                <w:szCs w:val="20"/>
                <w:color w:val="auto"/>
              </w:rPr>
            </w:pPr>
            <w:r>
              <w:rPr>
                <w:rFonts w:ascii="Arial" w:cs="Arial" w:eastAsia="Arial" w:hAnsi="Arial"/>
                <w:sz w:val="17"/>
                <w:szCs w:val="17"/>
                <w:color w:val="auto"/>
              </w:rPr>
              <w:t>Director</w:t>
            </w:r>
          </w:p>
        </w:tc>
        <w:tc>
          <w:tcPr>
            <w:tcW w:w="2520" w:type="dxa"/>
            <w:vAlign w:val="bottom"/>
          </w:tcPr>
          <w:p>
            <w:pPr>
              <w:ind w:left="1180"/>
              <w:spacing w:after="0"/>
              <w:rPr>
                <w:sz w:val="20"/>
                <w:szCs w:val="20"/>
                <w:color w:val="auto"/>
              </w:rPr>
            </w:pPr>
            <w:r>
              <w:rPr>
                <w:rFonts w:ascii="Arial" w:cs="Arial" w:eastAsia="Arial" w:hAnsi="Arial"/>
                <w:sz w:val="17"/>
                <w:szCs w:val="17"/>
                <w:color w:val="auto"/>
                <w:w w:val="88"/>
              </w:rPr>
              <w:t>December 22, 2021</w:t>
            </w:r>
          </w:p>
        </w:tc>
      </w:tr>
      <w:tr>
        <w:trPr>
          <w:trHeight w:val="212"/>
        </w:trPr>
        <w:tc>
          <w:tcPr>
            <w:tcW w:w="4400" w:type="dxa"/>
            <w:vAlign w:val="bottom"/>
          </w:tcPr>
          <w:p>
            <w:pPr>
              <w:jc w:val="center"/>
              <w:spacing w:after="0"/>
              <w:rPr>
                <w:sz w:val="20"/>
                <w:szCs w:val="20"/>
                <w:color w:val="auto"/>
              </w:rPr>
            </w:pPr>
            <w:r>
              <w:rPr>
                <w:rFonts w:ascii="Arial" w:cs="Arial" w:eastAsia="Arial" w:hAnsi="Arial"/>
                <w:sz w:val="17"/>
                <w:szCs w:val="17"/>
                <w:color w:val="auto"/>
                <w:w w:val="90"/>
              </w:rPr>
              <w:t>James N. Topper, M.D., Ph.D.</w:t>
            </w:r>
          </w:p>
        </w:tc>
        <w:tc>
          <w:tcPr>
            <w:tcW w:w="378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416"/>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/s/ J. Anthony Ware</w:t>
            </w:r>
          </w:p>
        </w:tc>
        <w:tc>
          <w:tcPr>
            <w:tcW w:w="3780" w:type="dxa"/>
            <w:vAlign w:val="bottom"/>
          </w:tcPr>
          <w:p>
            <w:pPr>
              <w:ind w:left="2040"/>
              <w:spacing w:after="0"/>
              <w:rPr>
                <w:sz w:val="20"/>
                <w:szCs w:val="20"/>
                <w:color w:val="auto"/>
              </w:rPr>
            </w:pPr>
            <w:r>
              <w:rPr>
                <w:rFonts w:ascii="Arial" w:cs="Arial" w:eastAsia="Arial" w:hAnsi="Arial"/>
                <w:sz w:val="17"/>
                <w:szCs w:val="17"/>
                <w:color w:val="auto"/>
              </w:rPr>
              <w:t>Director</w:t>
            </w:r>
          </w:p>
        </w:tc>
        <w:tc>
          <w:tcPr>
            <w:tcW w:w="2520" w:type="dxa"/>
            <w:vAlign w:val="bottom"/>
          </w:tcPr>
          <w:p>
            <w:pPr>
              <w:ind w:left="1180"/>
              <w:spacing w:after="0"/>
              <w:rPr>
                <w:sz w:val="20"/>
                <w:szCs w:val="20"/>
                <w:color w:val="auto"/>
              </w:rPr>
            </w:pPr>
            <w:r>
              <w:rPr>
                <w:rFonts w:ascii="Arial" w:cs="Arial" w:eastAsia="Arial" w:hAnsi="Arial"/>
                <w:sz w:val="17"/>
                <w:szCs w:val="17"/>
                <w:color w:val="auto"/>
                <w:w w:val="88"/>
              </w:rPr>
              <w:t>December 22, 2021</w:t>
            </w:r>
          </w:p>
        </w:tc>
      </w:tr>
      <w:tr>
        <w:trPr>
          <w:trHeight w:val="212"/>
        </w:trPr>
        <w:tc>
          <w:tcPr>
            <w:tcW w:w="4400" w:type="dxa"/>
            <w:vAlign w:val="bottom"/>
          </w:tcPr>
          <w:p>
            <w:pPr>
              <w:jc w:val="center"/>
              <w:spacing w:after="0"/>
              <w:rPr>
                <w:sz w:val="20"/>
                <w:szCs w:val="20"/>
                <w:color w:val="auto"/>
              </w:rPr>
            </w:pPr>
            <w:r>
              <w:rPr>
                <w:rFonts w:ascii="Arial" w:cs="Arial" w:eastAsia="Arial" w:hAnsi="Arial"/>
                <w:sz w:val="17"/>
                <w:szCs w:val="17"/>
                <w:color w:val="auto"/>
                <w:w w:val="93"/>
              </w:rPr>
              <w:t>J. Anthony Ware, M.D.</w:t>
            </w:r>
          </w:p>
        </w:tc>
        <w:tc>
          <w:tcPr>
            <w:tcW w:w="3780" w:type="dxa"/>
            <w:vAlign w:val="bottom"/>
          </w:tcPr>
          <w:p>
            <w:pPr>
              <w:spacing w:after="0"/>
              <w:rPr>
                <w:sz w:val="18"/>
                <w:szCs w:val="18"/>
                <w:color w:val="auto"/>
              </w:rPr>
            </w:pPr>
          </w:p>
        </w:tc>
        <w:tc>
          <w:tcPr>
            <w:tcW w:w="2520" w:type="dxa"/>
            <w:vAlign w:val="bottom"/>
          </w:tcPr>
          <w:p>
            <w:pPr>
              <w:spacing w:after="0"/>
              <w:rPr>
                <w:sz w:val="18"/>
                <w:szCs w:val="18"/>
                <w:color w:val="auto"/>
              </w:rPr>
            </w:pPr>
          </w:p>
        </w:tc>
      </w:tr>
    </w:tbl>
    <w:p>
      <w:pPr>
        <w:sectPr>
          <w:pgSz w:w="11900" w:h="16838" w:orient="portrait"/>
          <w:cols w:equalWidth="0" w:num="1">
            <w:col w:w="10820"/>
          </w:cols>
          <w:pgMar w:left="320" w:top="459" w:right="75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MARKET SALE AGREEMENT</w:t>
      </w:r>
      <w:r>
        <w:rPr>
          <w:rFonts w:ascii="Arial" w:cs="Arial" w:eastAsia="Arial" w:hAnsi="Arial"/>
          <w:sz w:val="15"/>
          <w:szCs w:val="15"/>
          <w:b w:val="1"/>
          <w:bCs w:val="1"/>
          <w:color w:val="auto"/>
        </w:rPr>
        <w:t>SM</w:t>
      </w:r>
    </w:p>
    <w:p>
      <w:pPr>
        <w:spacing w:after="0" w:line="229" w:lineRule="exact"/>
        <w:rPr>
          <w:sz w:val="20"/>
          <w:szCs w:val="20"/>
          <w:color w:val="auto"/>
        </w:rPr>
      </w:pPr>
    </w:p>
    <w:p>
      <w:pPr>
        <w:ind w:left="9600"/>
        <w:spacing w:after="0"/>
        <w:rPr>
          <w:sz w:val="20"/>
          <w:szCs w:val="20"/>
          <w:color w:val="auto"/>
        </w:rPr>
      </w:pPr>
      <w:r>
        <w:rPr>
          <w:rFonts w:ascii="Arial" w:cs="Arial" w:eastAsia="Arial" w:hAnsi="Arial"/>
          <w:sz w:val="16"/>
          <w:szCs w:val="16"/>
          <w:color w:val="auto"/>
        </w:rPr>
        <w:t>December 30,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jc w:val="both"/>
        <w:ind w:right="240" w:firstLine="440"/>
        <w:spacing w:after="0" w:line="266" w:lineRule="auto"/>
        <w:rPr>
          <w:sz w:val="20"/>
          <w:szCs w:val="20"/>
          <w:color w:val="auto"/>
        </w:rPr>
      </w:pPr>
      <w:r>
        <w:rPr>
          <w:rFonts w:ascii="Arial" w:cs="Arial" w:eastAsia="Arial" w:hAnsi="Arial"/>
          <w:sz w:val="18"/>
          <w:szCs w:val="18"/>
          <w:color w:val="auto"/>
        </w:rPr>
        <w:t>AnaptysBio,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subject to the terms and conditions stated herein, to issue and sell from time to time through Jefferies LLC, as sales agent and/or principal (the “</w:t>
      </w:r>
      <w:r>
        <w:rPr>
          <w:rFonts w:ascii="Arial" w:cs="Arial" w:eastAsia="Arial" w:hAnsi="Arial"/>
          <w:sz w:val="18"/>
          <w:szCs w:val="18"/>
          <w:b w:val="1"/>
          <w:bCs w:val="1"/>
          <w:color w:val="auto"/>
        </w:rPr>
        <w:t>Agent</w:t>
      </w:r>
      <w:r>
        <w:rPr>
          <w:rFonts w:ascii="Arial" w:cs="Arial" w:eastAsia="Arial" w:hAnsi="Arial"/>
          <w:sz w:val="18"/>
          <w:szCs w:val="18"/>
          <w:color w:val="auto"/>
        </w:rPr>
        <w:t>”), shares of the Company’s common stock, par value $0.001 per share (the “</w:t>
      </w:r>
      <w:r>
        <w:rPr>
          <w:rFonts w:ascii="Arial" w:cs="Arial" w:eastAsia="Arial" w:hAnsi="Arial"/>
          <w:sz w:val="18"/>
          <w:szCs w:val="18"/>
          <w:b w:val="1"/>
          <w:bCs w:val="1"/>
          <w:color w:val="auto"/>
        </w:rPr>
        <w:t>Common Shares</w:t>
      </w:r>
      <w:r>
        <w:rPr>
          <w:rFonts w:ascii="Arial" w:cs="Arial" w:eastAsia="Arial" w:hAnsi="Arial"/>
          <w:sz w:val="18"/>
          <w:szCs w:val="18"/>
          <w:color w:val="auto"/>
        </w:rPr>
        <w:t>”), on the terms set forth in this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 DEFINITIONS</w:t>
      </w:r>
    </w:p>
    <w:p>
      <w:pPr>
        <w:spacing w:after="0" w:line="229" w:lineRule="exact"/>
        <w:rPr>
          <w:sz w:val="20"/>
          <w:szCs w:val="20"/>
          <w:color w:val="auto"/>
        </w:rPr>
      </w:pPr>
    </w:p>
    <w:p>
      <w:pPr>
        <w:ind w:right="720" w:firstLine="436"/>
        <w:spacing w:after="0" w:line="277" w:lineRule="auto"/>
        <w:tabs>
          <w:tab w:leader="none" w:pos="68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capitalized terms used herein and not otherwise defined shall have the following respective meanings:</w:t>
      </w:r>
    </w:p>
    <w:p>
      <w:pPr>
        <w:spacing w:after="0" w:line="58"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of a Person means another Person that directly or indirectly, through one or more intermediaries, controls, is controlled by, or is under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80" w:lineRule="exact"/>
        <w:rPr>
          <w:sz w:val="20"/>
          <w:szCs w:val="20"/>
          <w:color w:val="auto"/>
        </w:rPr>
      </w:pPr>
    </w:p>
    <w:p>
      <w:pPr>
        <w:ind w:right="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Agency Period</w:t>
      </w:r>
      <w:r>
        <w:rPr>
          <w:rFonts w:ascii="Arial" w:cs="Arial" w:eastAsia="Arial" w:hAnsi="Arial"/>
          <w:sz w:val="16"/>
          <w:szCs w:val="16"/>
          <w:color w:val="auto"/>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of the Commission thereunder.</w:t>
      </w:r>
    </w:p>
    <w:p>
      <w:pPr>
        <w:spacing w:after="0" w:line="237"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Floor Price</w:t>
      </w:r>
      <w:r>
        <w:rPr>
          <w:rFonts w:ascii="Arial" w:cs="Arial" w:eastAsia="Arial" w:hAnsi="Arial"/>
          <w:sz w:val="18"/>
          <w:szCs w:val="18"/>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715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7"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SM</w:t>
      </w:r>
      <w:r>
        <w:rPr>
          <w:sz w:val="20"/>
          <w:szCs w:val="20"/>
          <w:color w:val="auto"/>
        </w:rPr>
        <w:tab/>
      </w:r>
      <w:r>
        <w:rPr>
          <w:rFonts w:ascii="Arial" w:cs="Arial" w:eastAsia="Arial" w:hAnsi="Arial"/>
          <w:sz w:val="18"/>
          <w:szCs w:val="18"/>
          <w:color w:val="auto"/>
        </w:rPr>
        <w:t>“Open Market Sale Agreement” is a service mark of Jefferies LLC</w:t>
      </w:r>
    </w:p>
    <w:p>
      <w:pPr>
        <w:sectPr>
          <w:pgSz w:w="11900" w:h="16838" w:orient="portrait"/>
          <w:cols w:equalWidth="0" w:num="1">
            <w:col w:w="11020"/>
          </w:cols>
          <w:pgMar w:left="440" w:top="121" w:right="439" w:bottom="1440" w:gutter="0" w:footer="0" w:header="0"/>
        </w:sectPr>
      </w:pPr>
    </w:p>
    <w:bookmarkStart w:id="55" w:name="page56"/>
    <w:bookmarkEnd w:id="5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Issuance Amount</w:t>
      </w:r>
      <w:r>
        <w:rPr>
          <w:rFonts w:ascii="Arial" w:cs="Arial" w:eastAsia="Arial" w:hAnsi="Arial"/>
          <w:sz w:val="18"/>
          <w:szCs w:val="18"/>
          <w:color w:val="auto"/>
        </w:rPr>
        <w:t>” means the aggregate Sales Price of the Shares to be sold by the Agent pursuant to any Issuance Notice.</w:t>
      </w:r>
    </w:p>
    <w:p>
      <w:pPr>
        <w:spacing w:after="0" w:line="225"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Notice</w:t>
      </w:r>
      <w:r>
        <w:rPr>
          <w:rFonts w:ascii="Arial" w:cs="Arial" w:eastAsia="Arial" w:hAnsi="Arial"/>
          <w:sz w:val="18"/>
          <w:szCs w:val="18"/>
          <w:color w:val="auto"/>
        </w:rPr>
        <w:t>” means a written notice delivered to the Agent by the Company in accordance with this Agreement in the form attached hereto as Exhibit A that is executed by its Chief Executive Officer, President or Chief Financial Officer.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Issuance Notice Date</w:t>
      </w:r>
      <w:r>
        <w:rPr>
          <w:rFonts w:ascii="Arial" w:cs="Arial" w:eastAsia="Arial" w:hAnsi="Arial"/>
          <w:sz w:val="17"/>
          <w:szCs w:val="17"/>
          <w:color w:val="auto"/>
        </w:rPr>
        <w:t xml:space="preserve">” means any Trading Day during the Agency Period that an Issuance Notice is delivered pursuant to </w:t>
      </w:r>
      <w:r>
        <w:rPr>
          <w:rFonts w:ascii="Arial" w:cs="Arial" w:eastAsia="Arial" w:hAnsi="Arial"/>
          <w:sz w:val="17"/>
          <w:szCs w:val="17"/>
          <w:u w:val="single" w:color="auto"/>
          <w:color w:val="auto"/>
        </w:rPr>
        <w:t>Section 3(b)(i)</w:t>
      </w:r>
      <w:r>
        <w:rPr>
          <w:rFonts w:ascii="Arial" w:cs="Arial" w:eastAsia="Arial" w:hAnsi="Arial"/>
          <w:sz w:val="17"/>
          <w:szCs w:val="17"/>
          <w:color w:val="auto"/>
        </w:rPr>
        <w: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Price</w:t>
      </w:r>
      <w:r>
        <w:rPr>
          <w:rFonts w:ascii="Arial" w:cs="Arial" w:eastAsia="Arial" w:hAnsi="Arial"/>
          <w:sz w:val="18"/>
          <w:szCs w:val="18"/>
          <w:color w:val="auto"/>
        </w:rPr>
        <w:t>” means the Sales Price less the Selling Commission.</w:t>
      </w:r>
    </w:p>
    <w:p>
      <w:pPr>
        <w:spacing w:after="0" w:line="225"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Program Amount</w:t>
      </w:r>
      <w:r>
        <w:rPr>
          <w:rFonts w:ascii="Arial" w:cs="Arial" w:eastAsia="Arial" w:hAnsi="Arial"/>
          <w:sz w:val="18"/>
          <w:szCs w:val="18"/>
          <w:color w:val="auto"/>
        </w:rPr>
        <w:t>” means Common Shares with an aggregate Sales Price of the lesser of (a) the number or dollar amount of Common Shares registered under the effective Registration Statement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(defined below).</w:t>
      </w:r>
    </w:p>
    <w:p>
      <w:pPr>
        <w:spacing w:after="0" w:line="187"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a corporation, partnership, limited liability company, trust, incorporated or unincorporated association, joint venture, joint stock company, governmental authority or other entity of any kind.</w:t>
      </w:r>
    </w:p>
    <w:p>
      <w:pPr>
        <w:spacing w:after="0" w:line="162"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Global Select Market or such other national securities exchange on which the Common Shares, including any Shares, are then listed.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Sales Price</w:t>
      </w:r>
      <w:r>
        <w:rPr>
          <w:rFonts w:ascii="Arial" w:cs="Arial" w:eastAsia="Arial" w:hAnsi="Arial"/>
          <w:sz w:val="18"/>
          <w:szCs w:val="18"/>
          <w:color w:val="auto"/>
        </w:rPr>
        <w:t>” means the actual sale execution price of each Share placed by the Agent pursuant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25"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Commission</w:t>
      </w:r>
      <w:r>
        <w:rPr>
          <w:rFonts w:ascii="Arial" w:cs="Arial" w:eastAsia="Arial" w:hAnsi="Arial"/>
          <w:sz w:val="18"/>
          <w:szCs w:val="18"/>
          <w:color w:val="auto"/>
        </w:rPr>
        <w:t>” means up to three percent (3.0%) of the gross proceeds of Shares sold pursuant to this Agreement, or as otherwise agreed between the Company and the Agent with respect to any Shares sold pursuant to this Agreement.</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Date</w:t>
      </w:r>
      <w:r>
        <w:rPr>
          <w:rFonts w:ascii="Arial" w:cs="Arial" w:eastAsia="Arial" w:hAnsi="Arial"/>
          <w:sz w:val="18"/>
          <w:szCs w:val="18"/>
          <w:color w:val="auto"/>
        </w:rPr>
        <w:t>” means the second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shall mean the Company’s Common Shares issued or issuable pursuant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Principal Market is open for trading.</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56" w:name="page57"/>
    <w:bookmarkEnd w:id="56"/>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 REPRESENTATIONS AND WARRANTIES OF THE COMPANY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represents and warrants to, and agrees with, the Agent that as of (1) the date of this Agreement, (2) each Issuance Notice Date,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 each Settlement Date, (4) each Triggering Event Date and (5) as of each Time of Sale (each of the times referenced above is referred to herein as a</w:t>
      </w:r>
    </w:p>
    <w:p>
      <w:pPr>
        <w:spacing w:after="0" w:line="3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Representation Date</w:t>
      </w:r>
      <w:r>
        <w:rPr>
          <w:rFonts w:ascii="Arial" w:cs="Arial" w:eastAsia="Arial" w:hAnsi="Arial"/>
          <w:sz w:val="18"/>
          <w:szCs w:val="18"/>
          <w:color w:val="auto"/>
        </w:rPr>
        <w:t>”), except as may be disclosed in the Prospectus (including any documents incorporated by reference therein and any supplements thereto) on or before a Representation Date:</w:t>
      </w:r>
    </w:p>
    <w:p>
      <w:pPr>
        <w:spacing w:after="0" w:line="77" w:lineRule="exact"/>
        <w:rPr>
          <w:sz w:val="20"/>
          <w:szCs w:val="20"/>
          <w:color w:val="auto"/>
        </w:rPr>
      </w:pPr>
    </w:p>
    <w:p>
      <w:pPr>
        <w:ind w:firstLine="436"/>
        <w:spacing w:after="0" w:line="285" w:lineRule="auto"/>
        <w:tabs>
          <w:tab w:leader="none" w:pos="685"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or will file with the Commission a shelf registration statement on Form S-3 that contains a base prospectus (the “</w:t>
      </w:r>
      <w:r>
        <w:rPr>
          <w:rFonts w:ascii="Arial" w:cs="Arial" w:eastAsia="Arial" w:hAnsi="Arial"/>
          <w:sz w:val="16"/>
          <w:szCs w:val="16"/>
          <w:b w:val="1"/>
          <w:bCs w:val="1"/>
          <w:color w:val="auto"/>
        </w:rPr>
        <w:t>Base Prospectus</w:t>
      </w:r>
      <w:r>
        <w:rPr>
          <w:rFonts w:ascii="Arial" w:cs="Arial" w:eastAsia="Arial" w:hAnsi="Arial"/>
          <w:sz w:val="16"/>
          <w:szCs w:val="16"/>
          <w:color w:val="auto"/>
        </w:rPr>
        <w:t>”).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Arial" w:cs="Arial" w:eastAsia="Arial" w:hAnsi="Arial"/>
          <w:sz w:val="16"/>
          <w:szCs w:val="16"/>
          <w:b w:val="1"/>
          <w:bCs w:val="1"/>
          <w:color w:val="auto"/>
        </w:rPr>
        <w:t>Prospectus,</w:t>
      </w:r>
      <w:r>
        <w:rPr>
          <w:rFonts w:ascii="Arial" w:cs="Arial" w:eastAsia="Arial" w:hAnsi="Arial"/>
          <w:sz w:val="16"/>
          <w:szCs w:val="16"/>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Arial" w:cs="Arial" w:eastAsia="Arial" w:hAnsi="Arial"/>
          <w:sz w:val="16"/>
          <w:szCs w:val="16"/>
          <w:b w:val="1"/>
          <w:bCs w:val="1"/>
          <w:color w:val="auto"/>
        </w:rPr>
        <w:t>Prospectus</w:t>
      </w:r>
      <w:r>
        <w:rPr>
          <w:rFonts w:ascii="Arial" w:cs="Arial" w:eastAsia="Arial" w:hAnsi="Arial"/>
          <w:sz w:val="16"/>
          <w:szCs w:val="16"/>
          <w:color w:val="auto"/>
        </w:rPr>
        <w:t>” shall refer to such revised prospectus from and after the time it is first provided to the Agent for such use. The Registration Statement at the time it originally became effective is herein called the “</w:t>
      </w:r>
      <w:r>
        <w:rPr>
          <w:rFonts w:ascii="Arial" w:cs="Arial" w:eastAsia="Arial" w:hAnsi="Arial"/>
          <w:sz w:val="16"/>
          <w:szCs w:val="16"/>
          <w:b w:val="1"/>
          <w:bCs w:val="1"/>
          <w:color w:val="auto"/>
        </w:rPr>
        <w:t>Original</w:t>
      </w:r>
      <w:r>
        <w:rPr>
          <w:rFonts w:ascii="Arial" w:cs="Arial" w:eastAsia="Arial" w:hAnsi="Arial"/>
          <w:sz w:val="16"/>
          <w:szCs w:val="16"/>
          <w:color w:val="auto"/>
        </w:rPr>
        <w:t xml:space="preserv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As used in this Agreement, the terms “amendment” or “supplement” when applied to the Registration Statement or the</w:t>
      </w:r>
      <w:r>
        <w:rPr>
          <w:rFonts w:ascii="Arial" w:cs="Arial" w:eastAsia="Arial" w:hAnsi="Arial"/>
          <w:sz w:val="16"/>
          <w:szCs w:val="16"/>
          <w:b w:val="1"/>
          <w:bCs w:val="1"/>
          <w:color w:val="auto"/>
        </w:rPr>
        <w:t xml:space="preserve"> </w:t>
      </w:r>
      <w:r>
        <w:rPr>
          <w:rFonts w:ascii="Arial" w:cs="Arial" w:eastAsia="Arial" w:hAnsi="Arial"/>
          <w:sz w:val="16"/>
          <w:szCs w:val="16"/>
          <w:color w:val="auto"/>
        </w:rPr>
        <w:t>Prospectus shall be deemed to include the filing by the Company with the Commission of any document under the Exchange Act after the date hereof that is or is deemed to be incorporated therein by reference.</w:t>
      </w:r>
    </w:p>
    <w:p>
      <w:pPr>
        <w:spacing w:after="0" w:line="176"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57" w:name="page58"/>
    <w:bookmarkEnd w:id="57"/>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time the Original Registration Statement was or will be declared effective and at the time the Company’s most recent annual report on Form 10-K was filed with the Commission, if later, the Company met the then-applicable requirements for use of Form S-3 under the Securities Act. During the Agency Period, each time the Company files an annual report on Form 10-K the Company will meet the then-applicable requirements for use of Form S-3 under the Securities Act.</w:t>
      </w:r>
    </w:p>
    <w:p>
      <w:pPr>
        <w:spacing w:after="0" w:line="187" w:lineRule="exact"/>
        <w:rPr>
          <w:sz w:val="20"/>
          <w:szCs w:val="20"/>
          <w:color w:val="auto"/>
        </w:rPr>
      </w:pPr>
    </w:p>
    <w:p>
      <w:pPr>
        <w:ind w:right="80" w:firstLine="436"/>
        <w:spacing w:after="0" w:line="293" w:lineRule="auto"/>
        <w:tabs>
          <w:tab w:leader="none" w:pos="695"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Compliance with Registration Requirements</w:t>
      </w:r>
      <w:r>
        <w:rPr>
          <w:rFonts w:ascii="Arial" w:cs="Arial" w:eastAsia="Arial" w:hAnsi="Arial"/>
          <w:sz w:val="16"/>
          <w:szCs w:val="16"/>
          <w:color w:val="auto"/>
        </w:rPr>
        <w:t>. The Original Registration Statement and will be or has been declared effective by the Commission under the Securities Act prior to the first Issuance Notice Date following the date of this Agreement. Any Rule 462(b) Registration Statement filed after the date of this Agreement will be or has been declared effective prior to any Issuance Notice Date following such filing.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best knowledge of the Company, are contemplated or threatened by the Commission.</w:t>
      </w:r>
    </w:p>
    <w:p>
      <w:pPr>
        <w:spacing w:after="0" w:line="164"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The Prospectus when filed complied or will comply in all material respects with the Securities Act and, if filed with the Commission through its Electronic Data Gathering, Analysis and Retrieval system (“</w:t>
      </w:r>
      <w:r>
        <w:rPr>
          <w:rFonts w:ascii="Arial" w:cs="Arial" w:eastAsia="Arial" w:hAnsi="Arial"/>
          <w:sz w:val="17"/>
          <w:szCs w:val="17"/>
          <w:b w:val="1"/>
          <w:bCs w:val="1"/>
          <w:color w:val="auto"/>
        </w:rPr>
        <w:t>EDGAR</w:t>
      </w:r>
      <w:r>
        <w:rPr>
          <w:rFonts w:ascii="Arial" w:cs="Arial" w:eastAsia="Arial" w:hAnsi="Arial"/>
          <w:sz w:val="17"/>
          <w:szCs w:val="17"/>
          <w:color w:val="auto"/>
        </w:rPr>
        <w:t>”) (except as may be permitted by Regulation S 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or becomes effective and at each Representation Date,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Arial" w:cs="Arial" w:eastAsia="Arial" w:hAnsi="Arial"/>
          <w:sz w:val="17"/>
          <w:szCs w:val="17"/>
          <w:b w:val="1"/>
          <w:bCs w:val="1"/>
          <w:color w:val="auto"/>
        </w:rPr>
        <w:t>Time of Sale Information</w:t>
      </w:r>
      <w:r>
        <w:rPr>
          <w:rFonts w:ascii="Arial" w:cs="Arial" w:eastAsia="Arial" w:hAnsi="Arial"/>
          <w:sz w:val="17"/>
          <w:szCs w:val="17"/>
          <w:color w:val="auto"/>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and at each Representation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58" w:name="page59"/>
    <w:bookmarkEnd w:id="58"/>
    <w:p>
      <w:pPr>
        <w:ind w:left="-20" w:firstLine="436"/>
        <w:spacing w:after="0" w:line="288" w:lineRule="auto"/>
        <w:tabs>
          <w:tab w:leader="none" w:pos="66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Ineligible Issuer Status</w:t>
      </w:r>
      <w:r>
        <w:rPr>
          <w:rFonts w:ascii="Arial" w:cs="Arial" w:eastAsia="Arial" w:hAnsi="Arial"/>
          <w:sz w:val="16"/>
          <w:szCs w:val="16"/>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the Agent before first use, the Company has not prepared, used or referred to, and will not, without the Agent’s prior consent, prepare, use or refer to, any Free Writing Prospectus.</w:t>
      </w:r>
    </w:p>
    <w:p>
      <w:pPr>
        <w:spacing w:after="0" w:line="168" w:lineRule="exact"/>
        <w:rPr>
          <w:rFonts w:ascii="Arial" w:cs="Arial" w:eastAsia="Arial" w:hAnsi="Arial"/>
          <w:sz w:val="16"/>
          <w:szCs w:val="16"/>
          <w:color w:val="auto"/>
        </w:rPr>
      </w:pPr>
    </w:p>
    <w:p>
      <w:pPr>
        <w:ind w:left="-20" w:firstLine="436"/>
        <w:spacing w:after="0" w:line="301" w:lineRule="auto"/>
        <w:tabs>
          <w:tab w:leader="none" w:pos="67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57" w:lineRule="exact"/>
        <w:rPr>
          <w:rFonts w:ascii="Arial" w:cs="Arial" w:eastAsia="Arial" w:hAnsi="Arial"/>
          <w:sz w:val="16"/>
          <w:szCs w:val="16"/>
          <w:color w:val="auto"/>
        </w:rPr>
      </w:pPr>
    </w:p>
    <w:p>
      <w:pPr>
        <w:ind w:left="-20" w:right="20" w:firstLine="436"/>
        <w:spacing w:after="0" w:line="293" w:lineRule="auto"/>
        <w:tabs>
          <w:tab w:leader="none" w:pos="66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Exchange Act Compliance</w:t>
      </w:r>
      <w:r>
        <w:rPr>
          <w:rFonts w:ascii="Arial" w:cs="Arial" w:eastAsia="Arial" w:hAnsi="Arial"/>
          <w:sz w:val="16"/>
          <w:szCs w:val="16"/>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64" w:lineRule="exact"/>
        <w:rPr>
          <w:rFonts w:ascii="Arial" w:cs="Arial" w:eastAsia="Arial" w:hAnsi="Arial"/>
          <w:sz w:val="16"/>
          <w:szCs w:val="16"/>
          <w:color w:val="auto"/>
        </w:rPr>
      </w:pPr>
    </w:p>
    <w:p>
      <w:pPr>
        <w:ind w:left="640" w:hanging="224"/>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Due Incorporation; Subsidiary</w:t>
      </w:r>
      <w:r>
        <w:rPr>
          <w:rFonts w:ascii="Arial" w:cs="Arial" w:eastAsia="Arial" w:hAnsi="Arial"/>
          <w:sz w:val="18"/>
          <w:szCs w:val="18"/>
          <w:color w:val="auto"/>
        </w:rPr>
        <w:t>.</w:t>
      </w:r>
    </w:p>
    <w:p>
      <w:pPr>
        <w:spacing w:after="0" w:line="225" w:lineRule="exact"/>
        <w:rPr>
          <w:sz w:val="20"/>
          <w:szCs w:val="20"/>
          <w:color w:val="auto"/>
        </w:rPr>
      </w:pPr>
    </w:p>
    <w:p>
      <w:pPr>
        <w:jc w:val="both"/>
        <w:ind w:left="-20" w:right="100" w:firstLine="987"/>
        <w:spacing w:after="0" w:line="257" w:lineRule="auto"/>
        <w:tabs>
          <w:tab w:leader="none" w:pos="118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as a corporation in good standing under the laws of its jurisdiction of incorporation. The Company has full corporate power and authority to conduct all the activities conducted by it, to own or lease all the assets owned or leased by it and to conduct its business as described in the Registration Statement and the Prospectus. The Company is duly licensed or qualified to do business in and in good standing as a foreign corporation in all jurisdictions in which the nature of the activities conducted by it or the character of the assets owned or leased by it makes such licensing 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60" w:top="274" w:right="479" w:bottom="1440" w:gutter="0" w:footer="0" w:header="0"/>
        </w:sectPr>
      </w:pPr>
    </w:p>
    <w:bookmarkStart w:id="59" w:name="page60"/>
    <w:bookmarkEnd w:id="59"/>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qualification necessary, except to the extent that the failure to be so qualified or be in good standing would not (i) have a material adverse effect on the business, properties, assets, business prospects, financial condition, results of operations or capitalization of the Company and its subsidiaries, taken as a whole, or (ii) prevent or materially interfere with the ability of the Company to issue and sell the Shares under this Agreement (any such effect, prevention or interference, a “</w:t>
      </w:r>
      <w:r>
        <w:rPr>
          <w:rFonts w:ascii="Arial" w:cs="Arial" w:eastAsia="Arial" w:hAnsi="Arial"/>
          <w:sz w:val="18"/>
          <w:szCs w:val="18"/>
          <w:b w:val="1"/>
          <w:bCs w:val="1"/>
          <w:color w:val="auto"/>
        </w:rPr>
        <w:t>Material Adverse Effect</w:t>
      </w:r>
      <w:r>
        <w:rPr>
          <w:rFonts w:ascii="Arial" w:cs="Arial" w:eastAsia="Arial" w:hAnsi="Arial"/>
          <w:sz w:val="18"/>
          <w:szCs w:val="18"/>
          <w:color w:val="auto"/>
        </w:rPr>
        <w:t>”).</w:t>
      </w:r>
    </w:p>
    <w:p>
      <w:pPr>
        <w:spacing w:after="0" w:line="187" w:lineRule="exact"/>
        <w:rPr>
          <w:sz w:val="20"/>
          <w:szCs w:val="20"/>
          <w:color w:val="auto"/>
        </w:rPr>
      </w:pPr>
    </w:p>
    <w:p>
      <w:pPr>
        <w:ind w:firstLine="987"/>
        <w:spacing w:after="0" w:line="269" w:lineRule="auto"/>
        <w:tabs>
          <w:tab w:leader="none" w:pos="1256"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only subsidiaries (as defined in Rule 405 of the Rules and Regulations) of the Company are the subsidiaries listed on Exhibit 21.1 to the Company’s Annual Report on Form 10-K, as filed with the Commission, for its most recently completed fiscal year, other than (i) those Subsidiaries not required to be listed on Exhibit 21.1 by Item 601 of Regulation S-K under the Exchange Act and (ii) those Subsidiaries formed since the last day of the most recently ended fiscal year. Each such subsidiary has been duly organized, is validly existing in good standing (where such concept exists) under the laws of the jurisdiction of its incorporation, has the corporate power and authority to own its property and to conduct its business as described in the Registration Statement and Prospectus and is duly qualified to transact business and is in good standing, if applicable, in each jurisdiction in which such qualification is required, except to the extent that the failure to be so qualified or be in good standing would not have a Material Adverse Effect; all of the issued share capital or other equity interests of each subsidiary have been duly and validly authorized and issued, are fully paid and non-assessable and are owned directly by the Company, free and clear of all liens, charges, encumbrances, equities, security interests, restrictions on voting or transfer or any other claims.</w:t>
      </w:r>
    </w:p>
    <w:p>
      <w:pPr>
        <w:spacing w:after="0" w:line="185" w:lineRule="exact"/>
        <w:rPr>
          <w:rFonts w:ascii="Arial" w:cs="Arial" w:eastAsia="Arial" w:hAnsi="Arial"/>
          <w:sz w:val="17"/>
          <w:szCs w:val="17"/>
          <w:color w:val="auto"/>
        </w:rPr>
      </w:pPr>
    </w:p>
    <w:p>
      <w:pPr>
        <w:ind w:right="60" w:firstLine="436"/>
        <w:spacing w:after="0" w:line="279" w:lineRule="auto"/>
        <w:tabs>
          <w:tab w:leader="none" w:pos="695"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Dividend Restrictions</w:t>
      </w:r>
      <w:r>
        <w:rPr>
          <w:rFonts w:ascii="Arial" w:cs="Arial" w:eastAsia="Arial" w:hAnsi="Arial"/>
          <w:sz w:val="17"/>
          <w:szCs w:val="17"/>
          <w:color w:val="auto"/>
        </w:rPr>
        <w:t>. Except as disclosed in the Prospectus,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71" w:lineRule="exact"/>
        <w:rPr>
          <w:rFonts w:ascii="Arial" w:cs="Arial" w:eastAsia="Arial" w:hAnsi="Arial"/>
          <w:sz w:val="17"/>
          <w:szCs w:val="17"/>
          <w:color w:val="auto"/>
        </w:rPr>
      </w:pPr>
    </w:p>
    <w:p>
      <w:pPr>
        <w:ind w:right="80" w:firstLine="436"/>
        <w:spacing w:after="0" w:line="269" w:lineRule="auto"/>
        <w:tabs>
          <w:tab w:leader="none" w:pos="695"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Capitalization</w:t>
      </w:r>
      <w:r>
        <w:rPr>
          <w:rFonts w:ascii="Arial" w:cs="Arial" w:eastAsia="Arial" w:hAnsi="Arial"/>
          <w:sz w:val="17"/>
          <w:szCs w:val="17"/>
          <w:color w:val="auto"/>
        </w:rPr>
        <w:t>. The authorized, issued and outstanding capital stock of the Company is as set forth in the Registration Statement and the Prospectus (except for subsequent issuances, if any, pursuant to this Agreement, pursuant to reservations, agreements or employee benefit or equity incentive plans referred to in the Registration Statement and the Prospectus or pursuant to the conversion or exercise of convertible securities or options referred to in the Registration Statement and the Prospectus). The Common Shares (including the Shares) conform in all material respects to the description thereof contained in the Prospectus. All of the issued and outstanding Common Shares have been duly authorized and validly issued, are fully paid and non-assessable, have been issued in compliance with all federal and state securities laws and are not be subject to any preemptive, first refusal, or similar right. Except as set forth in the Registration Statement and the Prospectus, the Company does not have outstanding, options to purchase, or any rights or warrants to subscribe for, or any securities or obligations convertible into, or any contracts or commitments to issue or sell, any shares of capital stock of the Company or its subsidiaries, or any such warrants, convertible securities or obligations. The descriptions of the Company’s stock option, stock bonus and other stock plans or arrangements, and the options or other rights granted thereunder, set forth in the Registration Statement and the Prospectus accurately and fairly presents the information required to be shown with respect to such plans, arrangements, options and rights.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60" w:name="page61"/>
    <w:bookmarkEnd w:id="60"/>
    <w:p>
      <w:pPr>
        <w:ind w:right="240" w:firstLine="436"/>
        <w:spacing w:after="0" w:line="311" w:lineRule="auto"/>
        <w:tabs>
          <w:tab w:leader="none" w:pos="655"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Authorization of the Shares</w:t>
      </w:r>
      <w:r>
        <w:rPr>
          <w:rFonts w:ascii="Arial" w:cs="Arial" w:eastAsia="Arial" w:hAnsi="Arial"/>
          <w:sz w:val="16"/>
          <w:szCs w:val="16"/>
          <w:color w:val="auto"/>
        </w:rPr>
        <w:t>. The Shares have been duly authorized for issuance and sale pursuant to this Agreement and, when issued and delivered by the Company against payment therefor pursuant to this Agreement, will be validly issued, fully paid and nonassessable, and the issuance and sale of the Shares is not subject to any preemptive rights, rights of first refusal or other similar rights to subscribe for or purchase the Shares.</w:t>
      </w:r>
    </w:p>
    <w:p>
      <w:pPr>
        <w:spacing w:after="0" w:line="148" w:lineRule="exact"/>
        <w:rPr>
          <w:rFonts w:ascii="Arial" w:cs="Arial" w:eastAsia="Arial" w:hAnsi="Arial"/>
          <w:sz w:val="16"/>
          <w:szCs w:val="16"/>
          <w:color w:val="auto"/>
        </w:rPr>
      </w:pPr>
    </w:p>
    <w:p>
      <w:pPr>
        <w:ind w:firstLine="436"/>
        <w:spacing w:after="0" w:line="285" w:lineRule="auto"/>
        <w:tabs>
          <w:tab w:leader="none" w:pos="655"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financial statements (including the related notes thereto) and schedules included or incorporated by reference in the Registration Statement and the Prospectus present fairly the financial condition of the Company and its consolidated subsidiary as of the respective dates thereof and their results of operations and cash flows for the respective periods covered thereby, all in conformity with generally accepted accounting principles applied in the United States on a consistent basis throughout the entire period involved except as may be set forth in the related notes thereto and provided, that unaudited interim financial statements, which are subject to normal year-end adjustments, may not contain certain footnotes, as permitted by the rules of the Commission. The summary financial information included in the Registration Statement and the Prospectus present fairly, in all material respects, the information shown therein and have been compiled on a basis consistent with that of the financial statements included therein and the books and records of the Company and its consolidated subsidiary. The pro forma financial statements, if any, and the other pro forma financial information included in the Registration Statement and the Prospectus present fairly, in all material respects, the information shown therein, have been prepared in accordance with the Commission’s rules and guidelines with respect to pro forma financial statements and have been properly computed on the bases described therein. The assumptions used in the preparation of the pro forma financial statements, if any, and other pro forma financial information included in the Registration Statement and the Prospectus are reasonable and the adjustments used therein are appropriate to give effect to the transactions or circumstances referred to therein. No other financial statements, schedules or reconciliations of “non-GAAP financial measures” (as such term is defined by the rules and regulations of the Commission) of the Company are required by the Securities Act and the Exchange Act to be included in the Registration Statement and the Prospectus. The interactive data in eXtensible Business Reporting Language included or included or incorporated by reference in the Registration Statement and the Prospectus fairly presents the information called for in all material respects and has been prepared in accordance with the Commission’s rules and guidelines applicable thereto.</w:t>
      </w:r>
    </w:p>
    <w:p>
      <w:pPr>
        <w:spacing w:after="0" w:line="169" w:lineRule="exact"/>
        <w:rPr>
          <w:rFonts w:ascii="Arial" w:cs="Arial" w:eastAsia="Arial" w:hAnsi="Arial"/>
          <w:sz w:val="16"/>
          <w:szCs w:val="16"/>
          <w:color w:val="auto"/>
        </w:rPr>
      </w:pPr>
    </w:p>
    <w:p>
      <w:pPr>
        <w:ind w:firstLine="436"/>
        <w:spacing w:after="0" w:line="256"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KPMG LLP (the “</w:t>
      </w:r>
      <w:r>
        <w:rPr>
          <w:rFonts w:ascii="Arial" w:cs="Arial" w:eastAsia="Arial" w:hAnsi="Arial"/>
          <w:sz w:val="18"/>
          <w:szCs w:val="18"/>
          <w:b w:val="1"/>
          <w:bCs w:val="1"/>
          <w:color w:val="auto"/>
        </w:rPr>
        <w:t>Accountants</w:t>
      </w:r>
      <w:r>
        <w:rPr>
          <w:rFonts w:ascii="Arial" w:cs="Arial" w:eastAsia="Arial" w:hAnsi="Arial"/>
          <w:sz w:val="18"/>
          <w:szCs w:val="18"/>
          <w:color w:val="auto"/>
        </w:rPr>
        <w:t>”), who certified the financial statements and supporting schedules of the Company and its consolidated subsidiary included in the Registration Statement and the Prospectus, are (i) independent accountants as required by the Securities Act, the Exchange Act and by the rules of the Public Company Accounting Oversight Board (United States) (the “</w:t>
      </w:r>
      <w:r>
        <w:rPr>
          <w:rFonts w:ascii="Arial" w:cs="Arial" w:eastAsia="Arial" w:hAnsi="Arial"/>
          <w:sz w:val="18"/>
          <w:szCs w:val="18"/>
          <w:b w:val="1"/>
          <w:bCs w:val="1"/>
          <w:color w:val="auto"/>
        </w:rPr>
        <w:t>PCAOB</w:t>
      </w:r>
      <w:r>
        <w:rPr>
          <w:rFonts w:ascii="Arial" w:cs="Arial" w:eastAsia="Arial" w:hAnsi="Arial"/>
          <w:sz w:val="18"/>
          <w:szCs w:val="18"/>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61" w:name="page62"/>
    <w:bookmarkEnd w:id="61"/>
    <w:p>
      <w:pPr>
        <w:ind w:left="-20" w:right="40" w:firstLine="436"/>
        <w:spacing w:after="0" w:line="268" w:lineRule="auto"/>
        <w:tabs>
          <w:tab w:leader="none" w:pos="635"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Material Adverse Changes</w:t>
      </w:r>
      <w:r>
        <w:rPr>
          <w:rFonts w:ascii="Arial" w:cs="Arial" w:eastAsia="Arial" w:hAnsi="Arial"/>
          <w:sz w:val="17"/>
          <w:szCs w:val="17"/>
          <w:color w:val="auto"/>
        </w:rPr>
        <w:t>. Since the respective dates as of which information is given in the Registration Statement and the Prospectus, except as set forth in the Registration Statement and the Prospectus, (i) there has not been a material adverse change, or any development that would be expected to result in a material adverse change, in the business, properties, assets, business prospects, financial condition, results of operations or capitalization of the Company and its subsidiaries, taken as a whole, arising for any reason whatsoever (a “</w:t>
      </w:r>
      <w:r>
        <w:rPr>
          <w:rFonts w:ascii="Arial" w:cs="Arial" w:eastAsia="Arial" w:hAnsi="Arial"/>
          <w:sz w:val="17"/>
          <w:szCs w:val="17"/>
          <w:b w:val="1"/>
          <w:bCs w:val="1"/>
          <w:color w:val="auto"/>
        </w:rPr>
        <w:t>Material Adverse Change</w:t>
      </w:r>
      <w:r>
        <w:rPr>
          <w:rFonts w:ascii="Arial" w:cs="Arial" w:eastAsia="Arial" w:hAnsi="Arial"/>
          <w:sz w:val="17"/>
          <w:szCs w:val="17"/>
          <w:color w:val="auto"/>
        </w:rPr>
        <w:t>”), (ii) the Company and its subsidiaries, considered as one entity, have not incurred, nor will it incur, any material liabilities or obligations,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nor has it entered into any material transactions not in the ordinary course of business, other than pursuant to this Agreement and the transactions referred to herein,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spacing w:after="0" w:line="186" w:lineRule="exact"/>
        <w:rPr>
          <w:rFonts w:ascii="Arial" w:cs="Arial" w:eastAsia="Arial" w:hAnsi="Arial"/>
          <w:sz w:val="17"/>
          <w:szCs w:val="17"/>
          <w:color w:val="auto"/>
        </w:rPr>
      </w:pPr>
    </w:p>
    <w:p>
      <w:pPr>
        <w:jc w:val="both"/>
        <w:ind w:left="-20" w:right="640" w:firstLine="436"/>
        <w:spacing w:after="0" w:line="279" w:lineRule="auto"/>
        <w:tabs>
          <w:tab w:leader="none" w:pos="725"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Investment Company</w:t>
      </w:r>
      <w:r>
        <w:rPr>
          <w:rFonts w:ascii="Arial" w:cs="Arial" w:eastAsia="Arial" w:hAnsi="Arial"/>
          <w:sz w:val="17"/>
          <w:szCs w:val="17"/>
          <w:color w:val="auto"/>
        </w:rPr>
        <w:t>. The Company is not, and, after giving effect to the issuance and sale of the Shares and the use of the proceeds therefrom as described in the and the Prospectus, will not be, an “investment company” or an “affiliated person” of, or “promoter” or “principal underwriter” for, an “investment company,” as such terms are defined in the Investment Company Act of 1940, as amended, and the rules and regulations of the Commission promulgated thereunder (the “</w:t>
      </w:r>
      <w:r>
        <w:rPr>
          <w:rFonts w:ascii="Arial" w:cs="Arial" w:eastAsia="Arial" w:hAnsi="Arial"/>
          <w:sz w:val="17"/>
          <w:szCs w:val="17"/>
          <w:b w:val="1"/>
          <w:bCs w:val="1"/>
          <w:color w:val="auto"/>
        </w:rPr>
        <w:t>Investment Company Act</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20" w:right="140" w:firstLine="436"/>
        <w:spacing w:after="0" w:line="272" w:lineRule="auto"/>
        <w:tabs>
          <w:tab w:leader="none" w:pos="675"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Except as set forth in the Registration Statement and the Prospectus, there are no actions, suits or proceedings pending, or to the Company’s knowledge, threatened against or affecting, the Company or its subsidiaries or any of its officers in their capacity as such, before or by any federal or state court, commission, regulatory body, including the Financial Industry Regulatory Authority, Inc. (“</w:t>
      </w:r>
      <w:r>
        <w:rPr>
          <w:rFonts w:ascii="Arial" w:cs="Arial" w:eastAsia="Arial" w:hAnsi="Arial"/>
          <w:sz w:val="17"/>
          <w:szCs w:val="17"/>
          <w:b w:val="1"/>
          <w:bCs w:val="1"/>
          <w:color w:val="auto"/>
        </w:rPr>
        <w:t>FINRA</w:t>
      </w:r>
      <w:r>
        <w:rPr>
          <w:rFonts w:ascii="Arial" w:cs="Arial" w:eastAsia="Arial" w:hAnsi="Arial"/>
          <w:sz w:val="17"/>
          <w:szCs w:val="17"/>
          <w:color w:val="auto"/>
        </w:rPr>
        <w:t>”) and the Principal Market, administrative agency or other governmental body, domestic or foreign, wherein an unfavorable ruling, decision or finding would reasonably be expected to have a Material Adverse Effect. The Company has not received any notice of proceedings relating to the revocation or modification of any authorization, approval, order, license, certificate, franchise or permit. There are no pending investigations known to the Company involving the Company by any governmental agency having jurisdiction over the Company or its business or operations.</w:t>
      </w:r>
    </w:p>
    <w:p>
      <w:pPr>
        <w:spacing w:after="0" w:line="177" w:lineRule="exact"/>
        <w:rPr>
          <w:rFonts w:ascii="Arial" w:cs="Arial" w:eastAsia="Arial" w:hAnsi="Arial"/>
          <w:sz w:val="17"/>
          <w:szCs w:val="17"/>
          <w:color w:val="auto"/>
        </w:rPr>
      </w:pPr>
    </w:p>
    <w:p>
      <w:pPr>
        <w:ind w:left="-20" w:firstLine="436"/>
        <w:spacing w:after="0" w:line="255" w:lineRule="auto"/>
        <w:tabs>
          <w:tab w:leader="none" w:pos="67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Compliance with Laws and Regulations and Performance of Obligations and Contracts</w:t>
      </w:r>
      <w:r>
        <w:rPr>
          <w:rFonts w:ascii="Arial" w:cs="Arial" w:eastAsia="Arial" w:hAnsi="Arial"/>
          <w:sz w:val="18"/>
          <w:szCs w:val="18"/>
          <w:color w:val="auto"/>
        </w:rPr>
        <w:t>. The Company and its subsidiaries have (i) complied in all material respects with all laws, regulations and orders applicable to it or its business and (ii) performed in all material respects the obligations required to be performed by it, and is not in default under any indenture, mortgage, deed of trust, voting trust agreement, loan agreement, bond, debenture, note agreement, lease or other agreement or instrument (individually, a “</w:t>
      </w:r>
      <w:r>
        <w:rPr>
          <w:rFonts w:ascii="Arial" w:cs="Arial" w:eastAsia="Arial" w:hAnsi="Arial"/>
          <w:sz w:val="18"/>
          <w:szCs w:val="18"/>
          <w:b w:val="1"/>
          <w:bCs w:val="1"/>
          <w:color w:val="auto"/>
        </w:rPr>
        <w:t>Contract</w:t>
      </w:r>
      <w:r>
        <w:rPr>
          <w:rFonts w:ascii="Arial" w:cs="Arial" w:eastAsia="Arial" w:hAnsi="Arial"/>
          <w:sz w:val="18"/>
          <w:szCs w:val="18"/>
          <w:color w:val="auto"/>
        </w:rPr>
        <w:t>” and collectively, “</w:t>
      </w:r>
      <w:r>
        <w:rPr>
          <w:rFonts w:ascii="Arial" w:cs="Arial" w:eastAsia="Arial" w:hAnsi="Arial"/>
          <w:sz w:val="18"/>
          <w:szCs w:val="18"/>
          <w:b w:val="1"/>
          <w:bCs w:val="1"/>
          <w:color w:val="auto"/>
        </w:rPr>
        <w:t>Contracts</w:t>
      </w:r>
      <w:r>
        <w:rPr>
          <w:rFonts w:ascii="Arial" w:cs="Arial" w:eastAsia="Arial" w:hAnsi="Arial"/>
          <w:sz w:val="18"/>
          <w:szCs w:val="18"/>
          <w:color w:val="auto"/>
        </w:rPr>
        <w:t>”) to which it is a party or by which its property is bound or affected. To the knowledge of the Company, no other party under any Contract to which it is a party is in default in any respect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60" w:top="274" w:right="479" w:bottom="1440" w:gutter="0" w:footer="0" w:header="0"/>
        </w:sectPr>
      </w:pPr>
    </w:p>
    <w:bookmarkStart w:id="62" w:name="page63"/>
    <w:bookmarkEnd w:id="62"/>
    <w:p>
      <w:pPr>
        <w:ind w:left="4"/>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thereunder or has given written or oral notice to the Company or any of its officers or directors of such other party’s intention to terminate, cancel or refuse to renew any Contract. The Company is not in violation of any provision of its certificate of incorporation or by-laws. The disclosures included in the Registration Statement and the Prospectus concerning the effects of Federal, state, local and foreign laws, rules and regulations on the business of the Company as currently conducted and as proposed to be conducted are correct in all material respects.</w:t>
      </w:r>
    </w:p>
    <w:p>
      <w:pPr>
        <w:spacing w:after="0" w:line="171" w:lineRule="exact"/>
        <w:rPr>
          <w:sz w:val="20"/>
          <w:szCs w:val="20"/>
          <w:color w:val="auto"/>
        </w:rPr>
      </w:pPr>
    </w:p>
    <w:p>
      <w:pPr>
        <w:ind w:left="4" w:firstLine="436"/>
        <w:spacing w:after="0" w:line="255" w:lineRule="auto"/>
        <w:tabs>
          <w:tab w:leader="none" w:pos="699"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No Consent of Governmental Body Needed</w:t>
      </w:r>
      <w:r>
        <w:rPr>
          <w:rFonts w:ascii="Arial" w:cs="Arial" w:eastAsia="Arial" w:hAnsi="Arial"/>
          <w:sz w:val="18"/>
          <w:szCs w:val="18"/>
          <w:color w:val="auto"/>
        </w:rPr>
        <w:t>. No consent, approval, authorization, license, registration, qualification or order of, or any filing or declaration with, any court or arbitrator or governmental or regulatory authority, agency or body is required in connection with the authorization, issuance, transfer, sale or delivery of the Shares by the Company, in connection with the execution, delivery and performance of this Agreement by the Company or in connection with the taking by the Company of any action contemplated hereby, except as have been obtained under the Securities Act and such as may be required under state securities or Blue Sky laws or the by-laws and rules of FINRA in connection with the purchase and distribution by the Underwriters of the Shares to be sold by the Company.</w:t>
      </w:r>
    </w:p>
    <w:p>
      <w:pPr>
        <w:spacing w:after="0" w:line="192" w:lineRule="exact"/>
        <w:rPr>
          <w:rFonts w:ascii="Arial" w:cs="Arial" w:eastAsia="Arial" w:hAnsi="Arial"/>
          <w:sz w:val="18"/>
          <w:szCs w:val="18"/>
          <w:color w:val="auto"/>
        </w:rPr>
      </w:pPr>
    </w:p>
    <w:p>
      <w:pPr>
        <w:ind w:left="4" w:right="360" w:firstLine="436"/>
        <w:spacing w:after="0" w:line="279" w:lineRule="auto"/>
        <w:tabs>
          <w:tab w:leader="none" w:pos="699"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Agreement Duly Authorized</w:t>
      </w:r>
      <w:r>
        <w:rPr>
          <w:rFonts w:ascii="Arial" w:cs="Arial" w:eastAsia="Arial" w:hAnsi="Arial"/>
          <w:sz w:val="17"/>
          <w:szCs w:val="17"/>
          <w:color w:val="auto"/>
        </w:rPr>
        <w:t>. The Company has full corporate power and authority to enter into this Agreement. This Agreement has been duly authorized, executed and delivered by the Company and constitutes a valid and binding agreement of the Company enforceable against the Company in accordance with the terms hereof, except as the enforcement may be limited by applicable bankruptcy, insolvency, reorganization, moratorium or other similar laws relating to or affecting creditors’ rights generally or general equitable principles.</w:t>
      </w:r>
    </w:p>
    <w:p>
      <w:pPr>
        <w:spacing w:after="0" w:line="171" w:lineRule="exact"/>
        <w:rPr>
          <w:rFonts w:ascii="Arial" w:cs="Arial" w:eastAsia="Arial" w:hAnsi="Arial"/>
          <w:sz w:val="17"/>
          <w:szCs w:val="17"/>
          <w:color w:val="auto"/>
        </w:rPr>
      </w:pPr>
    </w:p>
    <w:p>
      <w:pPr>
        <w:ind w:left="4" w:right="40" w:firstLine="436"/>
        <w:spacing w:after="0" w:line="287" w:lineRule="auto"/>
        <w:tabs>
          <w:tab w:leader="none" w:pos="669"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and delivery by the Company of this Agreement and the performance of this Agreement, the consummation of the transactions contemplated hereby, and the application of the net proceeds from the offering and sale of the Shares to be sold by the Company in the manner set forth in the Prospectus under “Use of Proceeds” do not and will not (i) violate the certificate of incorporation or by-laws of the Company or</w:t>
      </w:r>
    </w:p>
    <w:p>
      <w:pPr>
        <w:spacing w:after="0" w:line="2" w:lineRule="exact"/>
        <w:rPr>
          <w:rFonts w:ascii="Arial" w:cs="Arial" w:eastAsia="Arial" w:hAnsi="Arial"/>
          <w:sz w:val="16"/>
          <w:szCs w:val="16"/>
          <w:color w:val="auto"/>
        </w:rPr>
      </w:pPr>
    </w:p>
    <w:p>
      <w:pPr>
        <w:ind w:left="4" w:right="100" w:hanging="4"/>
        <w:spacing w:after="0" w:line="290" w:lineRule="auto"/>
        <w:tabs>
          <w:tab w:leader="none" w:pos="269"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result in the creation or imposition of any lien, charge or encumbrance upon any of the assets of the Company or its subsidiaries pursuant to the terms or provisions of, or result in a breach or violation of any of the terms or provisions of, or constitute a default under, or give any other party a right to terminate any of its obligations under, or result in the acceleration of any obligation under any Contract to which the Company or its subsidiaries is a party or by which the Company or its subsidiaries or any of its properties is bound or affected, or violate or conflict with any judgment, ruling, decree, order, law, statute, rule or regulation of any court or other governmental agency or body applicable to the business or properties of the Company or its subsidiaries, except, in the case of clause (ii) above, as would not reasonably be expected to have a Material Adverse Effect.</w:t>
      </w:r>
    </w:p>
    <w:p>
      <w:pPr>
        <w:spacing w:after="0" w:line="163" w:lineRule="exact"/>
        <w:rPr>
          <w:rFonts w:ascii="Arial" w:cs="Arial" w:eastAsia="Arial" w:hAnsi="Arial"/>
          <w:sz w:val="16"/>
          <w:szCs w:val="16"/>
          <w:color w:val="auto"/>
        </w:rPr>
      </w:pPr>
    </w:p>
    <w:p>
      <w:pPr>
        <w:ind w:left="4" w:right="20" w:firstLine="436"/>
        <w:spacing w:after="0" w:line="296" w:lineRule="auto"/>
        <w:tabs>
          <w:tab w:leader="none" w:pos="679"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Title to Real and Personal Property</w:t>
      </w:r>
      <w:r>
        <w:rPr>
          <w:rFonts w:ascii="Arial" w:cs="Arial" w:eastAsia="Arial" w:hAnsi="Arial"/>
          <w:sz w:val="16"/>
          <w:szCs w:val="16"/>
          <w:color w:val="auto"/>
        </w:rPr>
        <w:t>. The Company and its subsidiaries have good and marketable title to all properties and assets described in the Registration Statement and the Prospectus as being owned respectively by it, free and clear of all liens, charges, encumbrances or restrictions, except as set forth in the Registration Statement and the Prospectus or are not material to the business of the Company or its subsidiaries. The Company and its subsidiaries have valid, subsisting and enforceable leases for the properties described in the Prospectus as leased by them, with such exceptions as are not material and do not materially interfere with the use made and proposed to be made of such properties by the Company and its subsidiaries.</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63" w:name="page64"/>
    <w:bookmarkEnd w:id="63"/>
    <w:p>
      <w:pPr>
        <w:ind w:left="-40" w:right="120" w:firstLine="436"/>
        <w:spacing w:after="0" w:line="257" w:lineRule="auto"/>
        <w:tabs>
          <w:tab w:leader="none" w:pos="61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Described in Registration Statement</w:t>
      </w:r>
      <w:r>
        <w:rPr>
          <w:rFonts w:ascii="Arial" w:cs="Arial" w:eastAsia="Arial" w:hAnsi="Arial"/>
          <w:sz w:val="18"/>
          <w:szCs w:val="18"/>
          <w:color w:val="auto"/>
        </w:rPr>
        <w:t>. There is no document or Contract required to be described in the Registration Statement and the Prospectus or to be filed as an exhibit to the Registration Statement that is not described or filed as required. All such documents and Contracts described in the Registration Statement and the Prospectus or filed as an exhibit to the Registration Statement were duly authorized, executed and delivered by the Company, constitute valid and binding agreements of the Company and are enforceable against the Company in accordance with the terms thereof.</w:t>
      </w:r>
    </w:p>
    <w:p>
      <w:pPr>
        <w:spacing w:after="0" w:line="187" w:lineRule="exact"/>
        <w:rPr>
          <w:rFonts w:ascii="Arial" w:cs="Arial" w:eastAsia="Arial" w:hAnsi="Arial"/>
          <w:sz w:val="18"/>
          <w:szCs w:val="18"/>
          <w:color w:val="auto"/>
        </w:rPr>
      </w:pPr>
    </w:p>
    <w:p>
      <w:pPr>
        <w:ind w:left="-40" w:firstLine="436"/>
        <w:spacing w:after="0" w:line="25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No Untrue Statement; Statistical and Market Data</w:t>
      </w:r>
      <w:r>
        <w:rPr>
          <w:rFonts w:ascii="Arial" w:cs="Arial" w:eastAsia="Arial" w:hAnsi="Arial"/>
          <w:sz w:val="18"/>
          <w:szCs w:val="18"/>
          <w:color w:val="auto"/>
        </w:rPr>
        <w:t>. No statement, representation, warranty or covenant made by the Company in this Agreement or made in any certificate or document required by this Agreement to be delivered to Agent was or will be, when made, inaccurate, untrue or incorrect. All statistical, demographic and market-related data included in the Registration Statement or the Prospectus are based on or derived from sources that the Company believes to be reliable and accurate in all material respects, and the Company has obtained the written consent to the use of such data from such sources to the extent required.</w:t>
      </w:r>
    </w:p>
    <w:p>
      <w:pPr>
        <w:spacing w:after="0" w:line="187" w:lineRule="exact"/>
        <w:rPr>
          <w:rFonts w:ascii="Arial" w:cs="Arial" w:eastAsia="Arial" w:hAnsi="Arial"/>
          <w:sz w:val="18"/>
          <w:szCs w:val="18"/>
          <w:color w:val="auto"/>
        </w:rPr>
      </w:pPr>
    </w:p>
    <w:p>
      <w:pPr>
        <w:ind w:left="-40" w:right="120" w:firstLine="436"/>
        <w:spacing w:after="0" w:line="259"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Price Stabilization or Manipulation. Neither the Company nor, to the Company’s knowledge, any of its directors, officers or controlling persons has taken, directly or indirectly, any action intended to cause or result in, or which might reasonably be expected to cause or result in, or which has constituted, stabilization or manipulation, under the Securities Act or otherwise, of the price of any security of the Company to facilitate the sale or resale of the Shares.</w:t>
      </w:r>
    </w:p>
    <w:p>
      <w:pPr>
        <w:spacing w:after="0" w:line="186" w:lineRule="exact"/>
        <w:rPr>
          <w:rFonts w:ascii="Arial" w:cs="Arial" w:eastAsia="Arial" w:hAnsi="Arial"/>
          <w:sz w:val="18"/>
          <w:szCs w:val="18"/>
          <w:color w:val="auto"/>
        </w:rPr>
      </w:pPr>
    </w:p>
    <w:p>
      <w:pPr>
        <w:jc w:val="both"/>
        <w:ind w:left="-40" w:right="180" w:firstLine="436"/>
        <w:spacing w:after="0" w:line="263" w:lineRule="auto"/>
        <w:tabs>
          <w:tab w:leader="none" w:pos="69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No Registration Rights</w:t>
      </w:r>
      <w:r>
        <w:rPr>
          <w:rFonts w:ascii="Arial" w:cs="Arial" w:eastAsia="Arial" w:hAnsi="Arial"/>
          <w:sz w:val="18"/>
          <w:szCs w:val="18"/>
          <w:color w:val="auto"/>
        </w:rPr>
        <w:t>. No holder of securities of the Company has rights to register any securities of the Company because of the filing of the Registration Statement, the Prospectus or the offering of the Shares, except for rights that have been duly waived with respect to such holder, have expired or have been fulfilled by registration prior to the date of this Agreement.</w:t>
      </w:r>
    </w:p>
    <w:p>
      <w:pPr>
        <w:spacing w:after="0" w:line="183" w:lineRule="exact"/>
        <w:rPr>
          <w:rFonts w:ascii="Arial" w:cs="Arial" w:eastAsia="Arial" w:hAnsi="Arial"/>
          <w:sz w:val="18"/>
          <w:szCs w:val="18"/>
          <w:color w:val="auto"/>
        </w:rPr>
      </w:pPr>
    </w:p>
    <w:p>
      <w:pPr>
        <w:ind w:left="-40" w:right="160" w:firstLine="436"/>
        <w:spacing w:after="0" w:line="25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Stock Exchange Listing</w:t>
      </w:r>
      <w:r>
        <w:rPr>
          <w:rFonts w:ascii="Arial" w:cs="Arial" w:eastAsia="Arial" w:hAnsi="Arial"/>
          <w:sz w:val="18"/>
          <w:szCs w:val="18"/>
          <w:color w:val="auto"/>
        </w:rPr>
        <w:t>. The Shares are registered pursuant to Section 12(b) of the Exchange Act and are listed on the Principal Market, and the Company has taken no action designed to, or likely to have the effect of, terminating the registration of the Shares under the Exchange Act or delisting the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187" w:lineRule="exact"/>
        <w:rPr>
          <w:rFonts w:ascii="Arial" w:cs="Arial" w:eastAsia="Arial" w:hAnsi="Arial"/>
          <w:sz w:val="18"/>
          <w:szCs w:val="18"/>
          <w:color w:val="auto"/>
        </w:rPr>
      </w:pPr>
    </w:p>
    <w:p>
      <w:pPr>
        <w:ind w:left="-40" w:right="120" w:firstLine="436"/>
        <w:spacing w:after="0" w:line="277"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Labor Matters</w:t>
      </w:r>
      <w:r>
        <w:rPr>
          <w:rFonts w:ascii="Arial" w:cs="Arial" w:eastAsia="Arial" w:hAnsi="Arial"/>
          <w:sz w:val="18"/>
          <w:szCs w:val="18"/>
          <w:color w:val="auto"/>
        </w:rPr>
        <w:t>. Neither the Company nor its subsidiaries is involved in any labor dispute except, where the dispute would not, individually or in the aggregate, have a Material Adverse Effect, nor, to the knowledge of the Company, is any such dispute threatened.</w:t>
      </w:r>
    </w:p>
    <w:p>
      <w:pPr>
        <w:spacing w:after="0" w:line="170" w:lineRule="exact"/>
        <w:rPr>
          <w:rFonts w:ascii="Arial" w:cs="Arial" w:eastAsia="Arial" w:hAnsi="Arial"/>
          <w:sz w:val="18"/>
          <w:szCs w:val="18"/>
          <w:color w:val="auto"/>
        </w:rPr>
      </w:pPr>
    </w:p>
    <w:p>
      <w:pPr>
        <w:ind w:left="-40" w:right="20" w:firstLine="436"/>
        <w:spacing w:after="0" w:line="279" w:lineRule="auto"/>
        <w:tabs>
          <w:tab w:leader="none" w:pos="645"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No Unlawful Payments</w:t>
      </w:r>
      <w:r>
        <w:rPr>
          <w:rFonts w:ascii="Arial" w:cs="Arial" w:eastAsia="Arial" w:hAnsi="Arial"/>
          <w:sz w:val="17"/>
          <w:szCs w:val="17"/>
          <w:color w:val="auto"/>
        </w:rPr>
        <w:t>. Neither the Company nor its subsidiaries, nor any director or officer of the Company or its subsidiaries, nor, to the knowledge of the Company, any agent, employee or representative of the Company or its subsidiaries, Affiliate or other person associated with or acting on behalf of the Company or its subsidiaries, has (i) used any corporate funds for any unlawful contribution, gift, entertainment or other unlawful expense relating to political activity; (ii) made or taken an act in furtherance of an offer, promise or authorization of any direct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80" w:top="274" w:right="479" w:bottom="1440" w:gutter="0" w:footer="0" w:header="0"/>
        </w:sectPr>
      </w:pPr>
    </w:p>
    <w:bookmarkStart w:id="64" w:name="page65"/>
    <w:bookmarkEnd w:id="64"/>
    <w:p>
      <w:pPr>
        <w:ind w:left="4"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indirect unlawful payment of corporate funds or benefit to any foreign or domestic government or regulatory official or employee, including, without limitation,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U.S. Foreign Corrupt Practices Act of 1977, as amended, the U.K. Bribery Act 2010, or any applicable law or regulation implementing the OECD Convention on Combating Bribery of Foreign Public Officials in International Business Transactions, or committed an offense under any other applicable anti-bribery or anti-corruption laws; or (iv) made, offered, agreed, requested or taken an act in furtherance of any unlawful bribe or other unlawful benefit, including, without limitation, any rebate, payoff, influence payment, kickback or other unlawful or improper payment or benefit. The Company has instituted, maintained and enforced, and will continue to maintain and enforce policies and procedures designed to promote and ensure compliance with all applicable anti-bribery and anti-corruption laws.</w:t>
      </w:r>
    </w:p>
    <w:p>
      <w:pPr>
        <w:spacing w:after="0" w:line="181" w:lineRule="exact"/>
        <w:rPr>
          <w:sz w:val="20"/>
          <w:szCs w:val="20"/>
          <w:color w:val="auto"/>
        </w:rPr>
      </w:pPr>
    </w:p>
    <w:p>
      <w:pPr>
        <w:ind w:left="4" w:right="40" w:firstLine="436"/>
        <w:spacing w:after="0" w:line="290" w:lineRule="auto"/>
        <w:tabs>
          <w:tab w:leader="none" w:pos="769"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Compliance with Anti-Money Laundering Laws</w:t>
      </w:r>
      <w:r>
        <w:rPr>
          <w:rFonts w:ascii="Arial" w:cs="Arial" w:eastAsia="Arial" w:hAnsi="Arial"/>
          <w:sz w:val="16"/>
          <w:szCs w:val="16"/>
          <w:color w:val="auto"/>
        </w:rPr>
        <w:t>. The operations of the Company and its subsidiaries are and have been conducted at all times in compliance with applicable financial recordkeeping and reporting requirements, including those of the Currency and Foreign Transactions Reporting Act of 1970, as amended, those of the Bank Secrecy Act, as amended by Title III of the Uniting and Strengthening America by Providing Appropriate Tools Required to Intercept and Obstruct Terrorism Act of 2001 (USA PATRIOT Act), and the applicable money laundering statutes of all jurisdictions in which the Company and its subsidiaries conduct business, the rules and regulations thereunder and any related or similar rules, regulations or guidelines, issued, administered or enforced by any governmental or regulatory agency (collectively, the “</w:t>
      </w:r>
      <w:r>
        <w:rPr>
          <w:rFonts w:ascii="Arial" w:cs="Arial" w:eastAsia="Arial" w:hAnsi="Arial"/>
          <w:sz w:val="16"/>
          <w:szCs w:val="16"/>
          <w:b w:val="1"/>
          <w:bCs w:val="1"/>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or its subsidiaries with respect to the Money Laundering Laws is pending or, to the knowledge of the Company, threatened.</w:t>
      </w:r>
    </w:p>
    <w:p>
      <w:pPr>
        <w:spacing w:after="0" w:line="165" w:lineRule="exact"/>
        <w:rPr>
          <w:rFonts w:ascii="Arial" w:cs="Arial" w:eastAsia="Arial" w:hAnsi="Arial"/>
          <w:sz w:val="16"/>
          <w:szCs w:val="16"/>
          <w:color w:val="auto"/>
        </w:rPr>
      </w:pPr>
    </w:p>
    <w:p>
      <w:pPr>
        <w:ind w:left="4" w:firstLine="436"/>
        <w:spacing w:after="0" w:line="283" w:lineRule="auto"/>
        <w:tabs>
          <w:tab w:leader="none" w:pos="789"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No Conflicts with Sanctions Laws</w:t>
      </w:r>
      <w:r>
        <w:rPr>
          <w:rFonts w:ascii="Arial" w:cs="Arial" w:eastAsia="Arial" w:hAnsi="Arial"/>
          <w:sz w:val="16"/>
          <w:szCs w:val="16"/>
          <w:color w:val="auto"/>
        </w:rPr>
        <w:t>. Neither the Company nor its subsidiaries, nor any director or officer of the Company or its subsidiaries, nor, to the knowledge of the Company, any agent, employee or representative of the Company or its subsidiaries, Affiliate or other person associated with or acting on behalf of the Company or its subsidiaries is currently the subject or target of any sanctions administered or enforced by the U.S. government (including, without limitation, the Office of Foreign Assets Control of the U.S. Treasury Department or the U.S. Department of State and including, without limitation, the designation as a “specially designated national” or “blocked person”), the United Nations Security Council, the European Union, Her Majesty’s Treasury of the United Kingdom or other relevant sanctions authority (collectively, “</w:t>
      </w:r>
      <w:r>
        <w:rPr>
          <w:rFonts w:ascii="Arial" w:cs="Arial" w:eastAsia="Arial" w:hAnsi="Arial"/>
          <w:sz w:val="16"/>
          <w:szCs w:val="16"/>
          <w:b w:val="1"/>
          <w:bCs w:val="1"/>
          <w:color w:val="auto"/>
        </w:rPr>
        <w:t>Sanctions</w:t>
      </w:r>
      <w:r>
        <w:rPr>
          <w:rFonts w:ascii="Arial" w:cs="Arial" w:eastAsia="Arial" w:hAnsi="Arial"/>
          <w:sz w:val="16"/>
          <w:szCs w:val="16"/>
          <w:color w:val="auto"/>
        </w:rPr>
        <w:t>”), nor is the Company or its subsidiaries located, organized or resident in a country or territory that is the subject or the target of Sanctions, including, without limitation, Crimea, Cuba, Iran, North Korea and Syria (each, a “</w:t>
      </w:r>
      <w:r>
        <w:rPr>
          <w:rFonts w:ascii="Arial" w:cs="Arial" w:eastAsia="Arial" w:hAnsi="Arial"/>
          <w:sz w:val="16"/>
          <w:szCs w:val="16"/>
          <w:b w:val="1"/>
          <w:bCs w:val="1"/>
          <w:color w:val="auto"/>
        </w:rPr>
        <w:t>Sanctioned Country</w:t>
      </w:r>
      <w:r>
        <w:rPr>
          <w:rFonts w:ascii="Arial" w:cs="Arial" w:eastAsia="Arial" w:hAnsi="Arial"/>
          <w:sz w:val="16"/>
          <w:szCs w:val="16"/>
          <w:color w:val="auto"/>
        </w:rPr>
        <w:t>”); and the Company will not directly or indirectly use the proceeds of the offering of the Shares hereunder, or lend, contribute or otherwise make available such proceeds to its subsidiaries, any joint venture partner or other person or entity</w:t>
      </w:r>
    </w:p>
    <w:p>
      <w:pPr>
        <w:spacing w:after="0" w:line="5" w:lineRule="exact"/>
        <w:rPr>
          <w:rFonts w:ascii="Arial" w:cs="Arial" w:eastAsia="Arial" w:hAnsi="Arial"/>
          <w:sz w:val="16"/>
          <w:szCs w:val="16"/>
          <w:color w:val="auto"/>
        </w:rPr>
      </w:pPr>
    </w:p>
    <w:p>
      <w:pPr>
        <w:ind w:left="4" w:right="260" w:hanging="4"/>
        <w:spacing w:after="0" w:line="255" w:lineRule="auto"/>
        <w:tabs>
          <w:tab w:leader="none" w:pos="219"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fund or facilitate any activities of or business with any person that, at the time of such funding or facilitation, is the subject or the target of Sanctions, (ii) to fund or facilitate any activities of or business in any Sanctioned Country or (iii) in any other manner that will result in a violation by any person (including any person participating in the transaction, whether as</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65" w:name="page66"/>
    <w:bookmarkEnd w:id="65"/>
    <w:p>
      <w:pPr>
        <w:jc w:val="both"/>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underwriter, advisor, investor or otherwise) of Sanctions. For the past five years, the Company and its subsidiaries have not knowingly engaged in, are not now knowingly engaged in, and will not engage in, any dealings or transactions with any person that at the time of the dealing or transaction is or was the subject or the target of Sanctions or with any Sanctioned Country.</w:t>
      </w:r>
    </w:p>
    <w:p>
      <w:pPr>
        <w:spacing w:after="0" w:line="184" w:lineRule="exact"/>
        <w:rPr>
          <w:sz w:val="20"/>
          <w:szCs w:val="20"/>
          <w:color w:val="auto"/>
        </w:rPr>
      </w:pPr>
    </w:p>
    <w:p>
      <w:pPr>
        <w:ind w:firstLine="436"/>
        <w:spacing w:after="0" w:line="257" w:lineRule="auto"/>
        <w:tabs>
          <w:tab w:leader="none" w:pos="76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Except as would not reasonably be expected to have a Material Adverse Effect, the Company and its subsidiaries have filed all federal, state and foreign income and franchise tax returns and have paid all taxes required to be filed or paid by them and, if due and payable, any related or similar assessment, fine or penalty levied against them. The Company has made adequate charges, accruals and reserves in the applicable financial statements referred to in Section 2(j) hereof in respect of all material federal, state and foreign income and franchise taxes for all periods as to which the tax liability of the Company has not been finally determined.</w:t>
      </w:r>
    </w:p>
    <w:p>
      <w:pPr>
        <w:spacing w:after="0" w:line="187" w:lineRule="exact"/>
        <w:rPr>
          <w:rFonts w:ascii="Arial" w:cs="Arial" w:eastAsia="Arial" w:hAnsi="Arial"/>
          <w:sz w:val="18"/>
          <w:szCs w:val="18"/>
          <w:color w:val="auto"/>
        </w:rPr>
      </w:pPr>
    </w:p>
    <w:p>
      <w:pPr>
        <w:ind w:right="20" w:firstLine="436"/>
        <w:spacing w:after="0" w:line="254" w:lineRule="auto"/>
        <w:tabs>
          <w:tab w:leader="none" w:pos="78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its subsidiaries carry, or are covered by, insurance in such amounts and covering such risks as the Company believes are adequate for the conduct of their business and the value of their properties and is customary for companies engaged in similar industries, and all such insurance is in full force and effect. The Company has no reason to believe that it and its subsidiaries will not be able to (i) renew their existing insurance coverage as and when such policies expire or (ii) obtain comparable coverage from similar institutions as may be necessary or appropriate to conduct their business as currently conducted or proposed to be conducted and at a cost that would not, individually or in the aggregate, result in a Material Adverse Effect. Neither the Company nor its subsidiaries has been denied any insurance coverage which it has sought or for which it has applied.</w:t>
      </w:r>
    </w:p>
    <w:p>
      <w:pPr>
        <w:spacing w:after="0" w:line="194" w:lineRule="exact"/>
        <w:rPr>
          <w:rFonts w:ascii="Arial" w:cs="Arial" w:eastAsia="Arial" w:hAnsi="Arial"/>
          <w:sz w:val="18"/>
          <w:szCs w:val="18"/>
          <w:color w:val="auto"/>
        </w:rPr>
      </w:pPr>
    </w:p>
    <w:p>
      <w:pPr>
        <w:ind w:right="200" w:firstLine="436"/>
        <w:spacing w:after="0" w:line="287" w:lineRule="auto"/>
        <w:tabs>
          <w:tab w:leader="none" w:pos="76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Benefit Plans</w:t>
      </w:r>
      <w:r>
        <w:rPr>
          <w:rFonts w:ascii="Arial" w:cs="Arial" w:eastAsia="Arial" w:hAnsi="Arial"/>
          <w:sz w:val="16"/>
          <w:szCs w:val="16"/>
          <w:color w:val="auto"/>
        </w:rPr>
        <w:t>. The Company has not maintained or contributed to a defined benefit plan as defined in Section 3(35) of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No plan maintained or contributed to by the Company that is subject to ERISA (an “</w:t>
      </w:r>
      <w:r>
        <w:rPr>
          <w:rFonts w:ascii="Arial" w:cs="Arial" w:eastAsia="Arial" w:hAnsi="Arial"/>
          <w:sz w:val="16"/>
          <w:szCs w:val="16"/>
          <w:b w:val="1"/>
          <w:bCs w:val="1"/>
          <w:color w:val="auto"/>
        </w:rPr>
        <w:t>ERISA Plan</w:t>
      </w:r>
      <w:r>
        <w:rPr>
          <w:rFonts w:ascii="Arial" w:cs="Arial" w:eastAsia="Arial" w:hAnsi="Arial"/>
          <w:sz w:val="16"/>
          <w:szCs w:val="16"/>
          <w:color w:val="auto"/>
        </w:rPr>
        <w:t>”) (or any trust created thereunder) has engaged in a “prohibited transaction” within the meaning of Section 406 of ERISA or</w:t>
      </w:r>
    </w:p>
    <w:p>
      <w:pPr>
        <w:spacing w:after="0" w:line="2" w:lineRule="exact"/>
        <w:rPr>
          <w:rFonts w:ascii="Arial" w:cs="Arial" w:eastAsia="Arial" w:hAnsi="Arial"/>
          <w:sz w:val="16"/>
          <w:szCs w:val="16"/>
          <w:color w:val="auto"/>
        </w:rPr>
      </w:pPr>
    </w:p>
    <w:p>
      <w:pPr>
        <w:ind w:right="40"/>
        <w:spacing w:after="0" w:line="286" w:lineRule="auto"/>
        <w:rPr>
          <w:rFonts w:ascii="Arial" w:cs="Arial" w:eastAsia="Arial" w:hAnsi="Arial"/>
          <w:sz w:val="16"/>
          <w:szCs w:val="16"/>
          <w:color w:val="auto"/>
        </w:rPr>
      </w:pPr>
      <w:r>
        <w:rPr>
          <w:rFonts w:ascii="Arial" w:cs="Arial" w:eastAsia="Arial" w:hAnsi="Arial"/>
          <w:sz w:val="16"/>
          <w:szCs w:val="16"/>
          <w:color w:val="auto"/>
        </w:rPr>
        <w:t>Section 4975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that could subject the Company to any material tax penalty on prohibited transactions or has not adequately been corrected. Each plan maintained or contributed to by the Company is in compliance in all material respects with all reporting, disclosure and other requirements of the Code and ERISA as they relate to such plan, except for any noncompliance which would not result in the imposition of a material liability or penalty. With respect to each ERISA Plan that is intended to be “qualified” within the meaning of Section 401(a) of the Code, each ERISA Plan has obtained a favorable determination letter or opinion or advisory letter, if applicable as to its qualified status under the Code, each such ERISA Plan has timely adopted all currently effective amendments to the Code to the extent any such amendments are required under the Code, and, to the knowledge of the Company, there are no existing circumstances or any events that have occurred that would affect the qualified status of any such ERISA Plan. The Company has never completely or partially withdrawn from a “multiemployer plan,” as defined in Section 3(37) of ERISA. Each plan maintained or contributed to by the Company that is subject to Section 409A of the Code has been administered in compliance with its terms and the operational and documentary requirements of Section 409A of the Code and the regulations thereunder.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66" w:name="page67"/>
    <w:bookmarkEnd w:id="66"/>
    <w:p>
      <w:pPr>
        <w:ind w:firstLine="436"/>
        <w:spacing w:after="0" w:line="283" w:lineRule="auto"/>
        <w:tabs>
          <w:tab w:leader="none" w:pos="722"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Title to Intellectual Property</w:t>
      </w:r>
      <w:r>
        <w:rPr>
          <w:rFonts w:ascii="Arial" w:cs="Arial" w:eastAsia="Arial" w:hAnsi="Arial"/>
          <w:sz w:val="16"/>
          <w:szCs w:val="16"/>
          <w:color w:val="auto"/>
        </w:rPr>
        <w:t>. Except as set forth in the Registration Statement and the Prospectus, the Company and its subsidiaries own, have valid and enforceable licenses for or otherwise have adequate rights to use technology (including but not limited to patented, patentable and unpatented inventions and unpatentable proprietary or confidential information, systems or procedures), designs, processes, licenses, patents, patent applications, trademarks, service marks, trade and service mark registrations, trade secrets, trade names, know how, copyrights and other works of authorship, computer programs, technical data and information and other intellectual property (collectively, the “</w:t>
      </w:r>
      <w:r>
        <w:rPr>
          <w:rFonts w:ascii="Arial" w:cs="Arial" w:eastAsia="Arial" w:hAnsi="Arial"/>
          <w:sz w:val="16"/>
          <w:szCs w:val="16"/>
          <w:b w:val="1"/>
          <w:bCs w:val="1"/>
          <w:color w:val="auto"/>
        </w:rPr>
        <w:t>Intellectual Property</w:t>
      </w:r>
      <w:r>
        <w:rPr>
          <w:rFonts w:ascii="Arial" w:cs="Arial" w:eastAsia="Arial" w:hAnsi="Arial"/>
          <w:sz w:val="16"/>
          <w:szCs w:val="16"/>
          <w:color w:val="auto"/>
        </w:rPr>
        <w:t>”) that are or would reasonably be expected to be material to their business as currently conducted or as currently proposed to be conducted (including upon the commercialization of products or services described in the Registration Statement or the Prospectus as under development) or to the development, manufacture, operation and sale of any products and services sold or proposed to be sold by any of the Company or its subsidiaries. The Company’s Intellectual Property has not been adjudged by a court of competent jurisdiction invalid or unenforceable in whole or in part. Except as disclosed in the Registration Statement and the Prospectus, (i) to the knowledge of the Company, there are no third parties who have or, or who will be able to establish rights to any Intellectual Property owned by, or licensed to, the Company or its subsidiaries, except for, and to the extent of, the ownership rights of the owners of the Intellectual Property which the Registration Statement and the Prospectus disclose is licensed to the Company; (ii) to the knowledge of the Company, there is no infringement by third parties of any Intellectual Property owned by, or licensed to, the Company or its subsidiaries; (iii) there is no pending or, to the knowledge of the Company, threatened action, suit, proceeding or claim by others challenging the Company’s rights in or to any Intellectual Property owned by, or licensed to, the Company or its subsidiaries, and the Company is unaware of any facts which could form a reasonable basis for any such action, suit, proceeding or claim; (iv) there is no pending or, to the knowledge of the Company, threatened action, suit, proceeding or claim by others challenging the validity, enforceability or scope of any Intellectual Property owned by, or licensed to, the Company and its subsidiaries, and the Company is unaware of any facts which could form a reasonable basis for any such action, suit, proceeding or claim; (v) there is no pending or, to the knowledge of the Company, threatened action, suit, proceeding or claim by others that (nor has the Company received any claim from a third party that) the Company or its subsidiaries infringe or otherwise violate, or would, upon the commercialization of any product or service as described in the Registration Statement or the Prospectus, infringe or otherwise violate, any patent, trademark, tradename, service name, copyright, trade secret or other proprietary rights of another, and the Company and its subsidiaries are unaware of any facts which could form a reasonable basis for any such action, suit, proceeding or claim; (vi) to the knowledge of the Company, no employee of the Company is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(vii) the Company and its subsidiaries have complied with the terms of each agreement pursuant to which Intellectual Property has been licensed to the Company and its subsidiaries, and all such agreements are in full force and effect; (viii) to the knowledge of the Company, there is no prior art that may render any patent within the Intellectual Property invalid or that may render any patent application within the Intellectual Property unpatentable that has not been disclosed to the U.S. Patent and Trademark Office; and (ix) to the knowledge of the Company, there are no material defects in any of the patents or patent applications within the Intellectual Property. Except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67" w:name="page68"/>
    <w:bookmarkEnd w:id="67"/>
    <w:p>
      <w:pPr>
        <w:ind w:right="3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set forth in the Registration Statement and the Prospectus, the Company and its subsidiaries are not obligated or under any liability whatsoever to make any material payment by way of royalties, fees or otherwise to any owner or licensee of, or other claimant to, any Intellectual Property, with respect to the use thereof or in connection with the conduct of their respective businesses or otherwise.</w:t>
      </w:r>
    </w:p>
    <w:p>
      <w:pPr>
        <w:spacing w:after="0" w:line="165" w:lineRule="exact"/>
        <w:rPr>
          <w:sz w:val="20"/>
          <w:szCs w:val="20"/>
          <w:color w:val="auto"/>
        </w:rPr>
      </w:pPr>
    </w:p>
    <w:p>
      <w:pPr>
        <w:ind w:firstLine="436"/>
        <w:spacing w:after="0" w:line="271" w:lineRule="auto"/>
        <w:tabs>
          <w:tab w:leader="none" w:pos="785"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Trademarks</w:t>
      </w:r>
      <w:r>
        <w:rPr>
          <w:rFonts w:ascii="Arial" w:cs="Arial" w:eastAsia="Arial" w:hAnsi="Arial"/>
          <w:sz w:val="17"/>
          <w:szCs w:val="17"/>
          <w:color w:val="auto"/>
        </w:rPr>
        <w:t>. The Company and its subsidiaries own, or are licensed or otherwise have the full exclusive right to use, all material trademarks and trade names that are used in or reasonably necessary for the conduct of their business as described in the Prospectus. The Company has not received any notice of infringement of or conflict with asserted rights of others with respect to any such trademarks or trade names, or challenging or questioning the validity or effectiveness of any such trademark or trade name. The use, in connection with the business and operations of the Company and its subsidiaries of such trademarks and trade names does not, to the Company’s knowledge, infringe on the rights of any person. Except as set forth in the Registration Statement and the Prospectus, the Company and its subsidiaries are not obligated or under any liability whatsoever to make any payment by way of royalties, fees or otherwise to any owner or licensee of, or other claimant to, any trademark, service mark or trade name with respect to the use thereof or in connection with the conduct of their business or otherwise.</w:t>
      </w:r>
    </w:p>
    <w:p>
      <w:pPr>
        <w:spacing w:after="0" w:line="178" w:lineRule="exact"/>
        <w:rPr>
          <w:rFonts w:ascii="Arial" w:cs="Arial" w:eastAsia="Arial" w:hAnsi="Arial"/>
          <w:sz w:val="17"/>
          <w:szCs w:val="17"/>
          <w:color w:val="auto"/>
        </w:rPr>
      </w:pPr>
    </w:p>
    <w:p>
      <w:pPr>
        <w:ind w:right="140" w:firstLine="436"/>
        <w:spacing w:after="0" w:line="279" w:lineRule="auto"/>
        <w:tabs>
          <w:tab w:leader="none" w:pos="785"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Protection of Intellectual Property</w:t>
      </w:r>
      <w:r>
        <w:rPr>
          <w:rFonts w:ascii="Arial" w:cs="Arial" w:eastAsia="Arial" w:hAnsi="Arial"/>
          <w:sz w:val="17"/>
          <w:szCs w:val="17"/>
          <w:color w:val="auto"/>
        </w:rPr>
        <w:t>. The Company and its subsidiaries have taken reasonable security measures to protect the secrecy, confidentiality and value of all their Intellectual Property in all material aspects, including, but not limited to complying with all duty of disclosure requirements before the U.S. Patent and Trademark Office and any other non-U.S. Patent Offices as appropriate, and has no reason to believe that such Intellectual Property is not or, if not yet patented or registered, would not be, valid and enforceable against an unauthorized user.</w:t>
      </w:r>
    </w:p>
    <w:p>
      <w:pPr>
        <w:spacing w:after="0" w:line="171" w:lineRule="exact"/>
        <w:rPr>
          <w:rFonts w:ascii="Arial" w:cs="Arial" w:eastAsia="Arial" w:hAnsi="Arial"/>
          <w:sz w:val="17"/>
          <w:szCs w:val="17"/>
          <w:color w:val="auto"/>
        </w:rPr>
      </w:pPr>
    </w:p>
    <w:p>
      <w:pPr>
        <w:ind w:right="100" w:firstLine="436"/>
        <w:spacing w:after="0" w:line="272" w:lineRule="auto"/>
        <w:tabs>
          <w:tab w:leader="none" w:pos="705"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Related Party Transactions</w:t>
      </w:r>
      <w:r>
        <w:rPr>
          <w:rFonts w:ascii="Arial" w:cs="Arial" w:eastAsia="Arial" w:hAnsi="Arial"/>
          <w:sz w:val="17"/>
          <w:szCs w:val="17"/>
          <w:color w:val="auto"/>
        </w:rPr>
        <w:t>. There are no business relationships or related party transactions involving the Company or any other person required to be described in the Prospectus that have not been described. Without limiting the generality of the immediately preceding sentence, no relationship, direct or indirect, exists between or among the Company on the one hand, and the directors, officers, stockholders, customers or suppliers of the Company on the other hand, that is required to be described in the Prospectus and that is not so described. Since inception, the Company has not, directly or indirectly, extended or maintained credit, arranged to extend credit, or renewed any extension of credit, in the form of a personal loan, to or for any director or executive officer of the Company, or to or for any family member or Affiliate of any director or executive officer of the Company in violation of applicable laws, including Section 13(k) of the Exchange Act.</w:t>
      </w:r>
    </w:p>
    <w:p>
      <w:pPr>
        <w:spacing w:after="0" w:line="177" w:lineRule="exact"/>
        <w:rPr>
          <w:rFonts w:ascii="Arial" w:cs="Arial" w:eastAsia="Arial" w:hAnsi="Arial"/>
          <w:sz w:val="17"/>
          <w:szCs w:val="17"/>
          <w:color w:val="auto"/>
        </w:rPr>
      </w:pPr>
    </w:p>
    <w:p>
      <w:pPr>
        <w:ind w:left="700" w:hanging="264"/>
        <w:spacing w:after="0"/>
        <w:tabs>
          <w:tab w:leader="none" w:pos="700"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Environmental Matters</w:t>
      </w:r>
      <w:r>
        <w:rPr>
          <w:rFonts w:ascii="Arial" w:cs="Arial" w:eastAsia="Arial" w:hAnsi="Arial"/>
          <w:sz w:val="17"/>
          <w:szCs w:val="17"/>
          <w:color w:val="auto"/>
        </w:rPr>
        <w:t>. Each of the Company and its subsidiaries (i) is in compliance with any and all applicable federal, state, local and</w:t>
      </w:r>
    </w:p>
    <w:p>
      <w:pPr>
        <w:spacing w:after="0" w:line="3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non-U.S. laws and regulations relating to the protection of human health and safety, the environment or hazardous or toxic substances or wastes, pollutants or contaminants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(ii) has received all permits, licenses or other approvals required of it under applicable Environmental Laws to conduct its businesses and (iii) is in compliance with all terms and conditions of any such permit, license or approval.</w:t>
      </w:r>
    </w:p>
    <w:p>
      <w:pPr>
        <w:spacing w:after="0" w:line="155" w:lineRule="exact"/>
        <w:rPr>
          <w:sz w:val="20"/>
          <w:szCs w:val="20"/>
          <w:color w:val="auto"/>
        </w:rPr>
      </w:pPr>
    </w:p>
    <w:p>
      <w:pPr>
        <w:ind w:left="780" w:hanging="344"/>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Controls and Procedures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68" w:name="page69"/>
    <w:bookmarkEnd w:id="68"/>
    <w:p>
      <w:pPr>
        <w:ind w:left="4" w:right="160" w:firstLine="987"/>
        <w:spacing w:after="0" w:line="293" w:lineRule="auto"/>
        <w:tabs>
          <w:tab w:leader="none" w:pos="1210" w:val="left"/>
        </w:tabs>
        <w:numPr>
          <w:ilvl w:val="2"/>
          <w:numId w:val="6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Disclosure Controls and Procedures</w:t>
      </w:r>
      <w:r>
        <w:rPr>
          <w:rFonts w:ascii="Arial" w:cs="Arial" w:eastAsia="Arial" w:hAnsi="Arial"/>
          <w:sz w:val="16"/>
          <w:szCs w:val="16"/>
          <w:color w:val="auto"/>
        </w:rPr>
        <w:t>. The Company has established and maintains disclosure controls and procedures (as such term is defined in Rules 13a-15 and 15d-15 under the Exchange Act) that (A) are designed to ensure that material information relating to the Company and its subsidiaries is made known to the Company’s principal executive officer and its principal financial officer by others within those entities, particularly during the periods in which the periodic reports required under the Exchange Act are being prepared; (B) provide for the periodic evaluation of the effectiveness of such disclosure controls and procedures as of the end of the period covered by the Company’s most recent annual or quarterly report filed with the Commission; and (C) are effective in all material respects to perform the functions for which they were established.</w:t>
      </w:r>
    </w:p>
    <w:p>
      <w:pPr>
        <w:spacing w:after="0" w:line="164" w:lineRule="exact"/>
        <w:rPr>
          <w:rFonts w:ascii="Arial" w:cs="Arial" w:eastAsia="Arial" w:hAnsi="Arial"/>
          <w:sz w:val="16"/>
          <w:szCs w:val="16"/>
          <w:color w:val="auto"/>
        </w:rPr>
      </w:pPr>
    </w:p>
    <w:p>
      <w:pPr>
        <w:ind w:left="4" w:firstLine="987"/>
        <w:spacing w:after="0" w:line="285" w:lineRule="auto"/>
        <w:tabs>
          <w:tab w:leader="none" w:pos="1260" w:val="left"/>
        </w:tabs>
        <w:numPr>
          <w:ilvl w:val="2"/>
          <w:numId w:val="61"/>
        </w:numPr>
        <w:rPr>
          <w:rFonts w:ascii="Arial" w:cs="Arial" w:eastAsia="Arial" w:hAnsi="Arial"/>
          <w:sz w:val="16"/>
          <w:szCs w:val="16"/>
          <w:color w:val="auto"/>
        </w:rPr>
      </w:pPr>
      <w:r>
        <w:rPr>
          <w:rFonts w:ascii="Arial" w:cs="Arial" w:eastAsia="Arial" w:hAnsi="Arial"/>
          <w:sz w:val="16"/>
          <w:szCs w:val="16"/>
          <w:u w:val="single" w:color="auto"/>
          <w:color w:val="auto"/>
        </w:rPr>
        <w:t>Internal Control Over Financial Reporting and Internal Accounting Controls</w:t>
      </w:r>
      <w:r>
        <w:rPr>
          <w:rFonts w:ascii="Arial" w:cs="Arial" w:eastAsia="Arial" w:hAnsi="Arial"/>
          <w:sz w:val="16"/>
          <w:szCs w:val="16"/>
          <w:color w:val="auto"/>
        </w:rPr>
        <w:t>. The Company maintains (i) effective “internal control over financial reporting” as defined in, and in compliance with, Rules 13a-15 and 15d-15 under the Exchange Act, and (ii)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generally accepted accounting principles and to maintain asset accountability; (C) access to assets is permitted only in accordance with management’s general or specific authorization;</w:t>
      </w:r>
    </w:p>
    <w:p>
      <w:pPr>
        <w:spacing w:after="0" w:line="1" w:lineRule="exact"/>
        <w:rPr>
          <w:rFonts w:ascii="Arial" w:cs="Arial" w:eastAsia="Arial" w:hAnsi="Arial"/>
          <w:sz w:val="16"/>
          <w:szCs w:val="16"/>
          <w:color w:val="auto"/>
        </w:rPr>
      </w:pPr>
    </w:p>
    <w:p>
      <w:pPr>
        <w:jc w:val="both"/>
        <w:ind w:left="4" w:right="60" w:hanging="4"/>
        <w:spacing w:after="0" w:line="253" w:lineRule="auto"/>
        <w:tabs>
          <w:tab w:leader="none" w:pos="29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recorded accountability for assets is compared with the existing assets at reasonable intervals and appropriate action is taken with respect to any differences; and (E)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w:t>
      </w:r>
    </w:p>
    <w:p>
      <w:pPr>
        <w:spacing w:after="0" w:line="192" w:lineRule="exact"/>
        <w:rPr>
          <w:rFonts w:ascii="Arial" w:cs="Arial" w:eastAsia="Arial" w:hAnsi="Arial"/>
          <w:sz w:val="18"/>
          <w:szCs w:val="18"/>
          <w:color w:val="auto"/>
        </w:rPr>
      </w:pPr>
    </w:p>
    <w:p>
      <w:pPr>
        <w:ind w:left="4" w:right="20" w:firstLine="987"/>
        <w:spacing w:after="0" w:line="271" w:lineRule="auto"/>
        <w:tabs>
          <w:tab w:leader="none" w:pos="1310" w:val="left"/>
        </w:tabs>
        <w:numPr>
          <w:ilvl w:val="2"/>
          <w:numId w:val="62"/>
        </w:numPr>
        <w:rPr>
          <w:rFonts w:ascii="Arial" w:cs="Arial" w:eastAsia="Arial" w:hAnsi="Arial"/>
          <w:sz w:val="17"/>
          <w:szCs w:val="17"/>
          <w:color w:val="auto"/>
        </w:rPr>
      </w:pPr>
      <w:r>
        <w:rPr>
          <w:rFonts w:ascii="Arial" w:cs="Arial" w:eastAsia="Arial" w:hAnsi="Arial"/>
          <w:sz w:val="17"/>
          <w:szCs w:val="17"/>
          <w:u w:val="single" w:color="auto"/>
          <w:color w:val="auto"/>
        </w:rPr>
        <w:t>No Material Weakness in Internal Controls</w:t>
      </w:r>
      <w:r>
        <w:rPr>
          <w:rFonts w:ascii="Arial" w:cs="Arial" w:eastAsia="Arial" w:hAnsi="Arial"/>
          <w:sz w:val="17"/>
          <w:szCs w:val="17"/>
          <w:color w:val="auto"/>
        </w:rPr>
        <w:t>.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The Company is not aware of (x) any significant deficiency in the design or operation of its internal control over financial reporting which is reasonably likely to adversely affect the Company’s ability to record, process, summarize and report financial data or any material weaknesses in its internal controls, except as disclosed in the Registration Statement and the Prospectus, or in any document incorporated by reference therein, since the end of the Company’s most recent audited fiscal year; or (y) any fraud, whether or not material, that involves management or other employees who have a significant role in the Company’s internal controls.</w:t>
      </w:r>
    </w:p>
    <w:p>
      <w:pPr>
        <w:spacing w:after="0" w:line="178" w:lineRule="exact"/>
        <w:rPr>
          <w:rFonts w:ascii="Arial" w:cs="Arial" w:eastAsia="Arial" w:hAnsi="Arial"/>
          <w:sz w:val="17"/>
          <w:szCs w:val="17"/>
          <w:color w:val="auto"/>
        </w:rPr>
      </w:pPr>
    </w:p>
    <w:p>
      <w:pPr>
        <w:ind w:left="4" w:right="180" w:firstLine="436"/>
        <w:spacing w:after="0" w:line="342" w:lineRule="auto"/>
        <w:tabs>
          <w:tab w:leader="none" w:pos="709"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Sarbanes-Oxley</w:t>
      </w:r>
      <w:r>
        <w:rPr>
          <w:rFonts w:ascii="Arial" w:cs="Arial" w:eastAsia="Arial" w:hAnsi="Arial"/>
          <w:sz w:val="16"/>
          <w:szCs w:val="16"/>
          <w:color w:val="auto"/>
        </w:rPr>
        <w:t>. The Company is, and after giving effect to the offering and sale of the Shares will be, in compliance in all material respects with all applicable effective provisions of the Sarbanes-Oxley Act of 2002 and the rules and regulations of the Commission promulgated thereunder.</w:t>
      </w:r>
    </w:p>
    <w:p>
      <w:pPr>
        <w:spacing w:after="0" w:line="123" w:lineRule="exact"/>
        <w:rPr>
          <w:rFonts w:ascii="Arial" w:cs="Arial" w:eastAsia="Arial" w:hAnsi="Arial"/>
          <w:sz w:val="16"/>
          <w:szCs w:val="16"/>
          <w:color w:val="auto"/>
        </w:rPr>
      </w:pPr>
    </w:p>
    <w:p>
      <w:pPr>
        <w:jc w:val="both"/>
        <w:ind w:left="4" w:firstLine="436"/>
        <w:spacing w:after="0" w:line="263" w:lineRule="auto"/>
        <w:tabs>
          <w:tab w:leader="none" w:pos="889"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Data Presentation</w:t>
      </w:r>
      <w:r>
        <w:rPr>
          <w:rFonts w:ascii="Arial" w:cs="Arial" w:eastAsia="Arial" w:hAnsi="Arial"/>
          <w:sz w:val="18"/>
          <w:szCs w:val="18"/>
          <w:color w:val="auto"/>
        </w:rPr>
        <w:t>. The preclinical studies and clinical trials conducted by or on behalf of the Company that are described in the Registration Statement and the Prospectus (the “</w:t>
      </w:r>
      <w:r>
        <w:rPr>
          <w:rFonts w:ascii="Arial" w:cs="Arial" w:eastAsia="Arial" w:hAnsi="Arial"/>
          <w:sz w:val="18"/>
          <w:szCs w:val="18"/>
          <w:b w:val="1"/>
          <w:bCs w:val="1"/>
          <w:color w:val="auto"/>
        </w:rPr>
        <w:t>Company Studies</w:t>
      </w:r>
      <w:r>
        <w:rPr>
          <w:rFonts w:ascii="Arial" w:cs="Arial" w:eastAsia="Arial" w:hAnsi="Arial"/>
          <w:sz w:val="18"/>
          <w:szCs w:val="18"/>
          <w:color w:val="auto"/>
        </w:rPr>
        <w:t>”) were and, if still pending, are being, conducted in all material respects in accordance with their experimental protocols; the descriptions of the results of the Company</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4" w:right="479" w:bottom="1440" w:gutter="0" w:footer="0" w:header="0"/>
        </w:sectPr>
      </w:pPr>
    </w:p>
    <w:bookmarkStart w:id="69" w:name="page70"/>
    <w:bookmarkEnd w:id="69"/>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Studies contained in the Registration Statement and the Prospectus are accurate in all material respects; the Company has no knowledge of any other preclinical studies or clinical trials not described in the Registration Statement and the Prospectus the results of which are inconsistent with or otherwise call into question the results described or referred to in the Registration Statement and the Prospectus; and the Company has not received any written notices or correspondence from the FDA or any foreign, state or local governmental body exercising comparable authority (the “</w:t>
      </w:r>
      <w:r>
        <w:rPr>
          <w:rFonts w:ascii="Arial" w:cs="Arial" w:eastAsia="Arial" w:hAnsi="Arial"/>
          <w:sz w:val="16"/>
          <w:szCs w:val="16"/>
          <w:b w:val="1"/>
          <w:bCs w:val="1"/>
          <w:color w:val="auto"/>
        </w:rPr>
        <w:t>Regulatory Agencies</w:t>
      </w:r>
      <w:r>
        <w:rPr>
          <w:rFonts w:ascii="Arial" w:cs="Arial" w:eastAsia="Arial" w:hAnsi="Arial"/>
          <w:sz w:val="16"/>
          <w:szCs w:val="16"/>
          <w:color w:val="auto"/>
        </w:rPr>
        <w:t>”) requiring the termination, suspension or material modification of any Company Studies that would reasonably be expected to have a Material Adverse Effect and, to the Company’s knowledge, there are no reasonable grounds for the same. To the Company’s knowledge, none of the Company Studies involved any investigator who has been disqualified as a clinical investigator or has been found by the FDA to have engaged in scientific misconduct.</w:t>
      </w:r>
    </w:p>
    <w:p>
      <w:pPr>
        <w:spacing w:after="0" w:line="166" w:lineRule="exact"/>
        <w:rPr>
          <w:sz w:val="20"/>
          <w:szCs w:val="20"/>
          <w:color w:val="auto"/>
        </w:rPr>
      </w:pPr>
    </w:p>
    <w:p>
      <w:pPr>
        <w:ind w:right="180" w:firstLine="436"/>
        <w:spacing w:after="0" w:line="291" w:lineRule="auto"/>
        <w:tabs>
          <w:tab w:leader="none" w:pos="785"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Regulatory Filings</w:t>
      </w:r>
      <w:r>
        <w:rPr>
          <w:rFonts w:ascii="Arial" w:cs="Arial" w:eastAsia="Arial" w:hAnsi="Arial"/>
          <w:sz w:val="16"/>
          <w:szCs w:val="16"/>
          <w:color w:val="auto"/>
        </w:rPr>
        <w:t>. The Company has not failed to file with the Regulatory Agencies any required filing, declaration, listing, registration, report or submission with respect to the Company’s product candidates that are described or referred to in the Registration Statement or the Prospectus or any other filing required by any other applicable Regulatory Agency or governmental authority; all such filings, declarations, listings, registrations, reports or submissions were in material compliance with applicable laws when filed; all such filings, declarations, listings, registrations, reports or submissions were timely, complete, accurate and not misleading on the date filed in all material respects (or were corrected or supplemented by subsequent submission); and no deficiencies regarding compliance with applicable law have been asserted by any applicable Regulatory Agency or other governmental authority with respect to any such filings, declarations, listings, registrations, reports or submissions.</w:t>
      </w:r>
    </w:p>
    <w:p>
      <w:pPr>
        <w:spacing w:after="0" w:line="166" w:lineRule="exact"/>
        <w:rPr>
          <w:rFonts w:ascii="Arial" w:cs="Arial" w:eastAsia="Arial" w:hAnsi="Arial"/>
          <w:sz w:val="16"/>
          <w:szCs w:val="16"/>
          <w:color w:val="auto"/>
        </w:rPr>
      </w:pPr>
    </w:p>
    <w:p>
      <w:pPr>
        <w:ind w:firstLine="436"/>
        <w:spacing w:after="0" w:line="286" w:lineRule="auto"/>
        <w:tabs>
          <w:tab w:leader="none" w:pos="785"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Licenses and Permits</w:t>
      </w:r>
      <w:r>
        <w:rPr>
          <w:rFonts w:ascii="Arial" w:cs="Arial" w:eastAsia="Arial" w:hAnsi="Arial"/>
          <w:sz w:val="16"/>
          <w:szCs w:val="16"/>
          <w:color w:val="auto"/>
        </w:rPr>
        <w:t>. Except as would not, individually or in the aggregate, have a Material Adverse Effect, (i) the Company and its subsidiaries hold, and are operating in compliance with, such permits, licenses, franchises, registrations, exemptions, approvals, authorizations and clearances of any other governmental authorities (including, without limitation, the FDA) required for the conduct of its business as currently conducted (collectively, the “</w:t>
      </w:r>
      <w:r>
        <w:rPr>
          <w:rFonts w:ascii="Arial" w:cs="Arial" w:eastAsia="Arial" w:hAnsi="Arial"/>
          <w:sz w:val="16"/>
          <w:szCs w:val="16"/>
          <w:b w:val="1"/>
          <w:bCs w:val="1"/>
          <w:color w:val="auto"/>
        </w:rPr>
        <w:t>Permits</w:t>
      </w:r>
      <w:r>
        <w:rPr>
          <w:rFonts w:ascii="Arial" w:cs="Arial" w:eastAsia="Arial" w:hAnsi="Arial"/>
          <w:sz w:val="16"/>
          <w:szCs w:val="16"/>
          <w:color w:val="auto"/>
        </w:rPr>
        <w:t>”), and all such Permits are in full force and effect; and (ii) the Company and its subsidiaries have fulfilled and performed all of their obligations with respect to the Permits, and, to the Company’s knowledge, no event has occurred which allows, or after notice or lapse of time would allow, revocation or termination thereof or results in any other impairment of the rights of the holder of any Permit. All applications, notifications, submissions, information, claims, reports and statistics, and other data and conclusions derived therefrom, utilized as the basis for any and all requests for a Permit from the FDA or other governmental authority relating to the Company or its subsidiaries, its business and its products, when submitted to the FDA or other governmental authority by or on behalf of the Company or its subsidiaries, were true, complete and correct in all material respects. Any necessary or required updates, changes, corrections or modification to such applications, notifications, submissions, information, claims, reports and statistics and other data have been submitted to the FDA or other governmental authority, except as would not, individually or in the aggregate, have a Material Adverse Effect. The Company and its subsidiaries have not received any notification, correspondence or any other written communication, including notification of any pending or, to the Company’s knowledge, threatened claim, suit, proceeding, hearing, enforcement, investigation, arbitration or other action from any governmental authority, including, without limitation, the FDA, of potential or actual material non-compliance by,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70" w:name="page71"/>
    <w:bookmarkEnd w:id="70"/>
    <w:p>
      <w:pPr>
        <w:ind w:right="2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 liability of, the Company or its subsidiaries under any Permits. To the Company’s knowledge, there are no facts or circumstances that would reasonably be expected to give rise to any material liability of the Company or its subsidiaries under any Permits.</w:t>
      </w:r>
    </w:p>
    <w:p>
      <w:pPr>
        <w:spacing w:after="0" w:line="146" w:lineRule="exact"/>
        <w:rPr>
          <w:sz w:val="20"/>
          <w:szCs w:val="20"/>
          <w:color w:val="auto"/>
        </w:rPr>
      </w:pPr>
    </w:p>
    <w:p>
      <w:pPr>
        <w:ind w:firstLine="436"/>
        <w:spacing w:after="0" w:line="285" w:lineRule="auto"/>
        <w:tabs>
          <w:tab w:leader="none" w:pos="785"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Compliance with Certain Regulatory Matters</w:t>
      </w:r>
      <w:r>
        <w:rPr>
          <w:rFonts w:ascii="Arial" w:cs="Arial" w:eastAsia="Arial" w:hAnsi="Arial"/>
          <w:sz w:val="16"/>
          <w:szCs w:val="16"/>
          <w:color w:val="auto"/>
        </w:rPr>
        <w:t>. The Company, its subsidiaries, and to the Company’s knowledge, its directors, officers, employees and agents have operated and currently are in compliance in all material respects with applicable Health Care Laws. For purposes of this Agreement, “</w:t>
      </w:r>
      <w:r>
        <w:rPr>
          <w:rFonts w:ascii="Arial" w:cs="Arial" w:eastAsia="Arial" w:hAnsi="Arial"/>
          <w:sz w:val="16"/>
          <w:szCs w:val="16"/>
          <w:b w:val="1"/>
          <w:bCs w:val="1"/>
          <w:color w:val="auto"/>
        </w:rPr>
        <w:t>Health Care Laws</w:t>
      </w:r>
      <w:r>
        <w:rPr>
          <w:rFonts w:ascii="Arial" w:cs="Arial" w:eastAsia="Arial" w:hAnsi="Arial"/>
          <w:sz w:val="16"/>
          <w:szCs w:val="16"/>
          <w:color w:val="auto"/>
        </w:rPr>
        <w:t>” includes, without limitation: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HIPAA (42 U.S.C. Section 1320d et seq.), the Stark Law (42 U.S.C. Section 1395nn),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the Patient Protection and Affordable Care Act of 2010, as amended by the Health Care and Education Reconciliation Act of 2010; (v) licensure, quality, safety and accreditation requirements under applicable federal, state, local or foreign laws or regulatory bodies; and (vi) all other local, state, federal, national, supranational and foreign laws, relating to the regulation of the Company or its subsidiaries, and (vii) the directives and regulations promulgated pursuant to such statutes and any state or non-U.S. counterpart thereof. Neither the Company, its subsidiaries, nor, to the knowledge of the Company, any of their respective directors, officers, employees or agents has been debarred, excluded or suspended from participation in or receiving payment from any federal, state or local government health care program or is subject to an audit, investigation, proceeding, or other similar action by any governmental authority that could reasonably be expected to result in debarment, suspension or exclusion.</w:t>
      </w:r>
    </w:p>
    <w:p>
      <w:pPr>
        <w:spacing w:after="0" w:line="173" w:lineRule="exact"/>
        <w:rPr>
          <w:rFonts w:ascii="Arial" w:cs="Arial" w:eastAsia="Arial" w:hAnsi="Arial"/>
          <w:sz w:val="16"/>
          <w:szCs w:val="16"/>
          <w:color w:val="auto"/>
        </w:rPr>
      </w:pPr>
    </w:p>
    <w:p>
      <w:pPr>
        <w:ind w:firstLine="436"/>
        <w:spacing w:after="0" w:line="269" w:lineRule="auto"/>
        <w:tabs>
          <w:tab w:leader="none" w:pos="785"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Absence of Certain Regulatory Actions</w:t>
      </w:r>
      <w:r>
        <w:rPr>
          <w:rFonts w:ascii="Arial" w:cs="Arial" w:eastAsia="Arial" w:hAnsi="Arial"/>
          <w:sz w:val="17"/>
          <w:szCs w:val="17"/>
          <w:color w:val="auto"/>
        </w:rPr>
        <w:t>. Except as described in the Registration Statement and the Prospectus, or as would not, individually or in the aggregate, have a Material Adverse Effect, the Company and its subsidiaries, have not had any product or manufacturing site (whether Company-owned or that of a contract manufacturer for Company product candidates) subject to a governmental authority (including, without limitation, the FDA) shutdown or import or export prohibition, nor have the Company and its subsidiaries received any FDA Form 483 or other governmental authority notice of inspectional observations, “warning letters,” “untitled letters,” requests to make changes to the Company products, processes or operations, or similar correspondence or notice from the FDA or other governmental authority alleging or asserting material noncompliance with any applicable laws. To the Company’s knowledge, neither the FDA nor any other governmental authority has threatened such action. Neither the Company nor its subsidiaries, has received written notice of any claim, action, suit, proceeding, hearing, enforcement, investigation, arbitration or other action from any court, arbitrator, Regulatory Agency, or other governmental authority or third party alleging that any product operation or activity is in violation of any Health Care Laws nor, to the Company’s knowledge, is any such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claim, action, suit, proceeding, hearing, enforcement, investigation, arbitration or other action threatened.</w:t>
      </w:r>
    </w:p>
    <w:p>
      <w:pPr>
        <w:spacing w:after="0" w:line="225" w:lineRule="exact"/>
        <w:rPr>
          <w:sz w:val="20"/>
          <w:szCs w:val="20"/>
          <w:color w:val="auto"/>
        </w:rPr>
      </w:pPr>
    </w:p>
    <w:p>
      <w:pPr>
        <w:ind w:right="680" w:firstLine="436"/>
        <w:spacing w:after="0" w:line="277" w:lineRule="auto"/>
        <w:tabs>
          <w:tab w:leader="none" w:pos="72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No Rating</w:t>
      </w:r>
      <w:r>
        <w:rPr>
          <w:rFonts w:ascii="Arial" w:cs="Arial" w:eastAsia="Arial" w:hAnsi="Arial"/>
          <w:sz w:val="18"/>
          <w:szCs w:val="18"/>
          <w:color w:val="auto"/>
        </w:rPr>
        <w:t>. Neither the Company nor its subsidiaries, has debt securities or preferred stock that is rated by any “nationally recognized statistical rating organization” (as such term is defined in Section 3(a)(62) of the Exchange Act).</w:t>
      </w:r>
    </w:p>
    <w:p>
      <w:pPr>
        <w:spacing w:after="0" w:line="170" w:lineRule="exact"/>
        <w:rPr>
          <w:rFonts w:ascii="Arial" w:cs="Arial" w:eastAsia="Arial" w:hAnsi="Arial"/>
          <w:sz w:val="18"/>
          <w:szCs w:val="18"/>
          <w:color w:val="auto"/>
        </w:rPr>
      </w:pPr>
    </w:p>
    <w:p>
      <w:pPr>
        <w:ind w:right="140" w:firstLine="436"/>
        <w:spacing w:after="0" w:line="263" w:lineRule="auto"/>
        <w:tabs>
          <w:tab w:leader="none" w:pos="74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No Broker’s Fees</w:t>
      </w:r>
      <w:r>
        <w:rPr>
          <w:rFonts w:ascii="Arial" w:cs="Arial" w:eastAsia="Arial" w:hAnsi="Arial"/>
          <w:sz w:val="18"/>
          <w:szCs w:val="18"/>
          <w:color w:val="auto"/>
        </w:rPr>
        <w:t>. The Company is not a party to any contract, agreement or understanding with any person (other than this Agreement) that would give rise to a valid claim against the Company or any Underwriter for a brokerage commission, finder’s fee or like payment in connection with the offering and sale of the Shares.</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Required Filings</w:t>
      </w:r>
      <w:r>
        <w:rPr>
          <w:rFonts w:ascii="Arial" w:cs="Arial" w:eastAsia="Arial" w:hAnsi="Arial"/>
          <w:sz w:val="18"/>
          <w:szCs w:val="18"/>
          <w:color w:val="auto"/>
        </w:rPr>
        <w:t>. The Company has timely made all filings required to be made by it under the Exchange Act.</w:t>
      </w:r>
    </w:p>
    <w:p>
      <w:pPr>
        <w:spacing w:after="0" w:line="225" w:lineRule="exact"/>
        <w:rPr>
          <w:rFonts w:ascii="Arial" w:cs="Arial" w:eastAsia="Arial" w:hAnsi="Arial"/>
          <w:sz w:val="18"/>
          <w:szCs w:val="18"/>
          <w:color w:val="auto"/>
        </w:rPr>
      </w:pPr>
    </w:p>
    <w:p>
      <w:pPr>
        <w:ind w:right="100" w:firstLine="436"/>
        <w:spacing w:after="0" w:line="257" w:lineRule="auto"/>
        <w:tabs>
          <w:tab w:leader="none" w:pos="78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FINRA Matters</w:t>
      </w:r>
      <w:r>
        <w:rPr>
          <w:rFonts w:ascii="Arial" w:cs="Arial" w:eastAsia="Arial" w:hAnsi="Arial"/>
          <w:sz w:val="18"/>
          <w:szCs w:val="18"/>
          <w:color w:val="auto"/>
        </w:rPr>
        <w:t>. All of the information provided to the Agent or to counsel for the Agent by the Company, or to the Company’s knowledge, by its counsel, its officers and directors and the holders of any securities (debt or equity) or options to acquire any securities of the Company in connection with the offering of the Shares is true, complete, correct and compliant with FINRA’s rules and any letters, filings or other supplemental information provided to FINRA pursuant to FINRA Rules or NASD Conduct Rules is true, complete and correct. The Company meets the definition of the term “experienced issuer” specified in FINRA Rule 5110(j)(6).</w:t>
      </w:r>
    </w:p>
    <w:p>
      <w:pPr>
        <w:spacing w:after="0" w:line="187" w:lineRule="exact"/>
        <w:rPr>
          <w:rFonts w:ascii="Arial" w:cs="Arial" w:eastAsia="Arial" w:hAnsi="Arial"/>
          <w:sz w:val="18"/>
          <w:szCs w:val="18"/>
          <w:color w:val="auto"/>
        </w:rPr>
      </w:pPr>
    </w:p>
    <w:p>
      <w:pPr>
        <w:jc w:val="both"/>
        <w:ind w:firstLine="436"/>
        <w:spacing w:after="0" w:line="263" w:lineRule="auto"/>
        <w:tabs>
          <w:tab w:leader="none" w:pos="78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Duties, Transfer Taxes, Etc</w:t>
      </w:r>
      <w:r>
        <w:rPr>
          <w:rFonts w:ascii="Arial" w:cs="Arial" w:eastAsia="Arial" w:hAnsi="Arial"/>
          <w:sz w:val="18"/>
          <w:szCs w:val="18"/>
          <w:color w:val="auto"/>
        </w:rPr>
        <w:t>. No stamp or other issuance or transfer taxes or duties and no capital gains, income, withholding or other taxes are payable by the Agent in the United States or any political subdivision or taxing authority thereof or therein in connection with the execution, delivery or performance of this Agreement by the Company or the sale and delivery by the Company of the Shares.</w:t>
      </w:r>
    </w:p>
    <w:p>
      <w:pPr>
        <w:spacing w:after="0" w:line="183" w:lineRule="exact"/>
        <w:rPr>
          <w:rFonts w:ascii="Arial" w:cs="Arial" w:eastAsia="Arial" w:hAnsi="Arial"/>
          <w:sz w:val="18"/>
          <w:szCs w:val="18"/>
          <w:color w:val="auto"/>
        </w:rPr>
      </w:pPr>
    </w:p>
    <w:p>
      <w:pPr>
        <w:ind w:right="40" w:firstLine="436"/>
        <w:spacing w:after="0" w:line="269" w:lineRule="auto"/>
        <w:tabs>
          <w:tab w:leader="none" w:pos="865"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Cybersecurity</w:t>
      </w:r>
      <w:r>
        <w:rPr>
          <w:rFonts w:ascii="Arial" w:cs="Arial" w:eastAsia="Arial" w:hAnsi="Arial"/>
          <w:sz w:val="17"/>
          <w:szCs w:val="17"/>
          <w:color w:val="auto"/>
        </w:rPr>
        <w:t>. The Company’s and its subsidiaries’ information technology assets and equipment, computers, systems, networks, hardware, software, websites, applications, and databases (collectively, “IT Systems”) are reasonably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all confidential information and the integrity, continuous operation, redundancy and security of all IT Systems and data, including “Personal Data,” used in connection with their businesses. “Personal Data” means (i) any information that relates to an identified or identifiable individual or device, including, but not limited to, name, address, telephone number, email address, username and password, photograph, government-issued identifier, online identifier, or any other data used or intended to be used to identify, contact or precisely locate an individual and (ii) any other information which is classified as “personal data,” “personal information,” “personally identifiable information” (or other similar term) under the Privacy Laws or Policies. There have been no material disruptions to or violations or outages of any of the IT Systems nor any occurrence of any unlawful, accidental, or unauthorized destruction, loss, modification or disclosure, use of, or access to, any IT Systems,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72" w:name="page73"/>
    <w:bookmarkEnd w:id="72"/>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information, or Personal Data maintained by or on behalf of the Company, nor any incidents under internal review or investigations relating to any of the foregoing. Except as would not reasonably be expected to have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Processing of Personal Data and to the protection of such IT Systems and Personal Data from unlawful, accidental, or unauthorized destruction, loss, disclosure, use, access, misappropriation or modification.</w:t>
      </w:r>
    </w:p>
    <w:p>
      <w:pPr>
        <w:spacing w:after="0" w:line="192" w:lineRule="exact"/>
        <w:rPr>
          <w:sz w:val="20"/>
          <w:szCs w:val="20"/>
          <w:color w:val="auto"/>
        </w:rPr>
      </w:pPr>
    </w:p>
    <w:p>
      <w:pPr>
        <w:ind w:firstLine="436"/>
        <w:spacing w:after="0" w:line="285" w:lineRule="auto"/>
        <w:tabs>
          <w:tab w:leader="none" w:pos="785"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Data Privacy Laws</w:t>
      </w:r>
      <w:r>
        <w:rPr>
          <w:rFonts w:ascii="Arial" w:cs="Arial" w:eastAsia="Arial" w:hAnsi="Arial"/>
          <w:sz w:val="16"/>
          <w:szCs w:val="16"/>
          <w:color w:val="auto"/>
        </w:rPr>
        <w:t>. Except as would not reasonably be expected to have a Material Adverse Effect, the Company and its subsidiaries are, and at all prior times were, in compliance with all applicable state and federal laws and regulations relating to data privacy and security or the Company’s collection, storage, use, retention, disclosure, transfer, disposal, handling, analysis, or other processing (collectively, “</w:t>
      </w:r>
      <w:r>
        <w:rPr>
          <w:rFonts w:ascii="Arial" w:cs="Arial" w:eastAsia="Arial" w:hAnsi="Arial"/>
          <w:sz w:val="16"/>
          <w:szCs w:val="16"/>
          <w:b w:val="1"/>
          <w:bCs w:val="1"/>
          <w:color w:val="auto"/>
        </w:rPr>
        <w:t>Processing</w:t>
      </w:r>
      <w:r>
        <w:rPr>
          <w:rFonts w:ascii="Arial" w:cs="Arial" w:eastAsia="Arial" w:hAnsi="Arial"/>
          <w:sz w:val="16"/>
          <w:szCs w:val="16"/>
          <w:color w:val="auto"/>
        </w:rPr>
        <w:t>”) of data, including, without limitation, the Health Insurance Portability and Accountability Act of 1996, as amended by the Health Information Technology for Economic and Clinical Health Act, including all rules and regulations promulgated thereunder (“</w:t>
      </w:r>
      <w:r>
        <w:rPr>
          <w:rFonts w:ascii="Arial" w:cs="Arial" w:eastAsia="Arial" w:hAnsi="Arial"/>
          <w:sz w:val="16"/>
          <w:szCs w:val="16"/>
          <w:b w:val="1"/>
          <w:bCs w:val="1"/>
          <w:color w:val="auto"/>
        </w:rPr>
        <w:t>HIPAA</w:t>
      </w:r>
      <w:r>
        <w:rPr>
          <w:rFonts w:ascii="Arial" w:cs="Arial" w:eastAsia="Arial" w:hAnsi="Arial"/>
          <w:sz w:val="16"/>
          <w:szCs w:val="16"/>
          <w:color w:val="auto"/>
        </w:rPr>
        <w:t>”), Regulation (EU) 2016/679 of the European Parliament and of the Council of 27 April 2016, as amended from time to time, and all national laws and regulations implementing it (“</w:t>
      </w:r>
      <w:r>
        <w:rPr>
          <w:rFonts w:ascii="Arial" w:cs="Arial" w:eastAsia="Arial" w:hAnsi="Arial"/>
          <w:sz w:val="16"/>
          <w:szCs w:val="16"/>
          <w:b w:val="1"/>
          <w:bCs w:val="1"/>
          <w:color w:val="auto"/>
        </w:rPr>
        <w:t>EU GDPR</w:t>
      </w:r>
      <w:r>
        <w:rPr>
          <w:rFonts w:ascii="Arial" w:cs="Arial" w:eastAsia="Arial" w:hAnsi="Arial"/>
          <w:sz w:val="16"/>
          <w:szCs w:val="16"/>
          <w:color w:val="auto"/>
        </w:rPr>
        <w:t>”) and the European Union General Data Protection Regulation as it forms part of UK law by virtue of section 3 of the European Union (Withdrawal) Act 2018 (as amended, including by the Data Protection, Privacy and Electronic Communications (Amendments etc.) (EU Exit) Regulations 2019) (“</w:t>
      </w:r>
      <w:r>
        <w:rPr>
          <w:rFonts w:ascii="Arial" w:cs="Arial" w:eastAsia="Arial" w:hAnsi="Arial"/>
          <w:sz w:val="16"/>
          <w:szCs w:val="16"/>
          <w:b w:val="1"/>
          <w:bCs w:val="1"/>
          <w:color w:val="auto"/>
        </w:rPr>
        <w:t>UK GDPR</w:t>
      </w:r>
      <w:r>
        <w:rPr>
          <w:rFonts w:ascii="Arial" w:cs="Arial" w:eastAsia="Arial" w:hAnsi="Arial"/>
          <w:sz w:val="16"/>
          <w:szCs w:val="16"/>
          <w:color w:val="auto"/>
        </w:rPr>
        <w:t>”) (collectively, the “</w:t>
      </w:r>
      <w:r>
        <w:rPr>
          <w:rFonts w:ascii="Arial" w:cs="Arial" w:eastAsia="Arial" w:hAnsi="Arial"/>
          <w:sz w:val="16"/>
          <w:szCs w:val="16"/>
          <w:b w:val="1"/>
          <w:bCs w:val="1"/>
          <w:color w:val="auto"/>
        </w:rPr>
        <w:t>Privacy Laws</w:t>
      </w:r>
      <w:r>
        <w:rPr>
          <w:rFonts w:ascii="Arial" w:cs="Arial" w:eastAsia="Arial" w:hAnsi="Arial"/>
          <w:sz w:val="16"/>
          <w:szCs w:val="16"/>
          <w:color w:val="auto"/>
        </w:rPr>
        <w:t>”). The Company and its subsidiaries have in place, comply with, and take appropriate steps designed to ensure compliance in all material respects with all of their policies and procedures relating to data privacy and security and the Company’s Processing of Personal Data (the “</w:t>
      </w:r>
      <w:r>
        <w:rPr>
          <w:rFonts w:ascii="Arial" w:cs="Arial" w:eastAsia="Arial" w:hAnsi="Arial"/>
          <w:sz w:val="16"/>
          <w:szCs w:val="16"/>
          <w:b w:val="1"/>
          <w:bCs w:val="1"/>
          <w:color w:val="auto"/>
        </w:rPr>
        <w:t>Policies</w:t>
      </w:r>
      <w:r>
        <w:rPr>
          <w:rFonts w:ascii="Arial" w:cs="Arial" w:eastAsia="Arial" w:hAnsi="Arial"/>
          <w:sz w:val="16"/>
          <w:szCs w:val="16"/>
          <w:color w:val="auto"/>
        </w:rPr>
        <w:t>”). The Company and its subsidiaries have at all times made all disclosures to users or customers required by Privacy Laws and Policies, and t none of such disclosures made or contained in any Policy have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or the Company’s Processing of Personal Data,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73" w:lineRule="exact"/>
        <w:rPr>
          <w:rFonts w:ascii="Arial" w:cs="Arial" w:eastAsia="Arial" w:hAnsi="Arial"/>
          <w:sz w:val="16"/>
          <w:szCs w:val="16"/>
          <w:color w:val="auto"/>
        </w:rPr>
      </w:pPr>
    </w:p>
    <w:p>
      <w:pPr>
        <w:ind w:right="80" w:firstLine="436"/>
        <w:spacing w:after="0" w:line="277" w:lineRule="auto"/>
        <w:tabs>
          <w:tab w:leader="none" w:pos="78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Other Underwriting Agreements</w:t>
      </w:r>
      <w:r>
        <w:rPr>
          <w:rFonts w:ascii="Arial" w:cs="Arial" w:eastAsia="Arial" w:hAnsi="Arial"/>
          <w:sz w:val="18"/>
          <w:szCs w:val="18"/>
          <w:color w:val="auto"/>
        </w:rPr>
        <w:t>. The Company is not a party to any agreement with an agent or underwriter for any other “at the market” or continuous equity transaction.</w:t>
      </w:r>
    </w:p>
    <w:p>
      <w:pPr>
        <w:spacing w:after="0" w:line="170"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84"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 xml:space="preserve">The Company acknowledges that the Agent and, for purposes of the opinions to be delivered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hereof, counsel to the Company and counsel to the Agent, will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73" w:name="page74"/>
    <w:bookmarkEnd w:id="7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rely upon the accuracy and truthfulness of the foregoing representations and hereby consents to such reliance.</w:t>
      </w:r>
    </w:p>
    <w:p>
      <w:pPr>
        <w:spacing w:after="0" w:line="22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3. ISSUANCE AND SALE OF COMMON SHARES</w:t>
      </w:r>
    </w:p>
    <w:p>
      <w:pPr>
        <w:spacing w:after="0" w:line="229" w:lineRule="exact"/>
        <w:rPr>
          <w:sz w:val="20"/>
          <w:szCs w:val="20"/>
          <w:color w:val="auto"/>
        </w:rPr>
      </w:pPr>
    </w:p>
    <w:p>
      <w:pPr>
        <w:ind w:left="4" w:right="60" w:firstLine="436"/>
        <w:spacing w:after="0" w:line="259" w:lineRule="auto"/>
        <w:tabs>
          <w:tab w:leader="none" w:pos="689"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Sale of Securities</w:t>
      </w:r>
      <w:r>
        <w:rPr>
          <w:rFonts w:ascii="Arial" w:cs="Arial" w:eastAsia="Arial" w:hAnsi="Arial"/>
          <w:sz w:val="18"/>
          <w:szCs w:val="18"/>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86" w:lineRule="exact"/>
        <w:rPr>
          <w:rFonts w:ascii="Arial" w:cs="Arial" w:eastAsia="Arial" w:hAnsi="Arial"/>
          <w:sz w:val="18"/>
          <w:szCs w:val="18"/>
          <w:color w:val="auto"/>
        </w:rPr>
      </w:pPr>
    </w:p>
    <w:p>
      <w:pPr>
        <w:ind w:left="704" w:hanging="264"/>
        <w:spacing w:after="0"/>
        <w:tabs>
          <w:tab w:leader="none" w:pos="704"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Mechanics of Issuances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987"/>
        <w:spacing w:after="0" w:line="287" w:lineRule="auto"/>
        <w:tabs>
          <w:tab w:leader="none" w:pos="1210" w:val="left"/>
        </w:tabs>
        <w:numPr>
          <w:ilvl w:val="2"/>
          <w:numId w:val="67"/>
        </w:numPr>
        <w:rPr>
          <w:rFonts w:ascii="Arial" w:cs="Arial" w:eastAsia="Arial" w:hAnsi="Arial"/>
          <w:sz w:val="16"/>
          <w:szCs w:val="16"/>
          <w:color w:val="auto"/>
        </w:rPr>
      </w:pPr>
      <w:r>
        <w:rPr>
          <w:rFonts w:ascii="Arial" w:cs="Arial" w:eastAsia="Arial" w:hAnsi="Arial"/>
          <w:sz w:val="16"/>
          <w:szCs w:val="16"/>
          <w:u w:val="single" w:color="auto"/>
          <w:color w:val="auto"/>
        </w:rPr>
        <w:t>Issuance Notice</w:t>
      </w:r>
      <w:r>
        <w:rPr>
          <w:rFonts w:ascii="Arial" w:cs="Arial" w:eastAsia="Arial" w:hAnsi="Arial"/>
          <w:sz w:val="16"/>
          <w:szCs w:val="16"/>
          <w:color w:val="auto"/>
        </w:rPr>
        <w:t xml:space="preserve">. Upon the terms and subject to the conditions set forth herein, on any Trading Day during the Agency Period on which the conditions set forth in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have been satisfied, the Company may exercise its right to request an issuance of Shares by delivering to the Agent an Issuance Notice; provided, however, that (A) in no event may the Company deliver an Issuance Notice to the extent that</w:t>
      </w:r>
    </w:p>
    <w:p>
      <w:pPr>
        <w:spacing w:after="0" w:line="2" w:lineRule="exact"/>
        <w:rPr>
          <w:rFonts w:ascii="Arial" w:cs="Arial" w:eastAsia="Arial" w:hAnsi="Arial"/>
          <w:sz w:val="16"/>
          <w:szCs w:val="16"/>
          <w:color w:val="auto"/>
        </w:rPr>
      </w:pPr>
    </w:p>
    <w:p>
      <w:pPr>
        <w:ind w:left="4" w:right="140" w:hanging="4"/>
        <w:spacing w:after="0" w:line="252" w:lineRule="auto"/>
        <w:tabs>
          <w:tab w:leader="none" w:pos="22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193" w:lineRule="exact"/>
        <w:rPr>
          <w:rFonts w:ascii="Arial" w:cs="Arial" w:eastAsia="Arial" w:hAnsi="Arial"/>
          <w:sz w:val="18"/>
          <w:szCs w:val="18"/>
          <w:color w:val="auto"/>
        </w:rPr>
      </w:pPr>
    </w:p>
    <w:p>
      <w:pPr>
        <w:ind w:left="4" w:right="100" w:firstLine="987"/>
        <w:spacing w:after="0" w:line="296" w:lineRule="auto"/>
        <w:tabs>
          <w:tab w:leader="none" w:pos="1260" w:val="left"/>
        </w:tabs>
        <w:numPr>
          <w:ilvl w:val="2"/>
          <w:numId w:val="68"/>
        </w:numPr>
        <w:rPr>
          <w:rFonts w:ascii="Arial" w:cs="Arial" w:eastAsia="Arial" w:hAnsi="Arial"/>
          <w:sz w:val="16"/>
          <w:szCs w:val="16"/>
          <w:color w:val="auto"/>
        </w:rPr>
      </w:pPr>
      <w:r>
        <w:rPr>
          <w:rFonts w:ascii="Arial" w:cs="Arial" w:eastAsia="Arial" w:hAnsi="Arial"/>
          <w:sz w:val="16"/>
          <w:szCs w:val="16"/>
          <w:u w:val="single" w:color="auto"/>
          <w:color w:val="auto"/>
        </w:rPr>
        <w:t>Agent Efforts</w:t>
      </w:r>
      <w:r>
        <w:rPr>
          <w:rFonts w:ascii="Arial" w:cs="Arial" w:eastAsia="Arial" w:hAnsi="Arial"/>
          <w:sz w:val="16"/>
          <w:szCs w:val="16"/>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61" w:lineRule="exact"/>
        <w:rPr>
          <w:rFonts w:ascii="Arial" w:cs="Arial" w:eastAsia="Arial" w:hAnsi="Arial"/>
          <w:sz w:val="16"/>
          <w:szCs w:val="16"/>
          <w:color w:val="auto"/>
        </w:rPr>
      </w:pPr>
    </w:p>
    <w:p>
      <w:pPr>
        <w:ind w:left="1304" w:hanging="313"/>
        <w:spacing w:after="0"/>
        <w:tabs>
          <w:tab w:leader="none" w:pos="1304" w:val="left"/>
        </w:tabs>
        <w:numPr>
          <w:ilvl w:val="2"/>
          <w:numId w:val="68"/>
        </w:numPr>
        <w:rPr>
          <w:rFonts w:ascii="Arial" w:cs="Arial" w:eastAsia="Arial" w:hAnsi="Arial"/>
          <w:sz w:val="16"/>
          <w:szCs w:val="16"/>
          <w:color w:val="auto"/>
        </w:rPr>
      </w:pPr>
      <w:r>
        <w:rPr>
          <w:rFonts w:ascii="Arial" w:cs="Arial" w:eastAsia="Arial" w:hAnsi="Arial"/>
          <w:sz w:val="16"/>
          <w:szCs w:val="16"/>
          <w:u w:val="single" w:color="auto"/>
          <w:color w:val="auto"/>
        </w:rPr>
        <w:t>Method of Offer and Sale</w:t>
      </w:r>
      <w:r>
        <w:rPr>
          <w:rFonts w:ascii="Arial" w:cs="Arial" w:eastAsia="Arial" w:hAnsi="Arial"/>
          <w:sz w:val="16"/>
          <w:szCs w:val="16"/>
          <w:color w:val="auto"/>
        </w:rPr>
        <w:t>. The Shares may be offered and sold (A) in negotiated transactions with the consent of the Company or</w:t>
      </w:r>
    </w:p>
    <w:p>
      <w:pPr>
        <w:spacing w:after="0" w:line="46" w:lineRule="exact"/>
        <w:rPr>
          <w:sz w:val="20"/>
          <w:szCs w:val="20"/>
          <w:color w:val="auto"/>
        </w:rPr>
      </w:pPr>
    </w:p>
    <w:p>
      <w:pPr>
        <w:ind w:left="4" w:right="140" w:hanging="4"/>
        <w:spacing w:after="0" w:line="273" w:lineRule="auto"/>
        <w:tabs>
          <w:tab w:leader="none" w:pos="289" w:val="left"/>
        </w:tabs>
        <w:numPr>
          <w:ilvl w:val="0"/>
          <w:numId w:val="69"/>
        </w:numPr>
        <w:rPr>
          <w:rFonts w:ascii="Arial" w:cs="Arial" w:eastAsia="Arial" w:hAnsi="Arial"/>
          <w:sz w:val="17"/>
          <w:szCs w:val="17"/>
          <w:color w:val="auto"/>
        </w:rPr>
      </w:pPr>
      <w:r>
        <w:rPr>
          <w:rFonts w:ascii="Arial" w:cs="Arial" w:eastAsia="Arial" w:hAnsi="Arial"/>
          <w:sz w:val="17"/>
          <w:szCs w:val="17"/>
          <w:color w:val="auto"/>
        </w:rPr>
        <w:t>by any other method permitted by law deemed to be an “</w:t>
      </w:r>
      <w:r>
        <w:rPr>
          <w:rFonts w:ascii="Arial" w:cs="Arial" w:eastAsia="Arial" w:hAnsi="Arial"/>
          <w:sz w:val="17"/>
          <w:szCs w:val="17"/>
          <w:b w:val="1"/>
          <w:bCs w:val="1"/>
          <w:color w:val="auto"/>
        </w:rPr>
        <w:t>at the market offering</w:t>
      </w:r>
      <w:r>
        <w:rPr>
          <w:rFonts w:ascii="Arial" w:cs="Arial" w:eastAsia="Arial" w:hAnsi="Arial"/>
          <w:sz w:val="17"/>
          <w:szCs w:val="17"/>
          <w:color w:val="auto"/>
        </w:rPr>
        <w:t>” as defined in Rule 415(a)(4) under the Securities Act, including block transactions,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 (A) above) the method of placement of any Shares by the Agent shall be at the Agent’s discretion.</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74" w:name="page75"/>
    <w:bookmarkEnd w:id="74"/>
    <w:p>
      <w:pPr>
        <w:jc w:val="both"/>
        <w:ind w:left="4" w:right="40" w:firstLine="987"/>
        <w:spacing w:after="0" w:line="286" w:lineRule="auto"/>
        <w:tabs>
          <w:tab w:leader="none" w:pos="1300" w:val="left"/>
        </w:tabs>
        <w:numPr>
          <w:ilvl w:val="1"/>
          <w:numId w:val="7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Confirmation to the Company</w:t>
      </w:r>
      <w:r>
        <w:rPr>
          <w:rFonts w:ascii="Arial" w:cs="Arial" w:eastAsia="Arial" w:hAnsi="Arial"/>
          <w:sz w:val="17"/>
          <w:szCs w:val="17"/>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165" w:lineRule="exact"/>
        <w:rPr>
          <w:rFonts w:ascii="Arial" w:cs="Arial" w:eastAsia="Arial" w:hAnsi="Arial"/>
          <w:sz w:val="17"/>
          <w:szCs w:val="17"/>
          <w:color w:val="auto"/>
        </w:rPr>
      </w:pPr>
    </w:p>
    <w:p>
      <w:pPr>
        <w:ind w:left="4" w:right="80" w:firstLine="987"/>
        <w:spacing w:after="0" w:line="291" w:lineRule="auto"/>
        <w:tabs>
          <w:tab w:leader="none" w:pos="1250"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rPr>
        <w:t xml:space="preserve">. Each issuance of Shares will be settled on the applicable Settlement Date for such issuance of Shares and, subject to the provisions of </w:t>
      </w:r>
      <w:r>
        <w:rPr>
          <w:rFonts w:ascii="Arial" w:cs="Arial" w:eastAsia="Arial" w:hAnsi="Arial"/>
          <w:sz w:val="16"/>
          <w:szCs w:val="16"/>
          <w:u w:val="single" w:color="auto"/>
          <w:color w:val="auto"/>
        </w:rPr>
        <w:t>Section 5</w:t>
      </w:r>
      <w:r>
        <w:rPr>
          <w:rFonts w:ascii="Arial" w:cs="Arial" w:eastAsia="Arial" w:hAnsi="Arial"/>
          <w:sz w:val="16"/>
          <w:szCs w:val="16"/>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Arial" w:cs="Arial" w:eastAsia="Arial" w:hAnsi="Arial"/>
          <w:sz w:val="16"/>
          <w:szCs w:val="16"/>
          <w:b w:val="1"/>
          <w:bCs w:val="1"/>
          <w:color w:val="auto"/>
        </w:rPr>
        <w:t>Time of Sale</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4" w:firstLine="987"/>
        <w:spacing w:after="0" w:line="283" w:lineRule="auto"/>
        <w:tabs>
          <w:tab w:leader="none" w:pos="1300"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Suspension or Termination of Sales</w:t>
      </w:r>
      <w:r>
        <w:rPr>
          <w:rFonts w:ascii="Arial" w:cs="Arial" w:eastAsia="Arial" w:hAnsi="Arial"/>
          <w:sz w:val="16"/>
          <w:szCs w:val="16"/>
          <w:color w:val="auto"/>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provided, however,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Arial" w:cs="Arial" w:eastAsia="Arial" w:hAnsi="Arial"/>
          <w:sz w:val="16"/>
          <w:szCs w:val="16"/>
          <w:u w:val="single" w:color="auto"/>
          <w:color w:val="auto"/>
        </w:rPr>
        <w:t>Section 3(b)(v)</w:t>
      </w:r>
      <w:r>
        <w:rPr>
          <w:rFonts w:ascii="Arial" w:cs="Arial" w:eastAsia="Arial" w:hAnsi="Arial"/>
          <w:sz w:val="16"/>
          <w:szCs w:val="16"/>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(provided, however, that such default was not caused by any failure by the Agent to fulfil its obligations hereunder). The parties hereto acknowledge and agree that, in performing its obligations under this Agreement, the Agent may borrow Common Shares from stock lenders in the event that the Company has not delivered Shares to settle sales as required by subsection</w:t>
      </w:r>
    </w:p>
    <w:p>
      <w:pPr>
        <w:spacing w:after="0" w:line="4" w:lineRule="exact"/>
        <w:rPr>
          <w:rFonts w:ascii="Arial" w:cs="Arial" w:eastAsia="Arial" w:hAnsi="Arial"/>
          <w:sz w:val="16"/>
          <w:szCs w:val="16"/>
          <w:color w:val="auto"/>
        </w:rPr>
      </w:pPr>
    </w:p>
    <w:p>
      <w:pPr>
        <w:ind w:left="4" w:right="220" w:hanging="4"/>
        <w:spacing w:after="0" w:line="260" w:lineRule="auto"/>
        <w:tabs>
          <w:tab w:leader="none" w:pos="259"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above, and may use the Shares to settle or close out such borrowings. The Company agrees that no such notice shall be effective against the Agent unless it is made to the persons identified in writing by the Agent pursuant to </w:t>
      </w:r>
      <w:r>
        <w:rPr>
          <w:rFonts w:ascii="Arial" w:cs="Arial" w:eastAsia="Arial" w:hAnsi="Arial"/>
          <w:sz w:val="18"/>
          <w:szCs w:val="18"/>
          <w:u w:val="single" w:color="auto"/>
          <w:color w:val="auto"/>
        </w:rPr>
        <w:t>Section 3(b)(i)</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4" w:right="40" w:firstLine="987"/>
        <w:spacing w:after="0" w:line="259" w:lineRule="auto"/>
        <w:tabs>
          <w:tab w:leader="none" w:pos="1350"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No Guarantee of Placement, Etc</w:t>
      </w:r>
      <w:r>
        <w:rPr>
          <w:rFonts w:ascii="Arial" w:cs="Arial" w:eastAsia="Arial" w:hAnsi="Arial"/>
          <w:sz w:val="18"/>
          <w:szCs w:val="18"/>
          <w:color w:val="auto"/>
        </w:rPr>
        <w:t>.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86" w:lineRule="exact"/>
        <w:rPr>
          <w:rFonts w:ascii="Arial" w:cs="Arial" w:eastAsia="Arial" w:hAnsi="Arial"/>
          <w:sz w:val="18"/>
          <w:szCs w:val="18"/>
          <w:color w:val="auto"/>
        </w:rPr>
      </w:pPr>
    </w:p>
    <w:p>
      <w:pPr>
        <w:ind w:left="4" w:right="20" w:firstLine="987"/>
        <w:spacing w:after="0" w:line="277" w:lineRule="auto"/>
        <w:tabs>
          <w:tab w:leader="none" w:pos="1400"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Material Non-Public Information</w:t>
      </w:r>
      <w:r>
        <w:rPr>
          <w:rFonts w:ascii="Arial" w:cs="Arial" w:eastAsia="Arial" w:hAnsi="Arial"/>
          <w:sz w:val="18"/>
          <w:szCs w:val="18"/>
          <w:color w:val="auto"/>
        </w:rPr>
        <w:t>. Notwithstanding any other provision of this Agreement, the Company and the Agent agree that the Company shall not deliver any Issuance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75" w:name="page76"/>
    <w:bookmarkEnd w:id="75"/>
    <w:p>
      <w:pPr>
        <w:ind w:left="4"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to the Agent, and the Agent shall not be obligated to place any Shares, during any period in which the Company is in possession of material non-public information.</w:t>
      </w:r>
    </w:p>
    <w:p>
      <w:pPr>
        <w:spacing w:after="0" w:line="170" w:lineRule="exact"/>
        <w:rPr>
          <w:sz w:val="20"/>
          <w:szCs w:val="20"/>
          <w:color w:val="auto"/>
        </w:rPr>
      </w:pPr>
    </w:p>
    <w:p>
      <w:pPr>
        <w:jc w:val="both"/>
        <w:ind w:left="4" w:right="20" w:firstLine="436"/>
        <w:spacing w:after="0" w:line="263" w:lineRule="auto"/>
        <w:tabs>
          <w:tab w:leader="none" w:pos="689"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Arial" w:cs="Arial" w:eastAsia="Arial" w:hAnsi="Arial"/>
          <w:sz w:val="18"/>
          <w:szCs w:val="18"/>
          <w:u w:val="single" w:color="auto"/>
          <w:color w:val="auto"/>
        </w:rPr>
        <w:t>Section 3(b)(vi)</w:t>
      </w:r>
      <w:r>
        <w:rPr>
          <w:rFonts w:ascii="Arial" w:cs="Arial" w:eastAsia="Arial" w:hAnsi="Arial"/>
          <w:sz w:val="18"/>
          <w:szCs w:val="18"/>
          <w:color w:val="auto"/>
        </w:rPr>
        <w:t>) by the Agent deducting the Selling Commission from the applicable Issuance Amount.</w:t>
      </w:r>
    </w:p>
    <w:p>
      <w:pPr>
        <w:spacing w:after="0" w:line="183" w:lineRule="exact"/>
        <w:rPr>
          <w:rFonts w:ascii="Arial" w:cs="Arial" w:eastAsia="Arial" w:hAnsi="Arial"/>
          <w:sz w:val="18"/>
          <w:szCs w:val="18"/>
          <w:color w:val="auto"/>
        </w:rPr>
      </w:pPr>
    </w:p>
    <w:p>
      <w:pPr>
        <w:ind w:left="4" w:firstLine="436"/>
        <w:spacing w:after="0" w:line="283" w:lineRule="auto"/>
        <w:tabs>
          <w:tab w:leader="none" w:pos="699"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agrees to pay all documented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Arial" w:cs="Arial" w:eastAsia="Arial" w:hAnsi="Arial"/>
          <w:sz w:val="16"/>
          <w:szCs w:val="16"/>
          <w:b w:val="1"/>
          <w:bCs w:val="1"/>
          <w:color w:val="auto"/>
        </w:rPr>
        <w:t>Blue</w:t>
      </w:r>
      <w:r>
        <w:rPr>
          <w:rFonts w:ascii="Arial" w:cs="Arial" w:eastAsia="Arial" w:hAnsi="Arial"/>
          <w:sz w:val="16"/>
          <w:szCs w:val="16"/>
          <w:color w:val="auto"/>
        </w:rPr>
        <w:t xml:space="preserve"> </w:t>
      </w:r>
      <w:r>
        <w:rPr>
          <w:rFonts w:ascii="Arial" w:cs="Arial" w:eastAsia="Arial" w:hAnsi="Arial"/>
          <w:sz w:val="16"/>
          <w:szCs w:val="16"/>
          <w:b w:val="1"/>
          <w:bCs w:val="1"/>
          <w:color w:val="auto"/>
        </w:rPr>
        <w:t>Sky Survey</w:t>
      </w:r>
      <w:r>
        <w:rPr>
          <w:rFonts w:ascii="Arial" w:cs="Arial" w:eastAsia="Arial" w:hAnsi="Arial"/>
          <w:sz w:val="16"/>
          <w:szCs w:val="16"/>
          <w:color w:val="auto"/>
        </w:rPr>
        <w:t>” or memorandum and a “Canadian wrapper”, and any supplements thereto, advising the Agent of such qualifications, registrations,</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w:t>
      </w:r>
    </w:p>
    <w:p>
      <w:pPr>
        <w:spacing w:after="0" w:line="1" w:lineRule="exact"/>
        <w:rPr>
          <w:rFonts w:ascii="Arial" w:cs="Arial" w:eastAsia="Arial" w:hAnsi="Arial"/>
          <w:sz w:val="16"/>
          <w:szCs w:val="16"/>
          <w:color w:val="auto"/>
        </w:rPr>
      </w:pPr>
    </w:p>
    <w:p>
      <w:pPr>
        <w:ind w:left="4" w:hanging="4"/>
        <w:spacing w:after="0" w:line="287" w:lineRule="auto"/>
        <w:tabs>
          <w:tab w:leader="none" w:pos="409"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the filing fees incident to FINRA review, if any; (ix)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(x) the fees and expenses associated with listing the Shares on the Principal Market. The fees and disbursements of Agent’s counsel pursuant to subsections (vi) and (vii) above shall not exceed (A) $75,000 in connection with the execution of this Agreement and (B) $15,000 in connection with each Triggering Event Date (as defined below) on which the Company is required to provide a certificate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4. ADDITIONAL COVENANTS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Company covenants and agrees with the Agent as follows, in addition to any other covenants and agreements made elsewhere in this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Agreement:</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4"/>
          </w:cols>
          <w:pgMar w:left="436" w:top="274" w:right="479" w:bottom="1440" w:gutter="0" w:footer="0" w:header="0"/>
        </w:sectPr>
      </w:pPr>
    </w:p>
    <w:bookmarkStart w:id="76" w:name="page77"/>
    <w:bookmarkEnd w:id="76"/>
    <w:p>
      <w:pPr>
        <w:ind w:right="20" w:firstLine="436"/>
        <w:spacing w:after="0" w:line="290" w:lineRule="auto"/>
        <w:tabs>
          <w:tab w:leader="none" w:pos="685"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Act Compliance</w:t>
      </w:r>
      <w:r>
        <w:rPr>
          <w:rFonts w:ascii="Arial" w:cs="Arial" w:eastAsia="Arial" w:hAnsi="Arial"/>
          <w:sz w:val="16"/>
          <w:szCs w:val="16"/>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Arial" w:cs="Arial" w:eastAsia="Arial" w:hAnsi="Arial"/>
          <w:sz w:val="16"/>
          <w:szCs w:val="16"/>
          <w:b w:val="1"/>
          <w:bCs w:val="1"/>
          <w:color w:val="auto"/>
        </w:rPr>
        <w:t>Interim</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 Supplement</w:t>
      </w:r>
      <w:r>
        <w:rPr>
          <w:rFonts w:ascii="Arial" w:cs="Arial" w:eastAsia="Arial" w:hAnsi="Arial"/>
          <w:sz w:val="16"/>
          <w:szCs w:val="16"/>
          <w:color w:val="auto"/>
        </w:rPr>
        <w:t>”), such summary information and, at least once a quarter and subject to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w:t>
      </w:r>
      <w:r>
        <w:rPr>
          <w:rFonts w:ascii="Arial" w:cs="Arial" w:eastAsia="Arial" w:hAnsi="Arial"/>
          <w:sz w:val="16"/>
          <w:szCs w:val="16"/>
          <w:color w:val="auto"/>
        </w:rPr>
        <w:t>, file such Interim Prospectus 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Rule 424(b) under the Securities Act (and within the time periods required by Rule 424(b) and Rule 430B under the Securities Act)). For the avoidance of doubt, the Company’s compliance with the reporting requirements of the Exchange Act shall be deemed to satisfy this Section 4(a).</w:t>
      </w:r>
    </w:p>
    <w:p>
      <w:pPr>
        <w:spacing w:after="0" w:line="165" w:lineRule="exact"/>
        <w:rPr>
          <w:rFonts w:ascii="Arial" w:cs="Arial" w:eastAsia="Arial" w:hAnsi="Arial"/>
          <w:sz w:val="16"/>
          <w:szCs w:val="16"/>
          <w:color w:val="auto"/>
        </w:rPr>
      </w:pPr>
    </w:p>
    <w:p>
      <w:pPr>
        <w:ind w:firstLine="436"/>
        <w:spacing w:after="0" w:line="286" w:lineRule="auto"/>
        <w:tabs>
          <w:tab w:leader="none" w:pos="695"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Securities Act Compliance</w:t>
      </w:r>
      <w:r>
        <w:rPr>
          <w:rFonts w:ascii="Arial" w:cs="Arial" w:eastAsia="Arial" w:hAnsi="Arial"/>
          <w:sz w:val="16"/>
          <w:szCs w:val="16"/>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practicable (provided that the determination to file or not file any amendment or supplement with the Commission shall be based on the Company’s reasonable opinion and made exclusively by the Company).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73" w:lineRule="exact"/>
        <w:rPr>
          <w:rFonts w:ascii="Arial" w:cs="Arial" w:eastAsia="Arial" w:hAnsi="Arial"/>
          <w:sz w:val="16"/>
          <w:szCs w:val="16"/>
          <w:color w:val="auto"/>
        </w:rPr>
      </w:pPr>
    </w:p>
    <w:p>
      <w:pPr>
        <w:ind w:right="140" w:firstLine="436"/>
        <w:spacing w:after="0" w:line="254" w:lineRule="auto"/>
        <w:tabs>
          <w:tab w:leader="none" w:pos="68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Amendments and Supplements to the Prospectus and Other Securities Act Matters</w:t>
      </w:r>
      <w:r>
        <w:rPr>
          <w:rFonts w:ascii="Arial" w:cs="Arial" w:eastAsia="Arial" w:hAnsi="Arial"/>
          <w:sz w:val="18"/>
          <w:szCs w:val="18"/>
          <w:color w:val="auto"/>
        </w:rPr>
        <w:t xml:space="preserve">.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w:t>
      </w:r>
      <w:r>
        <w:rPr>
          <w:rFonts w:ascii="Arial" w:cs="Arial" w:eastAsia="Arial" w:hAnsi="Arial"/>
          <w:sz w:val="18"/>
          <w:szCs w:val="18"/>
          <w:u w:val="single" w:color="auto"/>
          <w:color w:val="auto"/>
        </w:rPr>
        <w:t>Section 4(d)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4(f)</w:t>
      </w:r>
      <w:r>
        <w:rPr>
          <w:rFonts w:ascii="Arial" w:cs="Arial" w:eastAsia="Arial" w:hAnsi="Arial"/>
          <w:sz w:val="18"/>
          <w:szCs w:val="18"/>
          <w:color w:val="auto"/>
        </w:rPr>
        <w:t>)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77" w:name="page78"/>
    <w:bookmarkEnd w:id="77"/>
    <w:p>
      <w:pPr>
        <w:jc w:val="both"/>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w:t>
      </w:r>
      <w:r>
        <w:rPr>
          <w:rFonts w:ascii="Arial" w:cs="Arial" w:eastAsia="Arial" w:hAnsi="Arial"/>
          <w:sz w:val="18"/>
          <w:szCs w:val="18"/>
          <w:u w:val="single" w:color="auto"/>
          <w:color w:val="auto"/>
        </w:rPr>
        <w:t>Section 4(d)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4(f)</w:t>
      </w:r>
      <w:r>
        <w:rPr>
          <w:rFonts w:ascii="Arial" w:cs="Arial" w:eastAsia="Arial" w:hAnsi="Arial"/>
          <w:sz w:val="18"/>
          <w:szCs w:val="18"/>
          <w:color w:val="auto"/>
        </w:rPr>
        <w:t>.</w:t>
      </w:r>
    </w:p>
    <w:p>
      <w:pPr>
        <w:spacing w:after="0" w:line="184" w:lineRule="exact"/>
        <w:rPr>
          <w:sz w:val="20"/>
          <w:szCs w:val="20"/>
          <w:color w:val="auto"/>
        </w:rPr>
      </w:pPr>
    </w:p>
    <w:p>
      <w:pPr>
        <w:ind w:right="60" w:firstLine="436"/>
        <w:spacing w:after="0" w:line="271" w:lineRule="auto"/>
        <w:tabs>
          <w:tab w:leader="none" w:pos="695"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Agent’s Review of Proposed Amendments and Supplements</w:t>
      </w:r>
      <w:r>
        <w:rPr>
          <w:rFonts w:ascii="Arial" w:cs="Arial" w:eastAsia="Arial" w:hAnsi="Arial"/>
          <w:sz w:val="17"/>
          <w:szCs w:val="17"/>
          <w:color w:val="auto"/>
        </w:rPr>
        <w:t>. Prior to amending or supplementing the Registration Statement (including any registration statement filed under Rule 462(b) under the Securities Act) or the Prospectus (excluding any amendment or supplement through incorporation of any report filed under the Exchange Act or that does not name the Agent or does not relate to the Shares),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and to file with the Commission within the applicable period specified in Rule 424(b) under the Securities Act any prospectus required to be filed pursuant to such Rule; provided, however, that the determination to file or not to file any amendment or supplement with the Commission shall be based on the Company’s reasonable opinion and made exclusively by the Company.</w:t>
      </w:r>
    </w:p>
    <w:p>
      <w:pPr>
        <w:spacing w:after="0" w:line="178" w:lineRule="exact"/>
        <w:rPr>
          <w:rFonts w:ascii="Arial" w:cs="Arial" w:eastAsia="Arial" w:hAnsi="Arial"/>
          <w:sz w:val="17"/>
          <w:szCs w:val="17"/>
          <w:color w:val="auto"/>
        </w:rPr>
      </w:pPr>
    </w:p>
    <w:p>
      <w:pPr>
        <w:jc w:val="both"/>
        <w:ind w:right="60" w:firstLine="436"/>
        <w:spacing w:after="0" w:line="259" w:lineRule="auto"/>
        <w:tabs>
          <w:tab w:leader="none" w:pos="685"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Use of Free Writing Prospectus</w:t>
      </w:r>
      <w:r>
        <w:rPr>
          <w:rFonts w:ascii="Arial" w:cs="Arial" w:eastAsia="Arial" w:hAnsi="Arial"/>
          <w:sz w:val="18"/>
          <w:szCs w:val="18"/>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Arial" w:cs="Arial" w:eastAsia="Arial" w:hAnsi="Arial"/>
          <w:sz w:val="18"/>
          <w:szCs w:val="18"/>
          <w:b w:val="1"/>
          <w:bCs w:val="1"/>
          <w:color w:val="auto"/>
        </w:rPr>
        <w:t>Free Writing Prospectus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436"/>
        <w:spacing w:after="0" w:line="286" w:lineRule="auto"/>
        <w:tabs>
          <w:tab w:leader="none" w:pos="665"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Free Writing Prospectuses</w:t>
      </w:r>
      <w:r>
        <w:rPr>
          <w:rFonts w:ascii="Arial" w:cs="Arial" w:eastAsia="Arial" w:hAnsi="Arial"/>
          <w:sz w:val="16"/>
          <w:szCs w:val="16"/>
          <w:color w:val="auto"/>
        </w:rPr>
        <w:t>.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provided, however, that prior to amending or supplementing any such free writing prospectus, the Company shall furnish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78" w:name="page79"/>
    <w:bookmarkEnd w:id="7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provided further, that the determination to file or not to file any amendment or supplement with the Commission shall be based on the Company’s reasonable opinion and made exclusively by the Company.</w:t>
      </w:r>
    </w:p>
    <w:p>
      <w:pPr>
        <w:spacing w:after="0" w:line="187" w:lineRule="exact"/>
        <w:rPr>
          <w:sz w:val="20"/>
          <w:szCs w:val="20"/>
          <w:color w:val="auto"/>
        </w:rPr>
      </w:pPr>
    </w:p>
    <w:p>
      <w:pPr>
        <w:ind w:right="180" w:firstLine="436"/>
        <w:spacing w:after="0" w:line="263" w:lineRule="auto"/>
        <w:tabs>
          <w:tab w:leader="none" w:pos="695"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Filing of Agent Free Writing Prospectuses</w:t>
      </w:r>
      <w:r>
        <w:rPr>
          <w:rFonts w:ascii="Arial" w:cs="Arial" w:eastAsia="Arial" w:hAnsi="Arial"/>
          <w:sz w:val="18"/>
          <w:szCs w:val="18"/>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83" w:lineRule="exact"/>
        <w:rPr>
          <w:rFonts w:ascii="Arial" w:cs="Arial" w:eastAsia="Arial" w:hAnsi="Arial"/>
          <w:sz w:val="18"/>
          <w:szCs w:val="18"/>
          <w:color w:val="auto"/>
        </w:rPr>
      </w:pPr>
    </w:p>
    <w:p>
      <w:pPr>
        <w:ind w:right="20" w:firstLine="436"/>
        <w:spacing w:after="0" w:line="285" w:lineRule="auto"/>
        <w:tabs>
          <w:tab w:leader="none" w:pos="695"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Copies of Registration Statement and Prospectus</w:t>
      </w:r>
      <w:r>
        <w:rPr>
          <w:rFonts w:ascii="Arial" w:cs="Arial" w:eastAsia="Arial" w:hAnsi="Arial"/>
          <w:sz w:val="16"/>
          <w:szCs w:val="16"/>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 provided, however, that the determination to file or not to file any amendment or supplement with the Commission shall be based on the Company’s reasonable opinion and made exclusively by the Company.</w:t>
      </w:r>
    </w:p>
    <w:p>
      <w:pPr>
        <w:spacing w:after="0" w:line="171" w:lineRule="exact"/>
        <w:rPr>
          <w:rFonts w:ascii="Arial" w:cs="Arial" w:eastAsia="Arial" w:hAnsi="Arial"/>
          <w:sz w:val="16"/>
          <w:szCs w:val="16"/>
          <w:color w:val="auto"/>
        </w:rPr>
      </w:pPr>
    </w:p>
    <w:p>
      <w:pPr>
        <w:ind w:right="120" w:firstLine="436"/>
        <w:spacing w:after="0" w:line="259"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Blue Sky Compliance</w:t>
      </w:r>
      <w:r>
        <w:rPr>
          <w:rFonts w:ascii="Arial" w:cs="Arial" w:eastAsia="Arial" w:hAnsi="Arial"/>
          <w:sz w:val="18"/>
          <w:szCs w:val="18"/>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40" w:top="274" w:right="499" w:bottom="1440" w:gutter="0" w:footer="0" w:header="0"/>
        </w:sectPr>
      </w:pPr>
    </w:p>
    <w:bookmarkStart w:id="79" w:name="page80"/>
    <w:bookmarkEnd w:id="79"/>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practicable.</w:t>
      </w:r>
    </w:p>
    <w:p>
      <w:pPr>
        <w:spacing w:after="0" w:line="161" w:lineRule="exact"/>
        <w:rPr>
          <w:sz w:val="20"/>
          <w:szCs w:val="20"/>
          <w:color w:val="auto"/>
        </w:rPr>
      </w:pPr>
    </w:p>
    <w:p>
      <w:pPr>
        <w:ind w:right="40" w:firstLine="436"/>
        <w:spacing w:after="0" w:line="301" w:lineRule="auto"/>
        <w:tabs>
          <w:tab w:leader="none" w:pos="655"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Earnings Statement</w:t>
      </w:r>
      <w:r>
        <w:rPr>
          <w:rFonts w:ascii="Arial" w:cs="Arial" w:eastAsia="Arial" w:hAnsi="Arial"/>
          <w:sz w:val="16"/>
          <w:szCs w:val="16"/>
          <w:color w:val="auto"/>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 For the avoidance of doubt, the Company’s compliance with the reporting requirements of the Exchange Act shall be deemed to satisfy this Section 4(j).</w:t>
      </w:r>
    </w:p>
    <w:p>
      <w:pPr>
        <w:spacing w:after="0" w:line="157" w:lineRule="exact"/>
        <w:rPr>
          <w:rFonts w:ascii="Arial" w:cs="Arial" w:eastAsia="Arial" w:hAnsi="Arial"/>
          <w:sz w:val="16"/>
          <w:szCs w:val="16"/>
          <w:color w:val="auto"/>
        </w:rPr>
      </w:pPr>
    </w:p>
    <w:p>
      <w:pPr>
        <w:jc w:val="both"/>
        <w:ind w:right="260" w:firstLine="436"/>
        <w:spacing w:after="0" w:line="263" w:lineRule="auto"/>
        <w:tabs>
          <w:tab w:leader="none" w:pos="69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Listing; Reservation of Shares</w:t>
      </w:r>
      <w:r>
        <w:rPr>
          <w:rFonts w:ascii="Arial" w:cs="Arial" w:eastAsia="Arial" w:hAnsi="Arial"/>
          <w:sz w:val="18"/>
          <w:szCs w:val="18"/>
          <w:color w:val="auto"/>
        </w:rPr>
        <w:t>. (a) The Company will maintain the listing of the Shares on the Principal Market; and (b) the Company will reserve and keep available at all times, free of preemptive rights, Shares for the purpose of enabling the Company to satisfy its obligations under this Agreement.</w:t>
      </w:r>
    </w:p>
    <w:p>
      <w:pPr>
        <w:spacing w:after="0" w:line="183" w:lineRule="exact"/>
        <w:rPr>
          <w:rFonts w:ascii="Arial" w:cs="Arial" w:eastAsia="Arial" w:hAnsi="Arial"/>
          <w:sz w:val="18"/>
          <w:szCs w:val="18"/>
          <w:color w:val="auto"/>
        </w:rPr>
      </w:pPr>
    </w:p>
    <w:p>
      <w:pPr>
        <w:ind w:left="660" w:hanging="224"/>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Transfer Agent</w:t>
      </w:r>
      <w:r>
        <w:rPr>
          <w:rFonts w:ascii="Arial" w:cs="Arial" w:eastAsia="Arial" w:hAnsi="Arial"/>
          <w:sz w:val="18"/>
          <w:szCs w:val="18"/>
          <w:color w:val="auto"/>
        </w:rPr>
        <w:t>. The Company shall engage and maintain, at its expense, a registrar and transfer agent for the Shares.</w:t>
      </w:r>
    </w:p>
    <w:p>
      <w:pPr>
        <w:spacing w:after="0" w:line="225" w:lineRule="exact"/>
        <w:rPr>
          <w:rFonts w:ascii="Arial" w:cs="Arial" w:eastAsia="Arial" w:hAnsi="Arial"/>
          <w:sz w:val="18"/>
          <w:szCs w:val="18"/>
          <w:color w:val="auto"/>
        </w:rPr>
      </w:pPr>
    </w:p>
    <w:p>
      <w:pPr>
        <w:ind w:right="180" w:firstLine="436"/>
        <w:spacing w:after="0" w:line="259" w:lineRule="auto"/>
        <w:tabs>
          <w:tab w:leader="none" w:pos="74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Due Diligence</w:t>
      </w:r>
      <w:r>
        <w:rPr>
          <w:rFonts w:ascii="Arial" w:cs="Arial" w:eastAsia="Arial" w:hAnsi="Arial"/>
          <w:sz w:val="18"/>
          <w:szCs w:val="18"/>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86" w:lineRule="exact"/>
        <w:rPr>
          <w:rFonts w:ascii="Arial" w:cs="Arial" w:eastAsia="Arial" w:hAnsi="Arial"/>
          <w:sz w:val="18"/>
          <w:szCs w:val="18"/>
          <w:color w:val="auto"/>
        </w:rPr>
      </w:pPr>
    </w:p>
    <w:p>
      <w:pPr>
        <w:ind w:firstLine="436"/>
        <w:spacing w:after="0" w:line="291" w:lineRule="auto"/>
        <w:tabs>
          <w:tab w:leader="none" w:pos="695"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66" w:lineRule="exact"/>
        <w:rPr>
          <w:rFonts w:ascii="Arial" w:cs="Arial" w:eastAsia="Arial" w:hAnsi="Arial"/>
          <w:sz w:val="16"/>
          <w:szCs w:val="16"/>
          <w:color w:val="auto"/>
        </w:rPr>
      </w:pPr>
    </w:p>
    <w:p>
      <w:pPr>
        <w:ind w:right="140" w:firstLine="436"/>
        <w:spacing w:after="0" w:line="277" w:lineRule="auto"/>
        <w:tabs>
          <w:tab w:leader="none" w:pos="69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Deliverables at Triggering Event Dates; Certificates</w:t>
      </w:r>
      <w:r>
        <w:rPr>
          <w:rFonts w:ascii="Arial" w:cs="Arial" w:eastAsia="Arial" w:hAnsi="Arial"/>
          <w:sz w:val="18"/>
          <w:szCs w:val="18"/>
          <w:color w:val="auto"/>
        </w:rPr>
        <w:t>. The Company agrees that on or prior to the date of the first Issuance Notice and, during the term of this Agreement after the date of the first Issuance Notice, upon: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40" w:top="274" w:right="499" w:bottom="1440" w:gutter="0" w:footer="0" w:header="0"/>
        </w:sectPr>
      </w:pPr>
    </w:p>
    <w:bookmarkStart w:id="80" w:name="page81"/>
    <w:bookmarkEnd w:id="80"/>
    <w:p>
      <w:pPr>
        <w:ind w:left="4" w:right="80" w:firstLine="436"/>
        <w:spacing w:after="0" w:line="311" w:lineRule="auto"/>
        <w:tabs>
          <w:tab w:leader="none" w:pos="739" w:val="left"/>
        </w:tabs>
        <w:numPr>
          <w:ilvl w:val="0"/>
          <w:numId w:val="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filing of the Prospectus or the amendment or supplement of any Registration Statement or Prospectus (other than a prospectus supplement relating solely to an offering of securities other than the Shares or a prospectus filed pursuant to </w:t>
      </w:r>
      <w:r>
        <w:rPr>
          <w:rFonts w:ascii="Arial" w:cs="Arial" w:eastAsia="Arial" w:hAnsi="Arial"/>
          <w:sz w:val="16"/>
          <w:szCs w:val="16"/>
          <w:u w:val="single" w:color="auto"/>
          <w:color w:val="auto"/>
        </w:rPr>
        <w:t>Section 4(a)(ii)(B)</w:t>
      </w:r>
      <w:r>
        <w:rPr>
          <w:rFonts w:ascii="Arial" w:cs="Arial" w:eastAsia="Arial" w:hAnsi="Arial"/>
          <w:sz w:val="16"/>
          <w:szCs w:val="16"/>
          <w:color w:val="auto"/>
        </w:rPr>
        <w:t>), by means of a post-effective amendment, sticker or supplement, but not by means of incorporation of documents by reference into the Registration Statement or Prospectus;</w:t>
      </w:r>
    </w:p>
    <w:p>
      <w:pPr>
        <w:spacing w:after="0" w:line="148" w:lineRule="exact"/>
        <w:rPr>
          <w:rFonts w:ascii="Arial" w:cs="Arial" w:eastAsia="Arial" w:hAnsi="Arial"/>
          <w:sz w:val="16"/>
          <w:szCs w:val="16"/>
          <w:color w:val="auto"/>
        </w:rPr>
      </w:pPr>
    </w:p>
    <w:p>
      <w:pPr>
        <w:jc w:val="both"/>
        <w:ind w:left="4" w:right="260" w:firstLine="436"/>
        <w:spacing w:after="0" w:line="263" w:lineRule="auto"/>
        <w:tabs>
          <w:tab w:leader="none" w:pos="729"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183" w:lineRule="exact"/>
        <w:rPr>
          <w:rFonts w:ascii="Arial" w:cs="Arial" w:eastAsia="Arial" w:hAnsi="Arial"/>
          <w:sz w:val="18"/>
          <w:szCs w:val="18"/>
          <w:color w:val="auto"/>
        </w:rPr>
      </w:pPr>
    </w:p>
    <w:p>
      <w:pPr>
        <w:ind w:left="4" w:right="600" w:firstLine="436"/>
        <w:spacing w:after="0" w:line="259" w:lineRule="auto"/>
        <w:tabs>
          <w:tab w:leader="none" w:pos="729"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w:t>
      </w:r>
    </w:p>
    <w:p>
      <w:pPr>
        <w:spacing w:after="0" w:line="183" w:lineRule="exact"/>
        <w:rPr>
          <w:sz w:val="20"/>
          <w:szCs w:val="20"/>
          <w:color w:val="auto"/>
        </w:rPr>
      </w:pPr>
    </w:p>
    <w:p>
      <w:pPr>
        <w:ind w:left="4" w:right="120"/>
        <w:spacing w:after="0" w:line="285" w:lineRule="auto"/>
        <w:rPr>
          <w:sz w:val="20"/>
          <w:szCs w:val="20"/>
          <w:color w:val="auto"/>
        </w:rPr>
      </w:pPr>
      <w:r>
        <w:rPr>
          <w:rFonts w:ascii="Arial" w:cs="Arial" w:eastAsia="Arial" w:hAnsi="Arial"/>
          <w:sz w:val="16"/>
          <w:szCs w:val="16"/>
          <w:color w:val="auto"/>
        </w:rPr>
        <w:t>(any such event, a “</w:t>
      </w:r>
      <w:r>
        <w:rPr>
          <w:rFonts w:ascii="Arial" w:cs="Arial" w:eastAsia="Arial" w:hAnsi="Arial"/>
          <w:sz w:val="16"/>
          <w:szCs w:val="16"/>
          <w:b w:val="1"/>
          <w:bCs w:val="1"/>
          <w:color w:val="auto"/>
        </w:rPr>
        <w:t>Triggering Event Date</w:t>
      </w:r>
      <w:r>
        <w:rPr>
          <w:rFonts w:ascii="Arial" w:cs="Arial" w:eastAsia="Arial" w:hAnsi="Arial"/>
          <w:sz w:val="16"/>
          <w:szCs w:val="16"/>
          <w:color w:val="auto"/>
        </w:rPr>
        <w:t xml:space="preserve">”), the Company shall furnish the Agent (but in the case of clause (C)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w:t>
      </w:r>
      <w:r>
        <w:rPr>
          <w:rFonts w:ascii="Arial" w:cs="Arial" w:eastAsia="Arial" w:hAnsi="Arial"/>
          <w:sz w:val="16"/>
          <w:szCs w:val="16"/>
          <w:u w:val="single" w:color="auto"/>
          <w:color w:val="auto"/>
        </w:rPr>
        <w:t>Section 5(a)(iii)</w:t>
      </w:r>
      <w:r>
        <w:rPr>
          <w:rFonts w:ascii="Arial" w:cs="Arial" w:eastAsia="Arial" w:hAnsi="Arial"/>
          <w:sz w:val="16"/>
          <w:szCs w:val="16"/>
          <w:color w:val="auto"/>
        </w:rPr>
        <w:t xml:space="preserve"> hereof, and</w:t>
      </w:r>
    </w:p>
    <w:p>
      <w:pPr>
        <w:spacing w:after="0" w:line="3" w:lineRule="exact"/>
        <w:rPr>
          <w:sz w:val="20"/>
          <w:szCs w:val="20"/>
          <w:color w:val="auto"/>
        </w:rPr>
      </w:pPr>
    </w:p>
    <w:p>
      <w:pPr>
        <w:ind w:left="4" w:hanging="4"/>
        <w:spacing w:after="0" w:line="281" w:lineRule="auto"/>
        <w:tabs>
          <w:tab w:leader="none" w:pos="289"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containing any other certification that the Agent shall reasonably request. The requirement to provide a certificate under this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shall be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w:t>
      </w:r>
    </w:p>
    <w:p>
      <w:pPr>
        <w:spacing w:after="0" w:line="2" w:lineRule="exact"/>
        <w:rPr>
          <w:rFonts w:ascii="Arial" w:cs="Arial" w:eastAsia="Arial" w:hAnsi="Arial"/>
          <w:sz w:val="16"/>
          <w:szCs w:val="16"/>
          <w:color w:val="auto"/>
        </w:rPr>
      </w:pPr>
    </w:p>
    <w:p>
      <w:pPr>
        <w:ind w:left="4" w:right="26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then before the Company delivers the instructions for the sale of Shares or the Agent sells any Shares pursuant to such instructions, the Company shall provide the Agent with a certificate in conformity with this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dated as of the date that the instructions for the sale of Shares are issued.</w:t>
      </w:r>
    </w:p>
    <w:p>
      <w:pPr>
        <w:spacing w:after="0" w:line="189" w:lineRule="exact"/>
        <w:rPr>
          <w:rFonts w:ascii="Arial" w:cs="Arial" w:eastAsia="Arial" w:hAnsi="Arial"/>
          <w:sz w:val="16"/>
          <w:szCs w:val="16"/>
          <w:color w:val="auto"/>
        </w:rPr>
      </w:pPr>
    </w:p>
    <w:p>
      <w:pPr>
        <w:ind w:left="4" w:right="20" w:firstLine="436"/>
        <w:spacing w:after="0" w:line="257" w:lineRule="auto"/>
        <w:tabs>
          <w:tab w:leader="none" w:pos="699"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xml:space="preserve">. On or prior to the date of the first Issuance Notice and on or prior to each Triggering Event Date with respect to which the Company is obligated to deliver a certificate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for which no waiver is applicable and excluding the date of this Agreement, a negative assurances letter and the written legal opinion of Fenwick &amp; West LLP, counsel to the Company, and a written legal opinion of Leydig, Voit &amp; Mayer, Ltd., intellectual property counsel to the Company, each dated the date of delivery, in form and substance reasonably satisfactory to Agent and its counsel, substantially similar to the form previously</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4"/>
          </w:cols>
          <w:pgMar w:left="436" w:top="274" w:right="439" w:bottom="1440" w:gutter="0" w:footer="0" w:header="0"/>
        </w:sectPr>
      </w:pPr>
    </w:p>
    <w:bookmarkStart w:id="81" w:name="page82"/>
    <w:bookmarkEnd w:id="81"/>
    <w:p>
      <w:pPr>
        <w:ind w:right="2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to the Agent and its counsel, modified, as necessary, to relate to the Registration Statement and the Prospectus as then amended or supplemented.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88" w:lineRule="exact"/>
        <w:rPr>
          <w:sz w:val="20"/>
          <w:szCs w:val="20"/>
          <w:color w:val="auto"/>
        </w:rPr>
      </w:pPr>
    </w:p>
    <w:p>
      <w:pPr>
        <w:ind w:firstLine="436"/>
        <w:spacing w:after="0" w:line="269" w:lineRule="auto"/>
        <w:tabs>
          <w:tab w:leader="none" w:pos="695"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Comfort Letter</w:t>
      </w:r>
      <w:r>
        <w:rPr>
          <w:rFonts w:ascii="Arial" w:cs="Arial" w:eastAsia="Arial" w:hAnsi="Arial"/>
          <w:sz w:val="17"/>
          <w:szCs w:val="17"/>
          <w:color w:val="auto"/>
        </w:rPr>
        <w:t xml:space="preserve">. On or prior to the date of the first Issuance Notice and on or prior to each Triggering Event Date with respect to which the Company is obligated to deliver a certificate pursuant to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for which no waiver is applicable and excluding the date of this Agreement, the Company shall cause the Accountants or such other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within ten (10) Trading Days of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each filing of an annual report on Form 10-K or a quarterly report on Form 10-Q.</w:t>
      </w:r>
    </w:p>
    <w:p>
      <w:pPr>
        <w:spacing w:after="0" w:line="181" w:lineRule="exact"/>
        <w:rPr>
          <w:rFonts w:ascii="Arial" w:cs="Arial" w:eastAsia="Arial" w:hAnsi="Arial"/>
          <w:sz w:val="17"/>
          <w:szCs w:val="17"/>
          <w:color w:val="auto"/>
        </w:rPr>
      </w:pPr>
    </w:p>
    <w:p>
      <w:pPr>
        <w:ind w:firstLine="436"/>
        <w:spacing w:after="0" w:line="272" w:lineRule="auto"/>
        <w:tabs>
          <w:tab w:leader="none" w:pos="665"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Secretary’s Certificate</w:t>
      </w:r>
      <w:r>
        <w:rPr>
          <w:rFonts w:ascii="Arial" w:cs="Arial" w:eastAsia="Arial" w:hAnsi="Arial"/>
          <w:sz w:val="17"/>
          <w:szCs w:val="17"/>
          <w:color w:val="auto"/>
        </w:rPr>
        <w:t>. On or prior to the date of the first Issuance Notice and on or prior to each Triggering Event Date,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177" w:lineRule="exact"/>
        <w:rPr>
          <w:rFonts w:ascii="Arial" w:cs="Arial" w:eastAsia="Arial" w:hAnsi="Arial"/>
          <w:sz w:val="17"/>
          <w:szCs w:val="17"/>
          <w:color w:val="auto"/>
        </w:rPr>
      </w:pPr>
    </w:p>
    <w:p>
      <w:pPr>
        <w:ind w:right="340" w:firstLine="436"/>
        <w:spacing w:after="0" w:line="342" w:lineRule="auto"/>
        <w:tabs>
          <w:tab w:leader="none" w:pos="675"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Agent’s Own Account; Clients’ Account</w:t>
      </w:r>
      <w:r>
        <w:rPr>
          <w:rFonts w:ascii="Arial" w:cs="Arial" w:eastAsia="Arial" w:hAnsi="Arial"/>
          <w:sz w:val="16"/>
          <w:szCs w:val="16"/>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23" w:lineRule="exact"/>
        <w:rPr>
          <w:rFonts w:ascii="Arial" w:cs="Arial" w:eastAsia="Arial" w:hAnsi="Arial"/>
          <w:sz w:val="16"/>
          <w:szCs w:val="16"/>
          <w:color w:val="auto"/>
        </w:rPr>
      </w:pPr>
    </w:p>
    <w:p>
      <w:pPr>
        <w:ind w:right="240" w:firstLine="436"/>
        <w:spacing w:after="0" w:line="342" w:lineRule="auto"/>
        <w:tabs>
          <w:tab w:leader="none" w:pos="655"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Investment Limitation</w:t>
      </w:r>
      <w:r>
        <w:rPr>
          <w:rFonts w:ascii="Arial" w:cs="Arial" w:eastAsia="Arial" w:hAnsi="Arial"/>
          <w:sz w:val="16"/>
          <w:szCs w:val="16"/>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40" w:top="274" w:right="499" w:bottom="1440" w:gutter="0" w:footer="0" w:header="0"/>
        </w:sectPr>
      </w:pPr>
    </w:p>
    <w:bookmarkStart w:id="82" w:name="page83"/>
    <w:bookmarkEnd w:id="82"/>
    <w:p>
      <w:pPr>
        <w:ind w:left="4" w:right="120" w:firstLine="436"/>
        <w:spacing w:after="0" w:line="291" w:lineRule="auto"/>
        <w:tabs>
          <w:tab w:leader="none" w:pos="699"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Market Activities</w:t>
      </w:r>
      <w:r>
        <w:rPr>
          <w:rFonts w:ascii="Arial" w:cs="Arial" w:eastAsia="Arial" w:hAnsi="Arial"/>
          <w:sz w:val="16"/>
          <w:szCs w:val="16"/>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Arial" w:cs="Arial" w:eastAsia="Arial" w:hAnsi="Arial"/>
          <w:sz w:val="16"/>
          <w:szCs w:val="16"/>
          <w:b w:val="1"/>
          <w:bCs w:val="1"/>
          <w:color w:val="auto"/>
        </w:rPr>
        <w:t>Rule 102</w:t>
      </w:r>
      <w:r>
        <w:rPr>
          <w:rFonts w:ascii="Arial" w:cs="Arial" w:eastAsia="Arial" w:hAnsi="Arial"/>
          <w:sz w:val="16"/>
          <w:szCs w:val="16"/>
          <w:color w:val="auto"/>
        </w:rPr>
        <w:t>”)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166" w:lineRule="exact"/>
        <w:rPr>
          <w:rFonts w:ascii="Arial" w:cs="Arial" w:eastAsia="Arial" w:hAnsi="Arial"/>
          <w:sz w:val="16"/>
          <w:szCs w:val="16"/>
          <w:color w:val="auto"/>
        </w:rPr>
      </w:pPr>
    </w:p>
    <w:p>
      <w:pPr>
        <w:ind w:left="4" w:firstLine="436"/>
        <w:spacing w:after="0" w:line="283" w:lineRule="auto"/>
        <w:tabs>
          <w:tab w:leader="none" w:pos="699"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Notice of Other Sale</w:t>
      </w:r>
      <w:r>
        <w:rPr>
          <w:rFonts w:ascii="Arial" w:cs="Arial" w:eastAsia="Arial" w:hAnsi="Arial"/>
          <w:sz w:val="16"/>
          <w:szCs w:val="16"/>
          <w:color w:val="auto"/>
        </w:rPr>
        <w:t>.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or effect a reverse stock split, recapitalization, share consolidation, reclassification or similar transaction affecting the outstanding Common Shares,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and will not directly or indirectly enter into any other “at the market” or continuous equity 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w:t>
      </w:r>
    </w:p>
    <w:p>
      <w:pPr>
        <w:spacing w:after="0" w:line="5" w:lineRule="exact"/>
        <w:rPr>
          <w:rFonts w:ascii="Arial" w:cs="Arial" w:eastAsia="Arial" w:hAnsi="Arial"/>
          <w:sz w:val="16"/>
          <w:szCs w:val="16"/>
          <w:color w:val="auto"/>
        </w:rPr>
      </w:pPr>
    </w:p>
    <w:p>
      <w:pPr>
        <w:ind w:left="4" w:right="20" w:hanging="4"/>
        <w:spacing w:after="0" w:line="252" w:lineRule="auto"/>
        <w:tabs>
          <w:tab w:leader="none" w:pos="219" w:val="left"/>
        </w:tabs>
        <w:numPr>
          <w:ilvl w:val="0"/>
          <w:numId w:val="82"/>
        </w:numPr>
        <w:rPr>
          <w:rFonts w:ascii="Arial" w:cs="Arial" w:eastAsia="Arial" w:hAnsi="Arial"/>
          <w:sz w:val="18"/>
          <w:szCs w:val="18"/>
          <w:color w:val="auto"/>
        </w:rPr>
      </w:pPr>
      <w:r>
        <w:rPr>
          <w:rFonts w:ascii="Arial" w:cs="Arial" w:eastAsia="Arial" w:hAnsi="Arial"/>
          <w:sz w:val="18"/>
          <w:szCs w:val="18"/>
          <w:color w:val="auto"/>
        </w:rPr>
        <w:t>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Nasdaq rules or other compensation plan of the Company or its subsidiaries, as in effect on the date of this Agreement, (ii) issuance or sale of Common Shares issuable upon exchange, conversion or redemption of securities or the exercise or vesting of warrants, options or other equity awards outstanding at the date of this Agreement, and (iii) modification of any outstanding options, warrants of any rights to purchase or acquire Common Shares.</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5. CONDITIONS TO DELIVERY OF ISSUANCE NOTICES AND TO SETTLEMENT</w:t>
      </w:r>
    </w:p>
    <w:p>
      <w:pPr>
        <w:spacing w:after="0" w:line="229" w:lineRule="exact"/>
        <w:rPr>
          <w:sz w:val="20"/>
          <w:szCs w:val="20"/>
          <w:color w:val="auto"/>
        </w:rPr>
      </w:pPr>
    </w:p>
    <w:p>
      <w:pPr>
        <w:ind w:left="4" w:right="40" w:firstLine="436"/>
        <w:spacing w:after="0" w:line="301" w:lineRule="auto"/>
        <w:tabs>
          <w:tab w:leader="none" w:pos="689"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Conditions </w:t>
      </w:r>
      <w:r>
        <w:rPr>
          <w:rFonts w:ascii="Arial" w:cs="Arial" w:eastAsia="Arial" w:hAnsi="Arial"/>
          <w:sz w:val="16"/>
          <w:szCs w:val="16"/>
          <w:u w:val="single" w:color="auto"/>
          <w:color w:val="auto"/>
        </w:rPr>
        <w:t>Precedent to the Right of the Company to Deliver an Issuance Notice and the Obligation of the Agent to Sell Shares</w:t>
      </w:r>
      <w:r>
        <w:rPr>
          <w:rFonts w:ascii="Arial" w:cs="Arial" w:eastAsia="Arial" w:hAnsi="Arial"/>
          <w:sz w:val="16"/>
          <w:szCs w:val="16"/>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4"/>
          </w:cols>
          <w:pgMar w:left="436" w:top="274" w:right="479" w:bottom="1440" w:gutter="0" w:footer="0" w:header="0"/>
        </w:sectPr>
      </w:pPr>
    </w:p>
    <w:bookmarkStart w:id="83" w:name="page84"/>
    <w:bookmarkEnd w:id="83"/>
    <w:p>
      <w:pPr>
        <w:ind w:left="-40" w:right="100" w:firstLine="436"/>
        <w:spacing w:after="0" w:line="257" w:lineRule="auto"/>
        <w:tabs>
          <w:tab w:leader="none" w:pos="61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Accuracy of the Company’s Representations and Warranties; Performance by the Company</w:t>
      </w:r>
      <w:r>
        <w:rPr>
          <w:rFonts w:ascii="Arial" w:cs="Arial" w:eastAsia="Arial" w:hAnsi="Arial"/>
          <w:sz w:val="18"/>
          <w:szCs w:val="18"/>
          <w:color w:val="auto"/>
        </w:rPr>
        <w:t xml:space="preserve">. The Company shall have delivered the certificate required to be delivered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on or before the date on which delivery of such certificate is required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Arial" w:cs="Arial" w:eastAsia="Arial" w:hAnsi="Arial"/>
          <w:sz w:val="18"/>
          <w:szCs w:val="18"/>
          <w:u w:val="single" w:color="auto"/>
          <w:color w:val="auto"/>
        </w:rPr>
        <w:t>Section 4(p)</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4(q)</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4(r)</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40" w:firstLine="436"/>
        <w:spacing w:after="0" w:line="257" w:lineRule="auto"/>
        <w:tabs>
          <w:tab w:leader="none" w:pos="66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No Injunction</w:t>
      </w:r>
      <w:r>
        <w:rPr>
          <w:rFonts w:ascii="Arial" w:cs="Arial" w:eastAsia="Arial" w:hAnsi="Arial"/>
          <w:sz w:val="18"/>
          <w:szCs w:val="18"/>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87" w:lineRule="exact"/>
        <w:rPr>
          <w:rFonts w:ascii="Arial" w:cs="Arial" w:eastAsia="Arial" w:hAnsi="Arial"/>
          <w:sz w:val="18"/>
          <w:szCs w:val="18"/>
          <w:color w:val="auto"/>
        </w:rPr>
      </w:pPr>
    </w:p>
    <w:p>
      <w:pPr>
        <w:ind w:left="-40" w:right="140" w:firstLine="436"/>
        <w:spacing w:after="0" w:line="257" w:lineRule="auto"/>
        <w:tabs>
          <w:tab w:leader="none" w:pos="71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Material Adverse Changes</w:t>
      </w:r>
      <w:r>
        <w:rPr>
          <w:rFonts w:ascii="Arial" w:cs="Arial" w:eastAsia="Arial" w:hAnsi="Arial"/>
          <w:sz w:val="18"/>
          <w:szCs w:val="18"/>
          <w:color w:val="auto"/>
        </w:rPr>
        <w:t>. Except as disclosed in the Prospectus and the Time of Sale Information, (a) in the judgment of the Agent there shall not have occurred any Material Adverse Change;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187" w:lineRule="exact"/>
        <w:rPr>
          <w:rFonts w:ascii="Arial" w:cs="Arial" w:eastAsia="Arial" w:hAnsi="Arial"/>
          <w:sz w:val="18"/>
          <w:szCs w:val="18"/>
          <w:color w:val="auto"/>
        </w:rPr>
      </w:pPr>
    </w:p>
    <w:p>
      <w:pPr>
        <w:ind w:left="-40" w:right="20" w:firstLine="436"/>
        <w:spacing w:after="0" w:line="269" w:lineRule="auto"/>
        <w:tabs>
          <w:tab w:leader="none" w:pos="705"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No Suspension of Trading in or Delisting of Common Shares; Other Events</w:t>
      </w:r>
      <w:r>
        <w:rPr>
          <w:rFonts w:ascii="Arial" w:cs="Arial" w:eastAsia="Arial" w:hAnsi="Arial"/>
          <w:sz w:val="17"/>
          <w:szCs w:val="17"/>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179" w:lineRule="exact"/>
        <w:rPr>
          <w:sz w:val="20"/>
          <w:szCs w:val="20"/>
          <w:color w:val="auto"/>
        </w:rPr>
      </w:pPr>
    </w:p>
    <w:p>
      <w:pPr>
        <w:ind w:left="-40" w:right="20" w:firstLine="436"/>
        <w:spacing w:after="0" w:line="263"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Documents Required to be Delivered on each Issuance Notice Date</w:t>
      </w:r>
      <w:r>
        <w:rPr>
          <w:rFonts w:ascii="Arial" w:cs="Arial" w:eastAsia="Arial" w:hAnsi="Arial"/>
          <w:sz w:val="18"/>
          <w:szCs w:val="18"/>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20"/>
          </w:cols>
          <w:pgMar w:left="480" w:top="274" w:right="499" w:bottom="1440" w:gutter="0" w:footer="0" w:header="0"/>
        </w:sectPr>
      </w:pPr>
    </w:p>
    <w:bookmarkStart w:id="84" w:name="page85"/>
    <w:bookmarkEnd w:id="84"/>
    <w:p>
      <w:pPr>
        <w:ind w:left="4" w:right="3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84" w:lineRule="exact"/>
        <w:rPr>
          <w:sz w:val="20"/>
          <w:szCs w:val="20"/>
          <w:color w:val="auto"/>
        </w:rPr>
      </w:pPr>
    </w:p>
    <w:p>
      <w:pPr>
        <w:jc w:val="both"/>
        <w:ind w:left="4" w:firstLine="436"/>
        <w:spacing w:after="0" w:line="259" w:lineRule="auto"/>
        <w:tabs>
          <w:tab w:leader="none" w:pos="689"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No Misstatement or Material Omission</w:t>
      </w:r>
      <w:r>
        <w:rPr>
          <w:rFonts w:ascii="Arial" w:cs="Arial" w:eastAsia="Arial" w:hAnsi="Arial"/>
          <w:sz w:val="18"/>
          <w:szCs w:val="18"/>
          <w:color w:val="auto"/>
        </w:rPr>
        <w:t>. Agent shall not have advised the Company that the Registration Statement, the Prospectus or the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86" w:lineRule="exact"/>
        <w:rPr>
          <w:rFonts w:ascii="Arial" w:cs="Arial" w:eastAsia="Arial" w:hAnsi="Arial"/>
          <w:sz w:val="18"/>
          <w:szCs w:val="18"/>
          <w:color w:val="auto"/>
        </w:rPr>
      </w:pPr>
    </w:p>
    <w:p>
      <w:pPr>
        <w:jc w:val="both"/>
        <w:ind w:left="4" w:right="20" w:firstLine="436"/>
        <w:spacing w:after="0" w:line="311" w:lineRule="auto"/>
        <w:tabs>
          <w:tab w:leader="none" w:pos="699"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Agent Counsel Legal Opinion</w:t>
      </w:r>
      <w:r>
        <w:rPr>
          <w:rFonts w:ascii="Arial" w:cs="Arial" w:eastAsia="Arial" w:hAnsi="Arial"/>
          <w:sz w:val="16"/>
          <w:szCs w:val="16"/>
          <w:color w:val="auto"/>
        </w:rPr>
        <w:t xml:space="preserve">. Agent shall have received from Cooley LLP, counsel for Agent, such opinion or opinions, on or before the date on which the delivery of the Company counsel legal opinion is required pursuant to </w:t>
      </w:r>
      <w:r>
        <w:rPr>
          <w:rFonts w:ascii="Arial" w:cs="Arial" w:eastAsia="Arial" w:hAnsi="Arial"/>
          <w:sz w:val="16"/>
          <w:szCs w:val="16"/>
          <w:u w:val="single" w:color="auto"/>
          <w:color w:val="auto"/>
        </w:rPr>
        <w:t>Section 4(p)</w:t>
      </w:r>
      <w:r>
        <w:rPr>
          <w:rFonts w:ascii="Arial" w:cs="Arial" w:eastAsia="Arial" w:hAnsi="Arial"/>
          <w:sz w:val="16"/>
          <w:szCs w:val="16"/>
          <w:color w:val="auto"/>
        </w:rPr>
        <w:t>, with respect to such matters as Agent may reasonably require, and the Company shall have furnished to such counsel such documents as they request for enabling them to pass upon such matters.</w:t>
      </w:r>
    </w:p>
    <w:p>
      <w:pPr>
        <w:spacing w:after="0" w:line="14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6. INDEMNIFICATION AND CONTRIBUTION</w:t>
      </w:r>
    </w:p>
    <w:p>
      <w:pPr>
        <w:spacing w:after="0" w:line="229" w:lineRule="exact"/>
        <w:rPr>
          <w:sz w:val="20"/>
          <w:szCs w:val="20"/>
          <w:color w:val="auto"/>
        </w:rPr>
      </w:pPr>
    </w:p>
    <w:p>
      <w:pPr>
        <w:ind w:left="4" w:right="80" w:firstLine="436"/>
        <w:spacing w:after="0" w:line="284" w:lineRule="auto"/>
        <w:tabs>
          <w:tab w:leader="none" w:pos="689"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Indemnification of the Agent</w:t>
      </w:r>
      <w:r>
        <w:rPr>
          <w:rFonts w:ascii="Arial" w:cs="Arial" w:eastAsia="Arial" w:hAnsi="Arial"/>
          <w:sz w:val="16"/>
          <w:szCs w:val="16"/>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w:t>
      </w:r>
    </w:p>
    <w:p>
      <w:pPr>
        <w:ind w:left="4" w:hanging="4"/>
        <w:spacing w:after="0" w:line="286" w:lineRule="auto"/>
        <w:tabs>
          <w:tab w:leader="none" w:pos="269"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 and each such officer, employee and controlling person for any and all expenses (including the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w:t>
      </w:r>
    </w:p>
    <w:p>
      <w:pPr>
        <w:spacing w:after="0" w:line="10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4"/>
          </w:cols>
          <w:pgMar w:left="436" w:top="274" w:right="499" w:bottom="1440" w:gutter="0" w:footer="0" w:header="0"/>
        </w:sectPr>
      </w:pPr>
    </w:p>
    <w:bookmarkStart w:id="85" w:name="page86"/>
    <w:bookmarkEnd w:id="85"/>
    <w:p>
      <w:pPr>
        <w:ind w:right="6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furnished by the Agent to the Company consists of the information described in subsection (b) below. The indemnity agreement set forth in this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shall be in addition to any liabilities that the Company may otherwise have.</w:t>
      </w:r>
    </w:p>
    <w:p>
      <w:pPr>
        <w:spacing w:after="0" w:line="170" w:lineRule="exact"/>
        <w:rPr>
          <w:sz w:val="20"/>
          <w:szCs w:val="20"/>
          <w:color w:val="auto"/>
        </w:rPr>
      </w:pPr>
    </w:p>
    <w:p>
      <w:pPr>
        <w:ind w:firstLine="436"/>
        <w:spacing w:after="0" w:line="285" w:lineRule="auto"/>
        <w:tabs>
          <w:tab w:leader="none" w:pos="695"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Indemnification of the Company, its Directors and Officers</w:t>
      </w:r>
      <w:r>
        <w:rPr>
          <w:rFonts w:ascii="Arial" w:cs="Arial" w:eastAsia="Arial" w:hAnsi="Arial"/>
          <w:sz w:val="16"/>
          <w:szCs w:val="16"/>
          <w:color w:val="auto"/>
        </w:rPr>
        <w:t xml:space="preserve">.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and to reimburse the Company and each such director, officer and controlling person for any and all expenses (including the fees and disbursements of one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shall be in addition to any liabilities that the Agent or the Company may otherwise have.</w:t>
      </w:r>
    </w:p>
    <w:p>
      <w:pPr>
        <w:spacing w:after="0" w:line="384" w:lineRule="exact"/>
        <w:rPr>
          <w:rFonts w:ascii="Arial" w:cs="Arial" w:eastAsia="Arial" w:hAnsi="Arial"/>
          <w:sz w:val="16"/>
          <w:szCs w:val="16"/>
          <w:color w:val="auto"/>
        </w:rPr>
      </w:pPr>
    </w:p>
    <w:p>
      <w:pPr>
        <w:ind w:right="20" w:firstLine="436"/>
        <w:spacing w:after="0" w:line="271" w:lineRule="auto"/>
        <w:tabs>
          <w:tab w:leader="none" w:pos="685"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Notifications and Other Indemnification Procedures</w:t>
      </w:r>
      <w:r>
        <w:rPr>
          <w:rFonts w:ascii="Arial" w:cs="Arial" w:eastAsia="Arial" w:hAnsi="Arial"/>
          <w:sz w:val="17"/>
          <w:szCs w:val="17"/>
          <w:color w:val="auto"/>
        </w:rPr>
        <w:t xml:space="preserve">. Promptly after receipt by an indemnified party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notice of the commencement of any action, such indemnified party will, if a claim in respect thereof is to be made against an indemnifying party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86" w:name="page87"/>
    <w:bookmarkEnd w:id="86"/>
    <w:p>
      <w:pPr>
        <w:ind w:left="4" w:right="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indemnified party (in the case of counsel for the indemnified parties referred to in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above), (ii) the indemnifying party shall not have employed counsel satisfactory to the indemnified party to represent the indemnified party within a reasonable time after notice of commencement of the action or</w:t>
      </w:r>
    </w:p>
    <w:p>
      <w:pPr>
        <w:spacing w:after="0" w:line="2" w:lineRule="exact"/>
        <w:rPr>
          <w:sz w:val="20"/>
          <w:szCs w:val="20"/>
          <w:color w:val="auto"/>
        </w:rPr>
      </w:pPr>
    </w:p>
    <w:p>
      <w:pPr>
        <w:ind w:left="4" w:right="200" w:hanging="4"/>
        <w:spacing w:after="0" w:line="323" w:lineRule="auto"/>
        <w:tabs>
          <w:tab w:leader="none" w:pos="319"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138" w:lineRule="exact"/>
        <w:rPr>
          <w:rFonts w:ascii="Arial" w:cs="Arial" w:eastAsia="Arial" w:hAnsi="Arial"/>
          <w:sz w:val="16"/>
          <w:szCs w:val="16"/>
          <w:color w:val="auto"/>
        </w:rPr>
      </w:pPr>
    </w:p>
    <w:p>
      <w:pPr>
        <w:ind w:left="4" w:firstLine="436"/>
        <w:spacing w:after="0" w:line="285" w:lineRule="auto"/>
        <w:tabs>
          <w:tab w:leader="none" w:pos="699"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Settlements</w:t>
      </w:r>
      <w:r>
        <w:rPr>
          <w:rFonts w:ascii="Arial" w:cs="Arial" w:eastAsia="Arial" w:hAnsi="Arial"/>
          <w:sz w:val="16"/>
          <w:szCs w:val="16"/>
          <w:color w:val="auto"/>
        </w:rPr>
        <w:t xml:space="preserve">. The indemnifying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the indemnifying party agrees that it shall be liable for any settlement of any proceeding effected without its written consent if</w:t>
      </w:r>
    </w:p>
    <w:p>
      <w:pPr>
        <w:spacing w:after="0" w:line="1" w:lineRule="exact"/>
        <w:rPr>
          <w:rFonts w:ascii="Arial" w:cs="Arial" w:eastAsia="Arial" w:hAnsi="Arial"/>
          <w:sz w:val="16"/>
          <w:szCs w:val="16"/>
          <w:color w:val="auto"/>
        </w:rPr>
      </w:pPr>
    </w:p>
    <w:p>
      <w:pPr>
        <w:ind w:left="4" w:right="60" w:hanging="4"/>
        <w:spacing w:after="0" w:line="270" w:lineRule="auto"/>
        <w:tabs>
          <w:tab w:leader="none" w:pos="219" w:val="left"/>
        </w:tabs>
        <w:numPr>
          <w:ilvl w:val="0"/>
          <w:numId w:val="91"/>
        </w:numPr>
        <w:rPr>
          <w:rFonts w:ascii="Arial" w:cs="Arial" w:eastAsia="Arial" w:hAnsi="Arial"/>
          <w:sz w:val="17"/>
          <w:szCs w:val="17"/>
          <w:color w:val="auto"/>
        </w:rPr>
      </w:pPr>
      <w:r>
        <w:rPr>
          <w:rFonts w:ascii="Arial" w:cs="Arial" w:eastAsia="Arial" w:hAnsi="Arial"/>
          <w:sz w:val="17"/>
          <w:szCs w:val="17"/>
          <w:color w:val="auto"/>
        </w:rPr>
        <w:t>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178" w:lineRule="exact"/>
        <w:rPr>
          <w:rFonts w:ascii="Arial" w:cs="Arial" w:eastAsia="Arial" w:hAnsi="Arial"/>
          <w:sz w:val="17"/>
          <w:szCs w:val="17"/>
          <w:color w:val="auto"/>
        </w:rPr>
      </w:pPr>
    </w:p>
    <w:p>
      <w:pPr>
        <w:jc w:val="both"/>
        <w:ind w:left="4" w:right="200" w:firstLine="436"/>
        <w:spacing w:after="0" w:line="263" w:lineRule="auto"/>
        <w:tabs>
          <w:tab w:leader="none" w:pos="689"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 xml:space="preserve">. If the indemnification provided for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4"/>
          </w:cols>
          <w:pgMar w:left="436" w:top="274" w:right="439" w:bottom="1440" w:gutter="0" w:footer="0" w:header="0"/>
        </w:sectPr>
      </w:pPr>
    </w:p>
    <w:bookmarkStart w:id="87" w:name="page88"/>
    <w:bookmarkEnd w:id="87"/>
    <w:p>
      <w:pPr>
        <w:ind w:left="4"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w:t>
      </w:r>
    </w:p>
    <w:p>
      <w:pPr>
        <w:ind w:left="4" w:hanging="4"/>
        <w:spacing w:after="0" w:line="286" w:lineRule="auto"/>
        <w:tabs>
          <w:tab w:leader="none" w:pos="269"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72" w:lineRule="exact"/>
        <w:rPr>
          <w:sz w:val="20"/>
          <w:szCs w:val="20"/>
          <w:color w:val="auto"/>
        </w:rPr>
      </w:pPr>
    </w:p>
    <w:p>
      <w:pPr>
        <w:ind w:left="4" w:right="20" w:firstLine="440"/>
        <w:spacing w:after="0" w:line="275" w:lineRule="auto"/>
        <w:rPr>
          <w:sz w:val="20"/>
          <w:szCs w:val="20"/>
          <w:color w:val="auto"/>
        </w:rPr>
      </w:pPr>
      <w:r>
        <w:rPr>
          <w:rFonts w:ascii="Arial" w:cs="Arial" w:eastAsia="Arial" w:hAnsi="Arial"/>
          <w:sz w:val="17"/>
          <w:szCs w:val="17"/>
          <w:color w:val="auto"/>
        </w:rPr>
        <w:t xml:space="preserve">The amount paid or payable by a party as a result of the losses, claims, damages, liabilities and expenses referred to above shall be deemed to include, subject to the limitations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any legal or other fees or expenses reasonably incurred by such party in connection with investigating or defending any action or claim. The provisions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with respect to notice of commencement of any action shall apply if a claim for contribution is to be made under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provided, however, that no additional notice shall be required with respect to any action for which notice has been given under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for purposes of indemnification.</w:t>
      </w:r>
    </w:p>
    <w:p>
      <w:pPr>
        <w:spacing w:after="0" w:line="176" w:lineRule="exact"/>
        <w:rPr>
          <w:sz w:val="20"/>
          <w:szCs w:val="20"/>
          <w:color w:val="auto"/>
        </w:rPr>
      </w:pPr>
    </w:p>
    <w:p>
      <w:pPr>
        <w:ind w:left="4" w:right="80" w:firstLine="440"/>
        <w:spacing w:after="0" w:line="342" w:lineRule="auto"/>
        <w:rPr>
          <w:sz w:val="20"/>
          <w:szCs w:val="20"/>
          <w:color w:val="auto"/>
        </w:rPr>
      </w:pPr>
      <w:r>
        <w:rPr>
          <w:rFonts w:ascii="Arial" w:cs="Arial" w:eastAsia="Arial" w:hAnsi="Arial"/>
          <w:sz w:val="16"/>
          <w:szCs w:val="16"/>
          <w:color w:val="auto"/>
        </w:rPr>
        <w:t xml:space="preserve">The Company and the Agent agree that it would not be just and equitable if contribution pursuant to this </w:t>
      </w:r>
      <w:r>
        <w:rPr>
          <w:rFonts w:ascii="Arial" w:cs="Arial" w:eastAsia="Arial" w:hAnsi="Arial"/>
          <w:sz w:val="16"/>
          <w:szCs w:val="16"/>
          <w:u w:val="single" w:color="auto"/>
          <w:color w:val="auto"/>
        </w:rPr>
        <w:t>Section 6(e)</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Section 6(e)</w:t>
      </w:r>
      <w:r>
        <w:rPr>
          <w:rFonts w:ascii="Arial" w:cs="Arial" w:eastAsia="Arial" w:hAnsi="Arial"/>
          <w:sz w:val="16"/>
          <w:szCs w:val="16"/>
          <w:color w:val="auto"/>
        </w:rPr>
        <w:t>.</w:t>
      </w:r>
    </w:p>
    <w:p>
      <w:pPr>
        <w:spacing w:after="0" w:line="124" w:lineRule="exact"/>
        <w:rPr>
          <w:sz w:val="20"/>
          <w:szCs w:val="20"/>
          <w:color w:val="auto"/>
        </w:rPr>
      </w:pPr>
    </w:p>
    <w:p>
      <w:pPr>
        <w:ind w:left="4" w:right="80" w:firstLine="440"/>
        <w:spacing w:after="0" w:line="272" w:lineRule="auto"/>
        <w:rPr>
          <w:sz w:val="20"/>
          <w:szCs w:val="20"/>
          <w:color w:val="auto"/>
        </w:rPr>
      </w:pPr>
      <w:r>
        <w:rPr>
          <w:rFonts w:ascii="Arial" w:cs="Arial" w:eastAsia="Arial" w:hAnsi="Arial"/>
          <w:sz w:val="17"/>
          <w:szCs w:val="17"/>
          <w:color w:val="auto"/>
        </w:rPr>
        <w:t xml:space="preserve">Notwithstanding the provisions of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the Agent shall not be required to contribute any amount in excess of the Selling Commission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17"/>
          <w:szCs w:val="17"/>
          <w:u w:val="single" w:color="auto"/>
          <w:color w:val="auto"/>
        </w:rPr>
        <w:t>Section 6(e)</w:t>
      </w:r>
      <w:r>
        <w:rPr>
          <w:rFonts w:ascii="Arial" w:cs="Arial" w:eastAsia="Arial" w:hAnsi="Arial"/>
          <w:sz w:val="17"/>
          <w:szCs w:val="17"/>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7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7. TERMINATION &amp; SURVIVAL</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4"/>
          </w:cols>
          <w:pgMar w:left="436" w:top="274" w:right="439" w:bottom="1440" w:gutter="0" w:footer="0" w:header="0"/>
        </w:sectPr>
      </w:pPr>
    </w:p>
    <w:bookmarkStart w:id="88" w:name="page89"/>
    <w:bookmarkEnd w:id="88"/>
    <w:p>
      <w:pPr>
        <w:ind w:right="20" w:firstLine="436"/>
        <w:spacing w:after="0" w:line="277" w:lineRule="auto"/>
        <w:tabs>
          <w:tab w:leader="none" w:pos="68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 term of this Agreement shall continue from the date of this Agreement until the end of the Agency Period, unless earlier terminated by the parties to this Agreement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Termination; Survival Following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75" w:lineRule="auto"/>
        <w:tabs>
          <w:tab w:leader="none" w:pos="1206" w:val="left"/>
        </w:tabs>
        <w:numPr>
          <w:ilvl w:val="1"/>
          <w:numId w:val="93"/>
        </w:numPr>
        <w:rPr>
          <w:rFonts w:ascii="Arial" w:cs="Arial" w:eastAsia="Arial" w:hAnsi="Arial"/>
          <w:sz w:val="17"/>
          <w:szCs w:val="17"/>
          <w:color w:val="auto"/>
        </w:rPr>
      </w:pPr>
      <w:r>
        <w:rPr>
          <w:rFonts w:ascii="Arial" w:cs="Arial" w:eastAsia="Arial" w:hAnsi="Arial"/>
          <w:sz w:val="17"/>
          <w:szCs w:val="17"/>
          <w:color w:val="auto"/>
        </w:rPr>
        <w:t xml:space="preserve">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Arial" w:cs="Arial" w:eastAsia="Arial" w:hAnsi="Arial"/>
          <w:sz w:val="17"/>
          <w:szCs w:val="17"/>
          <w:u w:val="single" w:color="auto"/>
          <w:color w:val="auto"/>
        </w:rPr>
        <w:t>Section 3(b)(v)</w:t>
      </w:r>
      <w:r>
        <w:rPr>
          <w:rFonts w:ascii="Arial" w:cs="Arial" w:eastAsia="Arial" w:hAnsi="Arial"/>
          <w:sz w:val="17"/>
          <w:szCs w:val="17"/>
          <w:color w:val="auto"/>
        </w:rPr>
        <w:t xml:space="preserve"> with respect to such Shares and (B)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3(d)</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176" w:lineRule="exact"/>
        <w:rPr>
          <w:rFonts w:ascii="Arial" w:cs="Arial" w:eastAsia="Arial" w:hAnsi="Arial"/>
          <w:sz w:val="17"/>
          <w:szCs w:val="17"/>
          <w:color w:val="auto"/>
        </w:rPr>
      </w:pPr>
    </w:p>
    <w:p>
      <w:pPr>
        <w:ind w:right="40" w:firstLine="987"/>
        <w:spacing w:after="0" w:line="257" w:lineRule="auto"/>
        <w:tabs>
          <w:tab w:leader="none" w:pos="1256"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In addition to the survival provision of </w:t>
      </w:r>
      <w:r>
        <w:rPr>
          <w:rFonts w:ascii="Arial" w:cs="Arial" w:eastAsia="Arial" w:hAnsi="Arial"/>
          <w:sz w:val="18"/>
          <w:szCs w:val="18"/>
          <w:u w:val="single" w:color="auto"/>
          <w:color w:val="auto"/>
        </w:rPr>
        <w:t>Section 7(b)(i)</w:t>
      </w:r>
      <w:r>
        <w:rPr>
          <w:rFonts w:ascii="Arial" w:cs="Arial" w:eastAsia="Arial" w:hAnsi="Arial"/>
          <w:sz w:val="18"/>
          <w:szCs w:val="18"/>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8. MISCELLANEOUS</w:t>
      </w:r>
    </w:p>
    <w:p>
      <w:pPr>
        <w:spacing w:after="0" w:line="229" w:lineRule="exact"/>
        <w:rPr>
          <w:sz w:val="20"/>
          <w:szCs w:val="20"/>
          <w:color w:val="auto"/>
        </w:rPr>
      </w:pPr>
    </w:p>
    <w:p>
      <w:pPr>
        <w:ind w:firstLine="436"/>
        <w:spacing w:after="0" w:line="269" w:lineRule="auto"/>
        <w:tabs>
          <w:tab w:leader="none" w:pos="685"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Press Releases and Disclosure</w:t>
      </w:r>
      <w:r>
        <w:rPr>
          <w:rFonts w:ascii="Arial" w:cs="Arial" w:eastAsia="Arial" w:hAnsi="Arial"/>
          <w:sz w:val="17"/>
          <w:szCs w:val="17"/>
          <w:color w:val="auto"/>
        </w:rPr>
        <w:t>. The Company may issue a press release describing the material terms of the transactions contemplated hereby as soon as practicable following the date of this Agreement, and may file with the Commission a Current Report on Form 8 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181" w:lineRule="exact"/>
        <w:rPr>
          <w:rFonts w:ascii="Arial" w:cs="Arial" w:eastAsia="Arial" w:hAnsi="Arial"/>
          <w:sz w:val="17"/>
          <w:szCs w:val="17"/>
          <w:color w:val="auto"/>
        </w:rPr>
      </w:pPr>
    </w:p>
    <w:p>
      <w:pPr>
        <w:ind w:right="160" w:firstLine="436"/>
        <w:spacing w:after="0" w:line="259" w:lineRule="auto"/>
        <w:tabs>
          <w:tab w:leader="none" w:pos="69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No Advisory or Fiduciary Relationship</w:t>
      </w:r>
      <w:r>
        <w:rPr>
          <w:rFonts w:ascii="Arial" w:cs="Arial" w:eastAsia="Arial" w:hAnsi="Arial"/>
          <w:sz w:val="18"/>
          <w:szCs w:val="18"/>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is not the agent or fiduciary of the Company, or its stockholders, creditors, employees or any other party,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89" w:name="page90"/>
    <w:bookmarkEnd w:id="89"/>
    <w:p>
      <w:pPr>
        <w:ind w:left="4" w:right="80" w:hanging="4"/>
        <w:spacing w:after="0" w:line="293" w:lineRule="auto"/>
        <w:tabs>
          <w:tab w:leader="none" w:pos="319" w:val="left"/>
        </w:tabs>
        <w:numPr>
          <w:ilvl w:val="0"/>
          <w:numId w:val="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64" w:lineRule="exact"/>
        <w:rPr>
          <w:rFonts w:ascii="Arial" w:cs="Arial" w:eastAsia="Arial" w:hAnsi="Arial"/>
          <w:sz w:val="16"/>
          <w:szCs w:val="16"/>
          <w:color w:val="auto"/>
        </w:rPr>
      </w:pPr>
    </w:p>
    <w:p>
      <w:pPr>
        <w:ind w:left="4" w:firstLine="436"/>
        <w:spacing w:after="0" w:line="254" w:lineRule="auto"/>
        <w:tabs>
          <w:tab w:leader="none" w:pos="689"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Research Analyst Independence</w:t>
      </w:r>
      <w:r>
        <w:rPr>
          <w:rFonts w:ascii="Arial" w:cs="Arial" w:eastAsia="Arial" w:hAnsi="Arial"/>
          <w:sz w:val="18"/>
          <w:szCs w:val="18"/>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94" w:lineRule="exact"/>
        <w:rPr>
          <w:rFonts w:ascii="Arial" w:cs="Arial" w:eastAsia="Arial" w:hAnsi="Arial"/>
          <w:sz w:val="18"/>
          <w:szCs w:val="18"/>
          <w:color w:val="auto"/>
        </w:rPr>
      </w:pPr>
    </w:p>
    <w:p>
      <w:pPr>
        <w:ind w:left="4" w:right="380" w:firstLine="436"/>
        <w:spacing w:after="0" w:line="277" w:lineRule="auto"/>
        <w:tabs>
          <w:tab w:leader="none" w:pos="699"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shall be in writing and shall be mailed, hand delivered, sent via electronic mail (if applicable) or telecopied and confirmed to the parties hereto as follows: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If to the Agent: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jc w:val="both"/>
        <w:ind w:left="984" w:right="7940" w:firstLine="7"/>
        <w:spacing w:after="0" w:line="295" w:lineRule="auto"/>
        <w:tabs>
          <w:tab w:leader="none" w:pos="1299" w:val="left"/>
        </w:tabs>
        <w:numPr>
          <w:ilvl w:val="0"/>
          <w:numId w:val="96"/>
        </w:numPr>
        <w:rPr>
          <w:rFonts w:ascii="Arial" w:cs="Arial" w:eastAsia="Arial" w:hAnsi="Arial"/>
          <w:sz w:val="16"/>
          <w:szCs w:val="16"/>
          <w:color w:val="auto"/>
        </w:rPr>
      </w:pPr>
      <w:r>
        <w:rPr>
          <w:rFonts w:ascii="Arial" w:cs="Arial" w:eastAsia="Arial" w:hAnsi="Arial"/>
          <w:sz w:val="16"/>
          <w:szCs w:val="16"/>
          <w:color w:val="auto"/>
        </w:rPr>
        <w:t>Madison Avenue New York, NY 10022 Facsimile: (646) 786-5719 Attention: General Counsel</w:t>
      </w:r>
    </w:p>
    <w:p>
      <w:pPr>
        <w:spacing w:after="0" w:line="5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55 Hudson Yards</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New York, NY 10001</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Email: [*]</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Attention: Daniel I. Goldberg, Esq.</w:t>
      </w:r>
    </w:p>
    <w:p>
      <w:pPr>
        <w:spacing w:after="0" w:line="10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10770 Wateridge Circle, Suite 210</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San Diego, California 92121</w:t>
      </w:r>
    </w:p>
    <w:p>
      <w:pPr>
        <w:spacing w:after="0" w:line="143"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04"/>
          </w:cols>
          <w:pgMar w:left="436" w:top="274" w:right="559" w:bottom="1440" w:gutter="0" w:footer="0" w:header="0"/>
        </w:sectPr>
      </w:pPr>
    </w:p>
    <w:bookmarkStart w:id="90" w:name="page91"/>
    <w:bookmarkEnd w:id="9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Email: [*]</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Eric Loumeau</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555 California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Effie Toshav, Esq.</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Any party hereto may change the address for receipt of communications by giving written notice to the others in accordance with this </w:t>
      </w:r>
      <w:r>
        <w:rPr>
          <w:rFonts w:ascii="Arial" w:cs="Arial" w:eastAsia="Arial" w:hAnsi="Arial"/>
          <w:sz w:val="17"/>
          <w:szCs w:val="17"/>
          <w:u w:val="single" w:color="auto"/>
          <w:color w:val="auto"/>
        </w:rPr>
        <w:t>Section 8(d)</w:t>
      </w:r>
      <w:r>
        <w:rPr>
          <w:rFonts w:ascii="Arial" w:cs="Arial" w:eastAsia="Arial" w:hAnsi="Arial"/>
          <w:sz w:val="17"/>
          <w:szCs w:val="17"/>
          <w:color w:val="auto"/>
        </w:rPr>
        <w:t>.</w:t>
      </w:r>
    </w:p>
    <w:p>
      <w:pPr>
        <w:spacing w:after="0" w:line="237" w:lineRule="exact"/>
        <w:rPr>
          <w:sz w:val="20"/>
          <w:szCs w:val="20"/>
          <w:color w:val="auto"/>
        </w:rPr>
      </w:pPr>
    </w:p>
    <w:p>
      <w:pPr>
        <w:jc w:val="both"/>
        <w:ind w:right="240" w:firstLine="436"/>
        <w:spacing w:after="0" w:line="311" w:lineRule="auto"/>
        <w:tabs>
          <w:tab w:leader="none" w:pos="685"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xml:space="preserve">. This Agreement will inure to the benefit of and be binding upon the parties hereto, and to the benefit of the employees, officers and directors and controlling persons referred to in </w:t>
      </w:r>
      <w:r>
        <w:rPr>
          <w:rFonts w:ascii="Arial" w:cs="Arial" w:eastAsia="Arial" w:hAnsi="Arial"/>
          <w:sz w:val="16"/>
          <w:szCs w:val="16"/>
          <w:u w:val="single" w:color="auto"/>
          <w:color w:val="auto"/>
        </w:rPr>
        <w:t>Section 6</w:t>
      </w:r>
      <w:r>
        <w:rPr>
          <w:rFonts w:ascii="Arial" w:cs="Arial" w:eastAsia="Arial" w:hAnsi="Arial"/>
          <w:sz w:val="16"/>
          <w:szCs w:val="16"/>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148" w:lineRule="exact"/>
        <w:rPr>
          <w:rFonts w:ascii="Arial" w:cs="Arial" w:eastAsia="Arial" w:hAnsi="Arial"/>
          <w:sz w:val="16"/>
          <w:szCs w:val="16"/>
          <w:color w:val="auto"/>
        </w:rPr>
      </w:pPr>
    </w:p>
    <w:p>
      <w:pPr>
        <w:ind w:right="220" w:firstLine="436"/>
        <w:spacing w:after="0" w:line="259" w:lineRule="auto"/>
        <w:tabs>
          <w:tab w:leader="none" w:pos="665"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Partial Unenforceability</w:t>
      </w:r>
      <w:r>
        <w:rPr>
          <w:rFonts w:ascii="Arial" w:cs="Arial" w:eastAsia="Arial" w:hAnsi="Arial"/>
          <w:sz w:val="18"/>
          <w:szCs w:val="18"/>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6" w:lineRule="exact"/>
        <w:rPr>
          <w:rFonts w:ascii="Arial" w:cs="Arial" w:eastAsia="Arial" w:hAnsi="Arial"/>
          <w:sz w:val="18"/>
          <w:szCs w:val="18"/>
          <w:color w:val="auto"/>
        </w:rPr>
      </w:pPr>
    </w:p>
    <w:p>
      <w:pPr>
        <w:ind w:firstLine="436"/>
        <w:spacing w:after="0" w:line="269" w:lineRule="auto"/>
        <w:tabs>
          <w:tab w:leader="none" w:pos="695"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Governing Law Provisions</w:t>
      </w:r>
      <w:r>
        <w:rPr>
          <w:rFonts w:ascii="Arial" w:cs="Arial" w:eastAsia="Arial" w:hAnsi="Arial"/>
          <w:sz w:val="17"/>
          <w:szCs w:val="17"/>
          <w:color w:val="auto"/>
        </w:rPr>
        <w:t>. This Agreement shall be governed by and construed in accordance with the internal laws of the State of New York applicable to agreements made and to be performed in such state, without giving effect to conflicts of laws principles or those provisions that would result in the application of the laws of another jurisdiction.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7"/>
          <w:szCs w:val="17"/>
          <w:b w:val="1"/>
          <w:bCs w:val="1"/>
          <w:color w:val="auto"/>
        </w:rPr>
        <w:t>Specified Courts</w:t>
      </w:r>
      <w:r>
        <w:rPr>
          <w:rFonts w:ascii="Arial" w:cs="Arial" w:eastAsia="Arial" w:hAnsi="Arial"/>
          <w:sz w:val="17"/>
          <w:szCs w:val="17"/>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1" w:lineRule="exact"/>
        <w:rPr>
          <w:rFonts w:ascii="Arial" w:cs="Arial" w:eastAsia="Arial" w:hAnsi="Arial"/>
          <w:sz w:val="17"/>
          <w:szCs w:val="17"/>
          <w:color w:val="auto"/>
        </w:rPr>
      </w:pPr>
    </w:p>
    <w:p>
      <w:pPr>
        <w:ind w:right="220" w:firstLine="436"/>
        <w:spacing w:after="0" w:line="277" w:lineRule="auto"/>
        <w:tabs>
          <w:tab w:leader="none" w:pos="695"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Agreement constitutes the entire agreement of the parties to this Agreement and supersedes all prior written or oral and all contemporaneous oral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91" w:name="page92"/>
    <w:bookmarkEnd w:id="91"/>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Immediately Follows</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4" w:right="479" w:bottom="1440" w:gutter="0" w:footer="0" w:header="0"/>
        </w:sectPr>
      </w:pPr>
    </w:p>
    <w:bookmarkStart w:id="92" w:name="page93"/>
    <w:bookmarkEnd w:id="92"/>
    <w:p>
      <w:pPr>
        <w:ind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ANAPTYSBIO,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Hamza Suria</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Chief Executive Officer and</w:t>
      </w:r>
    </w:p>
    <w:p>
      <w:pPr>
        <w:spacing w:after="0" w:line="9"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foregoing Agreement is hereby confirmed and accepted by the Agent in New York, New York as of the date first above written.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Dustin Tyner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Dustin Tyner</w:t>
      </w:r>
    </w:p>
    <w:p>
      <w:pPr>
        <w:spacing w:after="0" w:line="23"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ectPr>
          <w:pgSz w:w="11900" w:h="16838" w:orient="portrait"/>
          <w:cols w:equalWidth="0" w:num="1">
            <w:col w:w="10700"/>
          </w:cols>
          <w:pgMar w:left="440" w:top="274" w:right="759" w:bottom="1440" w:gutter="0" w:footer="0" w:header="0"/>
        </w:sectPr>
      </w:pPr>
    </w:p>
    <w:bookmarkStart w:id="93" w:name="page94"/>
    <w:bookmarkEnd w:id="93"/>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ISSUANCE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 [__________]</w:t>
      </w:r>
    </w:p>
    <w:p>
      <w:pPr>
        <w:spacing w:after="0" w:line="221"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color w:val="auto"/>
        </w:rPr>
        <w:t>Reference is made to the Open Market Sale Agreement</w:t>
      </w:r>
      <w:r>
        <w:rPr>
          <w:rFonts w:ascii="Arial" w:cs="Arial" w:eastAsia="Arial" w:hAnsi="Arial"/>
          <w:sz w:val="13"/>
          <w:szCs w:val="13"/>
          <w:color w:val="auto"/>
        </w:rPr>
        <w:t>SM</w:t>
      </w:r>
      <w:r>
        <w:rPr>
          <w:rFonts w:ascii="Arial" w:cs="Arial" w:eastAsia="Arial" w:hAnsi="Arial"/>
          <w:sz w:val="16"/>
          <w:szCs w:val="16"/>
          <w:color w:val="auto"/>
        </w:rPr>
        <w:t xml:space="preserve"> between AnaptysBio, Inc. (the “</w:t>
      </w:r>
      <w:r>
        <w:rPr>
          <w:rFonts w:ascii="Arial" w:cs="Arial" w:eastAsia="Arial" w:hAnsi="Arial"/>
          <w:sz w:val="16"/>
          <w:szCs w:val="16"/>
          <w:b w:val="1"/>
          <w:bCs w:val="1"/>
          <w:color w:val="auto"/>
        </w:rPr>
        <w:t>Company</w:t>
      </w:r>
      <w:r>
        <w:rPr>
          <w:rFonts w:ascii="Arial" w:cs="Arial" w:eastAsia="Arial" w:hAnsi="Arial"/>
          <w:sz w:val="16"/>
          <w:szCs w:val="16"/>
          <w:color w:val="auto"/>
        </w:rPr>
        <w:t>”) and Jefferies LLC (the “</w:t>
      </w:r>
      <w:r>
        <w:rPr>
          <w:rFonts w:ascii="Arial" w:cs="Arial" w:eastAsia="Arial" w:hAnsi="Arial"/>
          <w:sz w:val="16"/>
          <w:szCs w:val="16"/>
          <w:b w:val="1"/>
          <w:bCs w:val="1"/>
          <w:color w:val="auto"/>
        </w:rPr>
        <w:t>Agent</w:t>
      </w:r>
      <w:r>
        <w:rPr>
          <w:rFonts w:ascii="Arial" w:cs="Arial" w:eastAsia="Arial" w:hAnsi="Arial"/>
          <w:sz w:val="16"/>
          <w:szCs w:val="16"/>
          <w:color w:val="auto"/>
        </w:rPr>
        <w:t>”) dated as of December [30], 2021. The Company confirms that all conditions to the delivery of this Issuance Notice are satisfied as of the date hereof.</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of Delivery of Issuance Notice (determined pursuant to </w:t>
      </w:r>
      <w:r>
        <w:rPr>
          <w:rFonts w:ascii="Arial" w:cs="Arial" w:eastAsia="Arial" w:hAnsi="Arial"/>
          <w:sz w:val="18"/>
          <w:szCs w:val="18"/>
          <w:u w:val="single" w:color="auto"/>
          <w:color w:val="auto"/>
        </w:rPr>
        <w:t>Section 3(b)(i)</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229235</wp:posOffset>
            </wp:positionV>
            <wp:extent cx="196278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8">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Issuance Amount (equal to the total Sales Price for such Shares):</w:t>
      </w:r>
    </w:p>
    <w:p>
      <w:pPr>
        <w:spacing w:after="0" w:line="13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-10160</wp:posOffset>
            </wp:positionV>
            <wp:extent cx="29133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291338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Number of days in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14605</wp:posOffset>
            </wp:positionV>
            <wp:extent cx="34201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First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14605</wp:posOffset>
            </wp:positionV>
            <wp:extent cx="342011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Last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14605</wp:posOffset>
            </wp:positionV>
            <wp:extent cx="34201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Date(s) if other than standard T+2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306070</wp:posOffset>
            </wp:positionV>
            <wp:extent cx="25114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Floor Price Limitation (in no event less than $1.00 without the prior written consent of the Agent, which consent may be withheld in the Agent’s sole discretion): $ ____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306070</wp:posOffset>
            </wp:positionV>
            <wp:extent cx="27946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-10160</wp:posOffset>
            </wp:positionV>
            <wp:extent cx="57124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5712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740"/>
          </w:cols>
          <w:pgMar w:left="440" w:top="270" w:right="719" w:bottom="1440" w:gutter="0" w:footer="0" w:header="0"/>
        </w:sectPr>
      </w:pPr>
    </w:p>
    <w:bookmarkStart w:id="94" w:name="page95"/>
    <w:bookmarkEnd w:id="94"/>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117" w:lineRule="exact"/>
        <w:rPr>
          <w:sz w:val="20"/>
          <w:szCs w:val="20"/>
          <w:color w:val="auto"/>
        </w:rPr>
      </w:pPr>
    </w:p>
    <w:p>
      <w:pPr>
        <w:jc w:val="center"/>
        <w:ind w:right="-980"/>
        <w:spacing w:after="0"/>
        <w:rPr>
          <w:sz w:val="20"/>
          <w:szCs w:val="20"/>
          <w:color w:val="auto"/>
        </w:rPr>
      </w:pPr>
      <w:r>
        <w:rPr>
          <w:rFonts w:ascii="Arial" w:cs="Arial" w:eastAsia="Arial" w:hAnsi="Arial"/>
          <w:sz w:val="16"/>
          <w:szCs w:val="16"/>
          <w:b w:val="1"/>
          <w:bCs w:val="1"/>
          <w:color w:val="auto"/>
        </w:rPr>
        <w:t>Notice Parties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Hamza Suria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Dennis Mulroy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Eric Loumeau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Magarro [*]</w:t>
      </w:r>
    </w:p>
    <w:p>
      <w:pPr>
        <w:sectPr>
          <w:pgSz w:w="11900" w:h="16838" w:orient="portrait"/>
          <w:cols w:equalWidth="0" w:num="1">
            <w:col w:w="10019"/>
          </w:cols>
          <w:pgMar w:left="440" w:top="270" w:right="1440"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b w:val="1"/>
          <w:bCs w:val="1"/>
          <w:color w:val="auto"/>
        </w:rPr>
        <w:t>ANAPTYSBIO, INC.</w:t>
      </w:r>
    </w:p>
    <w:p>
      <w:pPr>
        <w:spacing w:after="0" w:line="13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 as Trustee</w:t>
      </w:r>
    </w:p>
    <w:p>
      <w:pPr>
        <w:spacing w:after="0" w:line="113"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 ,</w:t>
      </w:r>
    </w:p>
    <w:p>
      <w:pPr>
        <w:sectPr>
          <w:pgSz w:w="11900" w:h="16838" w:orient="portrait"/>
          <w:cols w:equalWidth="0" w:num="1">
            <w:col w:w="10020"/>
          </w:cols>
          <w:pgMar w:left="1440" w:top="121" w:right="4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9460" w:type="dxa"/>
            <w:vAlign w:val="bottom"/>
          </w:tcPr>
          <w:p>
            <w:pPr>
              <w:ind w:left="4540"/>
              <w:spacing w:after="0"/>
              <w:rPr>
                <w:sz w:val="20"/>
                <w:szCs w:val="20"/>
                <w:color w:val="auto"/>
              </w:rPr>
            </w:pPr>
            <w:r>
              <w:rPr>
                <w:rFonts w:ascii="Arial" w:cs="Arial" w:eastAsia="Arial" w:hAnsi="Arial"/>
                <w:sz w:val="18"/>
                <w:szCs w:val="18"/>
                <w:b w:val="1"/>
                <w:bCs w:val="1"/>
                <w:color w:val="auto"/>
              </w:rPr>
              <w:t>TABLE OF CONTENTS</w:t>
            </w:r>
          </w:p>
        </w:tc>
        <w:tc>
          <w:tcPr>
            <w:tcW w:w="1500" w:type="dxa"/>
            <w:vAlign w:val="bottom"/>
          </w:tcPr>
          <w:p>
            <w:pPr>
              <w:spacing w:after="0"/>
              <w:rPr>
                <w:sz w:val="20"/>
                <w:szCs w:val="20"/>
                <w:color w:val="auto"/>
              </w:rPr>
            </w:pPr>
          </w:p>
        </w:tc>
      </w:tr>
      <w:tr>
        <w:trPr>
          <w:trHeight w:val="459"/>
        </w:trPr>
        <w:tc>
          <w:tcPr>
            <w:tcW w:w="9460" w:type="dxa"/>
            <w:vAlign w:val="bottom"/>
          </w:tcPr>
          <w:p>
            <w:pPr>
              <w:spacing w:after="0"/>
              <w:rPr>
                <w:sz w:val="20"/>
                <w:szCs w:val="20"/>
                <w:color w:val="auto"/>
              </w:rPr>
            </w:pPr>
            <w:r>
              <w:rPr>
                <w:rFonts w:ascii="Arial" w:cs="Arial" w:eastAsia="Arial" w:hAnsi="Arial"/>
                <w:sz w:val="18"/>
                <w:szCs w:val="18"/>
                <w:color w:val="auto"/>
              </w:rPr>
              <w:t>ARTICLE 1 - DEFINITIONS AND INCORPORATION BY REFERENCE</w:t>
            </w:r>
          </w:p>
        </w:tc>
        <w:tc>
          <w:tcPr>
            <w:tcW w:w="1500" w:type="dxa"/>
            <w:vAlign w:val="bottom"/>
          </w:tcPr>
          <w:p>
            <w:pPr>
              <w:ind w:left="1320"/>
              <w:spacing w:after="0"/>
              <w:rPr>
                <w:sz w:val="20"/>
                <w:szCs w:val="20"/>
                <w:color w:val="auto"/>
              </w:rPr>
            </w:pPr>
            <w:r>
              <w:rPr>
                <w:rFonts w:ascii="Arial" w:cs="Arial" w:eastAsia="Arial" w:hAnsi="Arial"/>
                <w:sz w:val="18"/>
                <w:szCs w:val="18"/>
                <w:color w:val="auto"/>
              </w:rPr>
              <w:t>1</w:t>
            </w:r>
          </w:p>
        </w:tc>
      </w:tr>
      <w:tr>
        <w:trPr>
          <w:trHeight w:val="324"/>
        </w:trPr>
        <w:tc>
          <w:tcPr>
            <w:tcW w:w="9460" w:type="dxa"/>
            <w:vAlign w:val="bottom"/>
          </w:tcPr>
          <w:p>
            <w:pPr>
              <w:ind w:left="320"/>
              <w:spacing w:after="0"/>
              <w:rPr>
                <w:sz w:val="20"/>
                <w:szCs w:val="20"/>
                <w:color w:val="auto"/>
              </w:rPr>
            </w:pPr>
            <w:r>
              <w:rPr>
                <w:rFonts w:ascii="Arial" w:cs="Arial" w:eastAsia="Arial" w:hAnsi="Arial"/>
                <w:sz w:val="18"/>
                <w:szCs w:val="18"/>
                <w:color w:val="auto"/>
              </w:rPr>
              <w:t>1.1. DEFINITIONS</w:t>
            </w:r>
          </w:p>
        </w:tc>
        <w:tc>
          <w:tcPr>
            <w:tcW w:w="1500" w:type="dxa"/>
            <w:vAlign w:val="bottom"/>
          </w:tcPr>
          <w:p>
            <w:pPr>
              <w:ind w:left="1320"/>
              <w:spacing w:after="0"/>
              <w:rPr>
                <w:sz w:val="20"/>
                <w:szCs w:val="20"/>
                <w:color w:val="auto"/>
              </w:rPr>
            </w:pPr>
            <w:r>
              <w:rPr>
                <w:rFonts w:ascii="Arial" w:cs="Arial" w:eastAsia="Arial" w:hAnsi="Arial"/>
                <w:sz w:val="18"/>
                <w:szCs w:val="18"/>
                <w:color w:val="auto"/>
              </w:rPr>
              <w:t>1</w:t>
            </w:r>
          </w:p>
        </w:tc>
      </w:tr>
      <w:tr>
        <w:trPr>
          <w:trHeight w:val="324"/>
        </w:trPr>
        <w:tc>
          <w:tcPr>
            <w:tcW w:w="9460" w:type="dxa"/>
            <w:vAlign w:val="bottom"/>
          </w:tcPr>
          <w:p>
            <w:pPr>
              <w:ind w:left="320"/>
              <w:spacing w:after="0"/>
              <w:rPr>
                <w:sz w:val="20"/>
                <w:szCs w:val="20"/>
                <w:color w:val="auto"/>
              </w:rPr>
            </w:pPr>
            <w:r>
              <w:rPr>
                <w:rFonts w:ascii="Arial" w:cs="Arial" w:eastAsia="Arial" w:hAnsi="Arial"/>
                <w:sz w:val="18"/>
                <w:szCs w:val="18"/>
                <w:color w:val="auto"/>
              </w:rPr>
              <w:t>1.2. OTHER DEFINITIONS</w:t>
            </w:r>
          </w:p>
        </w:tc>
        <w:tc>
          <w:tcPr>
            <w:tcW w:w="1500" w:type="dxa"/>
            <w:vAlign w:val="bottom"/>
          </w:tcPr>
          <w:p>
            <w:pPr>
              <w:ind w:left="1320"/>
              <w:spacing w:after="0"/>
              <w:rPr>
                <w:sz w:val="20"/>
                <w:szCs w:val="20"/>
                <w:color w:val="auto"/>
              </w:rPr>
            </w:pPr>
            <w:r>
              <w:rPr>
                <w:rFonts w:ascii="Arial" w:cs="Arial" w:eastAsia="Arial" w:hAnsi="Arial"/>
                <w:sz w:val="18"/>
                <w:szCs w:val="18"/>
                <w:color w:val="auto"/>
              </w:rPr>
              <w:t>4</w:t>
            </w:r>
          </w:p>
        </w:tc>
      </w:tr>
      <w:tr>
        <w:trPr>
          <w:trHeight w:val="324"/>
        </w:trPr>
        <w:tc>
          <w:tcPr>
            <w:tcW w:w="9460" w:type="dxa"/>
            <w:vAlign w:val="bottom"/>
          </w:tcPr>
          <w:p>
            <w:pPr>
              <w:ind w:left="320"/>
              <w:spacing w:after="0"/>
              <w:rPr>
                <w:sz w:val="20"/>
                <w:szCs w:val="20"/>
                <w:color w:val="auto"/>
              </w:rPr>
            </w:pPr>
            <w:r>
              <w:rPr>
                <w:rFonts w:ascii="Arial" w:cs="Arial" w:eastAsia="Arial" w:hAnsi="Arial"/>
                <w:sz w:val="18"/>
                <w:szCs w:val="18"/>
                <w:color w:val="auto"/>
              </w:rPr>
              <w:t>1.3. INCORPORATION BY REFERENCE OF TRUST INDENTURE ACT</w:t>
            </w:r>
          </w:p>
        </w:tc>
        <w:tc>
          <w:tcPr>
            <w:tcW w:w="1500" w:type="dxa"/>
            <w:vAlign w:val="bottom"/>
          </w:tcPr>
          <w:p>
            <w:pPr>
              <w:ind w:left="1320"/>
              <w:spacing w:after="0"/>
              <w:rPr>
                <w:sz w:val="20"/>
                <w:szCs w:val="20"/>
                <w:color w:val="auto"/>
              </w:rPr>
            </w:pPr>
            <w:r>
              <w:rPr>
                <w:rFonts w:ascii="Arial" w:cs="Arial" w:eastAsia="Arial" w:hAnsi="Arial"/>
                <w:sz w:val="18"/>
                <w:szCs w:val="18"/>
                <w:color w:val="auto"/>
              </w:rPr>
              <w:t>5</w:t>
            </w:r>
          </w:p>
        </w:tc>
      </w:tr>
      <w:tr>
        <w:trPr>
          <w:trHeight w:val="324"/>
        </w:trPr>
        <w:tc>
          <w:tcPr>
            <w:tcW w:w="9460" w:type="dxa"/>
            <w:vAlign w:val="bottom"/>
          </w:tcPr>
          <w:p>
            <w:pPr>
              <w:ind w:left="320"/>
              <w:spacing w:after="0"/>
              <w:rPr>
                <w:sz w:val="20"/>
                <w:szCs w:val="20"/>
                <w:color w:val="auto"/>
              </w:rPr>
            </w:pPr>
            <w:r>
              <w:rPr>
                <w:rFonts w:ascii="Arial" w:cs="Arial" w:eastAsia="Arial" w:hAnsi="Arial"/>
                <w:sz w:val="18"/>
                <w:szCs w:val="18"/>
                <w:color w:val="auto"/>
              </w:rPr>
              <w:t>1.4. RULES OF CONSTRUCTION</w:t>
            </w:r>
          </w:p>
        </w:tc>
        <w:tc>
          <w:tcPr>
            <w:tcW w:w="1500" w:type="dxa"/>
            <w:vAlign w:val="bottom"/>
          </w:tcPr>
          <w:p>
            <w:pPr>
              <w:ind w:left="1320"/>
              <w:spacing w:after="0"/>
              <w:rPr>
                <w:sz w:val="20"/>
                <w:szCs w:val="20"/>
                <w:color w:val="auto"/>
              </w:rPr>
            </w:pPr>
            <w:r>
              <w:rPr>
                <w:rFonts w:ascii="Arial" w:cs="Arial" w:eastAsia="Arial" w:hAnsi="Arial"/>
                <w:sz w:val="18"/>
                <w:szCs w:val="18"/>
                <w:color w:val="auto"/>
              </w:rPr>
              <w:t>6</w:t>
            </w:r>
          </w:p>
        </w:tc>
      </w:tr>
      <w:tr>
        <w:trPr>
          <w:trHeight w:val="324"/>
        </w:trPr>
        <w:tc>
          <w:tcPr>
            <w:tcW w:w="9460" w:type="dxa"/>
            <w:vAlign w:val="bottom"/>
          </w:tcPr>
          <w:p>
            <w:pPr>
              <w:spacing w:after="0"/>
              <w:rPr>
                <w:sz w:val="20"/>
                <w:szCs w:val="20"/>
                <w:color w:val="auto"/>
              </w:rPr>
            </w:pPr>
            <w:r>
              <w:rPr>
                <w:rFonts w:ascii="Arial" w:cs="Arial" w:eastAsia="Arial" w:hAnsi="Arial"/>
                <w:sz w:val="18"/>
                <w:szCs w:val="18"/>
                <w:color w:val="auto"/>
              </w:rPr>
              <w:t>ARTICLE 2 - THE SECURITIES</w:t>
            </w:r>
          </w:p>
        </w:tc>
        <w:tc>
          <w:tcPr>
            <w:tcW w:w="1500" w:type="dxa"/>
            <w:vAlign w:val="bottom"/>
          </w:tcPr>
          <w:p>
            <w:pPr>
              <w:ind w:left="1320"/>
              <w:spacing w:after="0"/>
              <w:rPr>
                <w:sz w:val="20"/>
                <w:szCs w:val="20"/>
                <w:color w:val="auto"/>
              </w:rPr>
            </w:pPr>
            <w:r>
              <w:rPr>
                <w:rFonts w:ascii="Arial" w:cs="Arial" w:eastAsia="Arial" w:hAnsi="Arial"/>
                <w:sz w:val="18"/>
                <w:szCs w:val="18"/>
                <w:color w:val="auto"/>
              </w:rPr>
              <w:t>6</w:t>
            </w:r>
          </w:p>
        </w:tc>
      </w:tr>
      <w:tr>
        <w:trPr>
          <w:trHeight w:val="324"/>
        </w:trPr>
        <w:tc>
          <w:tcPr>
            <w:tcW w:w="9460" w:type="dxa"/>
            <w:vAlign w:val="bottom"/>
          </w:tcPr>
          <w:p>
            <w:pPr>
              <w:ind w:left="320"/>
              <w:spacing w:after="0"/>
              <w:rPr>
                <w:sz w:val="20"/>
                <w:szCs w:val="20"/>
                <w:color w:val="auto"/>
              </w:rPr>
            </w:pPr>
            <w:r>
              <w:rPr>
                <w:rFonts w:ascii="Arial" w:cs="Arial" w:eastAsia="Arial" w:hAnsi="Arial"/>
                <w:sz w:val="18"/>
                <w:szCs w:val="18"/>
                <w:color w:val="auto"/>
              </w:rPr>
              <w:t>2.1. ISSUABLE IN SERIES</w:t>
            </w:r>
          </w:p>
        </w:tc>
        <w:tc>
          <w:tcPr>
            <w:tcW w:w="1500" w:type="dxa"/>
            <w:vAlign w:val="bottom"/>
          </w:tcPr>
          <w:p>
            <w:pPr>
              <w:ind w:left="1320"/>
              <w:spacing w:after="0"/>
              <w:rPr>
                <w:sz w:val="20"/>
                <w:szCs w:val="20"/>
                <w:color w:val="auto"/>
              </w:rPr>
            </w:pPr>
            <w:r>
              <w:rPr>
                <w:rFonts w:ascii="Arial" w:cs="Arial" w:eastAsia="Arial" w:hAnsi="Arial"/>
                <w:sz w:val="18"/>
                <w:szCs w:val="18"/>
                <w:color w:val="auto"/>
              </w:rPr>
              <w:t>6</w:t>
            </w:r>
          </w:p>
        </w:tc>
      </w:tr>
      <w:tr>
        <w:trPr>
          <w:trHeight w:val="324"/>
        </w:trPr>
        <w:tc>
          <w:tcPr>
            <w:tcW w:w="9460" w:type="dxa"/>
            <w:vAlign w:val="bottom"/>
          </w:tcPr>
          <w:p>
            <w:pPr>
              <w:ind w:left="320"/>
              <w:spacing w:after="0"/>
              <w:rPr>
                <w:sz w:val="20"/>
                <w:szCs w:val="20"/>
                <w:color w:val="auto"/>
              </w:rPr>
            </w:pPr>
            <w:r>
              <w:rPr>
                <w:rFonts w:ascii="Arial" w:cs="Arial" w:eastAsia="Arial" w:hAnsi="Arial"/>
                <w:sz w:val="18"/>
                <w:szCs w:val="18"/>
                <w:color w:val="auto"/>
              </w:rPr>
              <w:t>2.2. ESTABLISHMENT OF TERMS OF SERIES OF SECURITIES</w:t>
            </w:r>
          </w:p>
        </w:tc>
        <w:tc>
          <w:tcPr>
            <w:tcW w:w="1500" w:type="dxa"/>
            <w:vAlign w:val="bottom"/>
          </w:tcPr>
          <w:p>
            <w:pPr>
              <w:ind w:left="1320"/>
              <w:spacing w:after="0"/>
              <w:rPr>
                <w:sz w:val="20"/>
                <w:szCs w:val="20"/>
                <w:color w:val="auto"/>
              </w:rPr>
            </w:pPr>
            <w:r>
              <w:rPr>
                <w:rFonts w:ascii="Arial" w:cs="Arial" w:eastAsia="Arial" w:hAnsi="Arial"/>
                <w:sz w:val="18"/>
                <w:szCs w:val="18"/>
                <w:color w:val="auto"/>
              </w:rPr>
              <w:t>6</w:t>
            </w:r>
          </w:p>
        </w:tc>
      </w:tr>
      <w:tr>
        <w:trPr>
          <w:trHeight w:val="324"/>
        </w:trPr>
        <w:tc>
          <w:tcPr>
            <w:tcW w:w="9460" w:type="dxa"/>
            <w:vAlign w:val="bottom"/>
          </w:tcPr>
          <w:p>
            <w:pPr>
              <w:ind w:left="320"/>
              <w:spacing w:after="0"/>
              <w:rPr>
                <w:sz w:val="20"/>
                <w:szCs w:val="20"/>
                <w:color w:val="auto"/>
              </w:rPr>
            </w:pPr>
            <w:r>
              <w:rPr>
                <w:rFonts w:ascii="Arial" w:cs="Arial" w:eastAsia="Arial" w:hAnsi="Arial"/>
                <w:sz w:val="18"/>
                <w:szCs w:val="18"/>
                <w:color w:val="auto"/>
              </w:rPr>
              <w:t>2.3. EXECUTION AND AUTHENTICATION</w:t>
            </w:r>
          </w:p>
        </w:tc>
        <w:tc>
          <w:tcPr>
            <w:tcW w:w="1500" w:type="dxa"/>
            <w:vAlign w:val="bottom"/>
          </w:tcPr>
          <w:p>
            <w:pPr>
              <w:ind w:left="1320"/>
              <w:spacing w:after="0"/>
              <w:rPr>
                <w:sz w:val="20"/>
                <w:szCs w:val="20"/>
                <w:color w:val="auto"/>
              </w:rPr>
            </w:pPr>
            <w:r>
              <w:rPr>
                <w:rFonts w:ascii="Arial" w:cs="Arial" w:eastAsia="Arial" w:hAnsi="Arial"/>
                <w:sz w:val="18"/>
                <w:szCs w:val="18"/>
                <w:color w:val="auto"/>
              </w:rPr>
              <w:t>8</w:t>
            </w:r>
          </w:p>
        </w:tc>
      </w:tr>
      <w:tr>
        <w:trPr>
          <w:trHeight w:val="324"/>
        </w:trPr>
        <w:tc>
          <w:tcPr>
            <w:tcW w:w="9460" w:type="dxa"/>
            <w:vAlign w:val="bottom"/>
          </w:tcPr>
          <w:p>
            <w:pPr>
              <w:ind w:left="320"/>
              <w:spacing w:after="0"/>
              <w:rPr>
                <w:sz w:val="20"/>
                <w:szCs w:val="20"/>
                <w:color w:val="auto"/>
              </w:rPr>
            </w:pPr>
            <w:r>
              <w:rPr>
                <w:rFonts w:ascii="Arial" w:cs="Arial" w:eastAsia="Arial" w:hAnsi="Arial"/>
                <w:sz w:val="18"/>
                <w:szCs w:val="18"/>
                <w:color w:val="auto"/>
              </w:rPr>
              <w:t>2.4. REGISTRAR AND PAYING AGENT</w:t>
            </w:r>
          </w:p>
        </w:tc>
        <w:tc>
          <w:tcPr>
            <w:tcW w:w="1500" w:type="dxa"/>
            <w:vAlign w:val="bottom"/>
          </w:tcPr>
          <w:p>
            <w:pPr>
              <w:ind w:left="1320"/>
              <w:spacing w:after="0"/>
              <w:rPr>
                <w:sz w:val="20"/>
                <w:szCs w:val="20"/>
                <w:color w:val="auto"/>
              </w:rPr>
            </w:pPr>
            <w:r>
              <w:rPr>
                <w:rFonts w:ascii="Arial" w:cs="Arial" w:eastAsia="Arial" w:hAnsi="Arial"/>
                <w:sz w:val="18"/>
                <w:szCs w:val="18"/>
                <w:color w:val="auto"/>
              </w:rPr>
              <w:t>9</w:t>
            </w:r>
          </w:p>
        </w:tc>
      </w:tr>
      <w:tr>
        <w:trPr>
          <w:trHeight w:val="324"/>
        </w:trPr>
        <w:tc>
          <w:tcPr>
            <w:tcW w:w="9460" w:type="dxa"/>
            <w:vAlign w:val="bottom"/>
          </w:tcPr>
          <w:p>
            <w:pPr>
              <w:ind w:left="320"/>
              <w:spacing w:after="0"/>
              <w:rPr>
                <w:sz w:val="20"/>
                <w:szCs w:val="20"/>
                <w:color w:val="auto"/>
              </w:rPr>
            </w:pPr>
            <w:r>
              <w:rPr>
                <w:rFonts w:ascii="Arial" w:cs="Arial" w:eastAsia="Arial" w:hAnsi="Arial"/>
                <w:sz w:val="18"/>
                <w:szCs w:val="18"/>
                <w:color w:val="auto"/>
              </w:rPr>
              <w:t>2.5. PAYING AGENT TO HOLD ASSETS IN TRUST</w:t>
            </w:r>
          </w:p>
        </w:tc>
        <w:tc>
          <w:tcPr>
            <w:tcW w:w="1500" w:type="dxa"/>
            <w:vAlign w:val="bottom"/>
          </w:tcPr>
          <w:p>
            <w:pPr>
              <w:ind w:left="1320"/>
              <w:spacing w:after="0"/>
              <w:rPr>
                <w:sz w:val="20"/>
                <w:szCs w:val="20"/>
                <w:color w:val="auto"/>
              </w:rPr>
            </w:pPr>
            <w:r>
              <w:rPr>
                <w:rFonts w:ascii="Arial" w:cs="Arial" w:eastAsia="Arial" w:hAnsi="Arial"/>
                <w:sz w:val="18"/>
                <w:szCs w:val="18"/>
                <w:color w:val="auto"/>
                <w:w w:val="79"/>
              </w:rPr>
              <w:t>10</w:t>
            </w:r>
          </w:p>
        </w:tc>
      </w:tr>
      <w:tr>
        <w:trPr>
          <w:trHeight w:val="324"/>
        </w:trPr>
        <w:tc>
          <w:tcPr>
            <w:tcW w:w="9460" w:type="dxa"/>
            <w:vAlign w:val="bottom"/>
          </w:tcPr>
          <w:p>
            <w:pPr>
              <w:ind w:left="320"/>
              <w:spacing w:after="0"/>
              <w:rPr>
                <w:sz w:val="20"/>
                <w:szCs w:val="20"/>
                <w:color w:val="auto"/>
              </w:rPr>
            </w:pPr>
            <w:r>
              <w:rPr>
                <w:rFonts w:ascii="Arial" w:cs="Arial" w:eastAsia="Arial" w:hAnsi="Arial"/>
                <w:sz w:val="18"/>
                <w:szCs w:val="18"/>
                <w:color w:val="auto"/>
              </w:rPr>
              <w:t>2.6. SECURITYHOLDER LISTS</w:t>
            </w:r>
          </w:p>
        </w:tc>
        <w:tc>
          <w:tcPr>
            <w:tcW w:w="1500" w:type="dxa"/>
            <w:vAlign w:val="bottom"/>
          </w:tcPr>
          <w:p>
            <w:pPr>
              <w:ind w:left="1320"/>
              <w:spacing w:after="0"/>
              <w:rPr>
                <w:sz w:val="20"/>
                <w:szCs w:val="20"/>
                <w:color w:val="auto"/>
              </w:rPr>
            </w:pPr>
            <w:r>
              <w:rPr>
                <w:rFonts w:ascii="Arial" w:cs="Arial" w:eastAsia="Arial" w:hAnsi="Arial"/>
                <w:sz w:val="18"/>
                <w:szCs w:val="18"/>
                <w:color w:val="auto"/>
                <w:w w:val="79"/>
              </w:rPr>
              <w:t>10</w:t>
            </w:r>
          </w:p>
        </w:tc>
      </w:tr>
      <w:tr>
        <w:trPr>
          <w:trHeight w:val="324"/>
        </w:trPr>
        <w:tc>
          <w:tcPr>
            <w:tcW w:w="9460" w:type="dxa"/>
            <w:vAlign w:val="bottom"/>
          </w:tcPr>
          <w:p>
            <w:pPr>
              <w:ind w:left="320"/>
              <w:spacing w:after="0"/>
              <w:rPr>
                <w:sz w:val="20"/>
                <w:szCs w:val="20"/>
                <w:color w:val="auto"/>
              </w:rPr>
            </w:pPr>
            <w:r>
              <w:rPr>
                <w:rFonts w:ascii="Arial" w:cs="Arial" w:eastAsia="Arial" w:hAnsi="Arial"/>
                <w:sz w:val="18"/>
                <w:szCs w:val="18"/>
                <w:color w:val="auto"/>
              </w:rPr>
              <w:t>2.7. TRANSFER AND EXCHANGE</w:t>
            </w:r>
          </w:p>
        </w:tc>
        <w:tc>
          <w:tcPr>
            <w:tcW w:w="1500" w:type="dxa"/>
            <w:vAlign w:val="bottom"/>
          </w:tcPr>
          <w:p>
            <w:pPr>
              <w:ind w:left="1320"/>
              <w:spacing w:after="0"/>
              <w:rPr>
                <w:sz w:val="20"/>
                <w:szCs w:val="20"/>
                <w:color w:val="auto"/>
              </w:rPr>
            </w:pPr>
            <w:r>
              <w:rPr>
                <w:rFonts w:ascii="Arial" w:cs="Arial" w:eastAsia="Arial" w:hAnsi="Arial"/>
                <w:sz w:val="18"/>
                <w:szCs w:val="18"/>
                <w:color w:val="auto"/>
                <w:w w:val="79"/>
              </w:rPr>
              <w:t>10</w:t>
            </w:r>
          </w:p>
        </w:tc>
      </w:tr>
      <w:tr>
        <w:trPr>
          <w:trHeight w:val="324"/>
        </w:trPr>
        <w:tc>
          <w:tcPr>
            <w:tcW w:w="9460" w:type="dxa"/>
            <w:vAlign w:val="bottom"/>
          </w:tcPr>
          <w:p>
            <w:pPr>
              <w:ind w:left="320"/>
              <w:spacing w:after="0"/>
              <w:rPr>
                <w:sz w:val="20"/>
                <w:szCs w:val="20"/>
                <w:color w:val="auto"/>
              </w:rPr>
            </w:pPr>
            <w:r>
              <w:rPr>
                <w:rFonts w:ascii="Arial" w:cs="Arial" w:eastAsia="Arial" w:hAnsi="Arial"/>
                <w:sz w:val="18"/>
                <w:szCs w:val="18"/>
                <w:color w:val="auto"/>
              </w:rPr>
              <w:t>2.8. REPLACEMENT SECURITIES</w:t>
            </w:r>
          </w:p>
        </w:tc>
        <w:tc>
          <w:tcPr>
            <w:tcW w:w="1500" w:type="dxa"/>
            <w:vAlign w:val="bottom"/>
          </w:tcPr>
          <w:p>
            <w:pPr>
              <w:ind w:left="1320"/>
              <w:spacing w:after="0"/>
              <w:rPr>
                <w:sz w:val="20"/>
                <w:szCs w:val="20"/>
                <w:color w:val="auto"/>
              </w:rPr>
            </w:pPr>
            <w:r>
              <w:rPr>
                <w:rFonts w:ascii="Arial" w:cs="Arial" w:eastAsia="Arial" w:hAnsi="Arial"/>
                <w:sz w:val="18"/>
                <w:szCs w:val="18"/>
                <w:color w:val="auto"/>
                <w:w w:val="79"/>
              </w:rPr>
              <w:t>11</w:t>
            </w:r>
          </w:p>
        </w:tc>
      </w:tr>
      <w:tr>
        <w:trPr>
          <w:trHeight w:val="324"/>
        </w:trPr>
        <w:tc>
          <w:tcPr>
            <w:tcW w:w="9460" w:type="dxa"/>
            <w:vAlign w:val="bottom"/>
          </w:tcPr>
          <w:p>
            <w:pPr>
              <w:ind w:left="320"/>
              <w:spacing w:after="0"/>
              <w:rPr>
                <w:sz w:val="20"/>
                <w:szCs w:val="20"/>
                <w:color w:val="auto"/>
              </w:rPr>
            </w:pPr>
            <w:r>
              <w:rPr>
                <w:rFonts w:ascii="Arial" w:cs="Arial" w:eastAsia="Arial" w:hAnsi="Arial"/>
                <w:sz w:val="18"/>
                <w:szCs w:val="18"/>
                <w:color w:val="auto"/>
              </w:rPr>
              <w:t>2.9. OUTSTANDING SECURITIES</w:t>
            </w:r>
          </w:p>
        </w:tc>
        <w:tc>
          <w:tcPr>
            <w:tcW w:w="1500" w:type="dxa"/>
            <w:vAlign w:val="bottom"/>
          </w:tcPr>
          <w:p>
            <w:pPr>
              <w:ind w:left="1320"/>
              <w:spacing w:after="0"/>
              <w:rPr>
                <w:sz w:val="20"/>
                <w:szCs w:val="20"/>
                <w:color w:val="auto"/>
              </w:rPr>
            </w:pPr>
            <w:r>
              <w:rPr>
                <w:rFonts w:ascii="Arial" w:cs="Arial" w:eastAsia="Arial" w:hAnsi="Arial"/>
                <w:sz w:val="18"/>
                <w:szCs w:val="18"/>
                <w:color w:val="auto"/>
                <w:w w:val="79"/>
              </w:rPr>
              <w:t>11</w:t>
            </w:r>
          </w:p>
        </w:tc>
      </w:tr>
      <w:tr>
        <w:trPr>
          <w:trHeight w:val="324"/>
        </w:trPr>
        <w:tc>
          <w:tcPr>
            <w:tcW w:w="9460" w:type="dxa"/>
            <w:vAlign w:val="bottom"/>
          </w:tcPr>
          <w:p>
            <w:pPr>
              <w:ind w:left="320"/>
              <w:spacing w:after="0"/>
              <w:rPr>
                <w:sz w:val="20"/>
                <w:szCs w:val="20"/>
                <w:color w:val="auto"/>
              </w:rPr>
            </w:pPr>
            <w:r>
              <w:rPr>
                <w:rFonts w:ascii="Arial" w:cs="Arial" w:eastAsia="Arial" w:hAnsi="Arial"/>
                <w:sz w:val="18"/>
                <w:szCs w:val="18"/>
                <w:color w:val="auto"/>
              </w:rPr>
              <w:t>2.10. WHEN TREASURY SECURITIES DISREGARDED; DETERMINATION OF HOLDERS’ ACTION</w:t>
            </w:r>
          </w:p>
        </w:tc>
        <w:tc>
          <w:tcPr>
            <w:tcW w:w="1500" w:type="dxa"/>
            <w:vAlign w:val="bottom"/>
          </w:tcPr>
          <w:p>
            <w:pPr>
              <w:ind w:left="1320"/>
              <w:spacing w:after="0"/>
              <w:rPr>
                <w:sz w:val="20"/>
                <w:szCs w:val="20"/>
                <w:color w:val="auto"/>
              </w:rPr>
            </w:pPr>
            <w:r>
              <w:rPr>
                <w:rFonts w:ascii="Arial" w:cs="Arial" w:eastAsia="Arial" w:hAnsi="Arial"/>
                <w:sz w:val="18"/>
                <w:szCs w:val="18"/>
                <w:color w:val="auto"/>
                <w:w w:val="79"/>
              </w:rPr>
              <w:t>11</w:t>
            </w:r>
          </w:p>
        </w:tc>
      </w:tr>
      <w:tr>
        <w:trPr>
          <w:trHeight w:val="324"/>
        </w:trPr>
        <w:tc>
          <w:tcPr>
            <w:tcW w:w="9460" w:type="dxa"/>
            <w:vAlign w:val="bottom"/>
          </w:tcPr>
          <w:p>
            <w:pPr>
              <w:ind w:left="320"/>
              <w:spacing w:after="0"/>
              <w:rPr>
                <w:sz w:val="20"/>
                <w:szCs w:val="20"/>
                <w:color w:val="auto"/>
              </w:rPr>
            </w:pPr>
            <w:r>
              <w:rPr>
                <w:rFonts w:ascii="Arial" w:cs="Arial" w:eastAsia="Arial" w:hAnsi="Arial"/>
                <w:sz w:val="18"/>
                <w:szCs w:val="18"/>
                <w:color w:val="auto"/>
              </w:rPr>
              <w:t>2.11. TEMPORARY SECURITIES</w:t>
            </w:r>
          </w:p>
        </w:tc>
        <w:tc>
          <w:tcPr>
            <w:tcW w:w="1500" w:type="dxa"/>
            <w:vAlign w:val="bottom"/>
          </w:tcPr>
          <w:p>
            <w:pPr>
              <w:ind w:left="1320"/>
              <w:spacing w:after="0"/>
              <w:rPr>
                <w:sz w:val="20"/>
                <w:szCs w:val="20"/>
                <w:color w:val="auto"/>
              </w:rPr>
            </w:pPr>
            <w:r>
              <w:rPr>
                <w:rFonts w:ascii="Arial" w:cs="Arial" w:eastAsia="Arial" w:hAnsi="Arial"/>
                <w:sz w:val="18"/>
                <w:szCs w:val="18"/>
                <w:color w:val="auto"/>
                <w:w w:val="79"/>
              </w:rPr>
              <w:t>11</w:t>
            </w:r>
          </w:p>
        </w:tc>
      </w:tr>
      <w:tr>
        <w:trPr>
          <w:trHeight w:val="324"/>
        </w:trPr>
        <w:tc>
          <w:tcPr>
            <w:tcW w:w="9460" w:type="dxa"/>
            <w:vAlign w:val="bottom"/>
          </w:tcPr>
          <w:p>
            <w:pPr>
              <w:ind w:left="320"/>
              <w:spacing w:after="0"/>
              <w:rPr>
                <w:sz w:val="20"/>
                <w:szCs w:val="20"/>
                <w:color w:val="auto"/>
              </w:rPr>
            </w:pPr>
            <w:r>
              <w:rPr>
                <w:rFonts w:ascii="Arial" w:cs="Arial" w:eastAsia="Arial" w:hAnsi="Arial"/>
                <w:sz w:val="18"/>
                <w:szCs w:val="18"/>
                <w:color w:val="auto"/>
              </w:rPr>
              <w:t>2.12. CANCELLATION</w:t>
            </w:r>
          </w:p>
        </w:tc>
        <w:tc>
          <w:tcPr>
            <w:tcW w:w="1500" w:type="dxa"/>
            <w:vAlign w:val="bottom"/>
          </w:tcPr>
          <w:p>
            <w:pPr>
              <w:ind w:left="1320"/>
              <w:spacing w:after="0"/>
              <w:rPr>
                <w:sz w:val="20"/>
                <w:szCs w:val="20"/>
                <w:color w:val="auto"/>
              </w:rPr>
            </w:pPr>
            <w:r>
              <w:rPr>
                <w:rFonts w:ascii="Arial" w:cs="Arial" w:eastAsia="Arial" w:hAnsi="Arial"/>
                <w:sz w:val="18"/>
                <w:szCs w:val="18"/>
                <w:color w:val="auto"/>
                <w:w w:val="79"/>
              </w:rPr>
              <w:t>12</w:t>
            </w:r>
          </w:p>
        </w:tc>
      </w:tr>
      <w:tr>
        <w:trPr>
          <w:trHeight w:val="324"/>
        </w:trPr>
        <w:tc>
          <w:tcPr>
            <w:tcW w:w="9460" w:type="dxa"/>
            <w:vAlign w:val="bottom"/>
          </w:tcPr>
          <w:p>
            <w:pPr>
              <w:ind w:left="320"/>
              <w:spacing w:after="0"/>
              <w:rPr>
                <w:sz w:val="20"/>
                <w:szCs w:val="20"/>
                <w:color w:val="auto"/>
              </w:rPr>
            </w:pPr>
            <w:r>
              <w:rPr>
                <w:rFonts w:ascii="Arial" w:cs="Arial" w:eastAsia="Arial" w:hAnsi="Arial"/>
                <w:sz w:val="18"/>
                <w:szCs w:val="18"/>
                <w:color w:val="auto"/>
              </w:rPr>
              <w:t>2.13. PAYMENT OF INTEREST; DEFAULTED INTEREST; COMPUTATION OF INTEREST</w:t>
            </w:r>
          </w:p>
        </w:tc>
        <w:tc>
          <w:tcPr>
            <w:tcW w:w="1500" w:type="dxa"/>
            <w:vAlign w:val="bottom"/>
          </w:tcPr>
          <w:p>
            <w:pPr>
              <w:ind w:left="1320"/>
              <w:spacing w:after="0"/>
              <w:rPr>
                <w:sz w:val="20"/>
                <w:szCs w:val="20"/>
                <w:color w:val="auto"/>
              </w:rPr>
            </w:pPr>
            <w:r>
              <w:rPr>
                <w:rFonts w:ascii="Arial" w:cs="Arial" w:eastAsia="Arial" w:hAnsi="Arial"/>
                <w:sz w:val="18"/>
                <w:szCs w:val="18"/>
                <w:color w:val="auto"/>
                <w:w w:val="79"/>
              </w:rPr>
              <w:t>12</w:t>
            </w:r>
          </w:p>
        </w:tc>
      </w:tr>
      <w:tr>
        <w:trPr>
          <w:trHeight w:val="324"/>
        </w:trPr>
        <w:tc>
          <w:tcPr>
            <w:tcW w:w="9460" w:type="dxa"/>
            <w:vAlign w:val="bottom"/>
          </w:tcPr>
          <w:p>
            <w:pPr>
              <w:ind w:left="320"/>
              <w:spacing w:after="0"/>
              <w:rPr>
                <w:sz w:val="20"/>
                <w:szCs w:val="20"/>
                <w:color w:val="auto"/>
              </w:rPr>
            </w:pPr>
            <w:r>
              <w:rPr>
                <w:rFonts w:ascii="Arial" w:cs="Arial" w:eastAsia="Arial" w:hAnsi="Arial"/>
                <w:sz w:val="18"/>
                <w:szCs w:val="18"/>
                <w:color w:val="auto"/>
              </w:rPr>
              <w:t>2.14. CUSIP NUMBER</w:t>
            </w:r>
          </w:p>
        </w:tc>
        <w:tc>
          <w:tcPr>
            <w:tcW w:w="1500" w:type="dxa"/>
            <w:vAlign w:val="bottom"/>
          </w:tcPr>
          <w:p>
            <w:pPr>
              <w:ind w:left="1320"/>
              <w:spacing w:after="0"/>
              <w:rPr>
                <w:sz w:val="20"/>
                <w:szCs w:val="20"/>
                <w:color w:val="auto"/>
              </w:rPr>
            </w:pPr>
            <w:r>
              <w:rPr>
                <w:rFonts w:ascii="Arial" w:cs="Arial" w:eastAsia="Arial" w:hAnsi="Arial"/>
                <w:sz w:val="18"/>
                <w:szCs w:val="18"/>
                <w:color w:val="auto"/>
                <w:w w:val="79"/>
              </w:rPr>
              <w:t>12</w:t>
            </w:r>
          </w:p>
        </w:tc>
      </w:tr>
      <w:tr>
        <w:trPr>
          <w:trHeight w:val="324"/>
        </w:trPr>
        <w:tc>
          <w:tcPr>
            <w:tcW w:w="9460" w:type="dxa"/>
            <w:vAlign w:val="bottom"/>
          </w:tcPr>
          <w:p>
            <w:pPr>
              <w:ind w:left="320"/>
              <w:spacing w:after="0"/>
              <w:rPr>
                <w:sz w:val="20"/>
                <w:szCs w:val="20"/>
                <w:color w:val="auto"/>
              </w:rPr>
            </w:pPr>
            <w:r>
              <w:rPr>
                <w:rFonts w:ascii="Arial" w:cs="Arial" w:eastAsia="Arial" w:hAnsi="Arial"/>
                <w:sz w:val="18"/>
                <w:szCs w:val="18"/>
                <w:color w:val="auto"/>
              </w:rPr>
              <w:t>2.15. PROVISIONS FOR GLOBAL SECURITIES</w:t>
            </w:r>
          </w:p>
        </w:tc>
        <w:tc>
          <w:tcPr>
            <w:tcW w:w="1500" w:type="dxa"/>
            <w:vAlign w:val="bottom"/>
          </w:tcPr>
          <w:p>
            <w:pPr>
              <w:ind w:left="1320"/>
              <w:spacing w:after="0"/>
              <w:rPr>
                <w:sz w:val="20"/>
                <w:szCs w:val="20"/>
                <w:color w:val="auto"/>
              </w:rPr>
            </w:pPr>
            <w:r>
              <w:rPr>
                <w:rFonts w:ascii="Arial" w:cs="Arial" w:eastAsia="Arial" w:hAnsi="Arial"/>
                <w:sz w:val="18"/>
                <w:szCs w:val="18"/>
                <w:color w:val="auto"/>
                <w:w w:val="79"/>
              </w:rPr>
              <w:t>13</w:t>
            </w:r>
          </w:p>
        </w:tc>
      </w:tr>
      <w:tr>
        <w:trPr>
          <w:trHeight w:val="324"/>
        </w:trPr>
        <w:tc>
          <w:tcPr>
            <w:tcW w:w="9460" w:type="dxa"/>
            <w:vAlign w:val="bottom"/>
          </w:tcPr>
          <w:p>
            <w:pPr>
              <w:ind w:left="320"/>
              <w:spacing w:after="0"/>
              <w:rPr>
                <w:sz w:val="20"/>
                <w:szCs w:val="20"/>
                <w:color w:val="auto"/>
              </w:rPr>
            </w:pPr>
            <w:r>
              <w:rPr>
                <w:rFonts w:ascii="Arial" w:cs="Arial" w:eastAsia="Arial" w:hAnsi="Arial"/>
                <w:sz w:val="18"/>
                <w:szCs w:val="18"/>
                <w:color w:val="auto"/>
              </w:rPr>
              <w:t>2.16. PERSONS DEEMED OWNERS</w:t>
            </w:r>
          </w:p>
        </w:tc>
        <w:tc>
          <w:tcPr>
            <w:tcW w:w="1500" w:type="dxa"/>
            <w:vAlign w:val="bottom"/>
          </w:tcPr>
          <w:p>
            <w:pPr>
              <w:ind w:left="1320"/>
              <w:spacing w:after="0"/>
              <w:rPr>
                <w:sz w:val="20"/>
                <w:szCs w:val="20"/>
                <w:color w:val="auto"/>
              </w:rPr>
            </w:pPr>
            <w:r>
              <w:rPr>
                <w:rFonts w:ascii="Arial" w:cs="Arial" w:eastAsia="Arial" w:hAnsi="Arial"/>
                <w:sz w:val="18"/>
                <w:szCs w:val="18"/>
                <w:color w:val="auto"/>
                <w:w w:val="79"/>
              </w:rPr>
              <w:t>14</w:t>
            </w:r>
          </w:p>
        </w:tc>
      </w:tr>
      <w:tr>
        <w:trPr>
          <w:trHeight w:val="324"/>
        </w:trPr>
        <w:tc>
          <w:tcPr>
            <w:tcW w:w="9460" w:type="dxa"/>
            <w:vAlign w:val="bottom"/>
          </w:tcPr>
          <w:p>
            <w:pPr>
              <w:spacing w:after="0"/>
              <w:rPr>
                <w:sz w:val="20"/>
                <w:szCs w:val="20"/>
                <w:color w:val="auto"/>
              </w:rPr>
            </w:pPr>
            <w:r>
              <w:rPr>
                <w:rFonts w:ascii="Arial" w:cs="Arial" w:eastAsia="Arial" w:hAnsi="Arial"/>
                <w:sz w:val="18"/>
                <w:szCs w:val="18"/>
                <w:color w:val="auto"/>
              </w:rPr>
              <w:t>ARTICLE 3 - REDEMPTION</w:t>
            </w:r>
          </w:p>
        </w:tc>
        <w:tc>
          <w:tcPr>
            <w:tcW w:w="1500" w:type="dxa"/>
            <w:vAlign w:val="bottom"/>
          </w:tcPr>
          <w:p>
            <w:pPr>
              <w:ind w:left="1320"/>
              <w:spacing w:after="0"/>
              <w:rPr>
                <w:sz w:val="20"/>
                <w:szCs w:val="20"/>
                <w:color w:val="auto"/>
              </w:rPr>
            </w:pPr>
            <w:r>
              <w:rPr>
                <w:rFonts w:ascii="Arial" w:cs="Arial" w:eastAsia="Arial" w:hAnsi="Arial"/>
                <w:sz w:val="18"/>
                <w:szCs w:val="18"/>
                <w:color w:val="auto"/>
                <w:w w:val="79"/>
              </w:rPr>
              <w:t>14</w:t>
            </w:r>
          </w:p>
        </w:tc>
      </w:tr>
      <w:tr>
        <w:trPr>
          <w:trHeight w:val="324"/>
        </w:trPr>
        <w:tc>
          <w:tcPr>
            <w:tcW w:w="9460" w:type="dxa"/>
            <w:vAlign w:val="bottom"/>
          </w:tcPr>
          <w:p>
            <w:pPr>
              <w:ind w:left="320"/>
              <w:spacing w:after="0"/>
              <w:rPr>
                <w:sz w:val="20"/>
                <w:szCs w:val="20"/>
                <w:color w:val="auto"/>
              </w:rPr>
            </w:pPr>
            <w:r>
              <w:rPr>
                <w:rFonts w:ascii="Arial" w:cs="Arial" w:eastAsia="Arial" w:hAnsi="Arial"/>
                <w:sz w:val="18"/>
                <w:szCs w:val="18"/>
                <w:color w:val="auto"/>
              </w:rPr>
              <w:t>3.1. NOTICES TO TRUSTEE</w:t>
            </w:r>
          </w:p>
        </w:tc>
        <w:tc>
          <w:tcPr>
            <w:tcW w:w="1500" w:type="dxa"/>
            <w:vAlign w:val="bottom"/>
          </w:tcPr>
          <w:p>
            <w:pPr>
              <w:ind w:left="1320"/>
              <w:spacing w:after="0"/>
              <w:rPr>
                <w:sz w:val="20"/>
                <w:szCs w:val="20"/>
                <w:color w:val="auto"/>
              </w:rPr>
            </w:pPr>
            <w:r>
              <w:rPr>
                <w:rFonts w:ascii="Arial" w:cs="Arial" w:eastAsia="Arial" w:hAnsi="Arial"/>
                <w:sz w:val="18"/>
                <w:szCs w:val="18"/>
                <w:color w:val="auto"/>
                <w:w w:val="79"/>
              </w:rPr>
              <w:t>14</w:t>
            </w:r>
          </w:p>
        </w:tc>
      </w:tr>
      <w:tr>
        <w:trPr>
          <w:trHeight w:val="324"/>
        </w:trPr>
        <w:tc>
          <w:tcPr>
            <w:tcW w:w="9460" w:type="dxa"/>
            <w:vAlign w:val="bottom"/>
          </w:tcPr>
          <w:p>
            <w:pPr>
              <w:ind w:left="320"/>
              <w:spacing w:after="0"/>
              <w:rPr>
                <w:sz w:val="20"/>
                <w:szCs w:val="20"/>
                <w:color w:val="auto"/>
              </w:rPr>
            </w:pPr>
            <w:r>
              <w:rPr>
                <w:rFonts w:ascii="Arial" w:cs="Arial" w:eastAsia="Arial" w:hAnsi="Arial"/>
                <w:sz w:val="18"/>
                <w:szCs w:val="18"/>
                <w:color w:val="auto"/>
              </w:rPr>
              <w:t>3.2. SELECTION BY TRUSTEE OF SECURITIES TO BE REDEEMED</w:t>
            </w:r>
          </w:p>
        </w:tc>
        <w:tc>
          <w:tcPr>
            <w:tcW w:w="1500" w:type="dxa"/>
            <w:vAlign w:val="bottom"/>
          </w:tcPr>
          <w:p>
            <w:pPr>
              <w:ind w:left="1320"/>
              <w:spacing w:after="0"/>
              <w:rPr>
                <w:sz w:val="20"/>
                <w:szCs w:val="20"/>
                <w:color w:val="auto"/>
              </w:rPr>
            </w:pPr>
            <w:r>
              <w:rPr>
                <w:rFonts w:ascii="Arial" w:cs="Arial" w:eastAsia="Arial" w:hAnsi="Arial"/>
                <w:sz w:val="18"/>
                <w:szCs w:val="18"/>
                <w:color w:val="auto"/>
                <w:w w:val="79"/>
              </w:rPr>
              <w:t>14</w:t>
            </w:r>
          </w:p>
        </w:tc>
      </w:tr>
    </w:tbl>
    <w:p>
      <w:pPr>
        <w:ind w:left="1320"/>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7" w:name="page98"/>
    <w:bookmarkEnd w:id="97"/>
    <w:tbl>
      <w:tblPr>
        <w:tblLayout w:type="fixed"/>
        <w:tblInd w:w="0" w:type="dxa"/>
        <w:tblCellMar>
          <w:top w:w="0" w:type="dxa"/>
          <w:left w:w="0" w:type="dxa"/>
          <w:bottom w:w="0" w:type="dxa"/>
          <w:right w:w="0" w:type="dxa"/>
        </w:tblCellMar>
      </w:tblPr>
      <w:tr>
        <w:trPr>
          <w:trHeight w:val="230"/>
        </w:trPr>
        <w:tc>
          <w:tcPr>
            <w:tcW w:w="8500" w:type="dxa"/>
            <w:vAlign w:val="bottom"/>
          </w:tcPr>
          <w:p>
            <w:pPr>
              <w:ind w:left="320"/>
              <w:spacing w:after="0"/>
              <w:rPr>
                <w:sz w:val="20"/>
                <w:szCs w:val="20"/>
                <w:color w:val="auto"/>
              </w:rPr>
            </w:pPr>
            <w:r>
              <w:rPr>
                <w:rFonts w:ascii="Arial" w:cs="Arial" w:eastAsia="Arial" w:hAnsi="Arial"/>
                <w:sz w:val="18"/>
                <w:szCs w:val="18"/>
                <w:color w:val="auto"/>
              </w:rPr>
              <w:t>3.3. NOTICE OF REDEMPTION</w:t>
            </w:r>
          </w:p>
        </w:tc>
        <w:tc>
          <w:tcPr>
            <w:tcW w:w="2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500" w:type="dxa"/>
            <w:vAlign w:val="bottom"/>
          </w:tcPr>
          <w:p>
            <w:pPr>
              <w:ind w:left="320"/>
              <w:spacing w:after="0"/>
              <w:rPr>
                <w:sz w:val="20"/>
                <w:szCs w:val="20"/>
                <w:color w:val="auto"/>
              </w:rPr>
            </w:pPr>
            <w:r>
              <w:rPr>
                <w:rFonts w:ascii="Arial" w:cs="Arial" w:eastAsia="Arial" w:hAnsi="Arial"/>
                <w:sz w:val="18"/>
                <w:szCs w:val="18"/>
                <w:color w:val="auto"/>
              </w:rPr>
              <w:t>3.4. EFFECT OF NOTICE OF REDEMPTION</w:t>
            </w:r>
          </w:p>
        </w:tc>
        <w:tc>
          <w:tcPr>
            <w:tcW w:w="2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500" w:type="dxa"/>
            <w:vAlign w:val="bottom"/>
          </w:tcPr>
          <w:p>
            <w:pPr>
              <w:ind w:left="320"/>
              <w:spacing w:after="0"/>
              <w:rPr>
                <w:sz w:val="20"/>
                <w:szCs w:val="20"/>
                <w:color w:val="auto"/>
              </w:rPr>
            </w:pPr>
            <w:r>
              <w:rPr>
                <w:rFonts w:ascii="Arial" w:cs="Arial" w:eastAsia="Arial" w:hAnsi="Arial"/>
                <w:sz w:val="18"/>
                <w:szCs w:val="18"/>
                <w:color w:val="auto"/>
              </w:rPr>
              <w:t>3.5. DEPOSIT OF REDEMPTION PRICE</w:t>
            </w:r>
          </w:p>
        </w:tc>
        <w:tc>
          <w:tcPr>
            <w:tcW w:w="2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500" w:type="dxa"/>
            <w:vAlign w:val="bottom"/>
          </w:tcPr>
          <w:p>
            <w:pPr>
              <w:ind w:left="320"/>
              <w:spacing w:after="0"/>
              <w:rPr>
                <w:sz w:val="20"/>
                <w:szCs w:val="20"/>
                <w:color w:val="auto"/>
              </w:rPr>
            </w:pPr>
            <w:r>
              <w:rPr>
                <w:rFonts w:ascii="Arial" w:cs="Arial" w:eastAsia="Arial" w:hAnsi="Arial"/>
                <w:sz w:val="18"/>
                <w:szCs w:val="18"/>
                <w:color w:val="auto"/>
              </w:rPr>
              <w:t>3.6. SECURITIES REDEEMED IN PART</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500" w:type="dxa"/>
            <w:vAlign w:val="bottom"/>
          </w:tcPr>
          <w:p>
            <w:pPr>
              <w:spacing w:after="0"/>
              <w:rPr>
                <w:sz w:val="20"/>
                <w:szCs w:val="20"/>
                <w:color w:val="auto"/>
              </w:rPr>
            </w:pPr>
            <w:r>
              <w:rPr>
                <w:rFonts w:ascii="Arial" w:cs="Arial" w:eastAsia="Arial" w:hAnsi="Arial"/>
                <w:sz w:val="18"/>
                <w:szCs w:val="18"/>
                <w:color w:val="auto"/>
              </w:rPr>
              <w:t>ARTICLE 4 - COVENANTS</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500" w:type="dxa"/>
            <w:vAlign w:val="bottom"/>
          </w:tcPr>
          <w:p>
            <w:pPr>
              <w:ind w:left="320"/>
              <w:spacing w:after="0"/>
              <w:rPr>
                <w:sz w:val="20"/>
                <w:szCs w:val="20"/>
                <w:color w:val="auto"/>
              </w:rPr>
            </w:pPr>
            <w:r>
              <w:rPr>
                <w:rFonts w:ascii="Arial" w:cs="Arial" w:eastAsia="Arial" w:hAnsi="Arial"/>
                <w:sz w:val="18"/>
                <w:szCs w:val="18"/>
                <w:color w:val="auto"/>
              </w:rPr>
              <w:t>4.1. PAYMENT OF SECURITIES</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500" w:type="dxa"/>
            <w:vAlign w:val="bottom"/>
          </w:tcPr>
          <w:p>
            <w:pPr>
              <w:ind w:left="320"/>
              <w:spacing w:after="0"/>
              <w:rPr>
                <w:sz w:val="20"/>
                <w:szCs w:val="20"/>
                <w:color w:val="auto"/>
              </w:rPr>
            </w:pPr>
            <w:r>
              <w:rPr>
                <w:rFonts w:ascii="Arial" w:cs="Arial" w:eastAsia="Arial" w:hAnsi="Arial"/>
                <w:sz w:val="18"/>
                <w:szCs w:val="18"/>
                <w:color w:val="auto"/>
              </w:rPr>
              <w:t>4.2. SEC REPORTS</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500" w:type="dxa"/>
            <w:vAlign w:val="bottom"/>
          </w:tcPr>
          <w:p>
            <w:pPr>
              <w:ind w:left="320"/>
              <w:spacing w:after="0"/>
              <w:rPr>
                <w:sz w:val="20"/>
                <w:szCs w:val="20"/>
                <w:color w:val="auto"/>
              </w:rPr>
            </w:pPr>
            <w:r>
              <w:rPr>
                <w:rFonts w:ascii="Arial" w:cs="Arial" w:eastAsia="Arial" w:hAnsi="Arial"/>
                <w:sz w:val="18"/>
                <w:szCs w:val="18"/>
                <w:color w:val="auto"/>
              </w:rPr>
              <w:t>4.3. WAIVER OF STAY, EXTENSION OR USURY LAWS</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500" w:type="dxa"/>
            <w:vAlign w:val="bottom"/>
          </w:tcPr>
          <w:p>
            <w:pPr>
              <w:ind w:left="320"/>
              <w:spacing w:after="0"/>
              <w:rPr>
                <w:sz w:val="20"/>
                <w:szCs w:val="20"/>
                <w:color w:val="auto"/>
              </w:rPr>
            </w:pPr>
            <w:r>
              <w:rPr>
                <w:rFonts w:ascii="Arial" w:cs="Arial" w:eastAsia="Arial" w:hAnsi="Arial"/>
                <w:sz w:val="18"/>
                <w:szCs w:val="18"/>
                <w:color w:val="auto"/>
              </w:rPr>
              <w:t>4.4. COMPLIANCE CERTIFICATE</w:t>
            </w:r>
          </w:p>
        </w:tc>
        <w:tc>
          <w:tcPr>
            <w:tcW w:w="2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8500" w:type="dxa"/>
            <w:vAlign w:val="bottom"/>
          </w:tcPr>
          <w:p>
            <w:pPr>
              <w:ind w:left="320"/>
              <w:spacing w:after="0"/>
              <w:rPr>
                <w:sz w:val="20"/>
                <w:szCs w:val="20"/>
                <w:color w:val="auto"/>
              </w:rPr>
            </w:pPr>
            <w:r>
              <w:rPr>
                <w:rFonts w:ascii="Arial" w:cs="Arial" w:eastAsia="Arial" w:hAnsi="Arial"/>
                <w:sz w:val="18"/>
                <w:szCs w:val="18"/>
                <w:color w:val="auto"/>
              </w:rPr>
              <w:t>4.5. CORPORATE EXISTENCE</w:t>
            </w:r>
          </w:p>
        </w:tc>
        <w:tc>
          <w:tcPr>
            <w:tcW w:w="2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8500" w:type="dxa"/>
            <w:vAlign w:val="bottom"/>
          </w:tcPr>
          <w:p>
            <w:pPr>
              <w:spacing w:after="0"/>
              <w:rPr>
                <w:sz w:val="20"/>
                <w:szCs w:val="20"/>
                <w:color w:val="auto"/>
              </w:rPr>
            </w:pPr>
            <w:r>
              <w:rPr>
                <w:rFonts w:ascii="Arial" w:cs="Arial" w:eastAsia="Arial" w:hAnsi="Arial"/>
                <w:sz w:val="18"/>
                <w:szCs w:val="18"/>
                <w:color w:val="auto"/>
              </w:rPr>
              <w:t>ARTICLE 5 - SUCCESSOR CORPORATION</w:t>
            </w:r>
          </w:p>
        </w:tc>
        <w:tc>
          <w:tcPr>
            <w:tcW w:w="2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8500" w:type="dxa"/>
            <w:vAlign w:val="bottom"/>
          </w:tcPr>
          <w:p>
            <w:pPr>
              <w:ind w:left="320"/>
              <w:spacing w:after="0"/>
              <w:rPr>
                <w:sz w:val="20"/>
                <w:szCs w:val="20"/>
                <w:color w:val="auto"/>
              </w:rPr>
            </w:pPr>
            <w:r>
              <w:rPr>
                <w:rFonts w:ascii="Arial" w:cs="Arial" w:eastAsia="Arial" w:hAnsi="Arial"/>
                <w:sz w:val="18"/>
                <w:szCs w:val="18"/>
                <w:color w:val="auto"/>
              </w:rPr>
              <w:t>5.1. LIMITATION ON CONSOLIDATION, MERGER AND SALE OF ASSETS</w:t>
            </w:r>
          </w:p>
        </w:tc>
        <w:tc>
          <w:tcPr>
            <w:tcW w:w="2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8500" w:type="dxa"/>
            <w:vAlign w:val="bottom"/>
          </w:tcPr>
          <w:p>
            <w:pPr>
              <w:ind w:left="320"/>
              <w:spacing w:after="0"/>
              <w:rPr>
                <w:sz w:val="20"/>
                <w:szCs w:val="20"/>
                <w:color w:val="auto"/>
              </w:rPr>
            </w:pPr>
            <w:r>
              <w:rPr>
                <w:rFonts w:ascii="Arial" w:cs="Arial" w:eastAsia="Arial" w:hAnsi="Arial"/>
                <w:sz w:val="18"/>
                <w:szCs w:val="18"/>
                <w:color w:val="auto"/>
              </w:rPr>
              <w:t>5.2. SUCCESSOR PERSON SUBSTITUTED</w:t>
            </w:r>
          </w:p>
        </w:tc>
        <w:tc>
          <w:tcPr>
            <w:tcW w:w="2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500" w:type="dxa"/>
            <w:vAlign w:val="bottom"/>
          </w:tcPr>
          <w:p>
            <w:pPr>
              <w:spacing w:after="0"/>
              <w:rPr>
                <w:sz w:val="20"/>
                <w:szCs w:val="20"/>
                <w:color w:val="auto"/>
              </w:rPr>
            </w:pPr>
            <w:r>
              <w:rPr>
                <w:rFonts w:ascii="Arial" w:cs="Arial" w:eastAsia="Arial" w:hAnsi="Arial"/>
                <w:sz w:val="18"/>
                <w:szCs w:val="18"/>
                <w:color w:val="auto"/>
              </w:rPr>
              <w:t>ARTICLE 6 - DEFAULTS AND REMEDIES</w:t>
            </w:r>
          </w:p>
        </w:tc>
        <w:tc>
          <w:tcPr>
            <w:tcW w:w="2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500" w:type="dxa"/>
            <w:vAlign w:val="bottom"/>
          </w:tcPr>
          <w:p>
            <w:pPr>
              <w:ind w:left="320"/>
              <w:spacing w:after="0"/>
              <w:rPr>
                <w:sz w:val="20"/>
                <w:szCs w:val="20"/>
                <w:color w:val="auto"/>
              </w:rPr>
            </w:pPr>
            <w:r>
              <w:rPr>
                <w:rFonts w:ascii="Arial" w:cs="Arial" w:eastAsia="Arial" w:hAnsi="Arial"/>
                <w:sz w:val="18"/>
                <w:szCs w:val="18"/>
                <w:color w:val="auto"/>
              </w:rPr>
              <w:t>6.1. EVENTS OF DEFAULT</w:t>
            </w:r>
          </w:p>
        </w:tc>
        <w:tc>
          <w:tcPr>
            <w:tcW w:w="2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500" w:type="dxa"/>
            <w:vAlign w:val="bottom"/>
          </w:tcPr>
          <w:p>
            <w:pPr>
              <w:ind w:left="320"/>
              <w:spacing w:after="0"/>
              <w:rPr>
                <w:sz w:val="20"/>
                <w:szCs w:val="20"/>
                <w:color w:val="auto"/>
              </w:rPr>
            </w:pPr>
            <w:r>
              <w:rPr>
                <w:rFonts w:ascii="Arial" w:cs="Arial" w:eastAsia="Arial" w:hAnsi="Arial"/>
                <w:sz w:val="18"/>
                <w:szCs w:val="18"/>
                <w:color w:val="auto"/>
              </w:rPr>
              <w:t>6.2. ACCELERATION</w:t>
            </w:r>
          </w:p>
        </w:tc>
        <w:tc>
          <w:tcPr>
            <w:tcW w:w="24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8500" w:type="dxa"/>
            <w:vAlign w:val="bottom"/>
          </w:tcPr>
          <w:p>
            <w:pPr>
              <w:ind w:left="320"/>
              <w:spacing w:after="0"/>
              <w:rPr>
                <w:sz w:val="20"/>
                <w:szCs w:val="20"/>
                <w:color w:val="auto"/>
              </w:rPr>
            </w:pPr>
            <w:r>
              <w:rPr>
                <w:rFonts w:ascii="Arial" w:cs="Arial" w:eastAsia="Arial" w:hAnsi="Arial"/>
                <w:sz w:val="18"/>
                <w:szCs w:val="18"/>
                <w:color w:val="auto"/>
              </w:rPr>
              <w:t>6.3. REMEDIES</w:t>
            </w:r>
          </w:p>
        </w:tc>
        <w:tc>
          <w:tcPr>
            <w:tcW w:w="24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8500" w:type="dxa"/>
            <w:vAlign w:val="bottom"/>
          </w:tcPr>
          <w:p>
            <w:pPr>
              <w:ind w:left="320"/>
              <w:spacing w:after="0"/>
              <w:rPr>
                <w:sz w:val="20"/>
                <w:szCs w:val="20"/>
                <w:color w:val="auto"/>
              </w:rPr>
            </w:pPr>
            <w:r>
              <w:rPr>
                <w:rFonts w:ascii="Arial" w:cs="Arial" w:eastAsia="Arial" w:hAnsi="Arial"/>
                <w:sz w:val="18"/>
                <w:szCs w:val="18"/>
                <w:color w:val="auto"/>
              </w:rPr>
              <w:t>6.4. WAIVER OF PAST DEFAULTS AND EVENTS OF DEFAULT</w:t>
            </w: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500" w:type="dxa"/>
            <w:vAlign w:val="bottom"/>
          </w:tcPr>
          <w:p>
            <w:pPr>
              <w:ind w:left="320"/>
              <w:spacing w:after="0"/>
              <w:rPr>
                <w:sz w:val="20"/>
                <w:szCs w:val="20"/>
                <w:color w:val="auto"/>
              </w:rPr>
            </w:pPr>
            <w:r>
              <w:rPr>
                <w:rFonts w:ascii="Arial" w:cs="Arial" w:eastAsia="Arial" w:hAnsi="Arial"/>
                <w:sz w:val="18"/>
                <w:szCs w:val="18"/>
                <w:color w:val="auto"/>
              </w:rPr>
              <w:t>6.5. CONTROL BY MAJORITY</w:t>
            </w: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500" w:type="dxa"/>
            <w:vAlign w:val="bottom"/>
          </w:tcPr>
          <w:p>
            <w:pPr>
              <w:ind w:left="320"/>
              <w:spacing w:after="0"/>
              <w:rPr>
                <w:sz w:val="20"/>
                <w:szCs w:val="20"/>
                <w:color w:val="auto"/>
              </w:rPr>
            </w:pPr>
            <w:r>
              <w:rPr>
                <w:rFonts w:ascii="Arial" w:cs="Arial" w:eastAsia="Arial" w:hAnsi="Arial"/>
                <w:sz w:val="18"/>
                <w:szCs w:val="18"/>
                <w:color w:val="auto"/>
              </w:rPr>
              <w:t>6.6. LIMITATION ON SUITS</w:t>
            </w: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500" w:type="dxa"/>
            <w:vAlign w:val="bottom"/>
          </w:tcPr>
          <w:p>
            <w:pPr>
              <w:ind w:left="320"/>
              <w:spacing w:after="0"/>
              <w:rPr>
                <w:sz w:val="20"/>
                <w:szCs w:val="20"/>
                <w:color w:val="auto"/>
              </w:rPr>
            </w:pPr>
            <w:r>
              <w:rPr>
                <w:rFonts w:ascii="Arial" w:cs="Arial" w:eastAsia="Arial" w:hAnsi="Arial"/>
                <w:sz w:val="18"/>
                <w:szCs w:val="18"/>
                <w:color w:val="auto"/>
              </w:rPr>
              <w:t>6.7. RIGHTS OF HOLDERS TO RECEIVE PAYMENT</w:t>
            </w: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500" w:type="dxa"/>
            <w:vAlign w:val="bottom"/>
          </w:tcPr>
          <w:p>
            <w:pPr>
              <w:ind w:left="320"/>
              <w:spacing w:after="0"/>
              <w:rPr>
                <w:sz w:val="20"/>
                <w:szCs w:val="20"/>
                <w:color w:val="auto"/>
              </w:rPr>
            </w:pPr>
            <w:r>
              <w:rPr>
                <w:rFonts w:ascii="Arial" w:cs="Arial" w:eastAsia="Arial" w:hAnsi="Arial"/>
                <w:sz w:val="18"/>
                <w:szCs w:val="18"/>
                <w:color w:val="auto"/>
              </w:rPr>
              <w:t>6.8. COLLECTION SUIT BY TRUSTEE</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500" w:type="dxa"/>
            <w:vAlign w:val="bottom"/>
          </w:tcPr>
          <w:p>
            <w:pPr>
              <w:ind w:left="320"/>
              <w:spacing w:after="0"/>
              <w:rPr>
                <w:sz w:val="20"/>
                <w:szCs w:val="20"/>
                <w:color w:val="auto"/>
              </w:rPr>
            </w:pPr>
            <w:r>
              <w:rPr>
                <w:rFonts w:ascii="Arial" w:cs="Arial" w:eastAsia="Arial" w:hAnsi="Arial"/>
                <w:sz w:val="18"/>
                <w:szCs w:val="18"/>
                <w:color w:val="auto"/>
              </w:rPr>
              <w:t>6.9. TRUSTEE MAY FILE PROOFS OF CLAIM</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500" w:type="dxa"/>
            <w:vAlign w:val="bottom"/>
          </w:tcPr>
          <w:p>
            <w:pPr>
              <w:ind w:left="320"/>
              <w:spacing w:after="0"/>
              <w:rPr>
                <w:sz w:val="20"/>
                <w:szCs w:val="20"/>
                <w:color w:val="auto"/>
              </w:rPr>
            </w:pPr>
            <w:r>
              <w:rPr>
                <w:rFonts w:ascii="Arial" w:cs="Arial" w:eastAsia="Arial" w:hAnsi="Arial"/>
                <w:sz w:val="18"/>
                <w:szCs w:val="18"/>
                <w:color w:val="auto"/>
              </w:rPr>
              <w:t>6.10. PRIORITIES</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500" w:type="dxa"/>
            <w:vAlign w:val="bottom"/>
          </w:tcPr>
          <w:p>
            <w:pPr>
              <w:ind w:left="320"/>
              <w:spacing w:after="0"/>
              <w:rPr>
                <w:sz w:val="20"/>
                <w:szCs w:val="20"/>
                <w:color w:val="auto"/>
              </w:rPr>
            </w:pPr>
            <w:r>
              <w:rPr>
                <w:rFonts w:ascii="Arial" w:cs="Arial" w:eastAsia="Arial" w:hAnsi="Arial"/>
                <w:sz w:val="18"/>
                <w:szCs w:val="18"/>
                <w:color w:val="auto"/>
              </w:rPr>
              <w:t>6.11. UNDERTAKING FOR COSTS</w:t>
            </w:r>
          </w:p>
        </w:tc>
        <w:tc>
          <w:tcPr>
            <w:tcW w:w="2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500" w:type="dxa"/>
            <w:vAlign w:val="bottom"/>
          </w:tcPr>
          <w:p>
            <w:pPr>
              <w:spacing w:after="0"/>
              <w:rPr>
                <w:sz w:val="20"/>
                <w:szCs w:val="20"/>
                <w:color w:val="auto"/>
              </w:rPr>
            </w:pPr>
            <w:r>
              <w:rPr>
                <w:rFonts w:ascii="Arial" w:cs="Arial" w:eastAsia="Arial" w:hAnsi="Arial"/>
                <w:sz w:val="18"/>
                <w:szCs w:val="18"/>
                <w:color w:val="auto"/>
              </w:rPr>
              <w:t>ARTICLE 7 - TRUSTEE</w:t>
            </w:r>
          </w:p>
        </w:tc>
        <w:tc>
          <w:tcPr>
            <w:tcW w:w="2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500" w:type="dxa"/>
            <w:vAlign w:val="bottom"/>
          </w:tcPr>
          <w:p>
            <w:pPr>
              <w:ind w:left="320"/>
              <w:spacing w:after="0"/>
              <w:rPr>
                <w:sz w:val="20"/>
                <w:szCs w:val="20"/>
                <w:color w:val="auto"/>
              </w:rPr>
            </w:pPr>
            <w:r>
              <w:rPr>
                <w:rFonts w:ascii="Arial" w:cs="Arial" w:eastAsia="Arial" w:hAnsi="Arial"/>
                <w:sz w:val="18"/>
                <w:szCs w:val="18"/>
                <w:color w:val="auto"/>
              </w:rPr>
              <w:t>7.1. DUTIES OF TRUSTEE</w:t>
            </w:r>
          </w:p>
        </w:tc>
        <w:tc>
          <w:tcPr>
            <w:tcW w:w="2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500" w:type="dxa"/>
            <w:vAlign w:val="bottom"/>
          </w:tcPr>
          <w:p>
            <w:pPr>
              <w:ind w:left="320"/>
              <w:spacing w:after="0"/>
              <w:rPr>
                <w:sz w:val="20"/>
                <w:szCs w:val="20"/>
                <w:color w:val="auto"/>
              </w:rPr>
            </w:pPr>
            <w:r>
              <w:rPr>
                <w:rFonts w:ascii="Arial" w:cs="Arial" w:eastAsia="Arial" w:hAnsi="Arial"/>
                <w:sz w:val="18"/>
                <w:szCs w:val="18"/>
                <w:color w:val="auto"/>
              </w:rPr>
              <w:t>7.2. RIGHTS OF TRUSTEE</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bl>
    <w:p>
      <w:pPr>
        <w:jc w:val="right"/>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8" w:name="page99"/>
    <w:bookmarkEnd w:id="98"/>
    <w:tbl>
      <w:tblPr>
        <w:tblLayout w:type="fixed"/>
        <w:tblInd w:w="0" w:type="dxa"/>
        <w:tblCellMar>
          <w:top w:w="0" w:type="dxa"/>
          <w:left w:w="0" w:type="dxa"/>
          <w:bottom w:w="0" w:type="dxa"/>
          <w:right w:w="0" w:type="dxa"/>
        </w:tblCellMar>
      </w:tblPr>
      <w:tr>
        <w:trPr>
          <w:trHeight w:val="230"/>
        </w:trPr>
        <w:tc>
          <w:tcPr>
            <w:tcW w:w="10160" w:type="dxa"/>
            <w:vAlign w:val="bottom"/>
          </w:tcPr>
          <w:p>
            <w:pPr>
              <w:ind w:left="320"/>
              <w:spacing w:after="0"/>
              <w:rPr>
                <w:sz w:val="20"/>
                <w:szCs w:val="20"/>
                <w:color w:val="auto"/>
              </w:rPr>
            </w:pPr>
            <w:r>
              <w:rPr>
                <w:rFonts w:ascii="Arial" w:cs="Arial" w:eastAsia="Arial" w:hAnsi="Arial"/>
                <w:sz w:val="18"/>
                <w:szCs w:val="18"/>
                <w:color w:val="auto"/>
              </w:rPr>
              <w:t>7.3. INDIVIDUAL RIGHTS OF TRUSTEE</w:t>
            </w: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160" w:type="dxa"/>
            <w:vAlign w:val="bottom"/>
          </w:tcPr>
          <w:p>
            <w:pPr>
              <w:ind w:left="320"/>
              <w:spacing w:after="0"/>
              <w:rPr>
                <w:sz w:val="20"/>
                <w:szCs w:val="20"/>
                <w:color w:val="auto"/>
              </w:rPr>
            </w:pPr>
            <w:r>
              <w:rPr>
                <w:rFonts w:ascii="Arial" w:cs="Arial" w:eastAsia="Arial" w:hAnsi="Arial"/>
                <w:sz w:val="18"/>
                <w:szCs w:val="18"/>
                <w:color w:val="auto"/>
              </w:rPr>
              <w:t>7.4. TRUSTEE’S DISCLAIMER</w:t>
            </w: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160" w:type="dxa"/>
            <w:vAlign w:val="bottom"/>
          </w:tcPr>
          <w:p>
            <w:pPr>
              <w:ind w:left="320"/>
              <w:spacing w:after="0"/>
              <w:rPr>
                <w:sz w:val="20"/>
                <w:szCs w:val="20"/>
                <w:color w:val="auto"/>
              </w:rPr>
            </w:pPr>
            <w:r>
              <w:rPr>
                <w:rFonts w:ascii="Arial" w:cs="Arial" w:eastAsia="Arial" w:hAnsi="Arial"/>
                <w:sz w:val="18"/>
                <w:szCs w:val="18"/>
                <w:color w:val="auto"/>
              </w:rPr>
              <w:t>7.5. NOTICE OF DEFAULT</w:t>
            </w: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160" w:type="dxa"/>
            <w:vAlign w:val="bottom"/>
          </w:tcPr>
          <w:p>
            <w:pPr>
              <w:ind w:left="320"/>
              <w:spacing w:after="0"/>
              <w:rPr>
                <w:sz w:val="20"/>
                <w:szCs w:val="20"/>
                <w:color w:val="auto"/>
              </w:rPr>
            </w:pPr>
            <w:r>
              <w:rPr>
                <w:rFonts w:ascii="Arial" w:cs="Arial" w:eastAsia="Arial" w:hAnsi="Arial"/>
                <w:sz w:val="18"/>
                <w:szCs w:val="18"/>
                <w:color w:val="auto"/>
              </w:rPr>
              <w:t>7.6. REPORTS BY TRUSTEE TO HOLDERS</w:t>
            </w: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160" w:type="dxa"/>
            <w:vAlign w:val="bottom"/>
          </w:tcPr>
          <w:p>
            <w:pPr>
              <w:ind w:left="320"/>
              <w:spacing w:after="0"/>
              <w:rPr>
                <w:sz w:val="20"/>
                <w:szCs w:val="20"/>
                <w:color w:val="auto"/>
              </w:rPr>
            </w:pPr>
            <w:r>
              <w:rPr>
                <w:rFonts w:ascii="Arial" w:cs="Arial" w:eastAsia="Arial" w:hAnsi="Arial"/>
                <w:sz w:val="18"/>
                <w:szCs w:val="18"/>
                <w:color w:val="auto"/>
              </w:rPr>
              <w:t>7.7. COMPENSATION AND INDEMNITY</w:t>
            </w: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0160" w:type="dxa"/>
            <w:vAlign w:val="bottom"/>
          </w:tcPr>
          <w:p>
            <w:pPr>
              <w:ind w:left="320"/>
              <w:spacing w:after="0"/>
              <w:rPr>
                <w:sz w:val="20"/>
                <w:szCs w:val="20"/>
                <w:color w:val="auto"/>
              </w:rPr>
            </w:pPr>
            <w:r>
              <w:rPr>
                <w:rFonts w:ascii="Arial" w:cs="Arial" w:eastAsia="Arial" w:hAnsi="Arial"/>
                <w:sz w:val="18"/>
                <w:szCs w:val="18"/>
                <w:color w:val="auto"/>
              </w:rPr>
              <w:t>7.8. REPLACEMENT OF TRUSTEE</w:t>
            </w: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160" w:type="dxa"/>
            <w:vAlign w:val="bottom"/>
          </w:tcPr>
          <w:p>
            <w:pPr>
              <w:ind w:left="320"/>
              <w:spacing w:after="0"/>
              <w:rPr>
                <w:sz w:val="20"/>
                <w:szCs w:val="20"/>
                <w:color w:val="auto"/>
              </w:rPr>
            </w:pPr>
            <w:r>
              <w:rPr>
                <w:rFonts w:ascii="Arial" w:cs="Arial" w:eastAsia="Arial" w:hAnsi="Arial"/>
                <w:sz w:val="18"/>
                <w:szCs w:val="18"/>
                <w:color w:val="auto"/>
              </w:rPr>
              <w:t>7.9. SUCCESSOR TRUSTEE BY CONSOLIDATION, MERGER OR CONVERSION</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160" w:type="dxa"/>
            <w:vAlign w:val="bottom"/>
          </w:tcPr>
          <w:p>
            <w:pPr>
              <w:ind w:left="320"/>
              <w:spacing w:after="0"/>
              <w:rPr>
                <w:sz w:val="20"/>
                <w:szCs w:val="20"/>
                <w:color w:val="auto"/>
              </w:rPr>
            </w:pPr>
            <w:r>
              <w:rPr>
                <w:rFonts w:ascii="Arial" w:cs="Arial" w:eastAsia="Arial" w:hAnsi="Arial"/>
                <w:sz w:val="18"/>
                <w:szCs w:val="18"/>
                <w:color w:val="auto"/>
              </w:rPr>
              <w:t>7.10. ELIGIBILITY; DISQUALIFICATION</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160" w:type="dxa"/>
            <w:vAlign w:val="bottom"/>
          </w:tcPr>
          <w:p>
            <w:pPr>
              <w:ind w:left="320"/>
              <w:spacing w:after="0"/>
              <w:rPr>
                <w:sz w:val="20"/>
                <w:szCs w:val="20"/>
                <w:color w:val="auto"/>
              </w:rPr>
            </w:pPr>
            <w:r>
              <w:rPr>
                <w:rFonts w:ascii="Arial" w:cs="Arial" w:eastAsia="Arial" w:hAnsi="Arial"/>
                <w:sz w:val="18"/>
                <w:szCs w:val="18"/>
                <w:color w:val="auto"/>
              </w:rPr>
              <w:t>7.11. PREFERENTIAL COLLECTION OF CLAIMS AGAINST COMPANY</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160" w:type="dxa"/>
            <w:vAlign w:val="bottom"/>
          </w:tcPr>
          <w:p>
            <w:pPr>
              <w:ind w:left="320"/>
              <w:spacing w:after="0"/>
              <w:rPr>
                <w:sz w:val="20"/>
                <w:szCs w:val="20"/>
                <w:color w:val="auto"/>
              </w:rPr>
            </w:pPr>
            <w:r>
              <w:rPr>
                <w:rFonts w:ascii="Arial" w:cs="Arial" w:eastAsia="Arial" w:hAnsi="Arial"/>
                <w:sz w:val="18"/>
                <w:szCs w:val="18"/>
                <w:color w:val="auto"/>
              </w:rPr>
              <w:t>7.12. PAYING AGENTS</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160" w:type="dxa"/>
            <w:vAlign w:val="bottom"/>
          </w:tcPr>
          <w:p>
            <w:pPr>
              <w:spacing w:after="0"/>
              <w:rPr>
                <w:sz w:val="20"/>
                <w:szCs w:val="20"/>
                <w:color w:val="auto"/>
              </w:rPr>
            </w:pPr>
            <w:r>
              <w:rPr>
                <w:rFonts w:ascii="Arial" w:cs="Arial" w:eastAsia="Arial" w:hAnsi="Arial"/>
                <w:sz w:val="18"/>
                <w:szCs w:val="18"/>
                <w:color w:val="auto"/>
              </w:rPr>
              <w:t>ARTICLE 8 - AMENDMENTS, SUPPLEMENTS AND WAIVERS</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160" w:type="dxa"/>
            <w:vAlign w:val="bottom"/>
          </w:tcPr>
          <w:p>
            <w:pPr>
              <w:ind w:left="320"/>
              <w:spacing w:after="0"/>
              <w:rPr>
                <w:sz w:val="20"/>
                <w:szCs w:val="20"/>
                <w:color w:val="auto"/>
              </w:rPr>
            </w:pPr>
            <w:r>
              <w:rPr>
                <w:rFonts w:ascii="Arial" w:cs="Arial" w:eastAsia="Arial" w:hAnsi="Arial"/>
                <w:sz w:val="18"/>
                <w:szCs w:val="18"/>
                <w:color w:val="auto"/>
              </w:rPr>
              <w:t>8.1. WITHOUT CONSENT OF HOLDERS</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160" w:type="dxa"/>
            <w:vAlign w:val="bottom"/>
          </w:tcPr>
          <w:p>
            <w:pPr>
              <w:ind w:left="320"/>
              <w:spacing w:after="0"/>
              <w:rPr>
                <w:sz w:val="20"/>
                <w:szCs w:val="20"/>
                <w:color w:val="auto"/>
              </w:rPr>
            </w:pPr>
            <w:r>
              <w:rPr>
                <w:rFonts w:ascii="Arial" w:cs="Arial" w:eastAsia="Arial" w:hAnsi="Arial"/>
                <w:sz w:val="18"/>
                <w:szCs w:val="18"/>
                <w:color w:val="auto"/>
              </w:rPr>
              <w:t>8.2. WITH CONSENT OF HOLDERS</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0160" w:type="dxa"/>
            <w:vAlign w:val="bottom"/>
          </w:tcPr>
          <w:p>
            <w:pPr>
              <w:ind w:left="320"/>
              <w:spacing w:after="0"/>
              <w:rPr>
                <w:sz w:val="20"/>
                <w:szCs w:val="20"/>
                <w:color w:val="auto"/>
              </w:rPr>
            </w:pPr>
            <w:r>
              <w:rPr>
                <w:rFonts w:ascii="Arial" w:cs="Arial" w:eastAsia="Arial" w:hAnsi="Arial"/>
                <w:sz w:val="18"/>
                <w:szCs w:val="18"/>
                <w:color w:val="auto"/>
              </w:rPr>
              <w:t>8.3. COMPLIANCE WITH TRUST INDENTURE ACT</w:t>
            </w: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0160" w:type="dxa"/>
            <w:vAlign w:val="bottom"/>
          </w:tcPr>
          <w:p>
            <w:pPr>
              <w:ind w:left="320"/>
              <w:spacing w:after="0"/>
              <w:rPr>
                <w:sz w:val="20"/>
                <w:szCs w:val="20"/>
                <w:color w:val="auto"/>
              </w:rPr>
            </w:pPr>
            <w:r>
              <w:rPr>
                <w:rFonts w:ascii="Arial" w:cs="Arial" w:eastAsia="Arial" w:hAnsi="Arial"/>
                <w:sz w:val="18"/>
                <w:szCs w:val="18"/>
                <w:color w:val="auto"/>
              </w:rPr>
              <w:t>8.4. REVOCATION AND EFFECT OF CONSENTS</w:t>
            </w: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0160" w:type="dxa"/>
            <w:vAlign w:val="bottom"/>
          </w:tcPr>
          <w:p>
            <w:pPr>
              <w:ind w:left="320"/>
              <w:spacing w:after="0"/>
              <w:rPr>
                <w:sz w:val="20"/>
                <w:szCs w:val="20"/>
                <w:color w:val="auto"/>
              </w:rPr>
            </w:pPr>
            <w:r>
              <w:rPr>
                <w:rFonts w:ascii="Arial" w:cs="Arial" w:eastAsia="Arial" w:hAnsi="Arial"/>
                <w:sz w:val="18"/>
                <w:szCs w:val="18"/>
                <w:color w:val="auto"/>
              </w:rPr>
              <w:t>8.5. NOTATION ON OR EXCHANGE OF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0160" w:type="dxa"/>
            <w:vAlign w:val="bottom"/>
          </w:tcPr>
          <w:p>
            <w:pPr>
              <w:ind w:left="320"/>
              <w:spacing w:after="0"/>
              <w:rPr>
                <w:sz w:val="20"/>
                <w:szCs w:val="20"/>
                <w:color w:val="auto"/>
              </w:rPr>
            </w:pPr>
            <w:r>
              <w:rPr>
                <w:rFonts w:ascii="Arial" w:cs="Arial" w:eastAsia="Arial" w:hAnsi="Arial"/>
                <w:sz w:val="18"/>
                <w:szCs w:val="18"/>
                <w:color w:val="auto"/>
              </w:rPr>
              <w:t>8.6. TRUSTEE TO SIGN AMENDMENTS, ETC.</w:t>
            </w: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0160" w:type="dxa"/>
            <w:vAlign w:val="bottom"/>
          </w:tcPr>
          <w:p>
            <w:pPr>
              <w:spacing w:after="0"/>
              <w:rPr>
                <w:sz w:val="20"/>
                <w:szCs w:val="20"/>
                <w:color w:val="auto"/>
              </w:rPr>
            </w:pPr>
            <w:r>
              <w:rPr>
                <w:rFonts w:ascii="Arial" w:cs="Arial" w:eastAsia="Arial" w:hAnsi="Arial"/>
                <w:sz w:val="18"/>
                <w:szCs w:val="18"/>
                <w:color w:val="auto"/>
              </w:rPr>
              <w:t>ARTICLE 9 - DISCHARGE OF INDENTURE; DEFEASANCE</w:t>
            </w: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0160" w:type="dxa"/>
            <w:vAlign w:val="bottom"/>
          </w:tcPr>
          <w:p>
            <w:pPr>
              <w:ind w:left="320"/>
              <w:spacing w:after="0"/>
              <w:rPr>
                <w:sz w:val="20"/>
                <w:szCs w:val="20"/>
                <w:color w:val="auto"/>
              </w:rPr>
            </w:pPr>
            <w:r>
              <w:rPr>
                <w:rFonts w:ascii="Arial" w:cs="Arial" w:eastAsia="Arial" w:hAnsi="Arial"/>
                <w:sz w:val="18"/>
                <w:szCs w:val="18"/>
                <w:color w:val="auto"/>
              </w:rPr>
              <w:t>9.1. DISCHARGE OF INDENTURE</w:t>
            </w: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0160" w:type="dxa"/>
            <w:vAlign w:val="bottom"/>
          </w:tcPr>
          <w:p>
            <w:pPr>
              <w:ind w:left="320"/>
              <w:spacing w:after="0"/>
              <w:rPr>
                <w:sz w:val="20"/>
                <w:szCs w:val="20"/>
                <w:color w:val="auto"/>
              </w:rPr>
            </w:pPr>
            <w:r>
              <w:rPr>
                <w:rFonts w:ascii="Arial" w:cs="Arial" w:eastAsia="Arial" w:hAnsi="Arial"/>
                <w:sz w:val="18"/>
                <w:szCs w:val="18"/>
                <w:color w:val="auto"/>
              </w:rPr>
              <w:t>9.2. LEGAL DEFEASANCE</w:t>
            </w: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0160" w:type="dxa"/>
            <w:vAlign w:val="bottom"/>
          </w:tcPr>
          <w:p>
            <w:pPr>
              <w:ind w:left="320"/>
              <w:spacing w:after="0"/>
              <w:rPr>
                <w:sz w:val="20"/>
                <w:szCs w:val="20"/>
                <w:color w:val="auto"/>
              </w:rPr>
            </w:pPr>
            <w:r>
              <w:rPr>
                <w:rFonts w:ascii="Arial" w:cs="Arial" w:eastAsia="Arial" w:hAnsi="Arial"/>
                <w:sz w:val="18"/>
                <w:szCs w:val="18"/>
                <w:color w:val="auto"/>
              </w:rPr>
              <w:t>9.3. COVENANT DEFEASANCE</w:t>
            </w: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0160" w:type="dxa"/>
            <w:vAlign w:val="bottom"/>
          </w:tcPr>
          <w:p>
            <w:pPr>
              <w:ind w:left="320"/>
              <w:spacing w:after="0"/>
              <w:rPr>
                <w:sz w:val="20"/>
                <w:szCs w:val="20"/>
                <w:color w:val="auto"/>
              </w:rPr>
            </w:pPr>
            <w:r>
              <w:rPr>
                <w:rFonts w:ascii="Arial" w:cs="Arial" w:eastAsia="Arial" w:hAnsi="Arial"/>
                <w:sz w:val="18"/>
                <w:szCs w:val="18"/>
                <w:color w:val="auto"/>
              </w:rPr>
              <w:t>9.4. CONDITIONS TO LEGAL DEFEASANCE OR COVENANT DEFEASANCE</w:t>
            </w: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0"/>
        </w:trPr>
        <w:tc>
          <w:tcPr>
            <w:tcW w:w="10160" w:type="dxa"/>
            <w:vAlign w:val="bottom"/>
          </w:tcPr>
          <w:p>
            <w:pPr>
              <w:ind w:left="320"/>
              <w:spacing w:after="0"/>
              <w:rPr>
                <w:sz w:val="20"/>
                <w:szCs w:val="20"/>
                <w:color w:val="auto"/>
              </w:rPr>
            </w:pPr>
            <w:r>
              <w:rPr>
                <w:rFonts w:ascii="Arial" w:cs="Arial" w:eastAsia="Arial" w:hAnsi="Arial"/>
                <w:sz w:val="18"/>
                <w:szCs w:val="18"/>
                <w:color w:val="auto"/>
              </w:rPr>
              <w:t>9.5. DEPOSITED MONEY AND U.S. AND FOREIGN GOVERNMENT OBLIGATIONS TO BE HELD IN TRUST; OTHER</w:t>
            </w: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0160" w:type="dxa"/>
            <w:vAlign w:val="bottom"/>
          </w:tcPr>
          <w:p>
            <w:pPr>
              <w:ind w:left="500"/>
              <w:spacing w:after="0"/>
              <w:rPr>
                <w:sz w:val="20"/>
                <w:szCs w:val="20"/>
                <w:color w:val="auto"/>
              </w:rPr>
            </w:pPr>
            <w:r>
              <w:rPr>
                <w:rFonts w:ascii="Arial" w:cs="Arial" w:eastAsia="Arial" w:hAnsi="Arial"/>
                <w:sz w:val="18"/>
                <w:szCs w:val="18"/>
                <w:color w:val="auto"/>
              </w:rPr>
              <w:t>MISCELLANEOUS PROVISIONS</w:t>
            </w:r>
          </w:p>
        </w:tc>
        <w:tc>
          <w:tcPr>
            <w:tcW w:w="800" w:type="dxa"/>
            <w:vAlign w:val="bottom"/>
          </w:tcPr>
          <w:p>
            <w:pPr>
              <w:spacing w:after="0"/>
              <w:rPr>
                <w:sz w:val="20"/>
                <w:szCs w:val="20"/>
                <w:color w:val="auto"/>
              </w:rPr>
            </w:pPr>
          </w:p>
        </w:tc>
      </w:tr>
      <w:tr>
        <w:trPr>
          <w:trHeight w:val="324"/>
        </w:trPr>
        <w:tc>
          <w:tcPr>
            <w:tcW w:w="10160" w:type="dxa"/>
            <w:vAlign w:val="bottom"/>
          </w:tcPr>
          <w:p>
            <w:pPr>
              <w:ind w:left="320"/>
              <w:spacing w:after="0"/>
              <w:rPr>
                <w:sz w:val="20"/>
                <w:szCs w:val="20"/>
                <w:color w:val="auto"/>
              </w:rPr>
            </w:pPr>
            <w:r>
              <w:rPr>
                <w:rFonts w:ascii="Arial" w:cs="Arial" w:eastAsia="Arial" w:hAnsi="Arial"/>
                <w:sz w:val="18"/>
                <w:szCs w:val="18"/>
                <w:color w:val="auto"/>
              </w:rPr>
              <w:t>9.6. REINSTATEMENT</w:t>
            </w: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0160" w:type="dxa"/>
            <w:vAlign w:val="bottom"/>
          </w:tcPr>
          <w:p>
            <w:pPr>
              <w:ind w:left="320"/>
              <w:spacing w:after="0"/>
              <w:rPr>
                <w:sz w:val="20"/>
                <w:szCs w:val="20"/>
                <w:color w:val="auto"/>
              </w:rPr>
            </w:pPr>
            <w:r>
              <w:rPr>
                <w:rFonts w:ascii="Arial" w:cs="Arial" w:eastAsia="Arial" w:hAnsi="Arial"/>
                <w:sz w:val="18"/>
                <w:szCs w:val="18"/>
                <w:color w:val="auto"/>
              </w:rPr>
              <w:t>9.7. MONEYS HELD BY PAYING AGENT</w:t>
            </w: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0160" w:type="dxa"/>
            <w:vAlign w:val="bottom"/>
          </w:tcPr>
          <w:p>
            <w:pPr>
              <w:ind w:left="320"/>
              <w:spacing w:after="0"/>
              <w:rPr>
                <w:sz w:val="20"/>
                <w:szCs w:val="20"/>
                <w:color w:val="auto"/>
              </w:rPr>
            </w:pPr>
            <w:r>
              <w:rPr>
                <w:rFonts w:ascii="Arial" w:cs="Arial" w:eastAsia="Arial" w:hAnsi="Arial"/>
                <w:sz w:val="18"/>
                <w:szCs w:val="18"/>
                <w:color w:val="auto"/>
              </w:rPr>
              <w:t>9.8. MONEYS HELD BY TRUSTEE</w:t>
            </w: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0160" w:type="dxa"/>
            <w:vAlign w:val="bottom"/>
          </w:tcPr>
          <w:p>
            <w:pPr>
              <w:spacing w:after="0"/>
              <w:rPr>
                <w:sz w:val="20"/>
                <w:szCs w:val="20"/>
                <w:color w:val="auto"/>
              </w:rPr>
            </w:pPr>
            <w:r>
              <w:rPr>
                <w:rFonts w:ascii="Arial" w:cs="Arial" w:eastAsia="Arial" w:hAnsi="Arial"/>
                <w:sz w:val="18"/>
                <w:szCs w:val="18"/>
                <w:color w:val="auto"/>
              </w:rPr>
              <w:t>ARTICLE 10 - MISCELLANEOUS</w:t>
            </w: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r>
    </w:tbl>
    <w:p>
      <w:pPr>
        <w:jc w:val="right"/>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9" w:name="page100"/>
    <w:bookmarkEnd w:id="99"/>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10.1. TRUST INDENTURE ACT CONTROLS</w:t>
            </w:r>
          </w:p>
        </w:tc>
        <w:tc>
          <w:tcPr>
            <w:tcW w:w="2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8000" w:type="dxa"/>
            <w:vAlign w:val="bottom"/>
          </w:tcPr>
          <w:p>
            <w:pPr>
              <w:spacing w:after="0"/>
              <w:rPr>
                <w:sz w:val="20"/>
                <w:szCs w:val="20"/>
                <w:color w:val="auto"/>
              </w:rPr>
            </w:pPr>
            <w:r>
              <w:rPr>
                <w:rFonts w:ascii="Arial" w:cs="Arial" w:eastAsia="Arial" w:hAnsi="Arial"/>
                <w:sz w:val="18"/>
                <w:szCs w:val="18"/>
                <w:color w:val="auto"/>
              </w:rPr>
              <w:t>10.2. NOTICES</w:t>
            </w:r>
          </w:p>
        </w:tc>
        <w:tc>
          <w:tcPr>
            <w:tcW w:w="2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8000" w:type="dxa"/>
            <w:vAlign w:val="bottom"/>
          </w:tcPr>
          <w:p>
            <w:pPr>
              <w:spacing w:after="0"/>
              <w:rPr>
                <w:sz w:val="20"/>
                <w:szCs w:val="20"/>
                <w:color w:val="auto"/>
              </w:rPr>
            </w:pPr>
            <w:r>
              <w:rPr>
                <w:rFonts w:ascii="Arial" w:cs="Arial" w:eastAsia="Arial" w:hAnsi="Arial"/>
                <w:sz w:val="18"/>
                <w:szCs w:val="18"/>
                <w:color w:val="auto"/>
              </w:rPr>
              <w:t>10.3. COMMUNICATIONS BY HOLDERS WITH OTHER HOLDERS</w:t>
            </w:r>
          </w:p>
        </w:tc>
        <w:tc>
          <w:tcPr>
            <w:tcW w:w="2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8000" w:type="dxa"/>
            <w:vAlign w:val="bottom"/>
          </w:tcPr>
          <w:p>
            <w:pPr>
              <w:spacing w:after="0"/>
              <w:rPr>
                <w:sz w:val="20"/>
                <w:szCs w:val="20"/>
                <w:color w:val="auto"/>
              </w:rPr>
            </w:pPr>
            <w:r>
              <w:rPr>
                <w:rFonts w:ascii="Arial" w:cs="Arial" w:eastAsia="Arial" w:hAnsi="Arial"/>
                <w:sz w:val="18"/>
                <w:szCs w:val="18"/>
                <w:color w:val="auto"/>
              </w:rPr>
              <w:t>10.4. CERTIFICATE AND OPINION AS TO CONDITIONS PRECEDENT</w:t>
            </w:r>
          </w:p>
        </w:tc>
        <w:tc>
          <w:tcPr>
            <w:tcW w:w="2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8000" w:type="dxa"/>
            <w:vAlign w:val="bottom"/>
          </w:tcPr>
          <w:p>
            <w:pPr>
              <w:spacing w:after="0"/>
              <w:rPr>
                <w:sz w:val="20"/>
                <w:szCs w:val="20"/>
                <w:color w:val="auto"/>
              </w:rPr>
            </w:pPr>
            <w:r>
              <w:rPr>
                <w:rFonts w:ascii="Arial" w:cs="Arial" w:eastAsia="Arial" w:hAnsi="Arial"/>
                <w:sz w:val="18"/>
                <w:szCs w:val="18"/>
                <w:color w:val="auto"/>
              </w:rPr>
              <w:t>10.5. STATEMENT REQUIRED IN CERTIFICATE AND OPINION</w:t>
            </w:r>
          </w:p>
        </w:tc>
        <w:tc>
          <w:tcPr>
            <w:tcW w:w="2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8000" w:type="dxa"/>
            <w:vAlign w:val="bottom"/>
          </w:tcPr>
          <w:p>
            <w:pPr>
              <w:spacing w:after="0"/>
              <w:rPr>
                <w:sz w:val="20"/>
                <w:szCs w:val="20"/>
                <w:color w:val="auto"/>
              </w:rPr>
            </w:pPr>
            <w:r>
              <w:rPr>
                <w:rFonts w:ascii="Arial" w:cs="Arial" w:eastAsia="Arial" w:hAnsi="Arial"/>
                <w:sz w:val="18"/>
                <w:szCs w:val="18"/>
                <w:color w:val="auto"/>
              </w:rPr>
              <w:t>10.6. RULES BY TRUSTEE AND AGENTS</w:t>
            </w:r>
          </w:p>
        </w:tc>
        <w:tc>
          <w:tcPr>
            <w:tcW w:w="2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8000" w:type="dxa"/>
            <w:vAlign w:val="bottom"/>
          </w:tcPr>
          <w:p>
            <w:pPr>
              <w:spacing w:after="0"/>
              <w:rPr>
                <w:sz w:val="20"/>
                <w:szCs w:val="20"/>
                <w:color w:val="auto"/>
              </w:rPr>
            </w:pPr>
            <w:r>
              <w:rPr>
                <w:rFonts w:ascii="Arial" w:cs="Arial" w:eastAsia="Arial" w:hAnsi="Arial"/>
                <w:sz w:val="18"/>
                <w:szCs w:val="18"/>
                <w:color w:val="auto"/>
              </w:rPr>
              <w:t>10.7. BUSINESS DAYS; LEGAL HOLIDAYS; PLACE OF PAYMENT</w:t>
            </w:r>
          </w:p>
        </w:tc>
        <w:tc>
          <w:tcPr>
            <w:tcW w:w="2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8000" w:type="dxa"/>
            <w:vAlign w:val="bottom"/>
          </w:tcPr>
          <w:p>
            <w:pPr>
              <w:spacing w:after="0"/>
              <w:rPr>
                <w:sz w:val="20"/>
                <w:szCs w:val="20"/>
                <w:color w:val="auto"/>
              </w:rPr>
            </w:pPr>
            <w:r>
              <w:rPr>
                <w:rFonts w:ascii="Arial" w:cs="Arial" w:eastAsia="Arial" w:hAnsi="Arial"/>
                <w:sz w:val="18"/>
                <w:szCs w:val="18"/>
                <w:color w:val="auto"/>
              </w:rPr>
              <w:t>10.8. GOVERNING LAW</w:t>
            </w:r>
          </w:p>
        </w:tc>
        <w:tc>
          <w:tcPr>
            <w:tcW w:w="2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8000" w:type="dxa"/>
            <w:vAlign w:val="bottom"/>
          </w:tcPr>
          <w:p>
            <w:pPr>
              <w:spacing w:after="0"/>
              <w:rPr>
                <w:sz w:val="20"/>
                <w:szCs w:val="20"/>
                <w:color w:val="auto"/>
              </w:rPr>
            </w:pPr>
            <w:r>
              <w:rPr>
                <w:rFonts w:ascii="Arial" w:cs="Arial" w:eastAsia="Arial" w:hAnsi="Arial"/>
                <w:sz w:val="18"/>
                <w:szCs w:val="18"/>
                <w:color w:val="auto"/>
              </w:rPr>
              <w:t>10.9. NO ADVERSE INTERPRETATION OF OTHER AGREEMENTS</w:t>
            </w:r>
          </w:p>
        </w:tc>
        <w:tc>
          <w:tcPr>
            <w:tcW w:w="26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000" w:type="dxa"/>
            <w:vAlign w:val="bottom"/>
          </w:tcPr>
          <w:p>
            <w:pPr>
              <w:spacing w:after="0"/>
              <w:rPr>
                <w:sz w:val="20"/>
                <w:szCs w:val="20"/>
                <w:color w:val="auto"/>
              </w:rPr>
            </w:pPr>
            <w:r>
              <w:rPr>
                <w:rFonts w:ascii="Arial" w:cs="Arial" w:eastAsia="Arial" w:hAnsi="Arial"/>
                <w:sz w:val="18"/>
                <w:szCs w:val="18"/>
                <w:color w:val="auto"/>
              </w:rPr>
              <w:t>10.10. NO RECOURSE AGAINST OTHERS</w:t>
            </w:r>
          </w:p>
        </w:tc>
        <w:tc>
          <w:tcPr>
            <w:tcW w:w="26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000" w:type="dxa"/>
            <w:vAlign w:val="bottom"/>
          </w:tcPr>
          <w:p>
            <w:pPr>
              <w:spacing w:after="0"/>
              <w:rPr>
                <w:sz w:val="20"/>
                <w:szCs w:val="20"/>
                <w:color w:val="auto"/>
              </w:rPr>
            </w:pPr>
            <w:r>
              <w:rPr>
                <w:rFonts w:ascii="Arial" w:cs="Arial" w:eastAsia="Arial" w:hAnsi="Arial"/>
                <w:sz w:val="18"/>
                <w:szCs w:val="18"/>
                <w:color w:val="auto"/>
              </w:rPr>
              <w:t>10.11. SUCCESSORS</w:t>
            </w:r>
          </w:p>
        </w:tc>
        <w:tc>
          <w:tcPr>
            <w:tcW w:w="26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000" w:type="dxa"/>
            <w:vAlign w:val="bottom"/>
          </w:tcPr>
          <w:p>
            <w:pPr>
              <w:spacing w:after="0"/>
              <w:rPr>
                <w:sz w:val="20"/>
                <w:szCs w:val="20"/>
                <w:color w:val="auto"/>
              </w:rPr>
            </w:pPr>
            <w:r>
              <w:rPr>
                <w:rFonts w:ascii="Arial" w:cs="Arial" w:eastAsia="Arial" w:hAnsi="Arial"/>
                <w:sz w:val="18"/>
                <w:szCs w:val="18"/>
                <w:color w:val="auto"/>
              </w:rPr>
              <w:t>10.12. MULTIPLE COUNTERPARTS</w:t>
            </w:r>
          </w:p>
        </w:tc>
        <w:tc>
          <w:tcPr>
            <w:tcW w:w="26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000" w:type="dxa"/>
            <w:vAlign w:val="bottom"/>
          </w:tcPr>
          <w:p>
            <w:pPr>
              <w:spacing w:after="0"/>
              <w:rPr>
                <w:sz w:val="20"/>
                <w:szCs w:val="20"/>
                <w:color w:val="auto"/>
              </w:rPr>
            </w:pPr>
            <w:r>
              <w:rPr>
                <w:rFonts w:ascii="Arial" w:cs="Arial" w:eastAsia="Arial" w:hAnsi="Arial"/>
                <w:sz w:val="18"/>
                <w:szCs w:val="18"/>
                <w:color w:val="auto"/>
              </w:rPr>
              <w:t>10.13. TABLE OF CONTENTS, HEADINGS, ETC.</w:t>
            </w:r>
          </w:p>
        </w:tc>
        <w:tc>
          <w:tcPr>
            <w:tcW w:w="26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000" w:type="dxa"/>
            <w:vAlign w:val="bottom"/>
          </w:tcPr>
          <w:p>
            <w:pPr>
              <w:spacing w:after="0"/>
              <w:rPr>
                <w:sz w:val="20"/>
                <w:szCs w:val="20"/>
                <w:color w:val="auto"/>
              </w:rPr>
            </w:pPr>
            <w:r>
              <w:rPr>
                <w:rFonts w:ascii="Arial" w:cs="Arial" w:eastAsia="Arial" w:hAnsi="Arial"/>
                <w:sz w:val="18"/>
                <w:szCs w:val="18"/>
                <w:color w:val="auto"/>
              </w:rPr>
              <w:t>10.14. SEVERABILITY</w:t>
            </w:r>
          </w:p>
        </w:tc>
        <w:tc>
          <w:tcPr>
            <w:tcW w:w="26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000" w:type="dxa"/>
            <w:vAlign w:val="bottom"/>
          </w:tcPr>
          <w:p>
            <w:pPr>
              <w:spacing w:after="0"/>
              <w:rPr>
                <w:sz w:val="20"/>
                <w:szCs w:val="20"/>
                <w:color w:val="auto"/>
              </w:rPr>
            </w:pPr>
            <w:r>
              <w:rPr>
                <w:rFonts w:ascii="Arial" w:cs="Arial" w:eastAsia="Arial" w:hAnsi="Arial"/>
                <w:sz w:val="18"/>
                <w:szCs w:val="18"/>
                <w:color w:val="auto"/>
              </w:rPr>
              <w:t>10.15. SECURITIES IN A FOREIGN CURRENCY OR IN EUROS</w:t>
            </w:r>
          </w:p>
        </w:tc>
        <w:tc>
          <w:tcPr>
            <w:tcW w:w="26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000" w:type="dxa"/>
            <w:vAlign w:val="bottom"/>
          </w:tcPr>
          <w:p>
            <w:pPr>
              <w:spacing w:after="0"/>
              <w:rPr>
                <w:sz w:val="20"/>
                <w:szCs w:val="20"/>
                <w:color w:val="auto"/>
              </w:rPr>
            </w:pPr>
            <w:r>
              <w:rPr>
                <w:rFonts w:ascii="Arial" w:cs="Arial" w:eastAsia="Arial" w:hAnsi="Arial"/>
                <w:sz w:val="18"/>
                <w:szCs w:val="18"/>
                <w:color w:val="auto"/>
              </w:rPr>
              <w:t>10.16. JUDGMENT CURRENCY</w:t>
            </w:r>
          </w:p>
        </w:tc>
        <w:tc>
          <w:tcPr>
            <w:tcW w:w="2640" w:type="dxa"/>
            <w:vAlign w:val="bottom"/>
          </w:tcPr>
          <w:p>
            <w:pPr>
              <w:jc w:val="right"/>
              <w:spacing w:after="0"/>
              <w:rPr>
                <w:sz w:val="20"/>
                <w:szCs w:val="20"/>
                <w:color w:val="auto"/>
              </w:rPr>
            </w:pPr>
            <w:r>
              <w:rPr>
                <w:rFonts w:ascii="Arial" w:cs="Arial" w:eastAsia="Arial" w:hAnsi="Arial"/>
                <w:sz w:val="18"/>
                <w:szCs w:val="18"/>
                <w:color w:val="auto"/>
              </w:rPr>
              <w:t>36</w:t>
            </w:r>
          </w:p>
        </w:tc>
      </w:tr>
    </w:tbl>
    <w:p>
      <w:pPr>
        <w:jc w:val="right"/>
        <w:spacing w:after="0"/>
        <w:rPr>
          <w:sz w:val="20"/>
          <w:szCs w:val="20"/>
          <w:color w:val="auto"/>
        </w:rPr>
        <w:sectPr>
          <w:pgSz w:w="11900" w:h="16838" w:orient="portrait"/>
          <w:cols w:equalWidth="0" w:num="1">
            <w:col w:w="10640"/>
          </w:cols>
          <w:pgMar w:left="76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0" w:name="page101"/>
    <w:bookmarkEnd w:id="100"/>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8120" w:type="dxa"/>
            <w:vAlign w:val="bottom"/>
            <w:gridSpan w:val="3"/>
          </w:tcPr>
          <w:p>
            <w:pPr>
              <w:ind w:left="1400"/>
              <w:spacing w:after="0"/>
              <w:rPr>
                <w:sz w:val="20"/>
                <w:szCs w:val="20"/>
                <w:color w:val="auto"/>
              </w:rPr>
            </w:pPr>
            <w:r>
              <w:rPr>
                <w:rFonts w:ascii="Arial" w:cs="Arial" w:eastAsia="Arial" w:hAnsi="Arial"/>
                <w:sz w:val="18"/>
                <w:szCs w:val="18"/>
                <w:b w:val="1"/>
                <w:bCs w:val="1"/>
                <w:color w:val="auto"/>
              </w:rPr>
              <w:t>CROSS-REFERENCE TABLE</w:t>
            </w:r>
          </w:p>
        </w:tc>
      </w:tr>
      <w:tr>
        <w:trPr>
          <w:trHeight w:val="405"/>
        </w:trPr>
        <w:tc>
          <w:tcPr>
            <w:tcW w:w="2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TIA SECTION</w:t>
            </w:r>
          </w:p>
        </w:tc>
        <w:tc>
          <w:tcPr>
            <w:tcW w:w="2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INDENTURE SECTION</w:t>
            </w:r>
          </w:p>
        </w:tc>
      </w:tr>
      <w:tr>
        <w:trPr>
          <w:trHeight w:val="195"/>
        </w:trPr>
        <w:tc>
          <w:tcPr>
            <w:tcW w:w="2900" w:type="dxa"/>
            <w:vAlign w:val="bottom"/>
          </w:tcPr>
          <w:p>
            <w:pPr>
              <w:spacing w:after="0" w:line="195" w:lineRule="exact"/>
              <w:rPr>
                <w:sz w:val="20"/>
                <w:szCs w:val="20"/>
                <w:color w:val="auto"/>
              </w:rPr>
            </w:pPr>
            <w:r>
              <w:rPr>
                <w:rFonts w:ascii="Arial" w:cs="Arial" w:eastAsia="Arial" w:hAnsi="Arial"/>
                <w:sz w:val="18"/>
                <w:szCs w:val="18"/>
                <w:color w:val="auto"/>
              </w:rPr>
              <w:t>310(a)(1)(2)(5)</w:t>
            </w:r>
          </w:p>
        </w:tc>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tcPr>
          <w:p>
            <w:pPr>
              <w:spacing w:after="0" w:line="195" w:lineRule="exact"/>
              <w:rPr>
                <w:sz w:val="20"/>
                <w:szCs w:val="20"/>
                <w:color w:val="auto"/>
              </w:rPr>
            </w:pPr>
            <w:r>
              <w:rPr>
                <w:rFonts w:ascii="Arial" w:cs="Arial" w:eastAsia="Arial" w:hAnsi="Arial"/>
                <w:sz w:val="18"/>
                <w:szCs w:val="18"/>
                <w:color w:val="auto"/>
              </w:rPr>
              <w:t>7.10</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310(a)(3)(4)</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310(b)</w:t>
            </w:r>
          </w:p>
        </w:tc>
        <w:tc>
          <w:tcPr>
            <w:tcW w:w="8120" w:type="dxa"/>
            <w:vAlign w:val="bottom"/>
            <w:gridSpan w:val="3"/>
          </w:tcPr>
          <w:p>
            <w:pPr>
              <w:ind w:left="2840"/>
              <w:spacing w:after="0"/>
              <w:rPr>
                <w:sz w:val="20"/>
                <w:szCs w:val="20"/>
                <w:color w:val="auto"/>
              </w:rPr>
            </w:pPr>
            <w:r>
              <w:rPr>
                <w:rFonts w:ascii="Arial" w:cs="Arial" w:eastAsia="Arial" w:hAnsi="Arial"/>
                <w:sz w:val="18"/>
                <w:szCs w:val="18"/>
                <w:color w:val="auto"/>
              </w:rPr>
              <w:t>7.8; 7.10</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310(c)</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311(a)(b)</w:t>
            </w:r>
          </w:p>
        </w:tc>
        <w:tc>
          <w:tcPr>
            <w:tcW w:w="8120" w:type="dxa"/>
            <w:vAlign w:val="bottom"/>
            <w:gridSpan w:val="3"/>
          </w:tcPr>
          <w:p>
            <w:pPr>
              <w:ind w:left="2840"/>
              <w:spacing w:after="0"/>
              <w:rPr>
                <w:sz w:val="20"/>
                <w:szCs w:val="20"/>
                <w:color w:val="auto"/>
              </w:rPr>
            </w:pPr>
            <w:r>
              <w:rPr>
                <w:rFonts w:ascii="Arial" w:cs="Arial" w:eastAsia="Arial" w:hAnsi="Arial"/>
                <w:sz w:val="18"/>
                <w:szCs w:val="18"/>
                <w:color w:val="auto"/>
              </w:rPr>
              <w:t>7.11</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311(c)</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312(a)</w:t>
            </w:r>
          </w:p>
        </w:tc>
        <w:tc>
          <w:tcPr>
            <w:tcW w:w="8120" w:type="dxa"/>
            <w:vAlign w:val="bottom"/>
            <w:gridSpan w:val="3"/>
          </w:tcPr>
          <w:p>
            <w:pPr>
              <w:ind w:left="2840"/>
              <w:spacing w:after="0"/>
              <w:rPr>
                <w:sz w:val="20"/>
                <w:szCs w:val="20"/>
                <w:color w:val="auto"/>
              </w:rPr>
            </w:pPr>
            <w:r>
              <w:rPr>
                <w:rFonts w:ascii="Arial" w:cs="Arial" w:eastAsia="Arial" w:hAnsi="Arial"/>
                <w:sz w:val="18"/>
                <w:szCs w:val="18"/>
                <w:color w:val="auto"/>
              </w:rPr>
              <w:t>2.6</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312(b)(c)</w:t>
            </w:r>
          </w:p>
        </w:tc>
        <w:tc>
          <w:tcPr>
            <w:tcW w:w="8120" w:type="dxa"/>
            <w:vAlign w:val="bottom"/>
            <w:gridSpan w:val="3"/>
          </w:tcPr>
          <w:p>
            <w:pPr>
              <w:ind w:left="2840"/>
              <w:spacing w:after="0"/>
              <w:rPr>
                <w:sz w:val="20"/>
                <w:szCs w:val="20"/>
                <w:color w:val="auto"/>
              </w:rPr>
            </w:pPr>
            <w:r>
              <w:rPr>
                <w:rFonts w:ascii="Arial" w:cs="Arial" w:eastAsia="Arial" w:hAnsi="Arial"/>
                <w:sz w:val="18"/>
                <w:szCs w:val="18"/>
                <w:color w:val="auto"/>
              </w:rPr>
              <w:t>10.3</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313(a)(b)</w:t>
            </w:r>
          </w:p>
        </w:tc>
        <w:tc>
          <w:tcPr>
            <w:tcW w:w="8120" w:type="dxa"/>
            <w:vAlign w:val="bottom"/>
            <w:gridSpan w:val="3"/>
          </w:tcPr>
          <w:p>
            <w:pPr>
              <w:ind w:left="2840"/>
              <w:spacing w:after="0"/>
              <w:rPr>
                <w:sz w:val="20"/>
                <w:szCs w:val="20"/>
                <w:color w:val="auto"/>
              </w:rPr>
            </w:pPr>
            <w:r>
              <w:rPr>
                <w:rFonts w:ascii="Arial" w:cs="Arial" w:eastAsia="Arial" w:hAnsi="Arial"/>
                <w:sz w:val="18"/>
                <w:szCs w:val="18"/>
                <w:color w:val="auto"/>
              </w:rPr>
              <w:t>7.6</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313(c)</w:t>
            </w:r>
          </w:p>
        </w:tc>
        <w:tc>
          <w:tcPr>
            <w:tcW w:w="8120" w:type="dxa"/>
            <w:vAlign w:val="bottom"/>
            <w:gridSpan w:val="3"/>
          </w:tcPr>
          <w:p>
            <w:pPr>
              <w:ind w:left="2840"/>
              <w:spacing w:after="0"/>
              <w:rPr>
                <w:sz w:val="20"/>
                <w:szCs w:val="20"/>
                <w:color w:val="auto"/>
              </w:rPr>
            </w:pPr>
            <w:r>
              <w:rPr>
                <w:rFonts w:ascii="Arial" w:cs="Arial" w:eastAsia="Arial" w:hAnsi="Arial"/>
                <w:sz w:val="18"/>
                <w:szCs w:val="18"/>
                <w:color w:val="auto"/>
              </w:rPr>
              <w:t>7.6; 10.2</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313(d)</w:t>
            </w:r>
          </w:p>
        </w:tc>
        <w:tc>
          <w:tcPr>
            <w:tcW w:w="8120" w:type="dxa"/>
            <w:vAlign w:val="bottom"/>
            <w:gridSpan w:val="3"/>
          </w:tcPr>
          <w:p>
            <w:pPr>
              <w:ind w:left="2840"/>
              <w:spacing w:after="0"/>
              <w:rPr>
                <w:sz w:val="20"/>
                <w:szCs w:val="20"/>
                <w:color w:val="auto"/>
              </w:rPr>
            </w:pPr>
            <w:r>
              <w:rPr>
                <w:rFonts w:ascii="Arial" w:cs="Arial" w:eastAsia="Arial" w:hAnsi="Arial"/>
                <w:sz w:val="18"/>
                <w:szCs w:val="18"/>
                <w:color w:val="auto"/>
              </w:rPr>
              <w:t>7.6</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314(a)</w:t>
            </w:r>
          </w:p>
        </w:tc>
        <w:tc>
          <w:tcPr>
            <w:tcW w:w="8120" w:type="dxa"/>
            <w:vAlign w:val="bottom"/>
            <w:gridSpan w:val="3"/>
          </w:tcPr>
          <w:p>
            <w:pPr>
              <w:ind w:left="2840"/>
              <w:spacing w:after="0"/>
              <w:rPr>
                <w:sz w:val="20"/>
                <w:szCs w:val="20"/>
                <w:color w:val="auto"/>
              </w:rPr>
            </w:pPr>
            <w:r>
              <w:rPr>
                <w:rFonts w:ascii="Arial" w:cs="Arial" w:eastAsia="Arial" w:hAnsi="Arial"/>
                <w:sz w:val="18"/>
                <w:szCs w:val="18"/>
                <w:color w:val="auto"/>
              </w:rPr>
              <w:t>4.2; 4.4; 10.2</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314(b)</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314(c)(1)(2)</w:t>
            </w:r>
          </w:p>
        </w:tc>
        <w:tc>
          <w:tcPr>
            <w:tcW w:w="8120" w:type="dxa"/>
            <w:vAlign w:val="bottom"/>
            <w:gridSpan w:val="3"/>
          </w:tcPr>
          <w:p>
            <w:pPr>
              <w:ind w:left="2840"/>
              <w:spacing w:after="0"/>
              <w:rPr>
                <w:sz w:val="20"/>
                <w:szCs w:val="20"/>
                <w:color w:val="auto"/>
              </w:rPr>
            </w:pPr>
            <w:r>
              <w:rPr>
                <w:rFonts w:ascii="Arial" w:cs="Arial" w:eastAsia="Arial" w:hAnsi="Arial"/>
                <w:sz w:val="18"/>
                <w:szCs w:val="18"/>
                <w:color w:val="auto"/>
              </w:rPr>
              <w:t>10.4; 10.5</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314(c)(3)</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314(d)</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314(e)</w:t>
            </w:r>
          </w:p>
        </w:tc>
        <w:tc>
          <w:tcPr>
            <w:tcW w:w="8120" w:type="dxa"/>
            <w:vAlign w:val="bottom"/>
            <w:gridSpan w:val="3"/>
          </w:tcPr>
          <w:p>
            <w:pPr>
              <w:ind w:left="2840"/>
              <w:spacing w:after="0"/>
              <w:rPr>
                <w:sz w:val="20"/>
                <w:szCs w:val="20"/>
                <w:color w:val="auto"/>
              </w:rPr>
            </w:pPr>
            <w:r>
              <w:rPr>
                <w:rFonts w:ascii="Arial" w:cs="Arial" w:eastAsia="Arial" w:hAnsi="Arial"/>
                <w:sz w:val="18"/>
                <w:szCs w:val="18"/>
                <w:color w:val="auto"/>
              </w:rPr>
              <w:t>10.5</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314(f)</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315(a)</w:t>
            </w:r>
          </w:p>
        </w:tc>
        <w:tc>
          <w:tcPr>
            <w:tcW w:w="8120" w:type="dxa"/>
            <w:vAlign w:val="bottom"/>
            <w:gridSpan w:val="3"/>
          </w:tcPr>
          <w:p>
            <w:pPr>
              <w:ind w:left="2840"/>
              <w:spacing w:after="0"/>
              <w:rPr>
                <w:sz w:val="20"/>
                <w:szCs w:val="20"/>
                <w:color w:val="auto"/>
              </w:rPr>
            </w:pPr>
            <w:r>
              <w:rPr>
                <w:rFonts w:ascii="Arial" w:cs="Arial" w:eastAsia="Arial" w:hAnsi="Arial"/>
                <w:sz w:val="18"/>
                <w:szCs w:val="18"/>
                <w:color w:val="auto"/>
              </w:rPr>
              <w:t>7.1, 7.2</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315(b)</w:t>
            </w:r>
          </w:p>
        </w:tc>
        <w:tc>
          <w:tcPr>
            <w:tcW w:w="8120" w:type="dxa"/>
            <w:vAlign w:val="bottom"/>
            <w:gridSpan w:val="3"/>
          </w:tcPr>
          <w:p>
            <w:pPr>
              <w:ind w:left="2840"/>
              <w:spacing w:after="0"/>
              <w:rPr>
                <w:sz w:val="20"/>
                <w:szCs w:val="20"/>
                <w:color w:val="auto"/>
              </w:rPr>
            </w:pPr>
            <w:r>
              <w:rPr>
                <w:rFonts w:ascii="Arial" w:cs="Arial" w:eastAsia="Arial" w:hAnsi="Arial"/>
                <w:sz w:val="18"/>
                <w:szCs w:val="18"/>
                <w:color w:val="auto"/>
              </w:rPr>
              <w:t>7.5; 10.2</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315(c)</w:t>
            </w:r>
          </w:p>
        </w:tc>
        <w:tc>
          <w:tcPr>
            <w:tcW w:w="8120" w:type="dxa"/>
            <w:vAlign w:val="bottom"/>
            <w:gridSpan w:val="3"/>
          </w:tcPr>
          <w:p>
            <w:pPr>
              <w:ind w:left="2840"/>
              <w:spacing w:after="0"/>
              <w:rPr>
                <w:sz w:val="20"/>
                <w:szCs w:val="20"/>
                <w:color w:val="auto"/>
              </w:rPr>
            </w:pPr>
            <w:r>
              <w:rPr>
                <w:rFonts w:ascii="Arial" w:cs="Arial" w:eastAsia="Arial" w:hAnsi="Arial"/>
                <w:sz w:val="18"/>
                <w:szCs w:val="18"/>
                <w:color w:val="auto"/>
              </w:rPr>
              <w:t>7.1</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315(d)</w:t>
            </w:r>
          </w:p>
        </w:tc>
        <w:tc>
          <w:tcPr>
            <w:tcW w:w="8120" w:type="dxa"/>
            <w:vAlign w:val="bottom"/>
            <w:gridSpan w:val="3"/>
          </w:tcPr>
          <w:p>
            <w:pPr>
              <w:ind w:left="2840"/>
              <w:spacing w:after="0"/>
              <w:rPr>
                <w:sz w:val="20"/>
                <w:szCs w:val="20"/>
                <w:color w:val="auto"/>
              </w:rPr>
            </w:pPr>
            <w:r>
              <w:rPr>
                <w:rFonts w:ascii="Arial" w:cs="Arial" w:eastAsia="Arial" w:hAnsi="Arial"/>
                <w:sz w:val="18"/>
                <w:szCs w:val="18"/>
                <w:color w:val="auto"/>
              </w:rPr>
              <w:t>7.1; 7.2</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315(e)</w:t>
            </w:r>
          </w:p>
        </w:tc>
        <w:tc>
          <w:tcPr>
            <w:tcW w:w="8120" w:type="dxa"/>
            <w:vAlign w:val="bottom"/>
            <w:gridSpan w:val="3"/>
          </w:tcPr>
          <w:p>
            <w:pPr>
              <w:ind w:left="2840"/>
              <w:spacing w:after="0"/>
              <w:rPr>
                <w:sz w:val="20"/>
                <w:szCs w:val="20"/>
                <w:color w:val="auto"/>
              </w:rPr>
            </w:pPr>
            <w:r>
              <w:rPr>
                <w:rFonts w:ascii="Arial" w:cs="Arial" w:eastAsia="Arial" w:hAnsi="Arial"/>
                <w:sz w:val="18"/>
                <w:szCs w:val="18"/>
                <w:color w:val="auto"/>
              </w:rPr>
              <w:t>6.11</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316(a)(last sentence)</w:t>
            </w:r>
          </w:p>
        </w:tc>
        <w:tc>
          <w:tcPr>
            <w:tcW w:w="8120" w:type="dxa"/>
            <w:vAlign w:val="bottom"/>
            <w:gridSpan w:val="3"/>
          </w:tcPr>
          <w:p>
            <w:pPr>
              <w:ind w:left="2840"/>
              <w:spacing w:after="0"/>
              <w:rPr>
                <w:sz w:val="20"/>
                <w:szCs w:val="20"/>
                <w:color w:val="auto"/>
              </w:rPr>
            </w:pPr>
            <w:r>
              <w:rPr>
                <w:rFonts w:ascii="Arial" w:cs="Arial" w:eastAsia="Arial" w:hAnsi="Arial"/>
                <w:sz w:val="18"/>
                <w:szCs w:val="18"/>
                <w:color w:val="auto"/>
              </w:rPr>
              <w:t>2.10</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316(a)(1)(A)</w:t>
            </w:r>
          </w:p>
        </w:tc>
        <w:tc>
          <w:tcPr>
            <w:tcW w:w="8120" w:type="dxa"/>
            <w:vAlign w:val="bottom"/>
            <w:gridSpan w:val="3"/>
          </w:tcPr>
          <w:p>
            <w:pPr>
              <w:ind w:left="2840"/>
              <w:spacing w:after="0"/>
              <w:rPr>
                <w:sz w:val="20"/>
                <w:szCs w:val="20"/>
                <w:color w:val="auto"/>
              </w:rPr>
            </w:pPr>
            <w:r>
              <w:rPr>
                <w:rFonts w:ascii="Arial" w:cs="Arial" w:eastAsia="Arial" w:hAnsi="Arial"/>
                <w:sz w:val="18"/>
                <w:szCs w:val="18"/>
                <w:color w:val="auto"/>
              </w:rPr>
              <w:t>6.5</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316(a)(1)(B)</w:t>
            </w:r>
          </w:p>
        </w:tc>
        <w:tc>
          <w:tcPr>
            <w:tcW w:w="8120" w:type="dxa"/>
            <w:vAlign w:val="bottom"/>
            <w:gridSpan w:val="3"/>
          </w:tcPr>
          <w:p>
            <w:pPr>
              <w:ind w:left="2840"/>
              <w:spacing w:after="0"/>
              <w:rPr>
                <w:sz w:val="20"/>
                <w:szCs w:val="20"/>
                <w:color w:val="auto"/>
              </w:rPr>
            </w:pPr>
            <w:r>
              <w:rPr>
                <w:rFonts w:ascii="Arial" w:cs="Arial" w:eastAsia="Arial" w:hAnsi="Arial"/>
                <w:sz w:val="18"/>
                <w:szCs w:val="18"/>
                <w:color w:val="auto"/>
              </w:rPr>
              <w:t>6.4</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316(a)(2)</w:t>
            </w:r>
          </w:p>
        </w:tc>
        <w:tc>
          <w:tcPr>
            <w:tcW w:w="8120" w:type="dxa"/>
            <w:vAlign w:val="bottom"/>
            <w:gridSpan w:val="3"/>
          </w:tcPr>
          <w:p>
            <w:pPr>
              <w:ind w:left="2840"/>
              <w:spacing w:after="0"/>
              <w:rPr>
                <w:sz w:val="20"/>
                <w:szCs w:val="20"/>
                <w:color w:val="auto"/>
              </w:rPr>
            </w:pPr>
            <w:r>
              <w:rPr>
                <w:rFonts w:ascii="Arial" w:cs="Arial" w:eastAsia="Arial" w:hAnsi="Arial"/>
                <w:sz w:val="18"/>
                <w:szCs w:val="18"/>
                <w:color w:val="auto"/>
              </w:rPr>
              <w:t>8.2</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316(b)</w:t>
            </w:r>
          </w:p>
        </w:tc>
        <w:tc>
          <w:tcPr>
            <w:tcW w:w="8120" w:type="dxa"/>
            <w:vAlign w:val="bottom"/>
            <w:gridSpan w:val="3"/>
          </w:tcPr>
          <w:p>
            <w:pPr>
              <w:ind w:left="2840"/>
              <w:spacing w:after="0"/>
              <w:rPr>
                <w:sz w:val="20"/>
                <w:szCs w:val="20"/>
                <w:color w:val="auto"/>
              </w:rPr>
            </w:pPr>
            <w:r>
              <w:rPr>
                <w:rFonts w:ascii="Arial" w:cs="Arial" w:eastAsia="Arial" w:hAnsi="Arial"/>
                <w:sz w:val="18"/>
                <w:szCs w:val="18"/>
                <w:color w:val="auto"/>
              </w:rPr>
              <w:t>6.7</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316(c)</w:t>
            </w:r>
          </w:p>
        </w:tc>
        <w:tc>
          <w:tcPr>
            <w:tcW w:w="8120" w:type="dxa"/>
            <w:vAlign w:val="bottom"/>
            <w:gridSpan w:val="3"/>
          </w:tcPr>
          <w:p>
            <w:pPr>
              <w:ind w:left="2840"/>
              <w:spacing w:after="0"/>
              <w:rPr>
                <w:sz w:val="20"/>
                <w:szCs w:val="20"/>
                <w:color w:val="auto"/>
              </w:rPr>
            </w:pPr>
            <w:r>
              <w:rPr>
                <w:rFonts w:ascii="Arial" w:cs="Arial" w:eastAsia="Arial" w:hAnsi="Arial"/>
                <w:sz w:val="18"/>
                <w:szCs w:val="18"/>
                <w:color w:val="auto"/>
              </w:rPr>
              <w:t>8.4</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317(a)(1)</w:t>
            </w:r>
          </w:p>
        </w:tc>
        <w:tc>
          <w:tcPr>
            <w:tcW w:w="8120" w:type="dxa"/>
            <w:vAlign w:val="bottom"/>
            <w:gridSpan w:val="3"/>
          </w:tcPr>
          <w:p>
            <w:pPr>
              <w:ind w:left="2840"/>
              <w:spacing w:after="0"/>
              <w:rPr>
                <w:sz w:val="20"/>
                <w:szCs w:val="20"/>
                <w:color w:val="auto"/>
              </w:rPr>
            </w:pPr>
            <w:r>
              <w:rPr>
                <w:rFonts w:ascii="Arial" w:cs="Arial" w:eastAsia="Arial" w:hAnsi="Arial"/>
                <w:sz w:val="18"/>
                <w:szCs w:val="18"/>
                <w:color w:val="auto"/>
              </w:rPr>
              <w:t>6.8</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317(a)(2)</w:t>
            </w:r>
          </w:p>
        </w:tc>
        <w:tc>
          <w:tcPr>
            <w:tcW w:w="8120" w:type="dxa"/>
            <w:vAlign w:val="bottom"/>
            <w:gridSpan w:val="3"/>
          </w:tcPr>
          <w:p>
            <w:pPr>
              <w:ind w:left="2840"/>
              <w:spacing w:after="0"/>
              <w:rPr>
                <w:sz w:val="20"/>
                <w:szCs w:val="20"/>
                <w:color w:val="auto"/>
              </w:rPr>
            </w:pPr>
            <w:r>
              <w:rPr>
                <w:rFonts w:ascii="Arial" w:cs="Arial" w:eastAsia="Arial" w:hAnsi="Arial"/>
                <w:sz w:val="18"/>
                <w:szCs w:val="18"/>
                <w:color w:val="auto"/>
              </w:rPr>
              <w:t>6.9</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317(b)</w:t>
            </w:r>
          </w:p>
        </w:tc>
        <w:tc>
          <w:tcPr>
            <w:tcW w:w="8120" w:type="dxa"/>
            <w:vAlign w:val="bottom"/>
            <w:gridSpan w:val="3"/>
          </w:tcPr>
          <w:p>
            <w:pPr>
              <w:ind w:left="2840"/>
              <w:spacing w:after="0"/>
              <w:rPr>
                <w:sz w:val="20"/>
                <w:szCs w:val="20"/>
                <w:color w:val="auto"/>
              </w:rPr>
            </w:pPr>
            <w:r>
              <w:rPr>
                <w:rFonts w:ascii="Arial" w:cs="Arial" w:eastAsia="Arial" w:hAnsi="Arial"/>
                <w:sz w:val="18"/>
                <w:szCs w:val="18"/>
                <w:color w:val="auto"/>
              </w:rPr>
              <w:t>2.5; 7.12</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318(a)</w:t>
            </w:r>
          </w:p>
        </w:tc>
        <w:tc>
          <w:tcPr>
            <w:tcW w:w="8120" w:type="dxa"/>
            <w:vAlign w:val="bottom"/>
            <w:gridSpan w:val="3"/>
          </w:tcPr>
          <w:p>
            <w:pPr>
              <w:ind w:left="2840"/>
              <w:spacing w:after="0"/>
              <w:rPr>
                <w:sz w:val="20"/>
                <w:szCs w:val="20"/>
                <w:color w:val="auto"/>
              </w:rPr>
            </w:pPr>
            <w:r>
              <w:rPr>
                <w:rFonts w:ascii="Arial" w:cs="Arial" w:eastAsia="Arial" w:hAnsi="Arial"/>
                <w:sz w:val="18"/>
                <w:szCs w:val="18"/>
                <w:color w:val="auto"/>
              </w:rPr>
              <w:t>10.1</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Note: This Cross-Reference Table shall not, for any purpose, be deemed to be a part of the Indenture.</w:t>
      </w:r>
    </w:p>
    <w:p>
      <w:pPr>
        <w:sectPr>
          <w:pgSz w:w="11900" w:h="16838" w:orient="portrait"/>
          <w:cols w:equalWidth="0" w:num="1">
            <w:col w:w="11020"/>
          </w:cols>
          <w:pgMar w:left="440" w:top="270" w:right="439" w:bottom="1440" w:gutter="0" w:footer="0" w:header="0"/>
        </w:sectPr>
      </w:pPr>
    </w:p>
    <w:bookmarkStart w:id="101" w:name="page102"/>
    <w:bookmarkEnd w:id="101"/>
    <w:p>
      <w:pPr>
        <w:jc w:val="both"/>
        <w:ind w:right="2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dated as of , , by and between AnaptysBio, Inc., a Delaware corporation, as Issuer (the “Company”) and , a organized under the laws of , as Trustee (the “Trustee”).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jc w:val="both"/>
        <w:ind w:right="280" w:firstLine="440"/>
        <w:spacing w:after="0" w:line="311" w:lineRule="auto"/>
        <w:rPr>
          <w:sz w:val="20"/>
          <w:szCs w:val="20"/>
          <w:color w:val="auto"/>
        </w:rPr>
      </w:pPr>
      <w:r>
        <w:rPr>
          <w:rFonts w:ascii="Arial" w:cs="Arial" w:eastAsia="Arial" w:hAnsi="Arial"/>
          <w:sz w:val="16"/>
          <w:szCs w:val="16"/>
          <w:color w:val="auto"/>
        </w:rPr>
        <w:t>The Company has duly authorized the execution and delivery of this Indenture to provide for the issuance from time to time of its debentures, notes or other evidences of indebtedness to be issued in one or more series (the “Securities”), as herein provided, up to such principal amount as may from time to time be authorized in or pursuant to one or more resolutions of the Board of Directors or by supplemental indenture.</w:t>
      </w:r>
    </w:p>
    <w:p>
      <w:pPr>
        <w:spacing w:after="0" w:line="149"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All things necessary to make this Indenture a valid agreement of the Company in accordance with its terms have been done, and the execution and delivery thereof have been in all respects duly authorized by the parties hereto.</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NOW, THEREFORE, THIS INDENTURE WITNESSETH:</w:t>
      </w:r>
    </w:p>
    <w:p>
      <w:pPr>
        <w:spacing w:after="0" w:line="229"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agreed, for the equal and proportionate benefit of all Holders of the Securities of a Series thereof, as follows: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DEFINITIONS.</w:t>
      </w:r>
    </w:p>
    <w:p>
      <w:pPr>
        <w:spacing w:after="0" w:line="121" w:lineRule="exact"/>
        <w:rPr>
          <w:sz w:val="20"/>
          <w:szCs w:val="20"/>
          <w:color w:val="auto"/>
        </w:rPr>
      </w:pPr>
    </w:p>
    <w:p>
      <w:pPr>
        <w:ind w:right="460" w:firstLine="440"/>
        <w:spacing w:after="0" w:line="257" w:lineRule="auto"/>
        <w:rPr>
          <w:sz w:val="20"/>
          <w:szCs w:val="20"/>
          <w:color w:val="auto"/>
        </w:rPr>
      </w:pPr>
      <w:r>
        <w:rPr>
          <w:rFonts w:ascii="Arial" w:cs="Arial" w:eastAsia="Arial" w:hAnsi="Arial"/>
          <w:sz w:val="18"/>
          <w:szCs w:val="18"/>
          <w:color w:val="auto"/>
        </w:rPr>
        <w:t>“Affiliate” of any specified Person means any other Person which, directly or indirectly through one or more intermediaries, controls, or is controlled by or is under common control with, such specified Person. For the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“Agent” means any Registrar, Paying Agent, co-registrar or agent for service of notices and demands.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“Board of Directors” means the Board of Directors of the Company or any committee duly authorized to act therefor.</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“Board Resolution” means a copy of a resolution certified pursuant to an Officers’ Certificate to have been duly adopted by the Board of Directors of the Company and to be in full force and effect on the date of such certification which has been delivered to the Trustee.</w:t>
      </w:r>
    </w:p>
    <w:p>
      <w:pPr>
        <w:spacing w:after="0" w:line="170" w:lineRule="exact"/>
        <w:rPr>
          <w:sz w:val="20"/>
          <w:szCs w:val="20"/>
          <w:color w:val="auto"/>
        </w:rPr>
      </w:pPr>
    </w:p>
    <w:p>
      <w:pPr>
        <w:jc w:val="both"/>
        <w:ind w:right="440" w:firstLine="440"/>
        <w:spacing w:after="0" w:line="263" w:lineRule="auto"/>
        <w:rPr>
          <w:sz w:val="20"/>
          <w:szCs w:val="20"/>
          <w:color w:val="auto"/>
        </w:rPr>
      </w:pPr>
      <w:r>
        <w:rPr>
          <w:rFonts w:ascii="Arial" w:cs="Arial" w:eastAsia="Arial" w:hAnsi="Arial"/>
          <w:sz w:val="18"/>
          <w:szCs w:val="18"/>
          <w:color w:val="auto"/>
        </w:rPr>
        <w:t>“Capital Stock” means, with respect to any Person, any and all shares or other equivalents (however designated) of capital stock, partnership interests or any other participation, right or other interest in the nature of an equity interest in such Person or any option, warrant or other security convertible into any of the foregoing.</w:t>
      </w:r>
    </w:p>
    <w:p>
      <w:pPr>
        <w:spacing w:after="0" w:line="18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“Company” means the party named as such in the first paragraph of this Indenture until a successor replaces such party pursuant to Article 5 of this Indenture, and thereafter means the successor and any other primary obligor on the Securities.</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“Company Order” means a written order signed in the name of the Company by two Officers, one of whom must be its Chief Executive Officer or its Vice President of Finance.</w:t>
      </w:r>
    </w:p>
    <w:p>
      <w:pPr>
        <w:sectPr>
          <w:pgSz w:w="11900" w:h="16838" w:orient="portrait"/>
          <w:cols w:equalWidth="0" w:num="1">
            <w:col w:w="11000"/>
          </w:cols>
          <w:pgMar w:left="440" w:top="274" w:right="459" w:bottom="1440" w:gutter="0" w:footer="0" w:header="0"/>
        </w:sectPr>
      </w:pPr>
    </w:p>
    <w:bookmarkStart w:id="102" w:name="page103"/>
    <w:bookmarkEnd w:id="102"/>
    <w:p>
      <w:pPr>
        <w:ind w:right="60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Request” means any written request signed in the name of the Company by its Chief Executive Officer, its President, any Vice President, its Chief Financial Officer or its Treasurer and attested to by its Secretary or any Assistant Secretary.</w:t>
      </w:r>
    </w:p>
    <w:p>
      <w:pPr>
        <w:spacing w:after="0" w:line="146" w:lineRule="exact"/>
        <w:rPr>
          <w:sz w:val="20"/>
          <w:szCs w:val="20"/>
          <w:color w:val="auto"/>
        </w:rPr>
      </w:pPr>
    </w:p>
    <w:p>
      <w:pPr>
        <w:ind w:right="840" w:firstLine="440"/>
        <w:spacing w:after="0" w:line="277" w:lineRule="auto"/>
        <w:rPr>
          <w:sz w:val="20"/>
          <w:szCs w:val="20"/>
          <w:color w:val="auto"/>
        </w:rPr>
      </w:pPr>
      <w:r>
        <w:rPr>
          <w:rFonts w:ascii="Arial" w:cs="Arial" w:eastAsia="Arial" w:hAnsi="Arial"/>
          <w:sz w:val="18"/>
          <w:szCs w:val="18"/>
          <w:color w:val="auto"/>
        </w:rPr>
        <w:t>“Corporate Trust Office” means the office of the Trustee at which at any particular time its corporate trust business shall be principally administered.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“Default” means any event that is, or that with the passing of time or giving of notice or both would be, an Event of Default.</w:t>
      </w:r>
    </w:p>
    <w:p>
      <w:pPr>
        <w:spacing w:after="0" w:line="225"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“Depository” means, with respect to the Securities of any Series issuable or issued in whole or in part in the form of one or more Global Securities, the Person designated as Depository for such Series by the Company, which Depository shall be a clearing agency registered under the Exchange Act, until a successor Depository shall have become such pursuant to the applicable provisions of this Indenture, and thereafter “Depository” shall mean each Person who is then a Depository hereunder, and if at any time there is more than one such Person, such Persons.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“Dollars” means the currency of the United States of America.</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“Euro” means the single currency of participating member states of the economic and monetary union as contemplated in the Treaty on European Union.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Currency” means any currency or currency unit issued by a government other than the government of the United States of America.</w:t>
      </w:r>
    </w:p>
    <w:p>
      <w:pPr>
        <w:spacing w:after="0" w:line="24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“Foreign Government Obligations” means, with respect to Securities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and (ii), are not callable or redeemable at the option of the issuer thereof.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“GAAP” means generally accepted accounting principles consistently applied as in effect in the United States of America from time to time.</w:t>
      </w:r>
    </w:p>
    <w:p>
      <w:pPr>
        <w:spacing w:after="0" w:line="23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“Global Security” or “Global Securities” means a Security or Securities, as the case may be, in the form established pursuant to Section 2.2, evidencing all or part of a Series of Securities issued to the Depository for such Series or its nominee, and registered in the name of such Depository or nominee, and bearing the legend set forth in Section 2.15(c) (or such other legend(s) as may be applied to such Securities in accordance with Section 2.2(24)).</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“Holder” or “Securityholder” means the Person in whose name a Security is registered on the Registrar’s books.</w:t>
      </w:r>
    </w:p>
    <w:p>
      <w:pPr>
        <w:spacing w:after="0" w:line="22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“Indebtedness” means (without duplication), with respect to any Person, any indebtedness at any time outstanding, secured or unsecured, contingent or otherwise, which is for borrowed money (whether or not the recourse of the lender is to the whole of the assets of such Person or only to a portion thereof), or evidenced by bonds, notes, debentures or similar instruments, or representing the balance deferred and unpaid of the purchase price of any property (excluding any balances that constitute accounts payable or trade payables, and other accrued liabilities arising in the ordinary course of business), if and to the extent any of the foregoing</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 would appear as a liability upon a balance sheet of such Person prepared in accordance with GAAP.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“Indenture” means this Indenture as amended, restated or supplemented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“Interest Payment Date,” when used with respect to any Security, means the Stated Maturity of an installment of interest on such Security.</w:t>
      </w:r>
    </w:p>
    <w:p>
      <w:pPr>
        <w:spacing w:after="0" w:line="237"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“Lien” means, with respect to any property or assets of any Person, any mortgage or deed of trust, pledge, hypothecation, assignment, deposit arrangement, security interest, lien, charge, easement, encumbrance, preference, priority or other security agreement or preferential arrangement of any kind or nature whatsoever on or with respect to such property or assets (including, without limitation, any capitalized lease obligation, conditional sales or other title retention agreement having substantially the same economic effect as any of the foregoing).</w:t>
      </w:r>
    </w:p>
    <w:p>
      <w:pPr>
        <w:spacing w:after="0" w:line="171"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“Maturity,” when used with respect to any Security, means the date on which the principal of such Security, or an installment of principal, becomes due and payable as therein or herein provided, whether at the Stated Maturity or by declaration of acceleration, call for redemption, notice of option to elect payment or otherwise.</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“Officer” means the Chief Executive Officer, the President, any Vice President, the Chief Financial Officer, the Treasurer or the Secretary of the Company, or any other officer designated by the Board of Directors, as the case may be.</w:t>
      </w:r>
    </w:p>
    <w:p>
      <w:pPr>
        <w:spacing w:after="0" w:line="170" w:lineRule="exact"/>
        <w:rPr>
          <w:sz w:val="20"/>
          <w:szCs w:val="20"/>
          <w:color w:val="auto"/>
        </w:rPr>
      </w:pPr>
    </w:p>
    <w:p>
      <w:pPr>
        <w:jc w:val="both"/>
        <w:ind w:firstLine="440"/>
        <w:spacing w:after="0" w:line="342" w:lineRule="auto"/>
        <w:rPr>
          <w:sz w:val="20"/>
          <w:szCs w:val="20"/>
          <w:color w:val="auto"/>
        </w:rPr>
      </w:pPr>
      <w:r>
        <w:rPr>
          <w:rFonts w:ascii="Arial" w:cs="Arial" w:eastAsia="Arial" w:hAnsi="Arial"/>
          <w:sz w:val="16"/>
          <w:szCs w:val="16"/>
          <w:color w:val="auto"/>
        </w:rPr>
        <w:t>“Officers’ Certificate” means, with respect to any Person, a certificate signed by the Chairman, Chief Executive Officer, President or any Senior or Executive Vice President and the Chief Financial Officer or any Treasurer of such Person, that shall comply with applicable provisions of this Indenture.</w:t>
      </w:r>
    </w:p>
    <w:p>
      <w:pPr>
        <w:spacing w:after="0" w:line="12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“Opinion of Counsel” means a written opinion from legal counsel, which counsel is reasonably acceptable to the Trustee. The counsel may be an employee of or counsel to the Company.</w:t>
      </w:r>
    </w:p>
    <w:p>
      <w:pPr>
        <w:spacing w:after="0" w:line="170"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 venture, association, joint-stock company, trust, unincorporated organization or government (including any agency or political subdivision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“Redemption Date,” when used with respect to any Security to be redeemed, means the date fixed for such redemption pursuant to this Indenture.</w:t>
      </w:r>
    </w:p>
    <w:p>
      <w:pPr>
        <w:spacing w:after="0" w:line="248"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“Responsible Officer,” when used with respect to the Trustee, means any officer within the corporate trust department or division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8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“SEC” means the United States Securities and Exchange Commission as constituted from time to time, or any successor performing substantially the same functions.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“Securities” means the securities that are issued under this Indenture, as amended or supplemented from time to time pursuant to this Indenture.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“Securities Act” means the Securities Act of 1933, as amended.</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“Series” or “Series of Securities” means each series of debentures, notes or other debt instruments of the Company created pursuant to Sections 2.1 and 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04" w:name="page105"/>
    <w:bookmarkEnd w:id="104"/>
    <w:p>
      <w:pPr>
        <w:ind w:right="8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“Significant Subsidiary” means (i) any direct or indirect Subsidiary of the Company that would be a “significant subsidiary” as defined in Article 1, Rule 1-02 of Regulation S-X, promulgated pursuant to the Securities Act, as such regulation is in effect on the date hereof, or (ii) any group of direct or indirect Subsidiaries of the Company that, taken together as a group, would be a “significant subsidiary” as defined in Article 1, Rule 1-02 of Regulation S-X, promulgated pursuant to the Securities Act, as such regulation is in effect on the date hereof.</w:t>
      </w:r>
    </w:p>
    <w:p>
      <w:pPr>
        <w:spacing w:after="0" w:line="171"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 and when used with respect to any other Indebtedness, means the date specified in the instrument governing such Indebtedness as the fixed date on which the principal of such Indebtedness, or any installment of interest thereon, is due and payable.</w:t>
      </w:r>
    </w:p>
    <w:p>
      <w:pPr>
        <w:spacing w:after="0" w:line="18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“Subsidiary” of any specified Person means any corporation, limited liability company, partnership, joint venture, association or other business entity, whether now existing or hereafter organized or acquired, (i) in the case of a corporation, of which more than 50% of the total voting power of the Capital Stock entitled (without regard to the occurrence of any contingency) to vote in the election of directors thereof is held, directly or indirectly, by such Person or any of its Subsidiaries; or (ii) in the case of a partnership, joint venture, association or other business entity, with respect to which such Person or any of its Subsidiaries has the power to direct or cause the direction of the management and policies of such entity by contract or otherwise, or if in accordance with GAAP such entity is consolidated with such Person for financial statement purposes.</w:t>
      </w:r>
    </w:p>
    <w:p>
      <w:pPr>
        <w:spacing w:after="0" w:line="16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“TIA” means the Trust Indenture Act of 1939 (15 U.S. Code Section 77aaa-77bbbb) as in effect on the date of this Indenture (except as provided in Section 8.3).</w:t>
      </w:r>
    </w:p>
    <w:p>
      <w:pPr>
        <w:spacing w:after="0" w:line="170"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“Trustee” means the party named as such in this Indenture until a successor replaces it pursuant to this Indenture, and thereafter means the successor, and if at any time there is more than one such Person, “Trustee” as used with respect to the Securities of any Series shall mean the Trustee with respect to Securities of that Series.</w:t>
      </w:r>
    </w:p>
    <w:p>
      <w:pPr>
        <w:spacing w:after="0" w:line="18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“U.S. Government Obligations” means direct non-callable obligations of, or non-callable obligations guaranteed by, the United States of America for the payment of which obligation or guarantee the full faith and credit of the United States of America is pledged.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definitions of the following terms may be found in the sections indicated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60" w:type="dxa"/>
            <w:vAlign w:val="bottom"/>
          </w:tcPr>
          <w:p>
            <w:pPr>
              <w:spacing w:after="0"/>
              <w:rPr>
                <w:sz w:val="20"/>
                <w:szCs w:val="20"/>
                <w:color w:val="auto"/>
              </w:rPr>
            </w:pPr>
            <w:r>
              <w:rPr>
                <w:rFonts w:ascii="Arial" w:cs="Arial" w:eastAsia="Arial" w:hAnsi="Arial"/>
                <w:sz w:val="12"/>
                <w:szCs w:val="12"/>
                <w:b w:val="1"/>
                <w:bCs w:val="1"/>
                <w:color w:val="auto"/>
                <w:w w:val="99"/>
              </w:rPr>
              <w:t>TERM</w:t>
            </w:r>
          </w:p>
        </w:tc>
        <w:tc>
          <w:tcPr>
            <w:tcW w:w="3220" w:type="dxa"/>
            <w:vAlign w:val="bottom"/>
          </w:tcPr>
          <w:p>
            <w:pPr>
              <w:spacing w:after="0"/>
              <w:rPr>
                <w:sz w:val="12"/>
                <w:szCs w:val="12"/>
                <w:color w:val="auto"/>
              </w:rPr>
            </w:pPr>
          </w:p>
        </w:tc>
        <w:tc>
          <w:tcPr>
            <w:tcW w:w="3440" w:type="dxa"/>
            <w:vAlign w:val="bottom"/>
            <w:gridSpan w:val="2"/>
          </w:tcPr>
          <w:p>
            <w:pPr>
              <w:ind w:left="2160"/>
              <w:spacing w:after="0"/>
              <w:rPr>
                <w:sz w:val="20"/>
                <w:szCs w:val="20"/>
                <w:color w:val="auto"/>
              </w:rPr>
            </w:pPr>
            <w:r>
              <w:rPr>
                <w:rFonts w:ascii="Arial" w:cs="Arial" w:eastAsia="Arial" w:hAnsi="Arial"/>
                <w:sz w:val="12"/>
                <w:szCs w:val="12"/>
                <w:b w:val="1"/>
                <w:bCs w:val="1"/>
                <w:color w:val="auto"/>
              </w:rPr>
              <w:t>DEFINED IN SECTION</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160" w:type="dxa"/>
            <w:vAlign w:val="bottom"/>
            <w:vMerge w:val="restart"/>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580" w:type="dxa"/>
            <w:vAlign w:val="bottom"/>
            <w:gridSpan w:val="2"/>
          </w:tcPr>
          <w:p>
            <w:pPr>
              <w:spacing w:after="0" w:line="195" w:lineRule="exact"/>
              <w:rPr>
                <w:sz w:val="20"/>
                <w:szCs w:val="20"/>
                <w:color w:val="auto"/>
              </w:rPr>
            </w:pPr>
            <w:r>
              <w:rPr>
                <w:rFonts w:ascii="Arial" w:cs="Arial" w:eastAsia="Arial" w:hAnsi="Arial"/>
                <w:sz w:val="18"/>
                <w:szCs w:val="18"/>
                <w:color w:val="auto"/>
              </w:rPr>
              <w:t>“Bankruptcy Law”</w:t>
            </w:r>
          </w:p>
        </w:tc>
        <w:tc>
          <w:tcPr>
            <w:tcW w:w="2160" w:type="dxa"/>
            <w:vAlign w:val="bottom"/>
            <w:vMerge w:val="continue"/>
          </w:tcPr>
          <w:p>
            <w:pPr>
              <w:spacing w:after="0"/>
              <w:rPr>
                <w:sz w:val="16"/>
                <w:szCs w:val="16"/>
                <w:color w:val="auto"/>
              </w:rPr>
            </w:pPr>
          </w:p>
        </w:tc>
        <w:tc>
          <w:tcPr>
            <w:tcW w:w="1280" w:type="dxa"/>
            <w:vAlign w:val="bottom"/>
          </w:tcPr>
          <w:p>
            <w:pPr>
              <w:spacing w:after="0" w:line="195"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“Business Day”</w:t>
            </w:r>
          </w:p>
        </w:tc>
        <w:tc>
          <w:tcPr>
            <w:tcW w:w="3440" w:type="dxa"/>
            <w:vAlign w:val="bottom"/>
            <w:gridSpan w:val="2"/>
          </w:tcPr>
          <w:p>
            <w:pPr>
              <w:ind w:left="21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“Covenant Defeasance”</w:t>
            </w:r>
          </w:p>
        </w:tc>
        <w:tc>
          <w:tcPr>
            <w:tcW w:w="3440" w:type="dxa"/>
            <w:vAlign w:val="bottom"/>
            <w:gridSpan w:val="2"/>
          </w:tcPr>
          <w:p>
            <w:pPr>
              <w:ind w:left="21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“Custodian”</w:t>
            </w:r>
          </w:p>
        </w:tc>
        <w:tc>
          <w:tcPr>
            <w:tcW w:w="3440" w:type="dxa"/>
            <w:vAlign w:val="bottom"/>
            <w:gridSpan w:val="2"/>
          </w:tcPr>
          <w:p>
            <w:pPr>
              <w:ind w:left="21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“Event of Default”</w:t>
            </w:r>
          </w:p>
        </w:tc>
        <w:tc>
          <w:tcPr>
            <w:tcW w:w="3440" w:type="dxa"/>
            <w:vAlign w:val="bottom"/>
            <w:gridSpan w:val="2"/>
          </w:tcPr>
          <w:p>
            <w:pPr>
              <w:ind w:left="21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160" w:type="dxa"/>
            <w:vAlign w:val="bottom"/>
          </w:tcPr>
          <w:p>
            <w:pPr>
              <w:ind w:left="1880"/>
              <w:spacing w:after="0"/>
              <w:rPr>
                <w:sz w:val="20"/>
                <w:szCs w:val="20"/>
                <w:color w:val="auto"/>
              </w:rPr>
            </w:pPr>
            <w:r>
              <w:rPr>
                <w:rFonts w:ascii="Arial" w:cs="Arial" w:eastAsia="Arial" w:hAnsi="Arial"/>
                <w:sz w:val="18"/>
                <w:szCs w:val="18"/>
                <w:color w:val="auto"/>
              </w:rPr>
              <w:t>4</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74" w:right="479" w:bottom="1440" w:gutter="0" w:footer="0" w:header="0"/>
        </w:sectPr>
      </w:pPr>
    </w:p>
    <w:bookmarkStart w:id="105" w:name="page106"/>
    <w:bookmarkEnd w:id="10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“Journal”</w:t>
            </w:r>
          </w:p>
        </w:tc>
        <w:tc>
          <w:tcPr>
            <w:tcW w:w="2320" w:type="dxa"/>
            <w:vAlign w:val="bottom"/>
          </w:tcPr>
          <w:p>
            <w:pPr>
              <w:ind w:left="1920"/>
              <w:spacing w:after="0"/>
              <w:rPr>
                <w:sz w:val="20"/>
                <w:szCs w:val="20"/>
                <w:color w:val="auto"/>
              </w:rPr>
            </w:pPr>
            <w:r>
              <w:rPr>
                <w:rFonts w:ascii="Arial" w:cs="Arial" w:eastAsia="Arial" w:hAnsi="Arial"/>
                <w:sz w:val="18"/>
                <w:szCs w:val="18"/>
                <w:color w:val="auto"/>
                <w:w w:val="84"/>
              </w:rPr>
              <w:t>10.15</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“Judgment Currency”</w:t>
            </w:r>
          </w:p>
        </w:tc>
        <w:tc>
          <w:tcPr>
            <w:tcW w:w="2320" w:type="dxa"/>
            <w:vAlign w:val="bottom"/>
          </w:tcPr>
          <w:p>
            <w:pPr>
              <w:ind w:left="1920"/>
              <w:spacing w:after="0"/>
              <w:rPr>
                <w:sz w:val="20"/>
                <w:szCs w:val="20"/>
                <w:color w:val="auto"/>
              </w:rPr>
            </w:pPr>
            <w:r>
              <w:rPr>
                <w:rFonts w:ascii="Arial" w:cs="Arial" w:eastAsia="Arial" w:hAnsi="Arial"/>
                <w:sz w:val="18"/>
                <w:szCs w:val="18"/>
                <w:color w:val="auto"/>
                <w:w w:val="84"/>
              </w:rPr>
              <w:t>10.16</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“Legal Defeasance”</w:t>
            </w:r>
          </w:p>
        </w:tc>
        <w:tc>
          <w:tcPr>
            <w:tcW w:w="2320" w:type="dxa"/>
            <w:vAlign w:val="bottom"/>
          </w:tcPr>
          <w:p>
            <w:pPr>
              <w:ind w:left="1920"/>
              <w:spacing w:after="0"/>
              <w:rPr>
                <w:sz w:val="20"/>
                <w:szCs w:val="20"/>
                <w:color w:val="auto"/>
              </w:rPr>
            </w:pPr>
            <w:r>
              <w:rPr>
                <w:rFonts w:ascii="Arial" w:cs="Arial" w:eastAsia="Arial" w:hAnsi="Arial"/>
                <w:sz w:val="18"/>
                <w:szCs w:val="18"/>
                <w:color w:val="auto"/>
              </w:rPr>
              <w:t>9.2</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“Legal Holiday”</w:t>
            </w:r>
          </w:p>
        </w:tc>
        <w:tc>
          <w:tcPr>
            <w:tcW w:w="2320" w:type="dxa"/>
            <w:vAlign w:val="bottom"/>
          </w:tcPr>
          <w:p>
            <w:pPr>
              <w:ind w:left="1920"/>
              <w:spacing w:after="0"/>
              <w:rPr>
                <w:sz w:val="20"/>
                <w:szCs w:val="20"/>
                <w:color w:val="auto"/>
              </w:rPr>
            </w:pPr>
            <w:r>
              <w:rPr>
                <w:rFonts w:ascii="Arial" w:cs="Arial" w:eastAsia="Arial" w:hAnsi="Arial"/>
                <w:sz w:val="18"/>
                <w:szCs w:val="18"/>
                <w:color w:val="auto"/>
              </w:rPr>
              <w:t>10.7</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“Market Exchange Rate”</w:t>
            </w:r>
          </w:p>
        </w:tc>
        <w:tc>
          <w:tcPr>
            <w:tcW w:w="2320" w:type="dxa"/>
            <w:vAlign w:val="bottom"/>
          </w:tcPr>
          <w:p>
            <w:pPr>
              <w:ind w:left="1920"/>
              <w:spacing w:after="0"/>
              <w:rPr>
                <w:sz w:val="20"/>
                <w:szCs w:val="20"/>
                <w:color w:val="auto"/>
              </w:rPr>
            </w:pPr>
            <w:r>
              <w:rPr>
                <w:rFonts w:ascii="Arial" w:cs="Arial" w:eastAsia="Arial" w:hAnsi="Arial"/>
                <w:sz w:val="18"/>
                <w:szCs w:val="18"/>
                <w:color w:val="auto"/>
                <w:w w:val="84"/>
              </w:rPr>
              <w:t>10.15</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“New York Paying Agent”</w:t>
            </w:r>
          </w:p>
        </w:tc>
        <w:tc>
          <w:tcPr>
            <w:tcW w:w="2320" w:type="dxa"/>
            <w:vAlign w:val="bottom"/>
          </w:tcPr>
          <w:p>
            <w:pPr>
              <w:ind w:left="1920"/>
              <w:spacing w:after="0"/>
              <w:rPr>
                <w:sz w:val="20"/>
                <w:szCs w:val="20"/>
                <w:color w:val="auto"/>
              </w:rPr>
            </w:pPr>
            <w:r>
              <w:rPr>
                <w:rFonts w:ascii="Arial" w:cs="Arial" w:eastAsia="Arial" w:hAnsi="Arial"/>
                <w:sz w:val="18"/>
                <w:szCs w:val="18"/>
                <w:color w:val="auto"/>
              </w:rPr>
              <w:t>2.4</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“Paying Agent”</w:t>
            </w:r>
          </w:p>
        </w:tc>
        <w:tc>
          <w:tcPr>
            <w:tcW w:w="2320" w:type="dxa"/>
            <w:vAlign w:val="bottom"/>
          </w:tcPr>
          <w:p>
            <w:pPr>
              <w:ind w:left="1920"/>
              <w:spacing w:after="0"/>
              <w:rPr>
                <w:sz w:val="20"/>
                <w:szCs w:val="20"/>
                <w:color w:val="auto"/>
              </w:rPr>
            </w:pPr>
            <w:r>
              <w:rPr>
                <w:rFonts w:ascii="Arial" w:cs="Arial" w:eastAsia="Arial" w:hAnsi="Arial"/>
                <w:sz w:val="18"/>
                <w:szCs w:val="18"/>
                <w:color w:val="auto"/>
              </w:rPr>
              <w:t>2.4</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“Place of Payment”</w:t>
            </w:r>
          </w:p>
        </w:tc>
        <w:tc>
          <w:tcPr>
            <w:tcW w:w="2320" w:type="dxa"/>
            <w:vAlign w:val="bottom"/>
          </w:tcPr>
          <w:p>
            <w:pPr>
              <w:ind w:left="1920"/>
              <w:spacing w:after="0"/>
              <w:rPr>
                <w:sz w:val="20"/>
                <w:szCs w:val="20"/>
                <w:color w:val="auto"/>
              </w:rPr>
            </w:pPr>
            <w:r>
              <w:rPr>
                <w:rFonts w:ascii="Arial" w:cs="Arial" w:eastAsia="Arial" w:hAnsi="Arial"/>
                <w:sz w:val="18"/>
                <w:szCs w:val="18"/>
                <w:color w:val="auto"/>
              </w:rPr>
              <w:t>10.7</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“Registrar”</w:t>
            </w:r>
          </w:p>
        </w:tc>
        <w:tc>
          <w:tcPr>
            <w:tcW w:w="2320" w:type="dxa"/>
            <w:vAlign w:val="bottom"/>
          </w:tcPr>
          <w:p>
            <w:pPr>
              <w:ind w:left="1920"/>
              <w:spacing w:after="0"/>
              <w:rPr>
                <w:sz w:val="20"/>
                <w:szCs w:val="20"/>
                <w:color w:val="auto"/>
              </w:rPr>
            </w:pPr>
            <w:r>
              <w:rPr>
                <w:rFonts w:ascii="Arial" w:cs="Arial" w:eastAsia="Arial" w:hAnsi="Arial"/>
                <w:sz w:val="18"/>
                <w:szCs w:val="18"/>
                <w:color w:val="auto"/>
              </w:rPr>
              <w:t>2.4</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“Required Currency”</w:t>
            </w:r>
          </w:p>
        </w:tc>
        <w:tc>
          <w:tcPr>
            <w:tcW w:w="2320" w:type="dxa"/>
            <w:vAlign w:val="bottom"/>
          </w:tcPr>
          <w:p>
            <w:pPr>
              <w:ind w:left="1920"/>
              <w:spacing w:after="0"/>
              <w:rPr>
                <w:sz w:val="20"/>
                <w:szCs w:val="20"/>
                <w:color w:val="auto"/>
              </w:rPr>
            </w:pPr>
            <w:r>
              <w:rPr>
                <w:rFonts w:ascii="Arial" w:cs="Arial" w:eastAsia="Arial" w:hAnsi="Arial"/>
                <w:sz w:val="18"/>
                <w:szCs w:val="18"/>
                <w:color w:val="auto"/>
                <w:w w:val="84"/>
              </w:rPr>
              <w:t>10.16</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“Service Agent”</w:t>
            </w:r>
          </w:p>
        </w:tc>
        <w:tc>
          <w:tcPr>
            <w:tcW w:w="2320" w:type="dxa"/>
            <w:vAlign w:val="bottom"/>
          </w:tcPr>
          <w:p>
            <w:pPr>
              <w:ind w:left="1920"/>
              <w:spacing w:after="0"/>
              <w:rPr>
                <w:sz w:val="20"/>
                <w:szCs w:val="20"/>
                <w:color w:val="auto"/>
              </w:rPr>
            </w:pPr>
            <w:r>
              <w:rPr>
                <w:rFonts w:ascii="Arial" w:cs="Arial" w:eastAsia="Arial" w:hAnsi="Arial"/>
                <w:sz w:val="18"/>
                <w:szCs w:val="18"/>
                <w:color w:val="auto"/>
              </w:rPr>
              <w:t>2.4</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INCORPORATION BY REFERENCE OF TRUST INDENTURE ACT.</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Whenever this Indenture refers to a provision of the TIA, the portion of such provision required to be incorporated herein in order for this Indenture to be qualified under the TIA is incorporated by reference in and made a part of this Indenture. The following TIA terms used in this Indenture have the following meanings: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“Commission” means the SEC.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“Indenture securities” means the Securities.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“Indenture securityholder” means a Holder or Securityholder.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“Indenture to be qualified” means this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“Indenture trustee” or “institutional trustee” means the Trustee.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“Obligor on the indenture securities” means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06" w:name="page107"/>
    <w:bookmarkEnd w:id="106"/>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other terms used in this Indenture that are defined by the TIA, defined in the TIA by reference to another statute or defined by SEC rule have the meanings therein assigned to them.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RULES OF CONSTRUCTION.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the context otherwise requires:</w:t>
      </w:r>
    </w:p>
    <w:p>
      <w:pPr>
        <w:spacing w:after="0" w:line="117" w:lineRule="exact"/>
        <w:rPr>
          <w:sz w:val="20"/>
          <w:szCs w:val="20"/>
          <w:color w:val="auto"/>
        </w:rPr>
      </w:pPr>
    </w:p>
    <w:p>
      <w:pPr>
        <w:ind w:left="1240" w:hanging="253"/>
        <w:spacing w:after="0"/>
        <w:tabs>
          <w:tab w:leader="none" w:pos="12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term has the meaning assigned to it herein, whether defined expressly or by reference;</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words used herein implying any gender shall apply to each gender; and</w:t>
      </w:r>
    </w:p>
    <w:p>
      <w:pPr>
        <w:spacing w:after="0" w:line="225" w:lineRule="exact"/>
        <w:rPr>
          <w:rFonts w:ascii="Arial" w:cs="Arial" w:eastAsia="Arial" w:hAnsi="Arial"/>
          <w:sz w:val="18"/>
          <w:szCs w:val="18"/>
          <w:color w:val="auto"/>
        </w:rPr>
      </w:pPr>
    </w:p>
    <w:p>
      <w:pPr>
        <w:ind w:right="480" w:firstLine="987"/>
        <w:spacing w:after="0" w:line="277" w:lineRule="auto"/>
        <w:tabs>
          <w:tab w:leader="none" w:pos="1246"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ISSUABLE IN SERIES.</w:t>
      </w:r>
    </w:p>
    <w:p>
      <w:pPr>
        <w:spacing w:after="0" w:line="121"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The aggregate principal amount of Securities that may be authenticated and delivered under this Indenture is $ , , . The Securities may be issued in one or more Series. All Securities of a Series shall be identical except as may be set forth in a Board Resolution, a supplemental indenture or an Officers’ Certificate detailing the adoption of the terms thereof pursuant to the authority granted under a Board Resolution. In the case of Securities of a Series to be issued from time to time, the Board Resolution, Officers’ Certificate or supplemental indenture may provide for the method by which specified terms (such as interest rate, Stated Maturity,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ESTABLISHMENT OF TERMS OF SERIES OF SECURITIES.</w:t>
      </w:r>
    </w:p>
    <w:p>
      <w:pPr>
        <w:spacing w:after="0" w:line="121"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2.2(24)) by a Board Resolution, a supplemental indenture or an Officers’ Certificate, in each case, pursuant to authority granted under a Board Resolution:</w:t>
      </w:r>
    </w:p>
    <w:p>
      <w:pPr>
        <w:spacing w:after="0" w:line="41" w:lineRule="exact"/>
        <w:rPr>
          <w:sz w:val="20"/>
          <w:szCs w:val="20"/>
          <w:color w:val="auto"/>
        </w:rPr>
      </w:pPr>
    </w:p>
    <w:p>
      <w:pPr>
        <w:ind w:left="1240" w:hanging="253"/>
        <w:spacing w:after="0"/>
        <w:tabs>
          <w:tab w:leader="none" w:pos="12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title of the Series (which shall distinguish the Securities of that particular Series from the Securities of any other Series);</w:t>
      </w:r>
    </w:p>
    <w:p>
      <w:pPr>
        <w:spacing w:after="0" w:line="236" w:lineRule="exact"/>
        <w:rPr>
          <w:rFonts w:ascii="Arial" w:cs="Arial" w:eastAsia="Arial" w:hAnsi="Arial"/>
          <w:sz w:val="17"/>
          <w:szCs w:val="17"/>
          <w:color w:val="auto"/>
        </w:rPr>
      </w:pPr>
    </w:p>
    <w:p>
      <w:pPr>
        <w:jc w:val="both"/>
        <w:ind w:right="420" w:firstLine="987"/>
        <w:spacing w:after="0" w:line="263" w:lineRule="auto"/>
        <w:tabs>
          <w:tab w:leader="none" w:pos="1246"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8.5);</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price or prices (expressed as a percentage of the principal amount thereof) at which the Securities of the Series will be issued;</w:t>
      </w:r>
    </w:p>
    <w:p>
      <w:pPr>
        <w:spacing w:after="0" w:line="248" w:lineRule="exact"/>
        <w:rPr>
          <w:rFonts w:ascii="Arial" w:cs="Arial" w:eastAsia="Arial" w:hAnsi="Arial"/>
          <w:sz w:val="16"/>
          <w:szCs w:val="16"/>
          <w:color w:val="auto"/>
        </w:rPr>
      </w:pPr>
    </w:p>
    <w:p>
      <w:pPr>
        <w:ind w:left="1240" w:hanging="253"/>
        <w:spacing w:after="0"/>
        <w:tabs>
          <w:tab w:leader="none" w:pos="12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107" w:name="page108"/>
    <w:bookmarkEnd w:id="107"/>
    <w:p>
      <w:pPr>
        <w:ind w:firstLine="987"/>
        <w:spacing w:after="0" w:line="259" w:lineRule="auto"/>
        <w:tabs>
          <w:tab w:leader="none" w:pos="1246" w:val="left"/>
        </w:tabs>
        <w:numPr>
          <w:ilvl w:val="0"/>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6" w:lineRule="exact"/>
        <w:rPr>
          <w:rFonts w:ascii="Arial" w:cs="Arial" w:eastAsia="Arial" w:hAnsi="Arial"/>
          <w:sz w:val="18"/>
          <w:szCs w:val="18"/>
          <w:color w:val="auto"/>
        </w:rPr>
      </w:pPr>
    </w:p>
    <w:p>
      <w:pPr>
        <w:ind w:right="400" w:firstLine="987"/>
        <w:spacing w:after="0" w:line="277" w:lineRule="auto"/>
        <w:tabs>
          <w:tab w:leader="none" w:pos="124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place or places where the principal of, and interest and premium, if any, on, the Securities of the Series shall be payable, or the method of such payment, if by wire transfer, mail or other means;</w:t>
      </w:r>
    </w:p>
    <w:p>
      <w:pPr>
        <w:spacing w:after="0" w:line="170" w:lineRule="exact"/>
        <w:rPr>
          <w:rFonts w:ascii="Arial" w:cs="Arial" w:eastAsia="Arial" w:hAnsi="Arial"/>
          <w:sz w:val="18"/>
          <w:szCs w:val="18"/>
          <w:color w:val="auto"/>
        </w:rPr>
      </w:pPr>
    </w:p>
    <w:p>
      <w:pPr>
        <w:ind w:right="20" w:firstLine="987"/>
        <w:spacing w:after="0" w:line="277" w:lineRule="auto"/>
        <w:tabs>
          <w:tab w:leader="none" w:pos="124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the Securities of the Series may be redeemed, in whole or in part, at the option of the Company;</w:t>
      </w:r>
    </w:p>
    <w:p>
      <w:pPr>
        <w:spacing w:after="0" w:line="170" w:lineRule="exact"/>
        <w:rPr>
          <w:rFonts w:ascii="Arial" w:cs="Arial" w:eastAsia="Arial" w:hAnsi="Arial"/>
          <w:sz w:val="18"/>
          <w:szCs w:val="18"/>
          <w:color w:val="auto"/>
        </w:rPr>
      </w:pPr>
    </w:p>
    <w:p>
      <w:pPr>
        <w:ind w:right="260" w:firstLine="987"/>
        <w:spacing w:after="0" w:line="286" w:lineRule="auto"/>
        <w:tabs>
          <w:tab w:leader="none" w:pos="124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65" w:lineRule="exact"/>
        <w:rPr>
          <w:rFonts w:ascii="Arial" w:cs="Arial" w:eastAsia="Arial" w:hAnsi="Arial"/>
          <w:sz w:val="17"/>
          <w:szCs w:val="17"/>
          <w:color w:val="auto"/>
        </w:rPr>
      </w:pPr>
    </w:p>
    <w:p>
      <w:pPr>
        <w:ind w:right="480" w:firstLine="987"/>
        <w:spacing w:after="0" w:line="277" w:lineRule="auto"/>
        <w:tabs>
          <w:tab w:leader="none" w:pos="124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dates, if any, on which and the price or prices at which the Securities of the Series will be repurchased by the Company at the option of the Holders thereof, and other detailed terms and provisions of such repurchase obligations;</w:t>
      </w:r>
    </w:p>
    <w:p>
      <w:pPr>
        <w:spacing w:after="0" w:line="170" w:lineRule="exact"/>
        <w:rPr>
          <w:rFonts w:ascii="Arial" w:cs="Arial" w:eastAsia="Arial" w:hAnsi="Arial"/>
          <w:sz w:val="18"/>
          <w:szCs w:val="18"/>
          <w:color w:val="auto"/>
        </w:rPr>
      </w:pPr>
    </w:p>
    <w:p>
      <w:pPr>
        <w:ind w:left="1340" w:hanging="353"/>
        <w:spacing w:after="0"/>
        <w:tabs>
          <w:tab w:leader="none" w:pos="1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the Securities of the Series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 issuable;</w:t>
      </w:r>
    </w:p>
    <w:p>
      <w:pPr>
        <w:spacing w:after="0" w:line="210" w:lineRule="exact"/>
        <w:rPr>
          <w:rFonts w:ascii="Arial" w:cs="Arial" w:eastAsia="Arial" w:hAnsi="Arial"/>
          <w:sz w:val="16"/>
          <w:szCs w:val="16"/>
          <w:color w:val="auto"/>
        </w:rPr>
      </w:pPr>
    </w:p>
    <w:p>
      <w:pPr>
        <w:ind w:right="360" w:firstLine="987"/>
        <w:spacing w:after="0" w:line="277" w:lineRule="auto"/>
        <w:tabs>
          <w:tab w:leader="none" w:pos="132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forms of the Securities of the Series in bearer (if to be issued outside of the United States of America) or fully registered form (and, if in fully registered form, whether the Securities will be issuable as Global Securities);</w:t>
      </w:r>
    </w:p>
    <w:p>
      <w:pPr>
        <w:spacing w:after="0" w:line="170" w:lineRule="exact"/>
        <w:rPr>
          <w:rFonts w:ascii="Arial" w:cs="Arial" w:eastAsia="Arial" w:hAnsi="Arial"/>
          <w:sz w:val="18"/>
          <w:szCs w:val="18"/>
          <w:color w:val="auto"/>
        </w:rPr>
      </w:pPr>
    </w:p>
    <w:p>
      <w:pPr>
        <w:ind w:right="20" w:firstLine="987"/>
        <w:spacing w:after="0" w:line="277" w:lineRule="auto"/>
        <w:tabs>
          <w:tab w:leader="none" w:pos="133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Securities of the Series that shall be payable upon declaration of acceleration of the Maturity thereof pursuant to Section 6.2;</w:t>
      </w:r>
    </w:p>
    <w:p>
      <w:pPr>
        <w:spacing w:after="0" w:line="170" w:lineRule="exact"/>
        <w:rPr>
          <w:rFonts w:ascii="Arial" w:cs="Arial" w:eastAsia="Arial" w:hAnsi="Arial"/>
          <w:sz w:val="18"/>
          <w:szCs w:val="18"/>
          <w:color w:val="auto"/>
        </w:rPr>
      </w:pPr>
    </w:p>
    <w:p>
      <w:pPr>
        <w:ind w:right="200" w:firstLine="987"/>
        <w:spacing w:after="0" w:line="263" w:lineRule="auto"/>
        <w:tabs>
          <w:tab w:leader="none" w:pos="133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currency of denomination of the Securities of the Series, which may be Dollars or any Foreign Currency, including, but not limited to, the Euro, and, if such currency of denomination is a composite currency other than the Euro, the agency or organization, if any, responsible for overseeing such composite currency;</w:t>
      </w:r>
    </w:p>
    <w:p>
      <w:pPr>
        <w:spacing w:after="0" w:line="183" w:lineRule="exact"/>
        <w:rPr>
          <w:rFonts w:ascii="Arial" w:cs="Arial" w:eastAsia="Arial" w:hAnsi="Arial"/>
          <w:sz w:val="18"/>
          <w:szCs w:val="18"/>
          <w:color w:val="auto"/>
        </w:rPr>
      </w:pPr>
    </w:p>
    <w:p>
      <w:pPr>
        <w:ind w:right="220" w:firstLine="987"/>
        <w:spacing w:after="0" w:line="277" w:lineRule="auto"/>
        <w:tabs>
          <w:tab w:leader="none" w:pos="133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the principal of, and interest and premium, if any, on, the Securities of the Series will be made;</w:t>
      </w:r>
    </w:p>
    <w:p>
      <w:pPr>
        <w:spacing w:after="0" w:line="170" w:lineRule="exact"/>
        <w:rPr>
          <w:rFonts w:ascii="Arial" w:cs="Arial" w:eastAsia="Arial" w:hAnsi="Arial"/>
          <w:sz w:val="18"/>
          <w:szCs w:val="18"/>
          <w:color w:val="auto"/>
        </w:rPr>
      </w:pPr>
    </w:p>
    <w:p>
      <w:pPr>
        <w:jc w:val="both"/>
        <w:ind w:right="100" w:firstLine="987"/>
        <w:spacing w:after="0" w:line="263" w:lineRule="auto"/>
        <w:tabs>
          <w:tab w:leader="none" w:pos="133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payments of principal of, or interest or premium,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83" w:lineRule="exact"/>
        <w:rPr>
          <w:rFonts w:ascii="Arial" w:cs="Arial" w:eastAsia="Arial" w:hAnsi="Arial"/>
          <w:sz w:val="18"/>
          <w:szCs w:val="18"/>
          <w:color w:val="auto"/>
        </w:rPr>
      </w:pPr>
    </w:p>
    <w:p>
      <w:pPr>
        <w:ind w:right="100" w:firstLine="987"/>
        <w:spacing w:after="0" w:line="263" w:lineRule="auto"/>
        <w:tabs>
          <w:tab w:leader="none" w:pos="133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or interest and premium, if any, on, the Securities of the Series will be determined, if such amounts may be determined by reference to an index based on a currency or currencies or by reference to a commodity, commodity index, stock exchange index or financial index;</w:t>
      </w:r>
    </w:p>
    <w:p>
      <w:pPr>
        <w:spacing w:after="0" w:line="183" w:lineRule="exact"/>
        <w:rPr>
          <w:rFonts w:ascii="Arial" w:cs="Arial" w:eastAsia="Arial" w:hAnsi="Arial"/>
          <w:sz w:val="18"/>
          <w:szCs w:val="18"/>
          <w:color w:val="auto"/>
        </w:rPr>
      </w:pPr>
    </w:p>
    <w:p>
      <w:pPr>
        <w:ind w:left="1340" w:hanging="353"/>
        <w:spacing w:after="0"/>
        <w:tabs>
          <w:tab w:leader="none" w:pos="1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provisions, if any, relating to any collateral provided for the Securities of the Series;</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addition to or change in the covenants set forth in Articles 4 or 5 that applies to Securities of the Series;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08" w:name="page109"/>
    <w:bookmarkEnd w:id="108"/>
    <w:p>
      <w:pPr>
        <w:ind w:left="4" w:right="80" w:firstLine="987"/>
        <w:spacing w:after="0" w:line="263" w:lineRule="auto"/>
        <w:tabs>
          <w:tab w:leader="none" w:pos="1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addition to or change in the Events of Default which applies to any Securities of the Series, any provision for the payment of additional interest or liquidated damages in connection with any Event of Default, and any change in the right of the Trustee or the requisite Holders of such Securities to declare the principal amount thereof due and payable pursuant to Section 6.2;</w:t>
      </w:r>
    </w:p>
    <w:p>
      <w:pPr>
        <w:spacing w:after="0" w:line="183" w:lineRule="exact"/>
        <w:rPr>
          <w:rFonts w:ascii="Arial" w:cs="Arial" w:eastAsia="Arial" w:hAnsi="Arial"/>
          <w:sz w:val="18"/>
          <w:szCs w:val="18"/>
          <w:color w:val="auto"/>
        </w:rPr>
      </w:pPr>
    </w:p>
    <w:p>
      <w:pPr>
        <w:ind w:left="4" w:right="480" w:firstLine="987"/>
        <w:spacing w:after="0" w:line="263" w:lineRule="auto"/>
        <w:tabs>
          <w:tab w:leader="none" w:pos="1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terms and conditions, if any, for conversion of the Securities into or exchange of the Securities for shares of common stock, preferred stock, other debt securities or warrants for common stock, preferred stock or other securities of any kind of the Company that apply to Securities of the Series;</w:t>
      </w:r>
    </w:p>
    <w:p>
      <w:pPr>
        <w:spacing w:after="0" w:line="183" w:lineRule="exact"/>
        <w:rPr>
          <w:rFonts w:ascii="Arial" w:cs="Arial" w:eastAsia="Arial" w:hAnsi="Arial"/>
          <w:sz w:val="18"/>
          <w:szCs w:val="18"/>
          <w:color w:val="auto"/>
        </w:rPr>
      </w:pPr>
    </w:p>
    <w:p>
      <w:pPr>
        <w:ind w:left="4" w:right="100" w:firstLine="987"/>
        <w:spacing w:after="0" w:line="277" w:lineRule="auto"/>
        <w:tabs>
          <w:tab w:leader="none" w:pos="1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Trustees, depositories, interest rate calculation agents, exchange rate calculation agents or other agents with respect to Securities of such Series if other than those appointed herein;</w:t>
      </w:r>
    </w:p>
    <w:p>
      <w:pPr>
        <w:spacing w:after="0" w:line="170" w:lineRule="exact"/>
        <w:rPr>
          <w:rFonts w:ascii="Arial" w:cs="Arial" w:eastAsia="Arial" w:hAnsi="Arial"/>
          <w:sz w:val="18"/>
          <w:szCs w:val="18"/>
          <w:color w:val="auto"/>
        </w:rPr>
      </w:pPr>
    </w:p>
    <w:p>
      <w:pPr>
        <w:ind w:left="1344" w:hanging="353"/>
        <w:spacing w:after="0"/>
        <w:tabs>
          <w:tab w:leader="none" w:pos="134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terms and conditions, if any, upon which the Securities shall be subordinated in right of payment to other Indebtedness of the</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0" w:lineRule="exact"/>
        <w:rPr>
          <w:rFonts w:ascii="Arial" w:cs="Arial" w:eastAsia="Arial" w:hAnsi="Arial"/>
          <w:sz w:val="16"/>
          <w:szCs w:val="16"/>
          <w:color w:val="auto"/>
        </w:rPr>
      </w:pPr>
    </w:p>
    <w:p>
      <w:pPr>
        <w:ind w:left="1344" w:hanging="353"/>
        <w:spacing w:after="0"/>
        <w:tabs>
          <w:tab w:leader="none" w:pos="1344"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if applicable, that the Securities of the Series, in whole or any specified part, shall be defeasible pursuant to Article 9; and</w:t>
      </w:r>
    </w:p>
    <w:p>
      <w:pPr>
        <w:spacing w:after="0" w:line="236" w:lineRule="exact"/>
        <w:rPr>
          <w:rFonts w:ascii="Arial" w:cs="Arial" w:eastAsia="Arial" w:hAnsi="Arial"/>
          <w:sz w:val="17"/>
          <w:szCs w:val="17"/>
          <w:color w:val="auto"/>
        </w:rPr>
      </w:pPr>
    </w:p>
    <w:p>
      <w:pPr>
        <w:ind w:left="4" w:right="160" w:firstLine="987"/>
        <w:spacing w:after="0" w:line="308" w:lineRule="auto"/>
        <w:tabs>
          <w:tab w:leader="none" w:pos="13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any other terms of the Securities of the Series (which terms shall not be inconsistent with the provisions of this Indenture, except as permitted by Section 8.1, but which may modify or delete any provision of this Indenture insofar as it applies to such Series).</w:t>
      </w:r>
    </w:p>
    <w:p>
      <w:pPr>
        <w:spacing w:after="0" w:line="146" w:lineRule="exact"/>
        <w:rPr>
          <w:sz w:val="20"/>
          <w:szCs w:val="20"/>
          <w:color w:val="auto"/>
        </w:rPr>
      </w:pPr>
    </w:p>
    <w:p>
      <w:pPr>
        <w:jc w:val="both"/>
        <w:ind w:left="4" w:right="560" w:firstLine="440"/>
        <w:spacing w:after="0" w:line="279" w:lineRule="auto"/>
        <w:rPr>
          <w:sz w:val="20"/>
          <w:szCs w:val="20"/>
          <w:color w:val="auto"/>
        </w:rPr>
      </w:pPr>
      <w:r>
        <w:rPr>
          <w:rFonts w:ascii="Arial" w:cs="Arial" w:eastAsia="Arial" w:hAnsi="Arial"/>
          <w:sz w:val="17"/>
          <w:szCs w:val="17"/>
          <w:color w:val="auto"/>
        </w:rPr>
        <w:t>All Securities of any one Series need not be issued at the same time, and may be issued from time to time, consistent with the terms of this Indenture, if so provided by or pursuant to the Board Resolution, supplemental indenture or Officers’ Certificate referred to above, however, the authorized principal amount of any Series may not be increased to provide for issuances of additional Securities of such Series, unless otherwise provided in such Board Resolution, supplemental indenture or Officers’ Certificate.</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2.3. EXECUTION AND AUTHENTICATION.</w:t>
      </w:r>
    </w:p>
    <w:p>
      <w:pPr>
        <w:spacing w:after="0" w:line="121" w:lineRule="exact"/>
        <w:rPr>
          <w:sz w:val="20"/>
          <w:szCs w:val="20"/>
          <w:color w:val="auto"/>
        </w:rPr>
      </w:pPr>
    </w:p>
    <w:p>
      <w:pPr>
        <w:ind w:left="4" w:right="420" w:firstLine="440"/>
        <w:spacing w:after="0" w:line="263" w:lineRule="auto"/>
        <w:rPr>
          <w:sz w:val="20"/>
          <w:szCs w:val="20"/>
          <w:color w:val="auto"/>
        </w:rPr>
      </w:pPr>
      <w:r>
        <w:rPr>
          <w:rFonts w:ascii="Arial" w:cs="Arial" w:eastAsia="Arial" w:hAnsi="Arial"/>
          <w:sz w:val="18"/>
          <w:szCs w:val="18"/>
          <w:color w:val="auto"/>
        </w:rPr>
        <w:t>The Securities shall be executed on behalf of the Company by two Officers of the Company or an Officer and an Assistant Secretary of the Company. Each such signature may be either manual or facsimile. The Company’s seal may be impressed, affixed, imprinted or reproduced on the Securities and may be in facsimile form.</w:t>
      </w:r>
    </w:p>
    <w:p>
      <w:pPr>
        <w:spacing w:after="0" w:line="184"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If an Officer whose signature is on a Security no longer holds that office at the time the Security is authenticated, the Security shall nevertheless be valid.</w:t>
      </w:r>
    </w:p>
    <w:p>
      <w:pPr>
        <w:spacing w:after="0" w:line="170" w:lineRule="exact"/>
        <w:rPr>
          <w:sz w:val="20"/>
          <w:szCs w:val="20"/>
          <w:color w:val="auto"/>
        </w:rPr>
      </w:pPr>
    </w:p>
    <w:p>
      <w:pPr>
        <w:ind w:left="4" w:right="140" w:firstLine="440"/>
        <w:spacing w:after="0" w:line="255" w:lineRule="auto"/>
        <w:rPr>
          <w:sz w:val="20"/>
          <w:szCs w:val="20"/>
          <w:color w:val="auto"/>
        </w:rPr>
      </w:pPr>
      <w:r>
        <w:rPr>
          <w:rFonts w:ascii="Arial" w:cs="Arial" w:eastAsia="Arial" w:hAnsi="Arial"/>
          <w:sz w:val="18"/>
          <w:szCs w:val="18"/>
          <w:color w:val="auto"/>
        </w:rPr>
        <w:t>A Security shall not be valid until authenticated by the manual signature of the Trustee or an authenticating agent. The signature shall be conclusive evidence that the Security has been authenticated under this Indenture. The Trustee shall at any time, and from time to time, authenticate Securities for original issue in the principal amount provided in the Board Resolution, supplemental indenture hereto or Officers’ Certificate, upon receipt by the Trustee of a Company Order. Such Company Order may authorize authentication and delivery pursuant to oral or electronic instructions from the Company or its duly authorized agent or agents, which oral instructions shall be promptly confirmed in writing. Each Security shall be dated the date of its authentication.</w:t>
      </w:r>
    </w:p>
    <w:p>
      <w:pPr>
        <w:spacing w:after="0" w:line="192"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Prior to the issuance of Securities of any Series, the Trustee shall have received and (subject to Section 7.1) shall be fully protected in relying on:</w:t>
      </w:r>
    </w:p>
    <w:p>
      <w:pPr>
        <w:spacing w:after="0" w:line="46" w:lineRule="exact"/>
        <w:rPr>
          <w:sz w:val="20"/>
          <w:szCs w:val="20"/>
          <w:color w:val="auto"/>
        </w:rPr>
      </w:pPr>
    </w:p>
    <w:p>
      <w:pPr>
        <w:ind w:left="4" w:right="320" w:hanging="4"/>
        <w:spacing w:after="0" w:line="260" w:lineRule="auto"/>
        <w:tabs>
          <w:tab w:leader="none" w:pos="24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Board Resolution, supplemental indenture hereto or Officers’ Certificate establishing the form of the Securities of that Series or of Securities within that Series and the terms</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4"/>
          </w:cols>
          <w:pgMar w:left="436" w:top="274" w:right="499" w:bottom="1440" w:gutter="0" w:footer="0" w:header="0"/>
        </w:sectPr>
      </w:pPr>
    </w:p>
    <w:bookmarkStart w:id="109" w:name="page110"/>
    <w:bookmarkEnd w:id="109"/>
    <w:p>
      <w:pPr>
        <w:ind w:right="5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Securities of that Series or of Securities within that Series, (b) an Officers’ Certificate complying with Section 10.4, and (c) an Opinion of Counsel complying with Section 10.4.</w:t>
      </w:r>
    </w:p>
    <w:p>
      <w:pPr>
        <w:spacing w:after="0" w:line="170"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The Trustee shall have the right to decline to authenticate and deliver any Securities of any Series: (a) if the Trustee, being advised in writing by outside counsel, determines that such action may not lawfully be taken; or (b) if the Trustee in good faith by its board of directors or trustees, executive committee or a trust committee of directors and/or vice-presidents shall reasonably determine that such action would expose the Trustee to personal liability, or cause it to have a conflict of interest with respect to Holders of any then outstanding Series of Securities.</w:t>
      </w:r>
    </w:p>
    <w:p>
      <w:pPr>
        <w:spacing w:after="0" w:line="171" w:lineRule="exact"/>
        <w:rPr>
          <w:sz w:val="20"/>
          <w:szCs w:val="20"/>
          <w:color w:val="auto"/>
        </w:rPr>
      </w:pPr>
    </w:p>
    <w:p>
      <w:pPr>
        <w:jc w:val="both"/>
        <w:ind w:firstLine="440"/>
        <w:spacing w:after="0" w:line="279" w:lineRule="auto"/>
        <w:rPr>
          <w:sz w:val="20"/>
          <w:szCs w:val="20"/>
          <w:color w:val="auto"/>
        </w:rPr>
      </w:pPr>
      <w:r>
        <w:rPr>
          <w:rFonts w:ascii="Arial" w:cs="Arial" w:eastAsia="Arial" w:hAnsi="Arial"/>
          <w:sz w:val="17"/>
          <w:szCs w:val="17"/>
          <w:color w:val="auto"/>
        </w:rPr>
        <w:t>The Trustee may appoint an authenticating agent acceptable to the Company to authenticate Securities. An authenticating agent may authenticate Securities whenever the Trustee may do so. Any appointment shall be evidenced by an instrument signed by an authorized officer of the Trustee, a copy of which shall be furnished to the Company. Each reference in this Indenture to authentication by the Trustee includes authentication by such agent. An authenticating agent has the same rights as an Agent to deal with the Company or an Affiliate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REGISTRAR AND PAYING AGENT.</w:t>
      </w:r>
    </w:p>
    <w:p>
      <w:pPr>
        <w:spacing w:after="0" w:line="121"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The Company shall maintain in each Place of Payment for any Series of Securities (i) an office or agency where such Securities may be presented for registration of transfer or for exchange (“Registrar”), (ii) an office or agency where such Securities may be presented for payment (“Paying Agent”) (PROVIDED that the Company shall at all times maintain a Paying Agent in the Borough of Manhattan, City of New York, State of New York (the “New York Paying Agent”), and PROVIDED, FURTHER, that at the option of the Company payment of interest may be made by check mailed to the address of the Person entitled thereto as such address shall appear in the register for the Securities maintained by the Registrar), and (iii) an office or agency where notices and demands to or upon the Company in respect of the Securities and this Indenture may be served (“Service Agent”). The Registrar shall keep a register of the Securities and of their transfer and exchange. The Company may have one or more co-registrars and one or more additional paying agents. The Company shall give prompt written notice to the Trustee of the location, and any change in the location, of such office or agency. If at any time the Company shall fail to maintain any such required office, or to furnish the Trustee with the address thereof, such presentations, surrenders, notices and demands may be made or served at the address of the Trustee as set forth in Section 10.2. If the Company acts as Paying Agent, it shall segregate the money held by it for the payment of principal of, and interest and premium, if any, on, the Securities and hold it as a separate trust fund. The Company may change any Paying Agent, Registrar, co-registrar or any other Agent without notice to any Securityholder.</w:t>
      </w:r>
    </w:p>
    <w:p>
      <w:pPr>
        <w:spacing w:after="0" w:line="168"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The Company may also from time to time designate one or more other offices or agencies where the Securities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hereby initially designates the Corporate Trust Office of the Trustee as such office of the Company. The Company shall give prompt written notice to the Trustee of such designation or rescission, and of any change in the location of any such other office or agency.</w:t>
      </w:r>
    </w:p>
    <w:p>
      <w:pPr>
        <w:spacing w:after="0" w:line="161"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The Company shall enter into an appropriate agency agreement with any Registrar or Paying Agent not a party to this Indenture. The agreement shall implement the provisions of this Indenture that relate to such Agent. The Company shall notify the Trustee of the name and address of any such Agent. If the Company fails to maintain a Registrar or Paying Agent, or agent for service of notices and demands, or fails to give the foregoing notice, the Trustee shall act as such. The Company hereby appoints the Trustee as the initial Registrar, Paying Agent and Service Agent for each Series unless another Registrar, Paying Agent or Service</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440" w:top="274" w:right="519" w:bottom="1440" w:gutter="0" w:footer="0" w:header="0"/>
        </w:sectPr>
      </w:pPr>
    </w:p>
    <w:bookmarkStart w:id="110" w:name="page111"/>
    <w:bookmarkEnd w:id="110"/>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 as the case may be, is appointed prior to the time Securities of that Series are first issued. The Company designates , as the New York Paying Agent, with offices at .</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PAYING AGENT TO HOLD ASSETS IN TRUST.</w:t>
      </w:r>
    </w:p>
    <w:p>
      <w:pPr>
        <w:spacing w:after="0" w:line="121"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The Trustee as Paying Agent shall, and the Company shall require each Paying Agent other than the Trustee to agree in writing that each Paying Agent shall, hold in trust for the benefit of the Holders of any Series of Securities or the Trustee all assets held by the Paying Agent for the payment of principal of, or interest or premium, if any, on, such Series of Securities (whether such assets have been distributed to it by the Company or any other obligor on such Series of Securities), and the Company and the Paying Agent shall notify the Trustee in writing of any Default by the Company (or any other obligor on such Series of Securities) in making any such payment. The Company at any time may require a Paying Agent to distribute all assets held by it to the Trustee and account for any assets disbursed, and the Trustee may, at any time during the continuance of any payment default with respect to any Series of Securities, upon written request to a Paying Agent, require such Paying Agent to distribute all assets held by it to the Trustee and to account for any assets distributed. Upon distribution to the Trustee of all assets that shall have been delivered by the Company to the Paying Agent, the Paying Agent shall have no further liability for such assets.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SECURITYHOLDER LISTS.</w:t>
      </w:r>
    </w:p>
    <w:p>
      <w:pPr>
        <w:spacing w:after="0" w:line="121"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color w:val="auto"/>
        </w:rPr>
        <w:t>The Trustee shall preserve in as current a form as is reasonably practicable the most recent list available to it of the names and addresses of Securityholders of each Series of Securities. If the Trustee is not the Registrar, the Company shall furnish to the Trustee as of each regular record date for the payment of interest on the Securities of a Series and before each related Interest Payment Date, and at such other times as the Trustee may request in writing, a list in such form and as of such date as the Trustee may reasonably require of the names and addresses of Securityholders of each Series of Securities.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TRANSFER AND EXCHANGE.</w:t>
      </w:r>
    </w:p>
    <w:p>
      <w:pPr>
        <w:spacing w:after="0" w:line="121"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When Securities of a Series are presented to the Registrar with a request to register the transfer thereof, the Registrar shall register the transfer as requested if the requirements of applicable law are met, and when such Securities of a Series are presented to the Registrar with a request to exchange them for an equal principal amount of other authorized denominations of Securities of the same Series, the Registrar shall make the exchange as requested. To permit transfers and exchanges, upon surrender of any Security for registration of transfer at the office or agency maintained pursuant to Section 2.4, the Company shall execute and the Trustee shall authenticate Securities at the Registrar’s request.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Securities are issued as Global Securities, the provisions of Section 2.15 shall apply.</w:t>
      </w:r>
    </w:p>
    <w:p>
      <w:pPr>
        <w:spacing w:after="0" w:line="225" w:lineRule="exact"/>
        <w:rPr>
          <w:sz w:val="20"/>
          <w:szCs w:val="20"/>
          <w:color w:val="auto"/>
        </w:rPr>
      </w:pPr>
    </w:p>
    <w:p>
      <w:pPr>
        <w:ind w:right="400" w:firstLine="440"/>
        <w:spacing w:after="0" w:line="342" w:lineRule="auto"/>
        <w:rPr>
          <w:sz w:val="20"/>
          <w:szCs w:val="20"/>
          <w:color w:val="auto"/>
        </w:rPr>
      </w:pPr>
      <w:r>
        <w:rPr>
          <w:rFonts w:ascii="Arial" w:cs="Arial" w:eastAsia="Arial" w:hAnsi="Arial"/>
          <w:sz w:val="16"/>
          <w:szCs w:val="16"/>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24" w:lineRule="exact"/>
        <w:rPr>
          <w:sz w:val="20"/>
          <w:szCs w:val="20"/>
          <w:color w:val="auto"/>
        </w:rPr>
      </w:pPr>
    </w:p>
    <w:p>
      <w:pPr>
        <w:ind w:right="420" w:firstLine="440"/>
        <w:spacing w:after="0" w:line="263" w:lineRule="auto"/>
        <w:rPr>
          <w:sz w:val="20"/>
          <w:szCs w:val="20"/>
          <w:color w:val="auto"/>
        </w:rPr>
      </w:pPr>
      <w:r>
        <w:rPr>
          <w:rFonts w:ascii="Arial" w:cs="Arial" w:eastAsia="Arial" w:hAnsi="Arial"/>
          <w:sz w:val="18"/>
          <w:szCs w:val="18"/>
          <w:color w:val="auto"/>
        </w:rPr>
        <w:t>Every Security presented or surrendered for registration of transfer or for exchange shall (if so required by the Company or the Registrar or a co-registrar) be duly endorsed, or be accompanied by a written instrument of transfer in form satisfactory to the Company and the Registrar or a co-registrar, duly executed by the Holder thereof or his attorney duly authorized in writing.</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Any exchange or transfer shall be without charge, except that the Company may require payment by the Holder of a sum sufficient to cover any tax or other governmental charge that may be imposed in relation to a transfer or exchange, but this provision shall not apply to any exchange pursuant to Section 2.11, 3.6 or 8.5. The Trustee shall not be required to register transfers of Securities of any Series, or to exchange Securities of any Series, for a period of 15 days before the record date for selection for redemption of such Securities.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11" w:name="page112"/>
    <w:bookmarkEnd w:id="111"/>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Trustee shall not be required to exchange or register transfers of Securities of any Series called or being called for redemption in whole or in part, except the unredeemed portion of such Security being redeemed in part.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REPLACEMENT SECURITIES.</w:t>
      </w:r>
    </w:p>
    <w:p>
      <w:pPr>
        <w:spacing w:after="0" w:line="121"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If a mutilated Security is surrendered to the Trustee, or if the Holder of a Security presents evidence to the satisfaction of the Company and the Trustee that the Security has been lost, destroyed or wrongfully taken, the Company shall issue and the Trustee shall authenticate a replacement Security of the same Series and of like tenor and principal amount and bearing a number not contemporaneously outstanding. An indemnity bond may be required by the Company or the Trustee that is sufficient in the reasonable judgment of the Company or the Trustee, as the case may be, to protect the Company, the Trustee or any Agent from any loss which any of them may suffer if a Security is replaced. The Company may charge such Holder for the Company’s out-of-pocket expenses in replacing a Security, including the fees and expenses of the Trustee. Every replacement Security shall constitute an original additional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OUTSTANDING SECURITIES.</w:t>
      </w:r>
    </w:p>
    <w:p>
      <w:pPr>
        <w:spacing w:after="0" w:line="121"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Securities outstanding at any time are all Securities authenticated by the Trustee, except for those canceled by it, those delivered to it for cancellation and those described in this Section 2.9 as not outstanding.</w:t>
      </w:r>
    </w:p>
    <w:p>
      <w:pPr>
        <w:spacing w:after="0" w:line="170"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If a Security is replaced pursuant to Section 2.8 (other than a mutilated Security surrendered for replacement), it ceases to be outstanding until the Company and the Trustee receive proof satisfactory to each of them that the replaced Security is held by a bona fide purchaser. A mutilated Security ceases to be outstanding upon surrender of such Security and replacement thereof pursuant to Section 2.8.</w:t>
      </w:r>
    </w:p>
    <w:p>
      <w:pPr>
        <w:spacing w:after="0" w:line="165"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If a Paying Agent holds on a Redemption Date or the Stated Maturity money sufficient to pay the principal of, premium, if any, and accrued interest on, Securities payable on that date, and is not prohibited from paying such money to the Holders thereof pursuant to the terms of this Indenture (PROVIDED, that if such Securities are to be redeemed, notice of such redemption has been duly given pursuant to this Indenture or provision therefor satisfactory to the Trustee has been made), then on and after that date such Securities cease to be outstanding and interest on them ceases to accrue.</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Security does not cease to be outstanding solely because the Company or an Affiliate holds the Security.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2.10. WHEN TREASURY SECURITIES DISREGARDED; DETERMINATION OF HOLDERS’ ACTION.</w:t>
      </w:r>
    </w:p>
    <w:p>
      <w:pPr>
        <w:spacing w:after="0" w:line="121"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In determining whether the Holders of the required aggregate principal amount of the Securities of any Series have concurred in any direction, waiver or consent, the Securities of any Series owned by the Company or any other obligor on such Securities, or by any Affiliate of any of them, shall be disregarded, except that for the purposes of determining whether the Trustee shall be protected in relying on any such direction, waiver or consent, only Securities of such Series which the Trustee actually knows are so owned shall be so disregarded. Securities of such Series so owned which have been pledged in good faith shall not be disregarded if the pledgee establishes to the satisfaction of the Trustee the pledgee’s right so to act with respect to the Securities of such Series and that the pledgee is not the Company or any other obligor on the Securities of such Series, or an Affiliate of any of them.</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 TEMPORARY SECURITIES.</w:t>
      </w:r>
    </w:p>
    <w:p>
      <w:pPr>
        <w:spacing w:after="0" w:line="12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Until definitive Securities are ready for delivery, the Company may prepare and execute, and the Trustee shall authenticate, temporary Securities. Temporary Securities shall be substantially in the form, and shall carry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12" w:name="page113"/>
    <w:bookmarkEnd w:id="112"/>
    <w:p>
      <w:pPr>
        <w:jc w:val="both"/>
        <w:ind w:right="3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rights, of definitive Securities, but may have variations that the Company considers appropriate for temporary Securities. Without unreasonable delay, the Company shall prepare and execute, and the Trustee shall authenticate, definitive Securities in exchange for temporary Securities without charge to the Holder.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2.12. CANCELLATION.</w:t>
      </w:r>
    </w:p>
    <w:p>
      <w:pPr>
        <w:spacing w:after="0" w:line="121" w:lineRule="exact"/>
        <w:rPr>
          <w:sz w:val="20"/>
          <w:szCs w:val="20"/>
          <w:color w:val="auto"/>
        </w:rPr>
      </w:pPr>
    </w:p>
    <w:p>
      <w:pPr>
        <w:ind w:right="40" w:firstLine="440"/>
        <w:spacing w:after="0" w:line="288" w:lineRule="auto"/>
        <w:rPr>
          <w:sz w:val="20"/>
          <w:szCs w:val="20"/>
          <w:color w:val="auto"/>
        </w:rPr>
      </w:pPr>
      <w:r>
        <w:rPr>
          <w:rFonts w:ascii="Arial" w:cs="Arial" w:eastAsia="Arial" w:hAnsi="Arial"/>
          <w:sz w:val="16"/>
          <w:szCs w:val="16"/>
          <w:color w:val="auto"/>
        </w:rPr>
        <w:t>All Securities surrendered for payment, redemption or registration of transfer or exchange, or for credit against any sinking fund payment, shall, if surrendered to any Person other than the Trustee, be delivered to the Trustee for cancellation.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The Registrar and the Paying Agent shall forward to the Trustee any Securities surrendered to them for transfer, exchange or payment. The Trustee or, at the direction of the Trustee, the Registrar or the Paying Agent, and no one else, shall cancel, and at the written request of the Company shall dispose of, all Securities surrendered for transfer, exchange, payment or cancellation. If the Company shall acquire any of the Securities, such acquisition shall not operate as a redemption or satisfaction of the Indebtedness represented by such Securities unless and until the same are surrendered to the Trustee for cancellation pursuant to this Section 2.12. No Securities shall be authenticated in lieu of or in exchange for any Securities cancelled as provided in this Section 2.12, except as expressly permitted by this Indenture.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2.13. PAYMENT OF INTEREST; DEFAULTED INTEREST; COMPUTATION OF INTEREST.</w:t>
      </w:r>
    </w:p>
    <w:p>
      <w:pPr>
        <w:spacing w:after="0" w:line="12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Except as otherwise provided as contemplated by Section 2.2 with respect to any Series of Securities, interest on any Security which is payable, and is punctually paid or duly provided for, on any Interest Payment Date shall be paid to the Person in whose name that Security is registered at the close of business on the regular record date for such interest, as provided in the Board Resolution, supplemental indenture hereto or Officers’ Certificate establishing the terms of such Series.</w:t>
      </w:r>
    </w:p>
    <w:p>
      <w:pPr>
        <w:spacing w:after="0" w:line="18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If the Company defaults in a payment of interest on the Securities, it shall pay the defaulted amounts, plus any interest payable on defaulted amounts pursuant to Section 4.1, to the Persons who are Securityholders on a subsequent special record date, which date shall be the 15th day next preceding the date fixed by the Company for the payment of defaulted interest, or the next succeeding Business Day if such date is not a Business Day. At least 15 days before the special record date, the Company shall mail or cause to be mailed to each Securityholder, with a copy to the Trustee, a notice that states the special record date, the payment date and the amount of defaulted interest, and interest payable on such defaulted interest, if any, to be paid.</w:t>
      </w:r>
    </w:p>
    <w:p>
      <w:pPr>
        <w:spacing w:after="0" w:line="192"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Except as otherwise specified as contemplated by Section 2.2 for Securities of any Series, interest on the Securities of each Series shall be computed on the basis of a 360-day year of twelve 30-day months.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 CUSIP NUMBER.</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Company in issuing the Securities may use one or more “CUSIP” numbers, and, if the Company does so, the Trustee shall use the CUSIP number(s) in notices of redemption or exchange as a convenience to Holders, PROVIDED, that any such notice may state that no representation is made as to the correctness or accuracy of the CUSIP number(s) printed in the notice or on the Securities, and that reliance may be placed only on the other identification numbers printed on the Securities, and that any such redemption or exchange shall not be affected by any defect in or omission of any such numbers.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2.15. PROVISIONS FOR GLOBAL SECURITIES.</w:t>
      </w:r>
    </w:p>
    <w:p>
      <w:pPr>
        <w:spacing w:after="0" w:line="121" w:lineRule="exact"/>
        <w:rPr>
          <w:sz w:val="20"/>
          <w:szCs w:val="20"/>
          <w:color w:val="auto"/>
        </w:rPr>
      </w:pPr>
    </w:p>
    <w:p>
      <w:pPr>
        <w:ind w:right="480" w:firstLine="436"/>
        <w:spacing w:after="0" w:line="308" w:lineRule="auto"/>
        <w:tabs>
          <w:tab w:leader="none" w:pos="68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 Board Resolution, a supplemental indenture hereto or an Officers’ Certificate shall establish whether the Securities of a Series shall be issued in whole or in part in the form of one or more Global Securities, and the Depository for such Global Securities or Securities.</w:t>
      </w:r>
    </w:p>
    <w:p>
      <w:pPr>
        <w:spacing w:after="0" w:line="146" w:lineRule="exact"/>
        <w:rPr>
          <w:rFonts w:ascii="Arial" w:cs="Arial" w:eastAsia="Arial" w:hAnsi="Arial"/>
          <w:sz w:val="17"/>
          <w:szCs w:val="17"/>
          <w:color w:val="auto"/>
        </w:rPr>
      </w:pPr>
    </w:p>
    <w:p>
      <w:pPr>
        <w:ind w:firstLine="436"/>
        <w:spacing w:after="0" w:line="287" w:lineRule="auto"/>
        <w:tabs>
          <w:tab w:leader="none" w:pos="69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Notwithstanding any provisions to the contrary contained in Section 2.7 and in addition thereto, if, and only if the Depository (i) at any time is unwilling or unable to continue as Depository for such Global Security or ceases to be a clearing agency registered under the Exchange Act and (ii) a successor Depository is not appointed by the Company within 90 days after the date the Company is so informed in writing or becomes aware of the same, the Company promptly will execute and deliver to the Trustee definitive Securities, and the Trustee, upon receipt of a Company Request for the authentication and delivery of such definitive Securities (which the Company will promptly execute and deliver to the Trustee) and an Officers’ Certificate to the effect that such Global Security shall be so exchangeable, will authenticate and deliver definitive Securities, without charge, registered in such names and in such authorized denominations as the Depository shall direct in writing (pursuant to instructions from its direct and indirect participants or otherwise) in an aggregate principal amount equal to the principal amount of the Global Security with like tenor and terms. Upon the exchange of a Global Security for definitive Securities, such Global Security shall be canceled by the Trustee. Unless and until it is exchanged in whole or in part for definitive Securities, as provided in this Section 2.15(b), a Global Security may not be transferred except as a whole by the Depository with respect to such Global Security to a nominee of such Depository, by a nominee of such Depository to such Depository or another nominee of such Depository or by the Depository or any such nominee to a successor Depository or a nominee of such a successor Depository.</w:t>
      </w:r>
    </w:p>
    <w:p>
      <w:pPr>
        <w:spacing w:after="0" w:line="167" w:lineRule="exact"/>
        <w:rPr>
          <w:rFonts w:ascii="Arial" w:cs="Arial" w:eastAsia="Arial" w:hAnsi="Arial"/>
          <w:sz w:val="16"/>
          <w:szCs w:val="16"/>
          <w:color w:val="auto"/>
        </w:rPr>
      </w:pPr>
    </w:p>
    <w:p>
      <w:pPr>
        <w:ind w:left="680" w:hanging="244"/>
        <w:spacing w:after="0"/>
        <w:tabs>
          <w:tab w:leader="none" w:pos="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Global Security issued hereunder shall bear a legend in substantially the following form:</w:t>
      </w:r>
    </w:p>
    <w:p>
      <w:pPr>
        <w:spacing w:after="0" w:line="117" w:lineRule="exact"/>
        <w:rPr>
          <w:sz w:val="20"/>
          <w:szCs w:val="20"/>
          <w:color w:val="auto"/>
        </w:rPr>
      </w:pPr>
    </w:p>
    <w:p>
      <w:pPr>
        <w:ind w:left="980" w:right="80"/>
        <w:spacing w:after="0" w:line="296" w:lineRule="auto"/>
        <w:rPr>
          <w:sz w:val="20"/>
          <w:szCs w:val="20"/>
          <w:color w:val="auto"/>
        </w:rPr>
      </w:pPr>
      <w:r>
        <w:rPr>
          <w:rFonts w:ascii="Arial" w:cs="Arial" w:eastAsia="Arial" w:hAnsi="Arial"/>
          <w:sz w:val="16"/>
          <w:szCs w:val="16"/>
          <w:color w:val="auto"/>
        </w:rPr>
        <w:t>“This Security is a Global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by a nominee of the Depository to the Depository or another nominee of the Depository or by the Depository or any such nominee to a successor Depository or a nominee of such a successor Depository.”</w:t>
      </w:r>
    </w:p>
    <w:p>
      <w:pPr>
        <w:spacing w:after="0" w:line="161" w:lineRule="exact"/>
        <w:rPr>
          <w:sz w:val="20"/>
          <w:szCs w:val="20"/>
          <w:color w:val="auto"/>
        </w:rPr>
      </w:pPr>
    </w:p>
    <w:p>
      <w:pPr>
        <w:ind w:right="460" w:firstLine="436"/>
        <w:spacing w:after="0" w:line="277" w:lineRule="auto"/>
        <w:tabs>
          <w:tab w:leader="none" w:pos="69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Depository, as a Holder, may appoint agents and otherwise authorize participants to give or take any request, demand, authorization, direction, notice, consent, waiver or other action which a Holder is entitled to give or take under the Indenture.</w:t>
      </w:r>
    </w:p>
    <w:p>
      <w:pPr>
        <w:spacing w:after="0" w:line="170" w:lineRule="exact"/>
        <w:rPr>
          <w:rFonts w:ascii="Arial" w:cs="Arial" w:eastAsia="Arial" w:hAnsi="Arial"/>
          <w:sz w:val="18"/>
          <w:szCs w:val="18"/>
          <w:color w:val="auto"/>
        </w:rPr>
      </w:pPr>
    </w:p>
    <w:p>
      <w:pPr>
        <w:ind w:right="60" w:firstLine="436"/>
        <w:spacing w:after="0" w:line="342" w:lineRule="auto"/>
        <w:tabs>
          <w:tab w:leader="none" w:pos="68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Notwithstanding the other provisions of this Indenture, unless otherwise specified as contemplated by Section 2.2, payment of the principal of, and interest and premium, if any, on, any Global Security shall be made to the Depository or its nominee in its capacity as the Holder thereof.</w:t>
      </w:r>
    </w:p>
    <w:p>
      <w:pPr>
        <w:spacing w:after="0" w:line="123" w:lineRule="exact"/>
        <w:rPr>
          <w:rFonts w:ascii="Arial" w:cs="Arial" w:eastAsia="Arial" w:hAnsi="Arial"/>
          <w:sz w:val="16"/>
          <w:szCs w:val="16"/>
          <w:color w:val="auto"/>
        </w:rPr>
      </w:pPr>
    </w:p>
    <w:p>
      <w:pPr>
        <w:ind w:right="160" w:firstLine="436"/>
        <w:spacing w:after="0" w:line="291" w:lineRule="auto"/>
        <w:tabs>
          <w:tab w:leader="none" w:pos="66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Except as provided in Section 2.15(e) above, the Company, the Trustee and any Agent shall treat a Person as the Holder of such principal amount of outstanding Securities of any Series represented by a Global Security as shall be specified in a written statement of the Depository (which may be in the form of a participants’ list for such Series) with respect to such Global Security, for purposes of obtaining any consents, declarations, waivers or directions required to be given by the Holders pursuant to this Indenture, PROVIDED, that until the Trustee is so provided with a written statement, it may treat the Depository or any other Person in whose name a Global Security is registered as the owner of such Global Security for the purpose of receiving payment of the principal of, and any premium and (subject to Section 2.13) any interest on, such Global Security and for all other purposes whatsoever, and none of the Company, the Trustee or any agent of the Company or the Trustee shall be affected by notice to the contrary.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2.16. PERSONS DEEMED OWNERS.</w:t>
      </w:r>
    </w:p>
    <w:p>
      <w:pPr>
        <w:spacing w:after="0" w:line="121" w:lineRule="exact"/>
        <w:rPr>
          <w:sz w:val="20"/>
          <w:szCs w:val="20"/>
          <w:color w:val="auto"/>
        </w:rPr>
      </w:pPr>
    </w:p>
    <w:p>
      <w:pPr>
        <w:ind w:right="260" w:firstLine="440"/>
        <w:spacing w:after="0" w:line="301" w:lineRule="auto"/>
        <w:rPr>
          <w:sz w:val="20"/>
          <w:szCs w:val="20"/>
          <w:color w:val="auto"/>
        </w:rPr>
      </w:pPr>
      <w:r>
        <w:rPr>
          <w:rFonts w:ascii="Arial" w:cs="Arial" w:eastAsia="Arial" w:hAnsi="Arial"/>
          <w:sz w:val="16"/>
          <w:szCs w:val="16"/>
          <w:color w:val="auto"/>
        </w:rPr>
        <w:t>Prior to due presentment of a Security for registration of transfer, the Company, the Trustee, the Registrar and any agent of the Company, the Registrar or the Trustee may treat the Person in whose name such Security is registered as the owner of such Security for the purpose of receiving payment of the principal of, and any premium and (subject to Section 2.13) any interest on, such Security and for all other purposes whatsoever, and none of the Company, the Trustee, the Registrar or any agent of the Company, the Trustee or the Registrar shall be affected by notice to the contrary.</w:t>
      </w: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3 -</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REDEMPTION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NOTICES TO TRUSTEE.</w:t>
      </w:r>
    </w:p>
    <w:p>
      <w:pPr>
        <w:spacing w:after="0" w:line="121"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or the related Board Resolution, supplemental indenture or Officers’ Certificate. If a Series of Securities is redeemable and the Company elects to redeem all or part of such Series of Securities, it shall notify the Trustee of the Redemption Date and the principal amount of Securities to be redeemed at least 45 days (unless a shorter notice shall be satisfactory to the Trustee) before the Redemption Date. Any such notice may be canceled at any time prior to notice of such redemption being mailed to any Holder, and shall thereby be void and of no effect.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SELECTION BY TRUSTEE OF SECURITIES TO BE REDEEMED.</w:t>
      </w:r>
    </w:p>
    <w:p>
      <w:pPr>
        <w:spacing w:after="0" w:line="121"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Unless otherwise indicated for a particular Series of Securities by a Board Resolution, a supplemental indenture or an Officers’ Certificate, if fewer than all of the Securities of a Series are to be redeemed, the Trustee shall select the Securities of a Series to be redeemed pro rata, by lot or by any other method that the Trustee considers fair and appropriate (unless the Company specifically directs the Trustee otherwise) and, if such Securities are listed on any securities exchange, by a method that complies with the requirements of such exchange.</w:t>
      </w:r>
    </w:p>
    <w:p>
      <w:pPr>
        <w:spacing w:after="0" w:line="171" w:lineRule="exact"/>
        <w:rPr>
          <w:sz w:val="20"/>
          <w:szCs w:val="20"/>
          <w:color w:val="auto"/>
        </w:rPr>
      </w:pPr>
    </w:p>
    <w:p>
      <w:pPr>
        <w:ind w:right="140" w:firstLine="440"/>
        <w:spacing w:after="0" w:line="291" w:lineRule="auto"/>
        <w:rPr>
          <w:sz w:val="20"/>
          <w:szCs w:val="20"/>
          <w:color w:val="auto"/>
        </w:rPr>
      </w:pPr>
      <w:r>
        <w:rPr>
          <w:rFonts w:ascii="Arial" w:cs="Arial" w:eastAsia="Arial" w:hAnsi="Arial"/>
          <w:sz w:val="16"/>
          <w:szCs w:val="16"/>
          <w:color w:val="auto"/>
        </w:rPr>
        <w:t>The Trustee shall make the selection from Securities of a Series outstanding and not previously called for redemption, and shall promptly notify the Company in writing of the Securities selected for redemption and, in the case of any Security selected for partial redemption, the principal amount thereof to be redeemed at least 35 but not more than 60 days before the Redemption Date. Securities of a Series in denominations of $1,000 may be redeemed only in whole. The Trustee may select for redemption portions of the principal of Securities of a Series that have denominations larger than $1,000. Securities of a Series and portions of them it selects shall be in amounts of $1,000 or, with respect to Securities of any Series issuable in other denominations pursuant to Section 2.2(10), the minimum principal denomination for each Series and integral multiples thereof. Provisions of this Indenture that apply to Securities called for redemption also apply to portions of Securities called for redemption.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NOTICE OF REDEMPTION.</w:t>
      </w:r>
    </w:p>
    <w:p>
      <w:pPr>
        <w:spacing w:after="0" w:line="12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Unless otherwise indicated for a particular Series by Board Resolution, a supplemental indenture hereto or an Officers’ Certificate, at least 30 days, and no more than 60 days, before a Redemption Date, the Company shall mail, or cause to be mailed, a notice of redemption by first-class mail to each Holder of Securities to be redeemed at his or her last address as the same appears on the registry books maintained by the Registrar. The notice shall identify the Securities to be redeemed and shall state:</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the Redemption Date;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440" w:top="270" w:right="519" w:bottom="1440" w:gutter="0" w:footer="0" w:header="0"/>
        </w:sectPr>
      </w:pPr>
    </w:p>
    <w:bookmarkStart w:id="115" w:name="page116"/>
    <w:bookmarkEnd w:id="115"/>
    <w:p>
      <w:pPr>
        <w:ind w:left="1240" w:hanging="253"/>
        <w:spacing w:after="0"/>
        <w:tabs>
          <w:tab w:leader="none" w:pos="12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redemption price, and that such redemption price shall become due and payable on the Redemption Date;</w:t>
      </w:r>
    </w:p>
    <w:p>
      <w:pPr>
        <w:spacing w:after="0" w:line="225" w:lineRule="exact"/>
        <w:rPr>
          <w:rFonts w:ascii="Arial" w:cs="Arial" w:eastAsia="Arial" w:hAnsi="Arial"/>
          <w:sz w:val="18"/>
          <w:szCs w:val="18"/>
          <w:color w:val="auto"/>
        </w:rPr>
      </w:pPr>
    </w:p>
    <w:p>
      <w:pPr>
        <w:ind w:right="260" w:firstLine="987"/>
        <w:spacing w:after="0" w:line="263" w:lineRule="auto"/>
        <w:tabs>
          <w:tab w:leader="none" w:pos="124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any Security of a Series is being redeemed in part, the portion of the principal amount of such Security of a Series to be redeemed and that, after the Redemption Date and upon surrender of such Security of a Series, a new Security or Securities in principal amount equal to the unredeemed portion will be issued;</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right="60" w:firstLine="987"/>
        <w:spacing w:after="0" w:line="277" w:lineRule="auto"/>
        <w:tabs>
          <w:tab w:leader="none" w:pos="124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that Securities of a Series called for redemption must be surrendered to the Paying Agent to collect the redemption price, and the place or places where each such Security is to be surrendered for such payment;</w:t>
      </w:r>
    </w:p>
    <w:p>
      <w:pPr>
        <w:spacing w:after="0" w:line="170" w:lineRule="exact"/>
        <w:rPr>
          <w:rFonts w:ascii="Arial" w:cs="Arial" w:eastAsia="Arial" w:hAnsi="Arial"/>
          <w:sz w:val="18"/>
          <w:szCs w:val="18"/>
          <w:color w:val="auto"/>
        </w:rPr>
      </w:pPr>
    </w:p>
    <w:p>
      <w:pPr>
        <w:ind w:firstLine="987"/>
        <w:spacing w:after="0" w:line="263" w:lineRule="auto"/>
        <w:tabs>
          <w:tab w:leader="none" w:pos="124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that, unless the Company defaults in making the redemption payment, interest on the Securities of a Series called for redemption ceases to accrue on the Redemption Date, and the only remaining right of the Holders of such Securities is to receive payment of the redemption price upon surrender to the Paying Agent of the Securities redeemed;</w:t>
      </w:r>
    </w:p>
    <w:p>
      <w:pPr>
        <w:spacing w:after="0" w:line="183" w:lineRule="exact"/>
        <w:rPr>
          <w:rFonts w:ascii="Arial" w:cs="Arial" w:eastAsia="Arial" w:hAnsi="Arial"/>
          <w:sz w:val="18"/>
          <w:szCs w:val="18"/>
          <w:color w:val="auto"/>
        </w:rPr>
      </w:pPr>
    </w:p>
    <w:p>
      <w:pPr>
        <w:ind w:right="300" w:firstLine="987"/>
        <w:spacing w:after="0" w:line="263" w:lineRule="auto"/>
        <w:tabs>
          <w:tab w:leader="none" w:pos="124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fewer than all of the Securities of a Series are to be redeemed, the identification of the particular Securities of a Series (or portion thereof) to be redeemed, as well as the aggregate principal amount of Securities of a Series to be redeemed and the aggregate principal amount of Securities of a Series to be outstanding after such partial redemption.</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CUSIP number, if any, printed on the Securities being redeemed; and</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that no representation is made as to the correctness or accuracy of the CUSIP number, if any, listed in such notice or printed on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the Company’s request, the Trustee shall give the notice of redemption in the Company’s name and at the Company’s sole expense.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 EFFECT OF NOTICE OF REDEMPTION.</w:t>
      </w:r>
    </w:p>
    <w:p>
      <w:pPr>
        <w:spacing w:after="0" w:line="121"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Once the notice of redemption described in Section 3.3 is mailed, Securities of a Series called for redemption become due and payable on the Redemption Date and at the redemption price, plus interest, if any, accrued to the Redemption Date. Upon surrender to the Trustee or Paying Agent, such Securities of a Series shall be paid at the redemption price, plus accrued interest, if any, to the Redemption Date; PROVIDED, that if the Redemption Date is after a regular interest payment record date and on or prior to the next Interest Payment Date, the accrued interest shall be payable to the Holder of the redeemed Securities registered on the relevant record date, as specified by the Company in the notice to the Trustee pursuant to Section 3.1.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 DEPOSIT OF REDEMPTION PRICE.</w:t>
      </w:r>
    </w:p>
    <w:p>
      <w:pPr>
        <w:spacing w:after="0" w:line="121" w:lineRule="exact"/>
        <w:rPr>
          <w:sz w:val="20"/>
          <w:szCs w:val="20"/>
          <w:color w:val="auto"/>
        </w:rPr>
      </w:pPr>
    </w:p>
    <w:p>
      <w:pPr>
        <w:ind w:right="180" w:firstLine="440"/>
        <w:spacing w:after="0" w:line="286" w:lineRule="auto"/>
        <w:rPr>
          <w:sz w:val="20"/>
          <w:szCs w:val="20"/>
          <w:color w:val="auto"/>
        </w:rPr>
      </w:pPr>
      <w:r>
        <w:rPr>
          <w:rFonts w:ascii="Arial" w:cs="Arial" w:eastAsia="Arial" w:hAnsi="Arial"/>
          <w:sz w:val="17"/>
          <w:szCs w:val="17"/>
          <w:color w:val="auto"/>
        </w:rPr>
        <w:t>On or prior to the Redemption Date (but no later than 11:00 A.M. Eastern Time on such date), the Company shall deposit with the Paying Agent money sufficient to pay the redemption price of and accrued interest, if any, on all Securities to be redeemed on that date other than Securities or portions thereof called for redemption on that date which have been delivered by the Company to the Trustee for cancellation.</w:t>
      </w:r>
    </w:p>
    <w:p>
      <w:pPr>
        <w:spacing w:after="0" w:line="16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On and after any Redemption Date, if money sufficient to pay the redemption price of, and accrued interest on, Securities called for redemption shall have been made available in accordance with the preceding paragraph and the Company and the Paying Agent are not prohibited from paying such moneys to Holders, the Securities called for redemption will cease to accrue interest and the only right of the Holders of such Securities will be to receive payment of the redemption price of and, subject to the proviso in Section 3.4, accrued and unpaid interest on such Securities to the Redemption Date. If any Security called for redemption shall not be so paid,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16" w:name="page117"/>
    <w:bookmarkEnd w:id="116"/>
    <w:p>
      <w:pPr>
        <w:ind w:right="4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 will be paid, from the Redemption Date until such redemption payment is made, on the unpaid principal of the Security and any interest or premium, if any, not paid on such unpaid principal, in each case, at the rate and in the manner provided in the Securities.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3.6. SECURITIES REDEEMED IN PART.</w:t>
      </w:r>
    </w:p>
    <w:p>
      <w:pPr>
        <w:spacing w:after="0" w:line="121" w:lineRule="exact"/>
        <w:rPr>
          <w:sz w:val="20"/>
          <w:szCs w:val="20"/>
          <w:color w:val="auto"/>
        </w:rPr>
      </w:pPr>
    </w:p>
    <w:p>
      <w:pPr>
        <w:ind w:right="320" w:firstLine="440"/>
        <w:spacing w:after="0" w:line="308" w:lineRule="auto"/>
        <w:rPr>
          <w:sz w:val="20"/>
          <w:szCs w:val="20"/>
          <w:color w:val="auto"/>
        </w:rPr>
      </w:pPr>
      <w:r>
        <w:rPr>
          <w:rFonts w:ascii="Arial" w:cs="Arial" w:eastAsia="Arial" w:hAnsi="Arial"/>
          <w:sz w:val="17"/>
          <w:szCs w:val="17"/>
          <w:color w:val="auto"/>
        </w:rPr>
        <w:t>Upon surrender of a Security of a Series that is redeemed in part, the Company shall execute, and the Trustee shall authenticate, for a Holder a new Security of the same Series equal in principal amount to the unredeemed portion of the Security surrendered.</w:t>
      </w:r>
    </w:p>
    <w:p>
      <w:pPr>
        <w:spacing w:after="0" w:line="35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4 -</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COVENANTS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PAYMENT OF SECURITIES.</w:t>
      </w:r>
    </w:p>
    <w:p>
      <w:pPr>
        <w:spacing w:after="0" w:line="12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 Company shall pay the principal of, and interest and premium, if any, on, each Series of Securities on the dates and in the manner provided in such Securities and this Indenture.</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An installment of principal or interest shall be considered paid on the date it is due if the Trustee or Paying Agent holds on that date money designated for and sufficient to pay such installment and is not prohibited from paying such money to the Holders pursuant to the terms of this Indenture or otherwise.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shall pay interest on overdue principal, and overdue interest, to the extent lawful, at the rate specified in the Series of Securities.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SEC REPORTS.</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Company will deliver to the Trustee within 15 days after the filing of the same with the SEC, copies of the quarterly and annual reports and of the information, documents and other reports, if any, which the Company is required to file with the SEC pursuant to Section 13 or 15(d) of the Exchange Act; PROVIDED, HOWEVER, that each such report or document will be deemed to be so delivered to the Trustee if the Company files such report or document with the SEC through the SEC’s EDGAR database no later than the time such report or document is required to be filed with the SEC pursuant to the Exchange Act. Notwithstanding that the Company may not be subject to the reporting requirements of Section 13 or 15(d) of the Exchange Act, the Company will file with the SEC, to the extent permitted, and provide the Trustee with, such quarterly and annual reports and such information, documents and other reports specified in Sections 13 and 15(d) of the Exchange Act. The Company will also comply with the other provisions of TIA Section 314(a).</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WAIVER OF STAY, EXTENSION OR USURY LAWS.</w:t>
      </w:r>
    </w:p>
    <w:p>
      <w:pPr>
        <w:spacing w:after="0" w:line="121" w:lineRule="exact"/>
        <w:rPr>
          <w:sz w:val="20"/>
          <w:szCs w:val="20"/>
          <w:color w:val="auto"/>
        </w:rPr>
      </w:pPr>
    </w:p>
    <w:p>
      <w:pPr>
        <w:jc w:val="both"/>
        <w:ind w:right="80" w:firstLine="440"/>
        <w:spacing w:after="0" w:line="293" w:lineRule="auto"/>
        <w:rPr>
          <w:sz w:val="20"/>
          <w:szCs w:val="20"/>
          <w:color w:val="auto"/>
        </w:rPr>
      </w:pPr>
      <w:r>
        <w:rPr>
          <w:rFonts w:ascii="Arial" w:cs="Arial" w:eastAsia="Arial" w:hAnsi="Arial"/>
          <w:sz w:val="16"/>
          <w:szCs w:val="16"/>
          <w:color w:val="auto"/>
        </w:rPr>
        <w:t>The Company covenants (to the extent that it may lawfully do so) that it will not at any time insist upon, or plead (as a defense or otherwise) or in any manner whatsoever claim or take the benefit or advantage of, any stay, extension, usury or other law which would prohibit or forgive the Company from paying all or any portion of the principal of, and/or interest and premium, if any, on, the Securities as contemplated herein, wherever enacted, now or at any time hereafter in force, or which may affect the covenants or the performance of this Indenture; and the Company hereby expressly waives (to the extent that they may lawfully do so)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17" w:name="page118"/>
    <w:bookmarkEnd w:id="11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4.4. COMPLIANCE CERTIFICATE.</w:t>
      </w:r>
    </w:p>
    <w:p>
      <w:pPr>
        <w:spacing w:after="0" w:line="121" w:lineRule="exact"/>
        <w:rPr>
          <w:sz w:val="20"/>
          <w:szCs w:val="20"/>
          <w:color w:val="auto"/>
        </w:rPr>
      </w:pPr>
    </w:p>
    <w:p>
      <w:pPr>
        <w:ind w:left="4" w:firstLine="436"/>
        <w:spacing w:after="0" w:line="269" w:lineRule="auto"/>
        <w:tabs>
          <w:tab w:leader="none" w:pos="689"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Company shall deliver to the Trustee, within 120 days after the end of each fiscal year of the Company, an Officers’ Certificate which complies with TIA Section 314(a)(4) stating that a review of the activities of the Company and its Subsidiaries during such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that there is no default in the performance or observance of any of the terms, provisions and conditions hereof (or, if a Default or Event of Default shall have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or premium, if any, on, the Securities is prohibited, or if such event has occurred, a description of the event and what action the Company is taking or proposes to take with respect thereto.</w:t>
      </w:r>
    </w:p>
    <w:p>
      <w:pPr>
        <w:spacing w:after="0" w:line="185" w:lineRule="exact"/>
        <w:rPr>
          <w:rFonts w:ascii="Arial" w:cs="Arial" w:eastAsia="Arial" w:hAnsi="Arial"/>
          <w:sz w:val="17"/>
          <w:szCs w:val="17"/>
          <w:color w:val="auto"/>
        </w:rPr>
      </w:pPr>
    </w:p>
    <w:p>
      <w:pPr>
        <w:ind w:left="4" w:right="120" w:firstLine="436"/>
        <w:spacing w:after="0" w:line="259" w:lineRule="auto"/>
        <w:tabs>
          <w:tab w:leader="none" w:pos="69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If any Default or Event of Default has occurred and is continuing or (ii) if any Holder seeks to exercise any remedy hereunder with respect to a claimed Default under this Indenture or the Securities, within five Business Days after the Company becoming aware of such occurrence the Company shall deliver to the Trustee an Officers’ Certificate specifying such event, notice or other action and what action the Company is taking or proposes to take with respect thereto.</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4.5. CORPORATE EXISTENCE.</w:t>
      </w:r>
    </w:p>
    <w:p>
      <w:pPr>
        <w:spacing w:after="0" w:line="121"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Subject to Article 5, the Company shall do or cause to be done all things necessary to preserve and keep in full force and effect its corporate existence, in accordance with the organizational documents (as the same may be amended from time to time) of the Company and the rights (charter and statutory), licenses and franchises of the Company; PROVIDED, HOWEVER, that the Company shall not be required to preserve any such right, license or franchise, or its corporate existence, if the Board of Directors shall determine that the preservation thereof is no longer desirable in the conduct of the business of the Company and that the loss thereof is not adverse in any material respect to the Holders.</w:t>
      </w:r>
    </w:p>
    <w:p>
      <w:pPr>
        <w:spacing w:after="0" w:line="38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5 -</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SUCCESSOR CORPORATION</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5.1. LIMITATION ON CONSOLIDATION, MERGER AND SALE OF ASSETS.</w:t>
      </w:r>
    </w:p>
    <w:p>
      <w:pPr>
        <w:spacing w:after="0" w:line="121" w:lineRule="exact"/>
        <w:rPr>
          <w:sz w:val="20"/>
          <w:szCs w:val="20"/>
          <w:color w:val="auto"/>
        </w:rPr>
      </w:pPr>
    </w:p>
    <w:p>
      <w:pPr>
        <w:ind w:left="4" w:firstLine="436"/>
        <w:spacing w:after="0" w:line="283" w:lineRule="auto"/>
        <w:tabs>
          <w:tab w:leader="none" w:pos="689"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The Company will not, in any transaction or series of transactions, merge or consolidate with or into, or sell, assign, convey, transfer, lease or otherwise dispose of all or substantially all of its properties and assets (as an entirety or substantially as an entirety in one transaction or a series of related transactions), to any Person or Persons, unless at the time of and after giving effect thereto (i) either (A) if the transaction or series of transactions is a merger or consolidation, the Company shall be the surviving Person of such merger or consolidation, or (B) the Person formed by such consolidation or into which the Company is merged or to which the properties and assets of the Company are transferred (any such surviving Person or transferee Person being the “Surviving Entity”) shall be a corporation organized and existing under the laws of the United States of America, any state thereof or the District of Columbia, or a corporation or comparable legal entity organized under the laws of a foreign jurisdiction and shall expressly assume by a supplemental indenture executed and delivered to the Trustee, in form reasonably satisfactory to the Trustee, all of the obligations of the Company (including, without limitation, the obligation to pay the principal of, and premium and interest, if any, on, the Securities and the performance of the other covenants) under the Securities of each Series and this Indenture, and in each case, this Indenture shall remain in full force and effect; and</w:t>
      </w:r>
    </w:p>
    <w:p>
      <w:pPr>
        <w:spacing w:after="0" w:line="4" w:lineRule="exact"/>
        <w:rPr>
          <w:rFonts w:ascii="Arial" w:cs="Arial" w:eastAsia="Arial" w:hAnsi="Arial"/>
          <w:sz w:val="16"/>
          <w:szCs w:val="16"/>
          <w:color w:val="auto"/>
        </w:rPr>
      </w:pPr>
    </w:p>
    <w:p>
      <w:pPr>
        <w:ind w:left="264" w:hanging="264"/>
        <w:spacing w:after="0"/>
        <w:tabs>
          <w:tab w:leader="none" w:pos="26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or series of transactions on a pro forma basis (including,</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0" w:right="459" w:bottom="1440" w:gutter="0" w:footer="0" w:header="0"/>
        </w:sectPr>
      </w:pPr>
    </w:p>
    <w:bookmarkStart w:id="118" w:name="page119"/>
    <w:bookmarkEnd w:id="118"/>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limitation, any Indebtedness incurred or anticipated to be incurred in connection with or in respect of such transaction or series of transactions), no Default or Event of Default shall have occurred and be continuing.</w:t>
      </w:r>
    </w:p>
    <w:p>
      <w:pPr>
        <w:spacing w:after="0" w:line="170" w:lineRule="exact"/>
        <w:rPr>
          <w:sz w:val="20"/>
          <w:szCs w:val="20"/>
          <w:color w:val="auto"/>
        </w:rPr>
      </w:pPr>
    </w:p>
    <w:p>
      <w:pPr>
        <w:jc w:val="both"/>
        <w:ind w:right="60" w:firstLine="436"/>
        <w:spacing w:after="0" w:line="279" w:lineRule="auto"/>
        <w:tabs>
          <w:tab w:leader="none" w:pos="69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 connection with any consolidation, merger or transfer of assets contemplated by this Section 5.1, the Company shall deliver, or cause to be delivered, to the Trustee, in form and substance reasonably satisfactory to the Trustee, an Officers’ Certificate and an Opinion of Counsel, each stating that such consolidation, merger or transfer, and the supplemental indenture in respect thereto, comply with this Section 5.1, and that all conditions precedent herein provided for relating to such transaction or transactions have been complied with.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 SUCCESSOR PERSON SUBSTITUTED.</w:t>
      </w:r>
    </w:p>
    <w:p>
      <w:pPr>
        <w:spacing w:after="0" w:line="121"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Upon any consolidation, merger or transfer of all or substantially all of the assets of the Company in accordance with Section 5.1 above, the successor corporation formed by such consolidation, or into which the Company is merged or to which such transfer is made, shall succeed to, and be substituted for, and may exercise every right and power of, the Company under this Indenture with the same effect as if such successor corporation had been named as the Company herein, and thereafter (except with respect to any such transfer which is a lease) the predecessor corporation shall be relieved of all obligations and covenants under this Indenture and the Securities.</w:t>
      </w: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6 -</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DEFAULTS AND REMEDIES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 EVENTS OF DEFAULT.</w:t>
      </w:r>
    </w:p>
    <w:p>
      <w:pPr>
        <w:spacing w:after="0" w:line="12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“Events of Default,”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76" w:lineRule="exact"/>
        <w:rPr>
          <w:sz w:val="20"/>
          <w:szCs w:val="20"/>
          <w:color w:val="auto"/>
        </w:rPr>
      </w:pPr>
    </w:p>
    <w:p>
      <w:pPr>
        <w:ind w:right="60" w:firstLine="987"/>
        <w:spacing w:after="0" w:line="277" w:lineRule="auto"/>
        <w:tabs>
          <w:tab w:leader="none" w:pos="124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there is a default in the payment of any principal of, or premium, if any, on, the Securities when the same becomes due and payable at Maturity, upon acceleration, redemption or otherwise;</w:t>
      </w:r>
    </w:p>
    <w:p>
      <w:pPr>
        <w:spacing w:after="0" w:line="170" w:lineRule="exact"/>
        <w:rPr>
          <w:rFonts w:ascii="Arial" w:cs="Arial" w:eastAsia="Arial" w:hAnsi="Arial"/>
          <w:sz w:val="18"/>
          <w:szCs w:val="18"/>
          <w:color w:val="auto"/>
        </w:rPr>
      </w:pPr>
    </w:p>
    <w:p>
      <w:pPr>
        <w:ind w:right="120" w:firstLine="987"/>
        <w:spacing w:after="0" w:line="277" w:lineRule="auto"/>
        <w:tabs>
          <w:tab w:leader="none" w:pos="124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there is a default in the payment of any interest on any Security of a Series when the same becomes due and payable, and the Default continues for a period of 30 days;</w:t>
      </w:r>
    </w:p>
    <w:p>
      <w:pPr>
        <w:spacing w:after="0" w:line="170" w:lineRule="exact"/>
        <w:rPr>
          <w:rFonts w:ascii="Arial" w:cs="Arial" w:eastAsia="Arial" w:hAnsi="Arial"/>
          <w:sz w:val="18"/>
          <w:szCs w:val="18"/>
          <w:color w:val="auto"/>
        </w:rPr>
      </w:pPr>
    </w:p>
    <w:p>
      <w:pPr>
        <w:ind w:right="120" w:firstLine="987"/>
        <w:spacing w:after="0" w:line="286" w:lineRule="auto"/>
        <w:tabs>
          <w:tab w:leader="none" w:pos="124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Company defaults in the observance or performance of any other covenant in the Securities of a Series or in this Indenture for 60 days after written notice from the Trustee or the Holders of not less than 25% in the aggregate principal amount of the Securities of such Series then outstanding, which notice must specify the Default, demand that it be remedied and state that the notice is a “Notice of Default”;</w:t>
      </w:r>
    </w:p>
    <w:p>
      <w:pPr>
        <w:spacing w:after="0" w:line="165" w:lineRule="exact"/>
        <w:rPr>
          <w:rFonts w:ascii="Arial" w:cs="Arial" w:eastAsia="Arial" w:hAnsi="Arial"/>
          <w:sz w:val="17"/>
          <w:szCs w:val="17"/>
          <w:color w:val="auto"/>
        </w:rPr>
      </w:pPr>
    </w:p>
    <w:p>
      <w:pPr>
        <w:ind w:left="1240" w:hanging="253"/>
        <w:spacing w:after="0"/>
        <w:tabs>
          <w:tab w:leader="none" w:pos="12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Bankruptcy Law:</w:t>
      </w:r>
    </w:p>
    <w:p>
      <w:pPr>
        <w:spacing w:after="0" w:line="117" w:lineRule="exact"/>
        <w:rPr>
          <w:rFonts w:ascii="Arial" w:cs="Arial" w:eastAsia="Arial" w:hAnsi="Arial"/>
          <w:sz w:val="18"/>
          <w:szCs w:val="18"/>
          <w:color w:val="auto"/>
        </w:rPr>
      </w:pPr>
    </w:p>
    <w:p>
      <w:pPr>
        <w:ind w:left="1720" w:hanging="292"/>
        <w:spacing w:after="0"/>
        <w:tabs>
          <w:tab w:leader="none" w:pos="17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1720" w:hanging="292"/>
        <w:spacing w:after="0"/>
        <w:tabs>
          <w:tab w:leader="none" w:pos="17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1720" w:hanging="292"/>
        <w:spacing w:after="0"/>
        <w:tabs>
          <w:tab w:leader="none" w:pos="17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225" w:lineRule="exact"/>
        <w:rPr>
          <w:rFonts w:ascii="Arial" w:cs="Arial" w:eastAsia="Arial" w:hAnsi="Arial"/>
          <w:sz w:val="18"/>
          <w:szCs w:val="18"/>
          <w:color w:val="auto"/>
        </w:rPr>
      </w:pPr>
    </w:p>
    <w:p>
      <w:pPr>
        <w:ind w:left="1720" w:hanging="292"/>
        <w:spacing w:after="0"/>
        <w:tabs>
          <w:tab w:leader="none" w:pos="17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1700" w:hanging="272"/>
        <w:spacing w:after="0"/>
        <w:tabs>
          <w:tab w:leader="none" w:pos="17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440" w:top="274" w:right="539" w:bottom="1440" w:gutter="0" w:footer="0" w:header="0"/>
        </w:sectPr>
      </w:pPr>
    </w:p>
    <w:bookmarkStart w:id="119" w:name="page120"/>
    <w:bookmarkEnd w:id="119"/>
    <w:p>
      <w:pPr>
        <w:ind w:left="1240" w:hanging="253"/>
        <w:spacing w:after="0"/>
        <w:tabs>
          <w:tab w:leader="none" w:pos="12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720" w:hanging="292"/>
        <w:spacing w:after="0"/>
        <w:tabs>
          <w:tab w:leader="none" w:pos="17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an involuntary case;</w:t>
      </w:r>
    </w:p>
    <w:p>
      <w:pPr>
        <w:spacing w:after="0" w:line="225" w:lineRule="exact"/>
        <w:rPr>
          <w:rFonts w:ascii="Arial" w:cs="Arial" w:eastAsia="Arial" w:hAnsi="Arial"/>
          <w:sz w:val="18"/>
          <w:szCs w:val="18"/>
          <w:color w:val="auto"/>
        </w:rPr>
      </w:pPr>
    </w:p>
    <w:p>
      <w:pPr>
        <w:ind w:right="20" w:firstLine="1428"/>
        <w:spacing w:after="0" w:line="277" w:lineRule="auto"/>
        <w:tabs>
          <w:tab w:leader="none" w:pos="171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appoints a Custodian of the Company or any Significant Subsidiary, or for all or substantially all of the property of the Company or any Significant Subsidiary; or</w:t>
      </w:r>
    </w:p>
    <w:p>
      <w:pPr>
        <w:spacing w:after="0" w:line="170" w:lineRule="exact"/>
        <w:rPr>
          <w:rFonts w:ascii="Arial" w:cs="Arial" w:eastAsia="Arial" w:hAnsi="Arial"/>
          <w:sz w:val="18"/>
          <w:szCs w:val="18"/>
          <w:color w:val="auto"/>
        </w:rPr>
      </w:pPr>
    </w:p>
    <w:p>
      <w:pPr>
        <w:ind w:left="1720" w:hanging="292"/>
        <w:spacing w:after="0"/>
        <w:tabs>
          <w:tab w:leader="none" w:pos="172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orders the liquidation of the Company or any Significant Subsidiary, and the order or decree remains unstayed and in effect for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90 consecutive days; or</w:t>
      </w:r>
    </w:p>
    <w:p>
      <w:pPr>
        <w:spacing w:after="0" w:line="210" w:lineRule="exact"/>
        <w:rPr>
          <w:rFonts w:ascii="Arial" w:cs="Arial" w:eastAsia="Arial" w:hAnsi="Arial"/>
          <w:sz w:val="16"/>
          <w:szCs w:val="16"/>
          <w:color w:val="auto"/>
        </w:rPr>
      </w:pPr>
    </w:p>
    <w:p>
      <w:pPr>
        <w:ind w:right="120" w:firstLine="987"/>
        <w:spacing w:after="0" w:line="277" w:lineRule="auto"/>
        <w:tabs>
          <w:tab w:leader="none" w:pos="124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which is specified in a Board Resolution, a supplemental indenture hereto or an Officers’ Certificate, in accordance with Section 2.2(19).</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term “Bankruptcy Law” means Title 11, U.S. Code, or any similar federal or state law for the relief of debtors. The term “Custodian” means any receiver, trustee, assignee, liquidator or similar official under any Bankruptcy Law.</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Trustee may withhold notice of any Default (except in the payment of the principal of, or interest or premium, if any, on, the Securities) to the Holders of the Securities of any Series in accordance with Section 7.5. When a Default is cured, it ceases to exist.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 ACCELERATION.</w:t>
      </w:r>
    </w:p>
    <w:p>
      <w:pPr>
        <w:spacing w:after="0" w:line="12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If an Event of Default with respect to Securities of any Series at the time outstanding (other than an Event of Default arising under Section 6.1(4) or (5)) occurs and is continuing, the Trustee by written notice to the Company, or the Holders of not less than 25% in aggregate principal amount of the Securities of that Series then outstanding by written notice to the Company and the Trustee, may declare that the entire principal amount of all the Securities of that Series then outstanding plus accrued and unpaid interest to the date of acceleration are immediately due and payable, in which case such amounts shall become immediately due and payable; PROVIDED, HOWEVER, that after such acceleration but before a judgment or decree based on such acceleration is obtained by the Trustee, the Holders of a majority in aggregate principal amount of the outstanding Securities of that Series may rescind and annul such acceleration and its consequences if (i) all existing Events of Default, other than the nonpayment of accelerated principal, interest or premium, if any, that has become due solely because of the acceleration, have been cured or waived, (ii) to the extent the payment of such interest is lawful, interest on overdue installments of interest and overdue principal, which has become due otherwise than by such declaration of acceleration, has been paid and (iii) the rescission would not conflict with any judgment or decree. No such rescission shall affect any subsequent Default or impair any right consequent thereto. In case an Event of Default specified in Section 6.1(4) or (5) with respect to the Company occurs, such principal, premium, if any, and interest amount with respect to all of the Securities of that Series shall be due and payable immediately without any declaration or other act on the part of the Trustee or the Holders of the Securities of that Series.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 REMEDIES.</w:t>
      </w:r>
    </w:p>
    <w:p>
      <w:pPr>
        <w:spacing w:after="0" w:line="121"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If an Event of Default with respect to Securities of any Series at the time outstanding occurs and is continuing, the Trustee may pursue any available remedy by proceeding at law or in equity to collect the payment of the principal of, or interest and premium, if any, on, the Securities of that Series, or to enforce the performance of any provision of the Securities of that Series or this Indenture.</w:t>
      </w:r>
    </w:p>
    <w:p>
      <w:pPr>
        <w:spacing w:after="0" w:line="184" w:lineRule="exact"/>
        <w:rPr>
          <w:sz w:val="20"/>
          <w:szCs w:val="20"/>
          <w:color w:val="auto"/>
        </w:rPr>
      </w:pPr>
    </w:p>
    <w:p>
      <w:pPr>
        <w:jc w:val="both"/>
        <w:ind w:right="360" w:firstLine="440"/>
        <w:spacing w:after="0" w:line="263" w:lineRule="auto"/>
        <w:rPr>
          <w:sz w:val="20"/>
          <w:szCs w:val="20"/>
          <w:color w:val="auto"/>
        </w:rPr>
      </w:pPr>
      <w:r>
        <w:rPr>
          <w:rFonts w:ascii="Arial" w:cs="Arial" w:eastAsia="Arial" w:hAnsi="Arial"/>
          <w:sz w:val="18"/>
          <w:szCs w:val="18"/>
          <w:color w:val="auto"/>
        </w:rPr>
        <w:t>The Trustee may maintain a proceeding even if it does not possess any of the Securities of that Series or does not produce any of them in the proceeding. A delay or omission by the Trustee or any Securityholder in exercising any right or remedy accruing upon an Event of Default shall not impair the right or remedy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20" w:name="page121"/>
    <w:bookmarkEnd w:id="120"/>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constitute a waiver of or acquiescence in the Event of Default. No remedy is exclusive of any other remedy. All available remedies are cumulative to the extent permitted by law.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6.4. WAIVER OF PAST DEFAULTS AND EVENTS OF DEFAULT.</w:t>
      </w:r>
    </w:p>
    <w:p>
      <w:pPr>
        <w:spacing w:after="0" w:line="121"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Subject to Sections 6.2, 6.7 and 8.2, the Holders of a majority in principal amount of the Securities of any Series then outstanding have the right to waive any existing Default or Event of Default with respect to such Series or compliance with any provision of this Indenture (with respect to such Series) or the Securities of such Series. Upon any such waiver, such Default with respect to such Series shall cease to exist, and any Event of Default with respect to such Series arising therefrom shall be deemed to have been cured for every purpose of this Indenture; but no such waiver shall extend to any subsequent or other Default or Event of Default or impair any right consequent thereto. This Section 6.4 shall be in lieu of TIA Section 316(a)(1) (B), and TIA Section 316(a)(1)(B) is hereby expressly excluded from this Indenture and Section as permitted by the TIA.</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6.5. CONTROL BY MAJORITY.</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Subject to Sections 6.2, 6.7 and 8.2, the Holders of a majority in principal amount of the Securities of any Series then outstanding may direct the time, method and place of conducting any proceeding for any remedy available to the Trustee or exercising any trust or power conferred on the Trustee by this Indenture with respect to such Series. The Trustee, however, may refuse to follow any direction that conflicts with law or this Indenture, or that the Trustee determines may be unduly prejudicial to the rights of another Securityholder, or that may involve the Trustee in personal liability; PROVIDED, that the Trustee may take any other action deemed proper by the Trustee which is not inconsistent with such direction. This Section 6.5 shall be in lieu of TIA Section 316(a)(1)(A), and TIA Section 316(a)(1)(A) is hereby expressly excluded from this Indenture and Section as permitted by the TIA.</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6.6. LIMITATION ON SUITS.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Subject to Section 6.7, a Securityholder may not institute any proceeding or pursue any remedy with respect to this Indenture or the Securities of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Series unless:</w:t>
      </w:r>
    </w:p>
    <w:p>
      <w:pPr>
        <w:spacing w:after="0" w:line="103" w:lineRule="exact"/>
        <w:rPr>
          <w:sz w:val="20"/>
          <w:szCs w:val="20"/>
          <w:color w:val="auto"/>
        </w:rPr>
      </w:pPr>
    </w:p>
    <w:p>
      <w:pPr>
        <w:ind w:left="1240" w:hanging="253"/>
        <w:spacing w:after="0"/>
        <w:tabs>
          <w:tab w:leader="none" w:pos="12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Holder gives to the Trustee written notice of a continuing Event of Default with respect to the Securities of that Series;</w:t>
      </w:r>
    </w:p>
    <w:p>
      <w:pPr>
        <w:spacing w:after="0" w:line="225" w:lineRule="exact"/>
        <w:rPr>
          <w:rFonts w:ascii="Arial" w:cs="Arial" w:eastAsia="Arial" w:hAnsi="Arial"/>
          <w:sz w:val="18"/>
          <w:szCs w:val="18"/>
          <w:color w:val="auto"/>
        </w:rPr>
      </w:pPr>
    </w:p>
    <w:p>
      <w:pPr>
        <w:ind w:right="240" w:firstLine="987"/>
        <w:spacing w:after="0" w:line="277" w:lineRule="auto"/>
        <w:tabs>
          <w:tab w:leader="none" w:pos="124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Securities of such Series then outstanding make a written request to the Trustee to pursue the remedy;</w:t>
      </w:r>
    </w:p>
    <w:p>
      <w:pPr>
        <w:spacing w:after="0" w:line="170" w:lineRule="exact"/>
        <w:rPr>
          <w:rFonts w:ascii="Arial" w:cs="Arial" w:eastAsia="Arial" w:hAnsi="Arial"/>
          <w:sz w:val="18"/>
          <w:szCs w:val="18"/>
          <w:color w:val="auto"/>
        </w:rPr>
      </w:pPr>
    </w:p>
    <w:p>
      <w:pPr>
        <w:ind w:right="100" w:firstLine="987"/>
        <w:spacing w:after="0" w:line="277" w:lineRule="auto"/>
        <w:tabs>
          <w:tab w:leader="none" w:pos="124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such Holder or Holders offer to the Trustee indemnity reasonably satisfactory to the Trustee against any loss, liability or expense to be incurred in compliance with such request;</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225" w:lineRule="exact"/>
        <w:rPr>
          <w:rFonts w:ascii="Arial" w:cs="Arial" w:eastAsia="Arial" w:hAnsi="Arial"/>
          <w:sz w:val="18"/>
          <w:szCs w:val="18"/>
          <w:color w:val="auto"/>
        </w:rPr>
      </w:pPr>
    </w:p>
    <w:p>
      <w:pPr>
        <w:ind w:right="620" w:firstLine="987"/>
        <w:spacing w:after="0" w:line="277" w:lineRule="auto"/>
        <w:tabs>
          <w:tab w:leader="none" w:pos="124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aggregate principal amount of the Securities of such Series then outstanding.</w:t>
      </w:r>
    </w:p>
    <w:p>
      <w:pPr>
        <w:spacing w:after="0" w:line="170"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A Securityholder may not use this Indenture to prejudice the rights of another Securityholder, or to obtain a preference or priority over another Securityholder.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6.7. RIGHTS OF HOLDERS TO RECEIVE PAYMENT.</w:t>
      </w:r>
    </w:p>
    <w:p>
      <w:pPr>
        <w:spacing w:after="0" w:line="12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Notwithstanding any other provision of this Indenture, the right of any Holder of a Security of a Series to receive payment of the principal of, and interest and premium, if any, on, the Security of such Series on or after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121" w:name="page122"/>
    <w:bookmarkEnd w:id="121"/>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respective due dates expressed in the Security of such Series, or to bring suit for the enforcement of any such payment on or after such respective dates, is absolute and unconditional, and shall not be impaired or affected without the consent of the Holder.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6.8. COLLECTION SUIT BY TRUSTEE.</w:t>
      </w:r>
    </w:p>
    <w:p>
      <w:pPr>
        <w:spacing w:after="0" w:line="121"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If an Event of Default in payment of principal, interest or premium, if any, specified in Section 6.1(1) or (2) with respect to Securities of any Series at the time outstanding occurs and is continuing, the Trustee may recover judgment in its own name and as trustee of an express trust against the Company (or any other obligor on the Securities of that Series) for the whole amount of unpaid principal and premium, if any, and accrued interest remaining unpaid, together with interest on overdue principal and premium, if any, and, to the extent that payment of such interest is lawful, interest on overdue installments of interest, in each case at the rate then borne by the Securities of that Series, and such further amounts as shall be sufficient to cover the costs and expenses of collection, including the reasonable compensation, expenses, disbursements and advances of the Trustee, its agents and counsel, as set forth in Section 7.7.</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6.9. TRUSTEE MAY FILE PROOFS OF CLAIM.</w:t>
      </w:r>
    </w:p>
    <w:p>
      <w:pPr>
        <w:spacing w:after="0" w:line="121"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The Trustee may file such proofs of claim and other papers or documents, and take other actions (including sitting on a committee of creditors), as may be necessary or advisable in order to have the claims of the Trustee (including any claim for the reasonable compensation, expenses, disbursements and advances of the Trustee, its agents and counsel) and the Securityholders allowed in any judicial proceedings relative to the Company (or any other obligor on the Securities), any of their respective creditors or any of their respective property, and the Trustee shall be entitled and empowered to collect and receive any monies or other property payable or deliverable on any such claims, and to distribute the same after deduction of its charges and expenses to the extent that any such charges and expenses are not paid out of the estate in any such proceedings, and any custodian in any such judicial proceeding is hereby authorized by each Securityholder to make such payments to the Trustee, and in the event that the Trustee shall consent to the making of such payments directly to the Securityholders, to pay to the Trustee any amount due to it for the reasonable compensation, expenses, disbursements and advances of the Trustee, its agents and counsel, and any other amounts due the Trustee under Section 7.7.</w:t>
      </w:r>
    </w:p>
    <w:p>
      <w:pPr>
        <w:spacing w:after="0" w:line="166"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Securityholder, any plan of reorganization, arrangement, adjustment or composition affecting the Securities of a Series or the rights of any Holder thereof, or to authorize the Trustee to vote in respect of the claim of any Securityholder in any such proceedings.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6.10. PRIORITIES.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Trustee collects any money pursuant to this Article 6, it shall pay out the money in the following order:</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FIRST: to the Trustee for amounts due under Section 7.7;</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SECOND: to Securityholders for amounts then due and unpaid for the principal of, and interest and premium, if any, on, the Securities in respect of which, or for the benefit of which, such money has been collected, ratably, without preference or priority of any kind, according to the amounts due and payable on such Securities; for principal and any premium and interest, respectively; and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THIRD: to the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122" w:name="page123"/>
    <w:bookmarkEnd w:id="122"/>
    <w:p>
      <w:pPr>
        <w:ind w:right="2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may fix a record date and payment date for any payment to Securityholders pursuant to this Section 6.10. At least 15 days before such record date, the Trustee shall mail to each Securityholder a notice that states the record date, the payment date and amount to be paid.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6.11. UNDERTAKING FOR COSTS.</w:t>
      </w:r>
    </w:p>
    <w:p>
      <w:pPr>
        <w:spacing w:after="0" w:line="12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pursuant to Section 6.7 or a suit by Holders of more than 10% in principal amount of the Securities of a Series then outstanding.</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TRUSTEE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 DUTIES OF TRUSTEE.</w:t>
      </w:r>
    </w:p>
    <w:p>
      <w:pPr>
        <w:spacing w:after="0" w:line="121" w:lineRule="exact"/>
        <w:rPr>
          <w:sz w:val="20"/>
          <w:szCs w:val="20"/>
          <w:color w:val="auto"/>
        </w:rPr>
      </w:pPr>
    </w:p>
    <w:p>
      <w:pPr>
        <w:jc w:val="both"/>
        <w:ind w:right="20" w:firstLine="436"/>
        <w:spacing w:after="0" w:line="263" w:lineRule="auto"/>
        <w:tabs>
          <w:tab w:leader="none" w:pos="68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such of the rights and powers vested in it by this Indenture and use the same degree of care and skill in their exercise as a prudent Person would exercise or use under the same circumstances in the conduct of his own affairs.</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17" w:lineRule="exact"/>
        <w:rPr>
          <w:rFonts w:ascii="Arial" w:cs="Arial" w:eastAsia="Arial" w:hAnsi="Arial"/>
          <w:sz w:val="18"/>
          <w:szCs w:val="18"/>
          <w:color w:val="auto"/>
        </w:rPr>
      </w:pPr>
    </w:p>
    <w:p>
      <w:pPr>
        <w:ind w:right="340" w:firstLine="987"/>
        <w:spacing w:after="0" w:line="277" w:lineRule="auto"/>
        <w:tabs>
          <w:tab w:leader="none" w:pos="1246"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covenants or obligations shall be implied in this Indenture against the Trustee.</w:t>
      </w:r>
    </w:p>
    <w:p>
      <w:pPr>
        <w:spacing w:after="0" w:line="170" w:lineRule="exact"/>
        <w:rPr>
          <w:rFonts w:ascii="Arial" w:cs="Arial" w:eastAsia="Arial" w:hAnsi="Arial"/>
          <w:sz w:val="18"/>
          <w:szCs w:val="18"/>
          <w:color w:val="auto"/>
        </w:rPr>
      </w:pPr>
    </w:p>
    <w:p>
      <w:pPr>
        <w:ind w:right="160" w:firstLine="987"/>
        <w:spacing w:after="0" w:line="279" w:lineRule="auto"/>
        <w:tabs>
          <w:tab w:leader="none" w:pos="1246" w:val="left"/>
        </w:tabs>
        <w:numPr>
          <w:ilvl w:val="1"/>
          <w:numId w:val="113"/>
        </w:numPr>
        <w:rPr>
          <w:rFonts w:ascii="Arial" w:cs="Arial" w:eastAsia="Arial" w:hAnsi="Arial"/>
          <w:sz w:val="17"/>
          <w:szCs w:val="17"/>
          <w:color w:val="auto"/>
        </w:rPr>
      </w:pPr>
      <w:r>
        <w:rPr>
          <w:rFonts w:ascii="Arial" w:cs="Arial" w:eastAsia="Arial" w:hAnsi="Arial"/>
          <w:sz w:val="17"/>
          <w:szCs w:val="17"/>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71" w:lineRule="exact"/>
        <w:rPr>
          <w:rFonts w:ascii="Arial" w:cs="Arial" w:eastAsia="Arial" w:hAnsi="Arial"/>
          <w:sz w:val="17"/>
          <w:szCs w:val="17"/>
          <w:color w:val="auto"/>
        </w:rPr>
      </w:pPr>
    </w:p>
    <w:p>
      <w:pPr>
        <w:ind w:right="480" w:firstLine="436"/>
        <w:spacing w:after="0" w:line="277" w:lineRule="auto"/>
        <w:tabs>
          <w:tab w:leader="none" w:pos="68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Trustee may not be relieved from liability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7.1.</w:t>
      </w:r>
    </w:p>
    <w:p>
      <w:pPr>
        <w:spacing w:after="0" w:line="225" w:lineRule="exact"/>
        <w:rPr>
          <w:rFonts w:ascii="Arial" w:cs="Arial" w:eastAsia="Arial" w:hAnsi="Arial"/>
          <w:sz w:val="18"/>
          <w:szCs w:val="18"/>
          <w:color w:val="auto"/>
        </w:rPr>
      </w:pPr>
    </w:p>
    <w:p>
      <w:pPr>
        <w:ind w:right="500" w:firstLine="987"/>
        <w:spacing w:after="0" w:line="277" w:lineRule="auto"/>
        <w:tabs>
          <w:tab w:leader="none" w:pos="1246"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w:t>
      </w:r>
    </w:p>
    <w:p>
      <w:pPr>
        <w:spacing w:after="0" w:line="170" w:lineRule="exact"/>
        <w:rPr>
          <w:rFonts w:ascii="Arial" w:cs="Arial" w:eastAsia="Arial" w:hAnsi="Arial"/>
          <w:sz w:val="18"/>
          <w:szCs w:val="18"/>
          <w:color w:val="auto"/>
        </w:rPr>
      </w:pPr>
    </w:p>
    <w:p>
      <w:pPr>
        <w:ind w:right="120" w:firstLine="987"/>
        <w:spacing w:after="0" w:line="277" w:lineRule="auto"/>
        <w:tabs>
          <w:tab w:leader="none" w:pos="1246"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it takes or omits to take in good faith in accordance with a direction received by it pursuant to Sections 6.2 and 6.5.</w:t>
      </w:r>
    </w:p>
    <w:p>
      <w:pPr>
        <w:spacing w:after="0" w:line="170" w:lineRule="exact"/>
        <w:rPr>
          <w:rFonts w:ascii="Arial" w:cs="Arial" w:eastAsia="Arial" w:hAnsi="Arial"/>
          <w:sz w:val="18"/>
          <w:szCs w:val="18"/>
          <w:color w:val="auto"/>
        </w:rPr>
      </w:pPr>
    </w:p>
    <w:p>
      <w:pPr>
        <w:ind w:right="600" w:firstLine="436"/>
        <w:spacing w:after="0" w:line="263" w:lineRule="auto"/>
        <w:tabs>
          <w:tab w:leader="none" w:pos="69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rights or powers if it shall have reasonable grounds for believing that repayment of such funds or adequate indemnity satisfactory to it against such risk or liability is not reasonably assured to it.</w:t>
      </w:r>
    </w:p>
    <w:p>
      <w:pPr>
        <w:spacing w:after="0" w:line="183" w:lineRule="exact"/>
        <w:rPr>
          <w:rFonts w:ascii="Arial" w:cs="Arial" w:eastAsia="Arial" w:hAnsi="Arial"/>
          <w:sz w:val="18"/>
          <w:szCs w:val="18"/>
          <w:color w:val="auto"/>
        </w:rPr>
      </w:pPr>
    </w:p>
    <w:p>
      <w:pPr>
        <w:ind w:right="120" w:firstLine="436"/>
        <w:spacing w:after="0" w:line="277" w:lineRule="auto"/>
        <w:tabs>
          <w:tab w:leader="none" w:pos="68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Whether or not therein expressly so provided, paragraphs (a), (b), (c) and (d) of this Section 7.1 shall govern every provision of this Indenture that in any way relates to the Trustee.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123" w:name="page124"/>
    <w:bookmarkEnd w:id="123"/>
    <w:p>
      <w:pPr>
        <w:jc w:val="both"/>
        <w:ind w:firstLine="436"/>
        <w:spacing w:after="0" w:line="263" w:lineRule="auto"/>
        <w:tabs>
          <w:tab w:leader="none" w:pos="665" w:val="left"/>
        </w:tabs>
        <w:numPr>
          <w:ilvl w:val="0"/>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and Paying Agent shall not be liable for interest on any money received by either of them, except as the Trustee and Paying Agent may agree in writing with the Company. Money held in trust by the Trustee need not be segregated from other funds except to the extent required by the law.</w:t>
      </w:r>
    </w:p>
    <w:p>
      <w:pPr>
        <w:spacing w:after="0" w:line="183" w:lineRule="exact"/>
        <w:rPr>
          <w:rFonts w:ascii="Arial" w:cs="Arial" w:eastAsia="Arial" w:hAnsi="Arial"/>
          <w:sz w:val="18"/>
          <w:szCs w:val="18"/>
          <w:color w:val="auto"/>
        </w:rPr>
      </w:pPr>
    </w:p>
    <w:p>
      <w:pPr>
        <w:ind w:right="140" w:firstLine="436"/>
        <w:spacing w:after="0" w:line="277" w:lineRule="auto"/>
        <w:tabs>
          <w:tab w:leader="none" w:pos="69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Paying Agent, the Registrar and any authenticating agent shall be entitled to the protections, immunities and standard of care set forth in paragraphs (a), (b), (c), (d) and (f) of this Section 7.1 and in Section 7.2 with respect to the Trustee.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 RIGHTS OF TRUSTEE.</w:t>
      </w:r>
    </w:p>
    <w:p>
      <w:pPr>
        <w:spacing w:after="0" w:line="121" w:lineRule="exact"/>
        <w:rPr>
          <w:sz w:val="20"/>
          <w:szCs w:val="20"/>
          <w:color w:val="auto"/>
        </w:rPr>
      </w:pPr>
    </w:p>
    <w:p>
      <w:pPr>
        <w:ind w:left="680" w:hanging="244"/>
        <w:spacing w:after="0"/>
        <w:tabs>
          <w:tab w:leader="none" w:pos="6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Subject to Section 7.1:</w:t>
      </w:r>
    </w:p>
    <w:p>
      <w:pPr>
        <w:spacing w:after="0" w:line="117" w:lineRule="exact"/>
        <w:rPr>
          <w:rFonts w:ascii="Arial" w:cs="Arial" w:eastAsia="Arial" w:hAnsi="Arial"/>
          <w:sz w:val="18"/>
          <w:szCs w:val="18"/>
          <w:color w:val="auto"/>
        </w:rPr>
      </w:pPr>
    </w:p>
    <w:p>
      <w:pPr>
        <w:ind w:right="40" w:firstLine="987"/>
        <w:spacing w:after="0" w:line="342" w:lineRule="auto"/>
        <w:tabs>
          <w:tab w:leader="none" w:pos="1246"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 Trustee may rely on, and shall be protected in acting or refraining from acting upon, any document reasonably believed by it to be genuine and to have been signed or presented by the proper Person. The Trustee need not investigate any fact or matter stated in the document.</w:t>
      </w:r>
    </w:p>
    <w:p>
      <w:pPr>
        <w:spacing w:after="0" w:line="123" w:lineRule="exact"/>
        <w:rPr>
          <w:rFonts w:ascii="Arial" w:cs="Arial" w:eastAsia="Arial" w:hAnsi="Arial"/>
          <w:sz w:val="16"/>
          <w:szCs w:val="16"/>
          <w:color w:val="auto"/>
        </w:rPr>
      </w:pPr>
    </w:p>
    <w:p>
      <w:pPr>
        <w:jc w:val="both"/>
        <w:ind w:right="160" w:firstLine="987"/>
        <w:spacing w:after="0" w:line="263" w:lineRule="auto"/>
        <w:tabs>
          <w:tab w:leader="none" w:pos="124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or an Opinion of Counsel, or both, which shall conform to the provisions of Section 10.5. The Trustee shall be protected and shall not be liable for any action it takes or omits to take in good faith in reliance on such certificate or opinion.</w:t>
      </w:r>
    </w:p>
    <w:p>
      <w:pPr>
        <w:spacing w:after="0" w:line="183" w:lineRule="exact"/>
        <w:rPr>
          <w:rFonts w:ascii="Arial" w:cs="Arial" w:eastAsia="Arial" w:hAnsi="Arial"/>
          <w:sz w:val="18"/>
          <w:szCs w:val="18"/>
          <w:color w:val="auto"/>
        </w:rPr>
      </w:pPr>
    </w:p>
    <w:p>
      <w:pPr>
        <w:ind w:right="700" w:firstLine="987"/>
        <w:spacing w:after="0" w:line="277" w:lineRule="auto"/>
        <w:tabs>
          <w:tab w:leader="none" w:pos="124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Trustee may act through agents and attorneys, and shall not be responsible for the misconduct or negligence of any agent appointed by it with due care.</w:t>
      </w:r>
    </w:p>
    <w:p>
      <w:pPr>
        <w:spacing w:after="0" w:line="170" w:lineRule="exact"/>
        <w:rPr>
          <w:rFonts w:ascii="Arial" w:cs="Arial" w:eastAsia="Arial" w:hAnsi="Arial"/>
          <w:sz w:val="18"/>
          <w:szCs w:val="18"/>
          <w:color w:val="auto"/>
        </w:rPr>
      </w:pPr>
    </w:p>
    <w:p>
      <w:pPr>
        <w:ind w:right="320" w:firstLine="987"/>
        <w:spacing w:after="0" w:line="277" w:lineRule="auto"/>
        <w:tabs>
          <w:tab w:leader="none" w:pos="124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reasonably believes to be authorized or within its rights or powers.</w:t>
      </w:r>
    </w:p>
    <w:p>
      <w:pPr>
        <w:spacing w:after="0" w:line="170" w:lineRule="exact"/>
        <w:rPr>
          <w:rFonts w:ascii="Arial" w:cs="Arial" w:eastAsia="Arial" w:hAnsi="Arial"/>
          <w:sz w:val="18"/>
          <w:szCs w:val="18"/>
          <w:color w:val="auto"/>
        </w:rPr>
      </w:pPr>
    </w:p>
    <w:p>
      <w:pPr>
        <w:ind w:right="20" w:firstLine="987"/>
        <w:spacing w:after="0" w:line="263" w:lineRule="auto"/>
        <w:tabs>
          <w:tab w:leader="none" w:pos="124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Trustee may consult with counsel reasonably acceptable to the Trustee, which may be counsel to the Company, and the advice or opinion of such counsel as to matters of law shall be full and complete authorization and protection from liability in respect of any action taken, omitted or suffered by it hereunder in good faith and in accordance with the advice or opinion of such counsel.</w:t>
      </w:r>
    </w:p>
    <w:p>
      <w:pPr>
        <w:spacing w:after="0" w:line="183" w:lineRule="exact"/>
        <w:rPr>
          <w:rFonts w:ascii="Arial" w:cs="Arial" w:eastAsia="Arial" w:hAnsi="Arial"/>
          <w:sz w:val="18"/>
          <w:szCs w:val="18"/>
          <w:color w:val="auto"/>
        </w:rPr>
      </w:pPr>
    </w:p>
    <w:p>
      <w:pPr>
        <w:ind w:right="100" w:firstLine="987"/>
        <w:spacing w:after="0" w:line="263" w:lineRule="auto"/>
        <w:tabs>
          <w:tab w:leader="none" w:pos="124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order or direction of any of the Holders pursuant to the provisions of this Indenture, unless such Holders shall have offered to the Trustee reasonable security or indemnity against the costs, expenses and liabilities which may be incurred therein or thereby.</w:t>
      </w:r>
    </w:p>
    <w:p>
      <w:pPr>
        <w:spacing w:after="0" w:line="183" w:lineRule="exact"/>
        <w:rPr>
          <w:rFonts w:ascii="Arial" w:cs="Arial" w:eastAsia="Arial" w:hAnsi="Arial"/>
          <w:sz w:val="18"/>
          <w:szCs w:val="18"/>
          <w:color w:val="auto"/>
        </w:rPr>
      </w:pPr>
    </w:p>
    <w:p>
      <w:pPr>
        <w:ind w:right="40" w:firstLine="987"/>
        <w:spacing w:after="0" w:line="277" w:lineRule="auto"/>
        <w:tabs>
          <w:tab w:leader="none" w:pos="124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Trustee shall not be deemed to have knowledge of any fact or matter (including, without limitation, a Default or Event of Default) unless such fact or matter is known to a Responsible Officer of the Trustee.</w:t>
      </w:r>
    </w:p>
    <w:p>
      <w:pPr>
        <w:spacing w:after="0" w:line="170" w:lineRule="exact"/>
        <w:rPr>
          <w:rFonts w:ascii="Arial" w:cs="Arial" w:eastAsia="Arial" w:hAnsi="Arial"/>
          <w:sz w:val="18"/>
          <w:szCs w:val="18"/>
          <w:color w:val="auto"/>
        </w:rPr>
      </w:pPr>
    </w:p>
    <w:p>
      <w:pPr>
        <w:ind w:firstLine="987"/>
        <w:spacing w:after="0" w:line="255" w:lineRule="auto"/>
        <w:tabs>
          <w:tab w:leader="none" w:pos="124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Unless otherwise expressly provided herein or in the Securities of a Series or the related Board Resolution, supplemental indenture or Officers’ Certificate, the Trustee shall not have any responsibility with respect to reports, notices, certificates or other documents filed with it hereunder, except to make them available for inspection, at reasonable times, by Securityholders, it being understood that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(except as set forth in Section 4.4).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7.3. INDIVIDUAL RIGHTS OF TRUSTEE.</w:t>
      </w:r>
    </w:p>
    <w:p>
      <w:pPr>
        <w:spacing w:after="0" w:line="12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make loans to, accept deposits from, perform services for or otherwise deal with the Company, or any Affiliate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274" w:right="499" w:bottom="1440" w:gutter="0" w:footer="0" w:header="0"/>
        </w:sectPr>
      </w:pPr>
    </w:p>
    <w:bookmarkStart w:id="124" w:name="page125"/>
    <w:bookmarkEnd w:id="124"/>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thereof, with the same rights it would have if it were not Trustee. Any Agent may do the same with like rights. The Trustee, however, shall be subject to Sections 7.10 and 7.11.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7.4. TRUSTEE’S DISCLAIMER.</w:t>
      </w:r>
    </w:p>
    <w:p>
      <w:pPr>
        <w:spacing w:after="0" w:line="121"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The Trustee makes no representation as to the validity or adequacy of this Indenture or the Securities (except that the Trustee represents that it is duly authorized to execute and deliver this Indenture and authenticate the Securities and perform its obligations hereunder), and the Trustee shall not be accountable for the Company’s use of the proceeds from the sale of Securities or any money paid to the Company pursuant to the terms of this Indenture, and the Trustee shall not be responsible for any statement in the Securities other than its certificates of authentication.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7.5. NOTICE OF DEFAULT.</w:t>
      </w:r>
    </w:p>
    <w:p>
      <w:pPr>
        <w:spacing w:after="0" w:line="121"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If a Default or an Event of Default occurs and is continuing with respect to the Securities of any Series, and if it is known to the Trustee, the Trustee shall mail to each Securityholder of the Securities of that Series notice of the Default or the Event of Default, as the case may be, within 90 days after it occurs or, if later, after a Responsible Officer of the Trustee has knowledge of such Default or Event of Default (except if such Default or Event of Default has been validly cured or waived before the giving of such notice). Except in the case of a Default or an Event of Default in payment of the principal of, or interest or premium, if any, on, any Security of any Series, the Trustee may withhold the notice if and so long as the Board of Directors of the Trustee, the executive committee or any trust committee of such board and/or its Responsible Officers in good faith determine(s) that withholding the notice is in the interests of the Securityholders of that Series.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7.6. REPORTS BY TRUSTEE TO HOLDERS.</w:t>
      </w:r>
    </w:p>
    <w:p>
      <w:pPr>
        <w:spacing w:after="0" w:line="121"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If and to the extent required by the TIA, within 60 days after April 1 of each year, commencing the April 1 following the date of this Indenture, the Trustee shall mail to each Securityholder a brief report dated as of such April 1 that complies with TIA Section 313(a). The Trustee also shall comply with TIA Sections 313(b) and 313(c).</w:t>
      </w:r>
    </w:p>
    <w:p>
      <w:pPr>
        <w:spacing w:after="0" w:line="18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A copy of each report at the time of its mailing to Securityholders shall be filed with the SEC and any stock exchange on which the Securities of that Series are listed. The Company shall promptly notify the Trustee when the Securities of any Series are listed on any stock exchange or any delisting thereof, and the Trustee shall comply with TIA Section 313(d).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7.7. COMPENSATION AND INDEMNITY.</w:t>
      </w:r>
    </w:p>
    <w:p>
      <w:pPr>
        <w:spacing w:after="0" w:line="121"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Company shall pay to the Trustee from time to time reasonable compensation for its services. The Trustee’s compensation shall not be limited by any provision of law on compensation of a trustee of an express trust. The Company shall reimburse the Trustee within 45 days after receipt of request for all reasonable out-of-pocket disbursements and expenses incurred or made by it in connection with its duties under this Indenture, including the reasonable compensation, disbursements and expenses of the Trustee’s agents and counsel.</w:t>
      </w:r>
    </w:p>
    <w:p>
      <w:pPr>
        <w:spacing w:after="0" w:line="17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Company shall indemnify the Trustee for, and hold it harmless against, any and all loss or liability incurred by it in connection with the acceptance or performance of its duties under this Indenture including the reasonable costs and expenses of defending itself against any claim or liability in connection with the exercise or performance of any of its powers or duties hereunder. The Trustee shall notify the Company promptly of any claim asserted against the Trustee for which it may seek indemnity.</w:t>
      </w:r>
    </w:p>
    <w:p>
      <w:pPr>
        <w:spacing w:after="0" w:line="18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The failure by the Trustee to so notify the Company shall not however relieve the Company of its obligations. Notwithstanding the foregoing, the Company need not reimburse the Trustee for any expense or indemnify it against any loss or liability incurred by the Trustee through its negligence or bad faith. To secure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125" w:name="page126"/>
    <w:bookmarkEnd w:id="125"/>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payment obligations of the Company in this Section 7.7, the Trustee shall have a lien prior to the Securities of any Series on all money or property held or collected by the Trustee except such money or property held in trust to pay the principal of, interest and premium, if any, on particular Securities of that Series.</w:t>
      </w:r>
    </w:p>
    <w:p>
      <w:pPr>
        <w:spacing w:after="0" w:line="184"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6.1(4) or (5) occurs, the expenses and the compensation for the services are intended to constitute expenses of administration under any Bankruptcy Law.</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Section 7.7, the term “Trustee” shall include any trustee appointed pursuant to this Article 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7.8. REPLACEMENT OF TRUSTEE.</w:t>
      </w:r>
    </w:p>
    <w:p>
      <w:pPr>
        <w:spacing w:after="0" w:line="12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Trustee may resign with respect to the Securities of one or more Series by so notifying the Company in writing at least 90 days in advance of such resignation.</w:t>
      </w:r>
    </w:p>
    <w:p>
      <w:pPr>
        <w:spacing w:after="0" w:line="170" w:lineRule="exact"/>
        <w:rPr>
          <w:sz w:val="20"/>
          <w:szCs w:val="20"/>
          <w:color w:val="auto"/>
        </w:rPr>
      </w:pPr>
    </w:p>
    <w:p>
      <w:pPr>
        <w:ind w:right="220" w:firstLine="440"/>
        <w:spacing w:after="0" w:line="311" w:lineRule="auto"/>
        <w:rPr>
          <w:sz w:val="20"/>
          <w:szCs w:val="20"/>
          <w:color w:val="auto"/>
        </w:rPr>
      </w:pPr>
      <w:r>
        <w:rPr>
          <w:rFonts w:ascii="Arial" w:cs="Arial" w:eastAsia="Arial" w:hAnsi="Arial"/>
          <w:sz w:val="16"/>
          <w:szCs w:val="16"/>
          <w:color w:val="auto"/>
        </w:rPr>
        <w:t>The Holders of a majority in principal amount of the outstanding Securities of any Series may remove the Trustee with respect to that Series by notifying the removed Trustee in writing and may appoint a successor Trustee with respect to that Series with the consent of the Company, which consent shall not be unreasonably withheld. The Company may remove the Trustee with respect to that Series at its election if:</w:t>
      </w:r>
    </w:p>
    <w:p>
      <w:pPr>
        <w:spacing w:after="0" w:line="41" w:lineRule="exact"/>
        <w:rPr>
          <w:sz w:val="20"/>
          <w:szCs w:val="20"/>
          <w:color w:val="auto"/>
        </w:rPr>
      </w:pPr>
    </w:p>
    <w:p>
      <w:pPr>
        <w:ind w:left="1240" w:hanging="253"/>
        <w:spacing w:after="0"/>
        <w:tabs>
          <w:tab w:leader="none" w:pos="12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Trustee fails to comply with, or ceases to be eligible under, Section 7.10;</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11" w:lineRule="exact"/>
        <w:rPr>
          <w:sz w:val="20"/>
          <w:szCs w:val="20"/>
          <w:color w:val="auto"/>
        </w:rPr>
      </w:pPr>
    </w:p>
    <w:p>
      <w:pPr>
        <w:ind w:left="1240" w:hanging="253"/>
        <w:spacing w:after="0"/>
        <w:tabs>
          <w:tab w:leader="none" w:pos="12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Custodian or other public officer takes charge of the Trustee or its property; or</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Trustee otherwise becomes incapable of acting.</w:t>
      </w:r>
    </w:p>
    <w:p>
      <w:pPr>
        <w:spacing w:after="0" w:line="225" w:lineRule="exact"/>
        <w:rPr>
          <w:rFonts w:ascii="Arial" w:cs="Arial" w:eastAsia="Arial" w:hAnsi="Arial"/>
          <w:sz w:val="18"/>
          <w:szCs w:val="18"/>
          <w:color w:val="auto"/>
        </w:rPr>
      </w:pPr>
    </w:p>
    <w:p>
      <w:pPr>
        <w:ind w:right="440" w:firstLine="987"/>
        <w:spacing w:after="0" w:line="277" w:lineRule="auto"/>
        <w:tabs>
          <w:tab w:leader="none" w:pos="124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the Trustee resigns or is removed, or if a vacancy exists in the office of Trustee, with respect to any Series of Securities for any reason, the Company shall promptly appoint, by Board Resolution, a successor Trustee.</w:t>
      </w:r>
    </w:p>
    <w:p>
      <w:pPr>
        <w:spacing w:after="0" w:line="17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If a successor Trustee with respect to the Securities of one or more Series does not take office within 60 days after the retiring Trustee resigns or is removed, the retiring Trustee, the Company or the Holders of at least 10% in principal amount of the outstanding Securities of the applicable Series may petition any court of competent jurisdiction for the appointment of a successor Trustee.</w:t>
      </w:r>
    </w:p>
    <w:p>
      <w:pPr>
        <w:spacing w:after="0" w:line="184"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If the Trustee with respect to the Securities of one or more Series fails to comply with Section 7.10, any Securityholder of the applicable Series may petition any court of competent jurisdiction for the removal of the Trustee and the appointment of a successor Trustee.</w:t>
      </w:r>
    </w:p>
    <w:p>
      <w:pPr>
        <w:spacing w:after="0" w:line="146"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A successor Trustee shall deliver a written acceptance of its appointment to the retiring Trustee and to the Company. Immediately following such delivery, (i) the retiring Trustee with respect to one or more Series shall, subject to its rights under Section 7.7, transfer all property held by it as Trustee with respect to such Series to the successor Trustee, (ii) the resignation or removal of the retiring Trustee shall become effective and (iii) the successor Trustee with respect to such Series shall have all the rights, powers and duties of the Trustee under this Indenture. A successor Trustee with respect to the Securities of one or more Series shall mail notice of its succession to each Securityholder of such Series.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7.9. SUCCESSOR TRUSTEE BY CONSOLIDATION, MERGER OR CONVERSION.</w:t>
      </w:r>
    </w:p>
    <w:p>
      <w:pPr>
        <w:spacing w:after="0" w:line="121"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If the Trustee, or any Agent, consolidates with, merges or converts into, or transfers all or substantially all of its corporate trust assets to, another corporation, subject to Section 7.10, the successor corporation without any further act shall be the successor Trustee or Agent, as the case may be.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7.10. ELIGIBILITY; DISQUALIFICATION.</w:t>
      </w:r>
    </w:p>
    <w:p>
      <w:pPr>
        <w:spacing w:after="0" w:line="121"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This Indenture shall always have a Trustee who satisfies the requirements of TIA Sections 310(a)(1), (2) and (5) in every respect. The Trustee (or in the case of a Trustee that is a Person included in a bank holding company system, the related bank holding company) shall have a combined capital and surplus of at least $100,000,000 as set forth in its most recent published annual report of condition. The Trustee shall comply with TIA</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Section 310(b), including the provision in Section 310(b)(1). In addition, if the Trustee is a Person included in a bank holding company system, the Trustee, independently of such bank holding company, shall meet the capital requirements of TIA Section 310(a)(2). If at any time the Trustee shall cease to be eligible in accordance with the provisions of this Section 7.10, it shall resign immediately in the manner and with the effect specified in this Article 7.</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7.11. PREFERENTIAL COLLECTION OF CLAIMS AGAINST COMPANY.</w:t>
      </w:r>
    </w:p>
    <w:p>
      <w:pPr>
        <w:spacing w:after="0" w:line="12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Trustee shall comply with TIA Section 311(a), excluding any creditor relationship listed in TIA Section 311(b). A Trustee who has resigned or been removed shall be subject to TIA Section 311(a) to the extent indicated therein.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7.12. PAYING AGENTS.</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Company shall cause each Paying Agent other than the Trustee to execute and deliver to it and the Trustee an instrument in which such agent shall agree with the Trustee, subject to the provisions of this Section 7.12:</w:t>
      </w:r>
    </w:p>
    <w:p>
      <w:pPr>
        <w:spacing w:after="0" w:line="62" w:lineRule="exact"/>
        <w:rPr>
          <w:sz w:val="20"/>
          <w:szCs w:val="20"/>
          <w:color w:val="auto"/>
        </w:rPr>
      </w:pPr>
    </w:p>
    <w:p>
      <w:pPr>
        <w:ind w:right="120" w:firstLine="987"/>
        <w:spacing w:after="0" w:line="263" w:lineRule="auto"/>
        <w:tabs>
          <w:tab w:leader="none" w:pos="124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that it will hold all sums held by it as agent for the payment of the principal of, or interest or premium, if any, on, the Securities (whether such sums have been paid to it by the Company or by any obligor on the Securities) in trust for the benefit of Holders of the Securities or the Trustee;</w:t>
      </w:r>
    </w:p>
    <w:p>
      <w:pPr>
        <w:spacing w:after="0" w:line="183" w:lineRule="exact"/>
        <w:rPr>
          <w:rFonts w:ascii="Arial" w:cs="Arial" w:eastAsia="Arial" w:hAnsi="Arial"/>
          <w:sz w:val="18"/>
          <w:szCs w:val="18"/>
          <w:color w:val="auto"/>
        </w:rPr>
      </w:pPr>
    </w:p>
    <w:p>
      <w:pPr>
        <w:ind w:right="20" w:firstLine="987"/>
        <w:spacing w:after="0" w:line="277" w:lineRule="auto"/>
        <w:tabs>
          <w:tab w:leader="none" w:pos="124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that it will at any time during the continuance of any Event of Default, upon written request from the Trustee, deliver to the Trustee all sums so held in trust by it together with a full accounting thereof; and</w:t>
      </w:r>
    </w:p>
    <w:p>
      <w:pPr>
        <w:spacing w:after="0" w:line="170" w:lineRule="exact"/>
        <w:rPr>
          <w:rFonts w:ascii="Arial" w:cs="Arial" w:eastAsia="Arial" w:hAnsi="Arial"/>
          <w:sz w:val="18"/>
          <w:szCs w:val="18"/>
          <w:color w:val="auto"/>
        </w:rPr>
      </w:pPr>
    </w:p>
    <w:p>
      <w:pPr>
        <w:jc w:val="both"/>
        <w:ind w:right="460" w:firstLine="987"/>
        <w:spacing w:after="0" w:line="263" w:lineRule="auto"/>
        <w:tabs>
          <w:tab w:leader="none" w:pos="124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that it will give the Trustee written notice within three Business Days after any failure of the Company (or by any obligor on the Securities) in the payment of any installment of the principal of, or interest or premium, if any, on, the Securities when the same shall be due and payable.</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8 -</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AMENDMENTS, SUPPLEMENTS AND WAIVERS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 WITHOUT CONSENT OF HOLDERS.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when authorized by a Board Resolution, and the Trustee may amend or supplement this Indenture or the Securities of one or more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Series without notice to or consent of any Securityholder:</w:t>
      </w:r>
    </w:p>
    <w:p>
      <w:pPr>
        <w:spacing w:after="0" w:line="103" w:lineRule="exact"/>
        <w:rPr>
          <w:sz w:val="20"/>
          <w:szCs w:val="20"/>
          <w:color w:val="auto"/>
        </w:rPr>
      </w:pPr>
    </w:p>
    <w:p>
      <w:pPr>
        <w:ind w:left="1240" w:hanging="253"/>
        <w:spacing w:after="0"/>
        <w:tabs>
          <w:tab w:leader="none" w:pos="12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comply with Section 5.1;</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provide for certificated Securities in addition to uncertificated Securities;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comply with any requirements of the SEC under the TIA;</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20"/>
          </w:cols>
          <w:pgMar w:left="440" w:top="270" w:right="539" w:bottom="1440" w:gutter="0" w:footer="0" w:header="0"/>
        </w:sectPr>
      </w:pPr>
    </w:p>
    <w:bookmarkStart w:id="127" w:name="page128"/>
    <w:bookmarkEnd w:id="127"/>
    <w:p>
      <w:pPr>
        <w:ind w:right="360" w:firstLine="987"/>
        <w:spacing w:after="0" w:line="277" w:lineRule="auto"/>
        <w:tabs>
          <w:tab w:leader="none" w:pos="1246" w:val="left"/>
        </w:tabs>
        <w:numPr>
          <w:ilvl w:val="0"/>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cure any ambiguity, defect or inconsistency, or to make any other change herein or in the Securities that does not materially and adversely affect the rights of any Securityholder;</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Securities of any Series as permitted by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Indenture; or</w:t>
      </w:r>
    </w:p>
    <w:p>
      <w:pPr>
        <w:spacing w:after="0" w:line="210" w:lineRule="exact"/>
        <w:rPr>
          <w:rFonts w:ascii="Arial" w:cs="Arial" w:eastAsia="Arial" w:hAnsi="Arial"/>
          <w:sz w:val="17"/>
          <w:szCs w:val="17"/>
          <w:color w:val="auto"/>
        </w:rPr>
      </w:pPr>
    </w:p>
    <w:p>
      <w:pPr>
        <w:jc w:val="both"/>
        <w:ind w:right="280" w:firstLine="987"/>
        <w:spacing w:after="0" w:line="263" w:lineRule="auto"/>
        <w:tabs>
          <w:tab w:leader="none" w:pos="124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184"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The Trustee is hereby authorized to join with the Company in the execution of any supplemental indenture authorized or permitted by the terms of this Indenture, and to make any further appropriate agreements and stipulations which may be therein contained, but the Trustee shall not be obligated to enter into any such supplemental indenture which adversely affects its own rights, duties or immunities under this Indenture.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8.2. WITH CONSENT OF HOLDERS.</w:t>
      </w:r>
    </w:p>
    <w:p>
      <w:pPr>
        <w:spacing w:after="0" w:line="121" w:lineRule="exact"/>
        <w:rPr>
          <w:sz w:val="20"/>
          <w:szCs w:val="20"/>
          <w:color w:val="auto"/>
        </w:rPr>
      </w:pPr>
    </w:p>
    <w:p>
      <w:pPr>
        <w:ind w:firstLine="436"/>
        <w:spacing w:after="0" w:line="273" w:lineRule="auto"/>
        <w:tabs>
          <w:tab w:leader="none" w:pos="68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Company, when authorized by a Board Resolution, and the Trustee may amend or supplement this Indenture or the Securities of one or more Series with the written consent of the Holders of not less than a majority in aggregate principal amount of the outstanding Securities of such Series affected by such amendment or supplement without notice to any Securityholder. The Holders of not less than a majority in aggregate principal amount of the outstanding Securities of each such Series affected by such amendment or supplement may waive compliance by the Company in a particular instance with any provision of this Indenture or the Securities of such Series without notice to any Securityholder. Subject to Section 8.4, without the consent of each Securityholder affected, however, an amendment, supplement or waiver may not:</w:t>
      </w:r>
    </w:p>
    <w:p>
      <w:pPr>
        <w:spacing w:after="0" w:line="69" w:lineRule="exact"/>
        <w:rPr>
          <w:rFonts w:ascii="Arial" w:cs="Arial" w:eastAsia="Arial" w:hAnsi="Arial"/>
          <w:sz w:val="17"/>
          <w:szCs w:val="17"/>
          <w:color w:val="auto"/>
        </w:rPr>
      </w:pPr>
    </w:p>
    <w:p>
      <w:pPr>
        <w:ind w:left="1240" w:hanging="253"/>
        <w:spacing w:after="0"/>
        <w:tabs>
          <w:tab w:leader="none" w:pos="124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reduce the amount of Securities whose Holders must consent to an amendment, supplement or waiver to this Indenture or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210" w:lineRule="exact"/>
        <w:rPr>
          <w:rFonts w:ascii="Arial" w:cs="Arial" w:eastAsia="Arial" w:hAnsi="Arial"/>
          <w:sz w:val="17"/>
          <w:szCs w:val="17"/>
          <w:color w:val="auto"/>
        </w:rPr>
      </w:pPr>
    </w:p>
    <w:p>
      <w:pPr>
        <w:ind w:left="1240" w:hanging="253"/>
        <w:spacing w:after="0"/>
        <w:tabs>
          <w:tab w:leader="none" w:pos="124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Security;</w:t>
      </w:r>
    </w:p>
    <w:p>
      <w:pPr>
        <w:spacing w:after="0" w:line="225" w:lineRule="exact"/>
        <w:rPr>
          <w:rFonts w:ascii="Arial" w:cs="Arial" w:eastAsia="Arial" w:hAnsi="Arial"/>
          <w:sz w:val="18"/>
          <w:szCs w:val="18"/>
          <w:color w:val="auto"/>
        </w:rPr>
      </w:pPr>
    </w:p>
    <w:p>
      <w:pPr>
        <w:ind w:right="580" w:firstLine="987"/>
        <w:spacing w:after="0" w:line="277" w:lineRule="auto"/>
        <w:tabs>
          <w:tab w:leader="none" w:pos="1246" w:val="left"/>
        </w:tabs>
        <w:numPr>
          <w:ilvl w:val="1"/>
          <w:numId w:val="121"/>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Security, or reduce the amount of, or postpone the date fixed for, the payment of any sinking fund or analogous obligation;</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make any Security payable in money other than that stated in the Security;</w:t>
      </w:r>
    </w:p>
    <w:p>
      <w:pPr>
        <w:spacing w:after="0" w:line="225" w:lineRule="exact"/>
        <w:rPr>
          <w:rFonts w:ascii="Arial" w:cs="Arial" w:eastAsia="Arial" w:hAnsi="Arial"/>
          <w:sz w:val="18"/>
          <w:szCs w:val="18"/>
          <w:color w:val="auto"/>
        </w:rPr>
      </w:pPr>
    </w:p>
    <w:p>
      <w:pPr>
        <w:ind w:right="400" w:firstLine="987"/>
        <w:spacing w:after="0" w:line="277" w:lineRule="auto"/>
        <w:tabs>
          <w:tab w:leader="none" w:pos="1246" w:val="left"/>
        </w:tabs>
        <w:numPr>
          <w:ilvl w:val="1"/>
          <w:numId w:val="121"/>
        </w:numPr>
        <w:rPr>
          <w:rFonts w:ascii="Arial" w:cs="Arial" w:eastAsia="Arial" w:hAnsi="Arial"/>
          <w:sz w:val="18"/>
          <w:szCs w:val="18"/>
          <w:color w:val="auto"/>
        </w:rPr>
      </w:pPr>
      <w:r>
        <w:rPr>
          <w:rFonts w:ascii="Arial" w:cs="Arial" w:eastAsia="Arial" w:hAnsi="Arial"/>
          <w:sz w:val="18"/>
          <w:szCs w:val="18"/>
          <w:color w:val="auto"/>
        </w:rPr>
        <w:t>change the amount or time of any payment required by the Securities, or reduce the premium payable upon any redemption of the Securities, or change the time before which no such redemption may be made;</w:t>
      </w:r>
    </w:p>
    <w:p>
      <w:pPr>
        <w:spacing w:after="0" w:line="170" w:lineRule="exact"/>
        <w:rPr>
          <w:rFonts w:ascii="Arial" w:cs="Arial" w:eastAsia="Arial" w:hAnsi="Arial"/>
          <w:sz w:val="18"/>
          <w:szCs w:val="18"/>
          <w:color w:val="auto"/>
        </w:rPr>
      </w:pPr>
    </w:p>
    <w:p>
      <w:pPr>
        <w:ind w:right="220" w:firstLine="987"/>
        <w:spacing w:after="0" w:line="263" w:lineRule="auto"/>
        <w:tabs>
          <w:tab w:leader="none" w:pos="1246" w:val="left"/>
        </w:tabs>
        <w:numPr>
          <w:ilvl w:val="1"/>
          <w:numId w:val="121"/>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the principal of, or interest or premium,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waive a redemption payment with respect to any Security, or change any of the provisions with respect to the redemption of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210" w:lineRule="exact"/>
        <w:rPr>
          <w:rFonts w:ascii="Arial" w:cs="Arial" w:eastAsia="Arial" w:hAnsi="Arial"/>
          <w:sz w:val="17"/>
          <w:szCs w:val="17"/>
          <w:color w:val="auto"/>
        </w:rPr>
      </w:pPr>
    </w:p>
    <w:p>
      <w:pPr>
        <w:ind w:left="1240" w:hanging="253"/>
        <w:spacing w:after="0"/>
        <w:tabs>
          <w:tab w:leader="none" w:pos="124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make any changes in Section 6.6 or this Section 8.2, except to increase any percentage of Securities the Holders of which must consent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any matter; or</w:t>
      </w:r>
    </w:p>
    <w:p>
      <w:pPr>
        <w:spacing w:after="0" w:line="210" w:lineRule="exact"/>
        <w:rPr>
          <w:rFonts w:ascii="Arial" w:cs="Arial" w:eastAsia="Arial" w:hAnsi="Arial"/>
          <w:sz w:val="16"/>
          <w:szCs w:val="16"/>
          <w:color w:val="auto"/>
        </w:rPr>
      </w:pPr>
    </w:p>
    <w:p>
      <w:pPr>
        <w:ind w:left="1240" w:hanging="253"/>
        <w:spacing w:after="0"/>
        <w:tabs>
          <w:tab w:leader="none" w:pos="124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take any other action otherwise prohibited by this Indenture to be taken without the consent of each Holder affected thereby.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128" w:name="page129"/>
    <w:bookmarkEnd w:id="128"/>
    <w:p>
      <w:pPr>
        <w:ind w:firstLine="436"/>
        <w:spacing w:after="0" w:line="257" w:lineRule="auto"/>
        <w:tabs>
          <w:tab w:leader="none" w:pos="695" w:val="left"/>
        </w:tabs>
        <w:numPr>
          <w:ilvl w:val="0"/>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the request of the Company, accompanied by a Board Resolution authorizing the execution of any such supplemental indenture, and upon the receipt by the Trustee of evidence reasonably satisfactory to the Trustee of the consent of the Securityholders as aforesaid and of the documents described in Section 8.6, the Trustee shall join with the Company in the execution of such supplemental indenture, unless such supplemental indenture affects the Trustee’s own rights, duties or immunities under this Indenture, in which case the Trustee may in its discretion, but shall not be obligated to, enter into such supplemental indenture.</w:t>
      </w:r>
    </w:p>
    <w:p>
      <w:pPr>
        <w:spacing w:after="0" w:line="187" w:lineRule="exact"/>
        <w:rPr>
          <w:rFonts w:ascii="Arial" w:cs="Arial" w:eastAsia="Arial" w:hAnsi="Arial"/>
          <w:sz w:val="18"/>
          <w:szCs w:val="18"/>
          <w:color w:val="auto"/>
        </w:rPr>
      </w:pPr>
    </w:p>
    <w:p>
      <w:pPr>
        <w:ind w:right="760" w:firstLine="436"/>
        <w:spacing w:after="0" w:line="277" w:lineRule="auto"/>
        <w:tabs>
          <w:tab w:leader="none" w:pos="68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It shall not be necessary for the consent of the Holders under this section to approve the particular form of any proposed amendment, supplement or waiver, but it shall be sufficient if such consent approves the substance thereof.</w:t>
      </w:r>
    </w:p>
    <w:p>
      <w:pPr>
        <w:spacing w:after="0" w:line="170"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After an amendment or supplement under this Section becomes effective, the Company shall mail to Securityholders a notice briefly describing the amendment or supplement. Any failure of the Company to mail any such notice, or any defect therein, shall not, however, in any way impair or affect the validity of any supplemental indenture.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8.3. COMPLIANCE WITH TRUST INDENTURE ACT.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Every amendment to, or supplement of, this Indenture or the Securities shall comply with the TIA as then in effect.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8.4. REVOCATION AND EFFECT OF CONSENTS.</w:t>
      </w:r>
    </w:p>
    <w:p>
      <w:pPr>
        <w:spacing w:after="0" w:line="121" w:lineRule="exact"/>
        <w:rPr>
          <w:sz w:val="20"/>
          <w:szCs w:val="20"/>
          <w:color w:val="auto"/>
        </w:rPr>
      </w:pPr>
    </w:p>
    <w:p>
      <w:pPr>
        <w:ind w:right="240" w:firstLine="440"/>
        <w:spacing w:after="0" w:line="275" w:lineRule="auto"/>
        <w:rPr>
          <w:sz w:val="20"/>
          <w:szCs w:val="20"/>
          <w:color w:val="auto"/>
        </w:rPr>
      </w:pPr>
      <w:r>
        <w:rPr>
          <w:rFonts w:ascii="Arial" w:cs="Arial" w:eastAsia="Arial" w:hAnsi="Arial"/>
          <w:sz w:val="17"/>
          <w:szCs w:val="17"/>
          <w:color w:val="auto"/>
        </w:rPr>
        <w:t>Until an amendment, supplement, waiver or other action becomes effective, a consent to it by a Holder of a Security is a continuing consent conclusive and binding upon such Holder and every subsequent Holder of the same Security or portion thereof, and of any Security issued upon the transfer thereof or in exchange therefor or in place thereof, even if notation of the consent is not made on any such Security. Any such Holder or subsequent Holder, however, may revoke the consent as to his Security or portion of a Security, if the Trustee receives the notice of revocation before the date the amendment, supplement, waiver or other action becomes effective.</w:t>
      </w:r>
    </w:p>
    <w:p>
      <w:pPr>
        <w:spacing w:after="0" w:line="17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Company may, but shall not be obligated to, fix a record date for the purpose of determining the Holders entitled to consent to any amendment, supplement or waiver, which record date shall be at least 30 days prior to the first solicitation of such consent.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w:t>
      </w:r>
    </w:p>
    <w:p>
      <w:pPr>
        <w:spacing w:after="0" w:line="188"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After an amendment, supplement, waiver or other action becomes effective, it shall bind every Securityholder, unless it makes a change described in any of clauses (1) through (9) of Section 8.2. In that case, the amendment, supplement, waiver or other action shall bind each Holder of a Security who has consented to it and every subsequent Holder of a Security or portion of a Security that evidences the same debt as the consenting Holder’s Security; PROVIDED, that any such waiver shall not impair or affect the right of any Holder to receive payment of the principal of, and interest and premium, if any, on, a Security, on or after the respective due dates expressed in such Security, or to bring suit for the enforcement of any such payment on or after such respective dates without the consent of such Holder.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8.5. NOTATION ON OR EXCHANGE OF SECURITIES.</w:t>
      </w:r>
    </w:p>
    <w:p>
      <w:pPr>
        <w:spacing w:after="0" w:line="121" w:lineRule="exact"/>
        <w:rPr>
          <w:sz w:val="20"/>
          <w:szCs w:val="20"/>
          <w:color w:val="auto"/>
        </w:rPr>
      </w:pPr>
    </w:p>
    <w:p>
      <w:pPr>
        <w:ind w:right="400" w:firstLine="440"/>
        <w:spacing w:after="0" w:line="311" w:lineRule="auto"/>
        <w:rPr>
          <w:sz w:val="20"/>
          <w:szCs w:val="20"/>
          <w:color w:val="auto"/>
        </w:rPr>
      </w:pPr>
      <w:r>
        <w:rPr>
          <w:rFonts w:ascii="Arial" w:cs="Arial" w:eastAsia="Arial" w:hAnsi="Arial"/>
          <w:sz w:val="16"/>
          <w:szCs w:val="16"/>
          <w:color w:val="auto"/>
        </w:rPr>
        <w:t>If an amendment, supplement or waiver changes the terms of a Security of any Series, the Trustee may request the Holder of such Security to deliver it to the Trustee. In such case, the Trustee shall place an appropriate notation on such Security about the changed terms and return it to the Holder. Alternatively, the Company, in exchange for such Security, may issue, and the Trustee shall authenticate, a new security that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129" w:name="page130"/>
    <w:bookmarkEnd w:id="129"/>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reflects the changed terms. Failure to make the appropriate notation or issue a new Security shall not affect the validity and effect of such amendment, supplement or waiver.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8.6. TRUSTEE TO SIGN AMENDMENTS, ETC.</w:t>
      </w:r>
    </w:p>
    <w:p>
      <w:pPr>
        <w:spacing w:after="0" w:line="121"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The Trustee shall sign any amendment, supplement or waiver authorized pursuant to this Article 8 if the amendment, supplement or waiver does not adversely affect the rights, duties, liabilities or immunities of the Trustee. If it does, the Trustee may, but need not, sign it. In signing or refusing to sign such amendment, supplement or waiver the Trustee shall be entitled to receive and, subject to Section 7.1, shall be fully protected in relying upon an Officers’ Certificate and an Opinion of Counsel stating that such amendment, supplement or waiver is authorized or permitted by this Indenture. The Company may not sign an amendment or supplement until the Board of Directors of the Company approves it.</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9 -</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DISCHARGE OF INDENTURE; DEFEASANCE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 DISCHARGE OF INDENTURE.</w:t>
      </w:r>
    </w:p>
    <w:p>
      <w:pPr>
        <w:spacing w:after="0" w:line="121"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The Company may terminate its obligations under the Securities of any Series and this Indenture with respect to such Series, except the obligations referred to in the last paragraph of this Section 9.1, if there shall have been canceled by the Trustee, or delivered to the Trustee for cancellation, all Securities of such Series theretofore authenticated and delivered (other than any Securities of such Series that are asserted to have been destroyed, lost or stolen and that shall have been replaced as provided in Section 2.8) and the Company has paid all sums payable by it hereunder or deposited all required sums with the Trustee.</w:t>
      </w:r>
    </w:p>
    <w:p>
      <w:pPr>
        <w:spacing w:after="0" w:line="188" w:lineRule="exact"/>
        <w:rPr>
          <w:sz w:val="20"/>
          <w:szCs w:val="20"/>
          <w:color w:val="auto"/>
        </w:rPr>
      </w:pPr>
    </w:p>
    <w:p>
      <w:pPr>
        <w:ind w:right="600" w:firstLine="440"/>
        <w:spacing w:after="0" w:line="342" w:lineRule="auto"/>
        <w:rPr>
          <w:sz w:val="20"/>
          <w:szCs w:val="20"/>
          <w:color w:val="auto"/>
        </w:rPr>
      </w:pPr>
      <w:r>
        <w:rPr>
          <w:rFonts w:ascii="Arial" w:cs="Arial" w:eastAsia="Arial" w:hAnsi="Arial"/>
          <w:sz w:val="16"/>
          <w:szCs w:val="16"/>
          <w:color w:val="auto"/>
        </w:rPr>
        <w:t>After such delivery the Trustee upon request shall acknowledge in a writing prepared by or on behalf of the Company the discharge of the Company’s obligations under the Securities of such Series and this Indenture, except for those surviving obligations specified below.</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Notwithstanding the satisfaction and discharge of this Indenture, the obligations of the Company in Sections 7.7, 9.5 and 9.6 shall survive.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9.2. LEGAL DEFEASANCE.</w:t>
      </w:r>
    </w:p>
    <w:p>
      <w:pPr>
        <w:spacing w:after="0" w:line="1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Company may at its option, by Board Resolution, be discharged from its obligations with respect to the Securities of any Series on the date upon which the conditions set forth in Section 9.4 below are satisfied (hereinafter, “Legal Defeasance”). For this purpose, such Legal Defeasance means that the Company shall be deemed to have paid and discharged the entire indebtedness represented by the Securities of such Series and to have satisfied all its other obligations under such Securities and this Indenture insofar as such Securities are concerned (and the Trustee, at the expense of the Company, shall, subject to Section 9.6, execute proper instruments acknowledging the same, as are delivered to it by the Company), except for the following, which shall survive until otherwise terminated or discharged hereunder: (A) the rights of Holders of outstanding Securities of such Series to receive solely from the trust funds described in Section 9.4 and as more fully set forth in such section, payments in respect of the principal of, and interest and premium, if any, on, the Securities of such Series when such payments are due, (B) the Company’s obligations with respect to the Securities of such Series under Sections 2.4, 2.5, 2.6, 2.7, 2.8 and 2.9, (C) the rights, powers, trusts, duties and immunities of the Trustee hereunder (including claims of, or payments to, the Trustee under or pursuant to Section 7.7) and (D) this Article 9. Subject to compliance with this Article 9, the Company may exercise its option under this Section 9.2 with respect to the Securities of any Series notwithstanding the prior exercise of its option under Section 9.3 below with respect to the Securities of such Series.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440" w:top="274" w:right="49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9.3. COVENANT DEFEASANCE.</w:t>
      </w:r>
    </w:p>
    <w:p>
      <w:pPr>
        <w:spacing w:after="0" w:line="121"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At the option of the Company, pursuant to a Board Resolution, the Company shall be released from its obligations with respect to the outstanding Securities of any Series under Sections 4.2 through 4.5, inclusive, and Section 5.1, with respect to the outstanding Securities of such Series, on and after the date the conditions set forth in Section 9.4 are satisfied (hereinafter, “Covenant Defeasance”). For this purpose, such Covenant Defeasance means that the Company may omit to comply with and shall have no liability in respect of any term, condition or limitation set forth in any such specified section or portion thereof, whether directly or indirectly by reason of any reference elsewhere herein to any such specified Section or portion thereof or by reason of any reference in any such specified section or portion thereof to any other provision herein or in any other document, but the remainder of this Indenture and the Securities of any Series shall be unaffected thereby.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9.4. CONDITIONS TO LEGAL DEFEASANCE OR COVENANT DEFEASANCE.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shall be the conditions to application of Section 9.2 or Section 9.3 to the outstanding Securities of a Series:</w:t>
      </w:r>
    </w:p>
    <w:p>
      <w:pPr>
        <w:spacing w:after="0" w:line="117" w:lineRule="exact"/>
        <w:rPr>
          <w:sz w:val="20"/>
          <w:szCs w:val="20"/>
          <w:color w:val="auto"/>
        </w:rPr>
      </w:pPr>
    </w:p>
    <w:p>
      <w:pPr>
        <w:ind w:firstLine="987"/>
        <w:spacing w:after="0" w:line="253" w:lineRule="auto"/>
        <w:tabs>
          <w:tab w:leader="none" w:pos="12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 shall irrevocably have deposited or caused to be deposited with the Trustee (or another trustee satisfying the requirements of Section 7.10 who shall agree to comply with the provisions of this Article 9 applicable to it) as funds in trust for the purpose of making the following payments, specifically pledged as security for, and dedicated solely to, the benefit of the Holders of the Securities, (A) money in an amount, or (B) U.S. Government Obligations or Foreign Government Obligations which through the scheduled payment of principal and interest in respect thereof in accordance with their terms will provide, not later than the due date of any payment, money in an amount, or (C) a combination thereof, sufficient, in the opinion of a nationally recognized firm of independent public accountants expressed in a written certification thereof delivered to the Trustee, to pay and discharge, and which shall be applied by the Trustee (or other qualifying trustee) to pay and discharge, the principal of, and accrued interest and premium, if any, on, the outstanding Securities of such Series at the Stated Maturity of such principal, interest or premium, if any, or on dates for payment and redemption of such principal, interest and premium, if any, selected in accordance with the terms of this Indenture and of the Securities of such Series;</w:t>
      </w:r>
    </w:p>
    <w:p>
      <w:pPr>
        <w:spacing w:after="0" w:line="194" w:lineRule="exact"/>
        <w:rPr>
          <w:rFonts w:ascii="Arial" w:cs="Arial" w:eastAsia="Arial" w:hAnsi="Arial"/>
          <w:sz w:val="18"/>
          <w:szCs w:val="18"/>
          <w:color w:val="auto"/>
        </w:rPr>
      </w:pPr>
    </w:p>
    <w:p>
      <w:pPr>
        <w:ind w:right="80" w:firstLine="987"/>
        <w:spacing w:after="0" w:line="257" w:lineRule="auto"/>
        <w:tabs>
          <w:tab w:leader="none" w:pos="12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 Event of Default or Default with respect to the Securities of such Series shall have occurred and be continuing on the date of such deposit, or shall have occurred and be continuing at any time during the period ending on the 91st day after the date of such deposit or, if longer, ending on the day following the expiration of the longest preference period under any Bankruptcy Law applicable to the Company in respect of such deposit as specified in the Opinion of Counsel identified in paragraph (8) below (it being understood that this condition shall not be deemed satisfied until the expiration of such period);</w:t>
      </w:r>
    </w:p>
    <w:p>
      <w:pPr>
        <w:spacing w:after="0" w:line="187" w:lineRule="exact"/>
        <w:rPr>
          <w:rFonts w:ascii="Arial" w:cs="Arial" w:eastAsia="Arial" w:hAnsi="Arial"/>
          <w:sz w:val="18"/>
          <w:szCs w:val="18"/>
          <w:color w:val="auto"/>
        </w:rPr>
      </w:pPr>
    </w:p>
    <w:p>
      <w:pPr>
        <w:ind w:right="140" w:firstLine="987"/>
        <w:spacing w:after="0" w:line="277" w:lineRule="auto"/>
        <w:tabs>
          <w:tab w:leader="none" w:pos="12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such Legal Defeasance or Covenant Defeasance shall not cause the Trustee to have a conflicting interest for purposes of the TIA with respect to any securities of the Company;</w:t>
      </w:r>
    </w:p>
    <w:p>
      <w:pPr>
        <w:spacing w:after="0" w:line="170" w:lineRule="exact"/>
        <w:rPr>
          <w:rFonts w:ascii="Arial" w:cs="Arial" w:eastAsia="Arial" w:hAnsi="Arial"/>
          <w:sz w:val="18"/>
          <w:szCs w:val="18"/>
          <w:color w:val="auto"/>
        </w:rPr>
      </w:pPr>
    </w:p>
    <w:p>
      <w:pPr>
        <w:ind w:right="540" w:firstLine="987"/>
        <w:spacing w:after="0" w:line="277" w:lineRule="auto"/>
        <w:tabs>
          <w:tab w:leader="none" w:pos="12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such Legal Defeasance or Covenant Defeasance shall not result in a breach or violation of, or constitute default under, any other agreement or instrument to which the Company is a party or by which it is bound;</w:t>
      </w:r>
    </w:p>
    <w:p>
      <w:pPr>
        <w:spacing w:after="0" w:line="170" w:lineRule="exact"/>
        <w:rPr>
          <w:rFonts w:ascii="Arial" w:cs="Arial" w:eastAsia="Arial" w:hAnsi="Arial"/>
          <w:sz w:val="18"/>
          <w:szCs w:val="18"/>
          <w:color w:val="auto"/>
        </w:rPr>
      </w:pPr>
    </w:p>
    <w:p>
      <w:pPr>
        <w:ind w:right="120" w:firstLine="987"/>
        <w:spacing w:after="0" w:line="263" w:lineRule="auto"/>
        <w:tabs>
          <w:tab w:leader="none" w:pos="12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Opinion of Counsel stating that, as a result of such Legal Defeasance or Covenant Defeasance, neither the trust nor the Trustee will be required to register as an investment company under the Investment Company Act of 1940, as amended;</w:t>
      </w:r>
    </w:p>
    <w:p>
      <w:pPr>
        <w:spacing w:after="0" w:line="183" w:lineRule="exact"/>
        <w:rPr>
          <w:rFonts w:ascii="Arial" w:cs="Arial" w:eastAsia="Arial" w:hAnsi="Arial"/>
          <w:sz w:val="18"/>
          <w:szCs w:val="18"/>
          <w:color w:val="auto"/>
        </w:rPr>
      </w:pPr>
    </w:p>
    <w:p>
      <w:pPr>
        <w:ind w:firstLine="987"/>
        <w:spacing w:after="0" w:line="311" w:lineRule="auto"/>
        <w:tabs>
          <w:tab w:leader="none" w:pos="1246"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in the case of an election under Section 9.2, the Company shall have delivered to the Trustee an Opinion of Counsel stating that (i) the Company has received from, or there has been published by, the Internal Revenue Service a ruling to the effect that or (ii) there has been a change in any applicable Federal income tax law with the effect that, and such opinion shall confirm that, the Holders of the outstanding Securities of such</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0" w:right="459" w:bottom="1440" w:gutter="0" w:footer="0" w:header="0"/>
        </w:sectPr>
      </w:pPr>
    </w:p>
    <w:bookmarkStart w:id="131" w:name="page132"/>
    <w:bookmarkEnd w:id="131"/>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Series or Persons in their positions will not recognize income, gain or loss for Federal income tax purposes solely as a result of such Legal Defeasance and will be subject to Federal income tax on the same amounts, in the same manner, including as a result of prepayment, and at the same times as would have been the case if such Legal Defeasance had not occurred;</w:t>
      </w:r>
    </w:p>
    <w:p>
      <w:pPr>
        <w:spacing w:after="0" w:line="184" w:lineRule="exact"/>
        <w:rPr>
          <w:sz w:val="20"/>
          <w:szCs w:val="20"/>
          <w:color w:val="auto"/>
        </w:rPr>
      </w:pPr>
    </w:p>
    <w:p>
      <w:pPr>
        <w:ind w:firstLine="987"/>
        <w:spacing w:after="0" w:line="259" w:lineRule="auto"/>
        <w:tabs>
          <w:tab w:leader="none" w:pos="124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the case of an election under Section 9.3, the Company shall have delivered to the Trustee an Opinion of Counsel to the effect that the Holders of the outstanding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auto"/>
        </w:rPr>
      </w:pPr>
    </w:p>
    <w:p>
      <w:pPr>
        <w:ind w:right="140" w:firstLine="987"/>
        <w:spacing w:after="0" w:line="263" w:lineRule="auto"/>
        <w:tabs>
          <w:tab w:leader="none" w:pos="124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in this Article 9 relating to either the Legal Defeasance under Section 9.2 or the Covenant Defeasance under Section 9.3 (as the case may be) have been complied with;</w:t>
      </w:r>
    </w:p>
    <w:p>
      <w:pPr>
        <w:spacing w:after="0" w:line="183" w:lineRule="exact"/>
        <w:rPr>
          <w:rFonts w:ascii="Arial" w:cs="Arial" w:eastAsia="Arial" w:hAnsi="Arial"/>
          <w:sz w:val="18"/>
          <w:szCs w:val="18"/>
          <w:color w:val="auto"/>
        </w:rPr>
      </w:pPr>
    </w:p>
    <w:p>
      <w:pPr>
        <w:ind w:right="160" w:firstLine="987"/>
        <w:spacing w:after="0" w:line="277" w:lineRule="auto"/>
        <w:tabs>
          <w:tab w:leader="none" w:pos="124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under clause (1) was not made by the Company with the intent of defeating, hindering, delaying or defrauding any creditors of the Company or others; and</w:t>
      </w:r>
    </w:p>
    <w:p>
      <w:pPr>
        <w:spacing w:after="0" w:line="170" w:lineRule="exact"/>
        <w:rPr>
          <w:rFonts w:ascii="Arial" w:cs="Arial" w:eastAsia="Arial" w:hAnsi="Arial"/>
          <w:sz w:val="18"/>
          <w:szCs w:val="18"/>
          <w:color w:val="auto"/>
        </w:rPr>
      </w:pPr>
    </w:p>
    <w:p>
      <w:pPr>
        <w:ind w:right="280" w:firstLine="987"/>
        <w:spacing w:after="0" w:line="277" w:lineRule="auto"/>
        <w:tabs>
          <w:tab w:leader="none" w:pos="133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shall have paid, or duly provided for payment under terms mutually satisfactory to the Company and the Trustee, all amounts then due to the Trustee pursuant to Section 7.7.</w:t>
      </w:r>
    </w:p>
    <w:p>
      <w:pPr>
        <w:spacing w:after="0" w:line="274" w:lineRule="exact"/>
        <w:rPr>
          <w:sz w:val="20"/>
          <w:szCs w:val="20"/>
          <w:color w:val="auto"/>
        </w:rPr>
      </w:pPr>
    </w:p>
    <w:p>
      <w:pPr>
        <w:ind w:right="1320"/>
        <w:spacing w:after="0" w:line="282" w:lineRule="auto"/>
        <w:rPr>
          <w:sz w:val="20"/>
          <w:szCs w:val="20"/>
          <w:color w:val="auto"/>
        </w:rPr>
      </w:pPr>
      <w:r>
        <w:rPr>
          <w:rFonts w:ascii="Arial" w:cs="Arial" w:eastAsia="Arial" w:hAnsi="Arial"/>
          <w:sz w:val="18"/>
          <w:szCs w:val="18"/>
          <w:b w:val="1"/>
          <w:bCs w:val="1"/>
          <w:color w:val="auto"/>
        </w:rPr>
        <w:t>9.5. DEPOSITED MONEY AND U.S. AND FOREIGN GOVERNMENT OBLIGATIONS TO BE HELD IN TRUST; OTHER MISCELLANEOUS PROVISIONS.</w:t>
      </w:r>
    </w:p>
    <w:p>
      <w:pPr>
        <w:spacing w:after="0" w:line="58" w:lineRule="exact"/>
        <w:rPr>
          <w:sz w:val="20"/>
          <w:szCs w:val="20"/>
          <w:color w:val="auto"/>
        </w:rPr>
      </w:pPr>
    </w:p>
    <w:p>
      <w:pPr>
        <w:ind w:right="340" w:firstLine="440"/>
        <w:spacing w:after="0" w:line="257" w:lineRule="auto"/>
        <w:rPr>
          <w:sz w:val="20"/>
          <w:szCs w:val="20"/>
          <w:color w:val="auto"/>
        </w:rPr>
      </w:pPr>
      <w:r>
        <w:rPr>
          <w:rFonts w:ascii="Arial" w:cs="Arial" w:eastAsia="Arial" w:hAnsi="Arial"/>
          <w:sz w:val="18"/>
          <w:szCs w:val="18"/>
          <w:color w:val="auto"/>
        </w:rPr>
        <w:t>All money, U.S. Government Obligations and Foreign Government Obligations (including the proceeds thereof) deposited with the Trustee pursuant to Section 9.4 in respect of the outstanding Securities shall be held in trust and applied by the Trustee, in accordance with the provisions of such Securities and this Indenture, to the payment, either directly or through any Paying Agent as the Trustee may determine, to the Holders of such Securities, of all sums due and to become due thereon in respect of principal, accrued interest and premium, if any, but such money need not be segregated from other funds except to the extent required by law.</w:t>
      </w:r>
    </w:p>
    <w:p>
      <w:pPr>
        <w:spacing w:after="0" w:line="188" w:lineRule="exact"/>
        <w:rPr>
          <w:sz w:val="20"/>
          <w:szCs w:val="20"/>
          <w:color w:val="auto"/>
        </w:rPr>
      </w:pPr>
    </w:p>
    <w:p>
      <w:pPr>
        <w:ind w:right="280" w:firstLine="440"/>
        <w:spacing w:after="0" w:line="311" w:lineRule="auto"/>
        <w:rPr>
          <w:sz w:val="20"/>
          <w:szCs w:val="20"/>
          <w:color w:val="auto"/>
        </w:rPr>
      </w:pPr>
      <w:r>
        <w:rPr>
          <w:rFonts w:ascii="Arial" w:cs="Arial" w:eastAsia="Arial" w:hAnsi="Arial"/>
          <w:sz w:val="16"/>
          <w:szCs w:val="16"/>
          <w:color w:val="auto"/>
        </w:rPr>
        <w:t>The Company shall pay and indemnify the Trustee against any tax, fee or other charge imposed on or assessed against the U.S. Government Obligations and Foreign Government Obligations deposited pursuant to Section 9.4 or the principal, interest and premium, if any, received in respect thereof other than any such tax, fee or other charge which by law is for the account of the Holders of the outstanding Securities.</w:t>
      </w:r>
    </w:p>
    <w:p>
      <w:pPr>
        <w:spacing w:after="0" w:line="149"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Anything in this Article 9 to the contrary notwithstanding, but subject to payment of any of its outstanding fees and expenses, the Trustee shall deliver or pay to the Company from time to time upon Company Request any money, U.S. Government Obligations or Foreign Government Obligations held by the Trustee as provided in Section 9.4 which, in the opinion of a nationally-recognized firm of independent public accountants expressed in a written certification thereof delivered to the Trustee, are in excess of the amount thereof which would then be required to be deposited to effect an equivalent Legal Defeasance or Covenant Defeasance.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9.6. REINSTATEMENT.</w:t>
      </w:r>
    </w:p>
    <w:p>
      <w:pPr>
        <w:spacing w:after="0" w:line="121"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If the Trustee or Paying Agent is unable to apply any money, U.S. Government Obligations or Foreign Government Obligations in accordance with Section 9.1, 9.2, 9.3 or 9.4 by reason of any legal proceeding or by reason of any order or judgment of any court or governmental authority enjoining, restraining or otherwise prohibiting such application, the Company’s obligations under this Indenture and the Securities shall be revived and reinstated as though no deposit had occurred pursuant to this Article 9 until such time as the Trustee or Paying Agent is permitted to apply all such money, U.S. Government Obligations or Foreign Government Obligations, as the case may be, in accordance with Section 9.1, 9.2, 9.3 or 9.4; PROVIDED, HOWEVER, that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132" w:name="page133"/>
    <w:bookmarkEnd w:id="132"/>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Company has made any payment of principal of, or accrued interest or premium, if any, on, any Securities because of the reinstatement of its obligations, the Company shall be subrogated to the rights of the Holders of such Securities to receive such payment from the money, U.S. Government Obligations or Foreign Government Obligations held by the Trustee or Paying Agent.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9.7. MONEYS HELD BY PAYING AGENT.</w:t>
      </w:r>
    </w:p>
    <w:p>
      <w:pPr>
        <w:spacing w:after="0" w:line="121" w:lineRule="exact"/>
        <w:rPr>
          <w:sz w:val="20"/>
          <w:szCs w:val="20"/>
          <w:color w:val="auto"/>
        </w:rPr>
      </w:pPr>
    </w:p>
    <w:p>
      <w:pPr>
        <w:jc w:val="both"/>
        <w:ind w:right="560" w:firstLine="440"/>
        <w:spacing w:after="0" w:line="286" w:lineRule="auto"/>
        <w:rPr>
          <w:sz w:val="20"/>
          <w:szCs w:val="20"/>
          <w:color w:val="auto"/>
        </w:rPr>
      </w:pPr>
      <w:r>
        <w:rPr>
          <w:rFonts w:ascii="Arial" w:cs="Arial" w:eastAsia="Arial" w:hAnsi="Arial"/>
          <w:sz w:val="17"/>
          <w:szCs w:val="17"/>
          <w:color w:val="auto"/>
        </w:rPr>
        <w:t>In connection with the satisfaction and discharge of this Indenture, all moneys then held by any Paying Agent under the provisions of this Indenture shall, upon demand of the Company, be paid to the Trustee, or, if sufficient moneys have been deposited pursuant to Section 9.1, to the Company, and thereupon such Paying Agent shall be released from all further liability with respect to such moneys.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9.8. MONEYS HELD BY TRUSTEE.</w:t>
      </w:r>
    </w:p>
    <w:p>
      <w:pPr>
        <w:spacing w:after="0" w:line="12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Any moneys deposited with the Trustee or any Paying Agent or then held by the Company in trust for the payment of the principal of, or interest or premium, if any, on, any Security that are not applied but remain unclaimed by the Holder of such Security for two years after the date upon which the principal of, or interest or premium, if any, on, such Security shall have respectively become due and payable shall be repaid to the Company upon Company Request, or if such moneys are then held by the Company in trust, such moneys shall be released from such trust; and the Holder of such Security entitled to receive such payment shall thereafter, as an unsecured general creditor, look only to the Company for the payment thereof, and all liability of the Trustee or such Paying Agent with respect to such trust money shall thereupon cease; PROVIDED, HOWEVER, that the Trustee or any such Paying Agent, before being required to make any such repayment, may, at the expense of the Company, either mail to each Securityholder affected, at the address shown in the register of the Securities maintained by the Registrar, or cause to be published once a week for two successive weeks, in a newspaper published in the English language, customarily published each Business Day and of general circulation in the City of New York, New York, a notice that such money remains unclaimed and that, after a date specified therein, which shall not be less than 30 days from the date of such mailing or publication, any unclaimed balance of such moneys then remaining will be repaid to the Company. After payment to the Company or the release of any money held in trust by the Company, Securityholders entitled to the money must look only to the Company for payment as general creditors, unless applicable abandoned property law designates another Person.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TRUST INDENTURE ACT CONTROLS.</w:t>
      </w:r>
    </w:p>
    <w:p>
      <w:pPr>
        <w:spacing w:after="0" w:line="121"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If any provision of this Indenture limits, qualifies or conflicts with another provision which is required to be included in this Indenture by the TIA, the required provision shall control. If any provision of this Indenture modifies or excludes any provision of the TIA which may be so modified or excluded, the latter provision shall be deemed to apply to this Indenture as so modified or to be excluded, as the case may be.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NOTICES.</w:t>
      </w:r>
    </w:p>
    <w:p>
      <w:pPr>
        <w:spacing w:after="0" w:line="121" w:lineRule="exact"/>
        <w:rPr>
          <w:sz w:val="20"/>
          <w:szCs w:val="20"/>
          <w:color w:val="auto"/>
        </w:rPr>
      </w:pPr>
    </w:p>
    <w:p>
      <w:pPr>
        <w:ind w:right="720" w:firstLine="440"/>
        <w:spacing w:after="0" w:line="342" w:lineRule="auto"/>
        <w:rPr>
          <w:sz w:val="20"/>
          <w:szCs w:val="20"/>
          <w:color w:val="auto"/>
        </w:rPr>
      </w:pPr>
      <w:r>
        <w:rPr>
          <w:rFonts w:ascii="Arial" w:cs="Arial" w:eastAsia="Arial" w:hAnsi="Arial"/>
          <w:sz w:val="16"/>
          <w:szCs w:val="16"/>
          <w:color w:val="auto"/>
        </w:rPr>
        <w:t>Any notice or communication shall be given in writing and delivered in Person, sent by facsimile (and receipt confirmed by telephone or electronic transmission report), delivered by commercial courier service or mailed by first-class mail, postage prepaid, addressed as follows: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133" w:name="page134"/>
    <w:bookmarkEnd w:id="13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Company:</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10421 Pacific Center Court, Suite 200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Chief Financial Officer</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Copy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555 California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Fax: (415) 281-1350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Effie Toshav, Esq.</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Trustee:</w:t>
      </w:r>
    </w:p>
    <w:p>
      <w:pPr>
        <w:spacing w:after="0" w:line="11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The Company or the Trustee by written notice to the other may designate additional or different addresses for subsequent notices or communications. Any notice or communication to the Company or the Trustee shall be deemed to have been given or made as of the date so delivered if personally delivered; when receipt is confirmed by telephone or electronic transmission report, if sent by facsimile; and three Business Days after mailing if sent by registered or certified mail, postage prepaid (except that a notice of change of address shall not be deemed to have been given until actually received by the addressee).</w:t>
      </w:r>
    </w:p>
    <w:p>
      <w:pPr>
        <w:spacing w:after="0" w:line="188"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Any notice or communication mailed to a Securityholder shall be mailed to such Securityholder by first-class mail, postage prepaid, at such Securityholder’s address shown on the register kept by the Registrar.</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Failure to mail, or any defect in, a notice or communication to a Securityholder shall not affect its sufficiency with respect to other Securityholders. If a notice or communication to a Securityholder is mailed in the manner provided above, it shall be deemed duly given, three Business Days after such mailing, whether or not the addressee receives it.</w:t>
      </w:r>
    </w:p>
    <w:p>
      <w:pPr>
        <w:spacing w:after="0" w:line="184"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In case by reason of the suspension of regular mail service, or by reason of any other cause, it shall be impossible to mail any notice as required by this Indenture, then such method of notification as shall be made with the approval of the Trustee shall constitute a sufficient mailing of such notice.</w:t>
      </w:r>
    </w:p>
    <w:p>
      <w:pPr>
        <w:spacing w:after="0" w:line="12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In the case of Global Securities, notices or communications to be given to Securityholders shall be given to the Depository, in accordance with its applicable policies as in effect from time to time.</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In addition to the manner provided for in the foregoing provisions, notices or communications to Securityholders shall be given by the Company by release made to Reuters Economic Services and Bloomberg Business News.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10.3. COMMUNICATIONS BY HOLDERS WITH OTHER HOLDERS.</w:t>
      </w:r>
    </w:p>
    <w:p>
      <w:pPr>
        <w:spacing w:after="0" w:line="12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Securityholders of any Series may communicate pursuant to TIA Section 312(b) with other Securityholders of that Series or any other Series with respect to their rights under this Indenture or the Securities of that Series or any other Series. The Company, the Trustee, the Registrar and any other Person shall have the protection of TIA Section 312(c).</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10.4. CERTIFICATE AND OPINION AS TO CONDITIONS PRECEDENT.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 Trustee:</w:t>
      </w:r>
    </w:p>
    <w:p>
      <w:pPr>
        <w:spacing w:after="0" w:line="140" w:lineRule="exact"/>
        <w:rPr>
          <w:sz w:val="20"/>
          <w:szCs w:val="20"/>
          <w:color w:val="auto"/>
        </w:rPr>
      </w:pPr>
    </w:p>
    <w:p>
      <w:pPr>
        <w:ind w:firstLine="987"/>
        <w:spacing w:after="0" w:line="277" w:lineRule="auto"/>
        <w:tabs>
          <w:tab w:leader="none" w:pos="124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Officers’ Certificate (which shall include the statements set forth in Section 10.5 below) stating that, in the opinion of the signers, all conditions precedent, if any, provided for in this Indenture relating to the proposed action have been complied with; and</w:t>
      </w:r>
    </w:p>
    <w:p>
      <w:pPr>
        <w:spacing w:after="0" w:line="170" w:lineRule="exact"/>
        <w:rPr>
          <w:rFonts w:ascii="Arial" w:cs="Arial" w:eastAsia="Arial" w:hAnsi="Arial"/>
          <w:sz w:val="18"/>
          <w:szCs w:val="18"/>
          <w:color w:val="auto"/>
        </w:rPr>
      </w:pPr>
    </w:p>
    <w:p>
      <w:pPr>
        <w:ind w:right="100" w:firstLine="987"/>
        <w:spacing w:after="0" w:line="277" w:lineRule="auto"/>
        <w:tabs>
          <w:tab w:leader="none" w:pos="124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Opinion of Counsel (which shall include the statements set forth in Section 10.5 below) stating that, in the opinion of such counsel, all such conditions precedent have been complied with.</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10.5. STATEMENT REQUIRED IN CERTIFICATE AND OPINION.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Each certificate and opinion with respect to compliance with a condition or covenant provided for in this Indenture (other than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4.4) shall include:</w:t>
      </w:r>
    </w:p>
    <w:p>
      <w:pPr>
        <w:spacing w:after="0" w:line="103" w:lineRule="exact"/>
        <w:rPr>
          <w:sz w:val="20"/>
          <w:szCs w:val="20"/>
          <w:color w:val="auto"/>
        </w:rPr>
      </w:pPr>
    </w:p>
    <w:p>
      <w:pPr>
        <w:ind w:left="1240" w:hanging="253"/>
        <w:spacing w:after="0"/>
        <w:tabs>
          <w:tab w:leader="none" w:pos="12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auto"/>
        </w:rPr>
      </w:pPr>
    </w:p>
    <w:p>
      <w:pPr>
        <w:ind w:right="340" w:firstLine="987"/>
        <w:spacing w:after="0" w:line="277" w:lineRule="auto"/>
        <w:tabs>
          <w:tab w:leader="none" w:pos="124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right="160" w:firstLine="987"/>
        <w:spacing w:after="0" w:line="277" w:lineRule="auto"/>
        <w:tabs>
          <w:tab w:leader="none" w:pos="124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statement that, in the opinion of such Person, it or he has made such examination or investigation as is necessary to enable it or him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covenant or condition has been complied with.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10.6. RULES BY TRUSTEE AND AGENTS.</w:t>
      </w:r>
    </w:p>
    <w:p>
      <w:pPr>
        <w:spacing w:after="0" w:line="121"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The Trustee may make reasonable rules for action by or at meetings of Securityholders. The Registrar and Paying Agent may make reasonable rules for their functions.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10.7. BUSINESS DAYS; LEGAL HOLIDAYS; PLACE OF PAYMENT.</w:t>
      </w:r>
    </w:p>
    <w:p>
      <w:pPr>
        <w:spacing w:after="0" w:line="121" w:lineRule="exact"/>
        <w:rPr>
          <w:sz w:val="20"/>
          <w:szCs w:val="20"/>
          <w:color w:val="auto"/>
        </w:rPr>
      </w:pPr>
    </w:p>
    <w:p>
      <w:pPr>
        <w:ind w:right="400" w:firstLine="440"/>
        <w:spacing w:after="0" w:line="308" w:lineRule="auto"/>
        <w:rPr>
          <w:sz w:val="20"/>
          <w:szCs w:val="20"/>
          <w:color w:val="auto"/>
        </w:rPr>
      </w:pPr>
      <w:r>
        <w:rPr>
          <w:rFonts w:ascii="Arial" w:cs="Arial" w:eastAsia="Arial" w:hAnsi="Arial"/>
          <w:sz w:val="17"/>
          <w:szCs w:val="17"/>
          <w:color w:val="auto"/>
        </w:rPr>
        <w:t>A “Business Day” is a day that is not a Legal Holiday. A “Legal Holiday” is a Saturday, a Sunday, a federally-recognized holiday or a day on which banking institutions are not authorized or required by law, regulation or executive order to be open in the State of New York.</w:t>
      </w:r>
    </w:p>
    <w:p>
      <w:pPr>
        <w:spacing w:after="0" w:line="146"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If a payment date is a Legal Holiday at a Place of Payment, payment may be made at that place on the next succeeding day that is not a Legal Holiday, and no interest shall accrue for the intervening period. “Place of Payment” means the place or places where the principal of, and interest and premium, if any, on, the Securities of a Series are payable as specified as contemplated by Section 2.2. If the regular record date is a Legal Holiday, the record date shall not be 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10.8. GOVERNING LAW.</w:t>
      </w:r>
    </w:p>
    <w:p>
      <w:pPr>
        <w:spacing w:after="0" w:line="117" w:lineRule="exact"/>
        <w:rPr>
          <w:sz w:val="20"/>
          <w:szCs w:val="20"/>
          <w:color w:val="auto"/>
        </w:rPr>
      </w:pPr>
    </w:p>
    <w:p>
      <w:pPr>
        <w:ind w:right="380" w:firstLine="440"/>
        <w:spacing w:after="0" w:line="266" w:lineRule="auto"/>
        <w:rPr>
          <w:sz w:val="20"/>
          <w:szCs w:val="20"/>
          <w:color w:val="auto"/>
        </w:rPr>
      </w:pPr>
      <w:r>
        <w:rPr>
          <w:rFonts w:ascii="Arial" w:cs="Arial" w:eastAsia="Arial" w:hAnsi="Arial"/>
          <w:sz w:val="18"/>
          <w:szCs w:val="18"/>
          <w:b w:val="1"/>
          <w:bCs w:val="1"/>
          <w:color w:val="auto"/>
        </w:rPr>
        <w:t>THIS INDENTURE AND THE SECURITIES SHALL BE GOVERNED BY AND CONSTRUED IN ACCORDANCE WITH THE LAWS OF THE STATE OF NEW YORK, AS APPLIED TO CONTRACTS MADE AND PERFORMED WITHIN THE STATE OF NEW YORK WITHOUT REGARD TO PRINCIPLES OF CONFLICTS OF LAW.</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0" w:right="4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10.9. NO ADVERSE INTERPRETATION OF OTHER AGREEMENTS.</w:t>
      </w:r>
    </w:p>
    <w:p>
      <w:pPr>
        <w:spacing w:after="0" w:line="121"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This Indenture may not be used to interpret another indenture, loan, security or debt agreement of the Company or any Subsidiary thereof. No such indenture, loan, security or debt agreement may be used to interpret this Indenture.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10.10. NO RECOURSE AGAINST OTHERS.</w:t>
      </w:r>
    </w:p>
    <w:p>
      <w:pPr>
        <w:spacing w:after="0" w:line="121"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A director, officer, employee, stockholder or incorporator, as such, of the Company shall not have any liability for any obligations of the Company under the Securities or the Indenture. Each Securityholder by accepting a Security waives and releases all such liability. Such waiver and release are part of the consideration for the issuance of the Securities.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10.11. SUCCESSORS.</w:t>
      </w:r>
    </w:p>
    <w:p>
      <w:pPr>
        <w:spacing w:after="0" w:line="12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All covenants and agreements of the Company in this Indenture and the Securities shall bind the Company’s successors and assigns, whether so expressed or not. All agreements of the Trustee, any additional trustee and any Paying Agents in this Indenture shall bind their respective successors and assigns.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10.12. MULTIPLE COUNTERPARTS.</w:t>
      </w:r>
    </w:p>
    <w:p>
      <w:pPr>
        <w:spacing w:after="0" w:line="121"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The parties may sign multiple counterparts of this Indenture. Each signed counterpart shall be deemed an original, but all of them together represent one and the same agreement.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10.13. TABLE OF CONTENTS, HEADINGS, ETC.</w:t>
      </w:r>
    </w:p>
    <w:p>
      <w:pPr>
        <w:spacing w:after="0" w:line="121" w:lineRule="exact"/>
        <w:rPr>
          <w:sz w:val="20"/>
          <w:szCs w:val="20"/>
          <w:color w:val="auto"/>
        </w:rPr>
      </w:pPr>
    </w:p>
    <w:p>
      <w:pPr>
        <w:ind w:right="420" w:firstLine="440"/>
        <w:spacing w:after="0" w:line="342" w:lineRule="auto"/>
        <w:rPr>
          <w:sz w:val="20"/>
          <w:szCs w:val="20"/>
          <w:color w:val="auto"/>
        </w:rPr>
      </w:pPr>
      <w:r>
        <w:rPr>
          <w:rFonts w:ascii="Arial" w:cs="Arial" w:eastAsia="Arial" w:hAnsi="Arial"/>
          <w:sz w:val="16"/>
          <w:szCs w:val="16"/>
          <w:color w:val="auto"/>
        </w:rPr>
        <w:t>The table of contents, cross-reference sheet and headings of the Articles and Sections of this Indenture have been inserted for convenience of reference only, are not to be considered a part hereof, and shall in no way modify or restrict any of the terms or provisions hereof.</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10.14. SEVERABILITY.</w:t>
      </w:r>
    </w:p>
    <w:p>
      <w:pPr>
        <w:spacing w:after="0" w:line="121"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Each provision of this Indenture shall be considered separable, and if for any reason any provision which is not essential to the effectuation of the basic purpose of this Indenture or the Securities shall be invalid, illegal or unenforceable, the validity, legality and enforceability of the remaining provisions shall not in any way be affected or impaired thereby, and a Holder shall have no claim therefor against any party hereto.</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10.15. SECURITIES IN A FOREIGN CURRENCY OR IN EUROS.</w:t>
      </w:r>
    </w:p>
    <w:p>
      <w:pPr>
        <w:spacing w:after="0" w:line="1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Unless otherwise specified in a Board Resolution, a supplemental indenture hereto or an Officers’ Certificate delivered pursuant to Section 2.2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(including Euros), then the principal amount of Securities of such Series which shall be deemed to be outstanding for the purpose of taking such action shall be that amount of Dollars that could be obtained for such amount at the Market Exchange Rate at such time. For purposes of this Section 10.15, “Market Exchange Rate” shall mean the noon Dollar buying rate in New York City for cable transfers of that currency as published by the Federal Reserve Bank of New York; PROVIDED, HOWEVER, in the case of Euros, Market Exchange Rate shall mean the rate of exchange determined by the Commission of the European Union (or any successor thereto) as published in the Official Journal of the European Union (such publication or any successor publication, the “Journal”). If such Market Exchange Rate is not available for any reason with respect to such currency, the Trustee shall use, in its sole discretion and without liability on its part, such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0" w:right="459" w:bottom="1440" w:gutter="0" w:footer="0" w:header="0"/>
        </w:sectPr>
      </w:pPr>
    </w:p>
    <w:bookmarkStart w:id="136" w:name="page137"/>
    <w:bookmarkEnd w:id="136"/>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quotation of the Federal Reserve Bank of New York or, in the case of Euros, the rate of exchange as published in the Journal, as of the most recent available date, or quotations or, in the case of Euros, rates of exchange from one or more major banks in New York City or in the country of issue of the currency in question or, in the case of Euros, in Luxembourg or such other quotations or, in the case of Euros, rates of exchange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92"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All decisions and determinations of the Trustee regarding the Market Exchange Rate or any alternative determination provided for in the preceding paragraph shall be in the Trustee’s sole discretion, and shall, in the absence of manifest error, be conclusive to the extent permitted by law for all purposes and irrevocably binding upon the Company and all Holders.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10.16. JUDGMENT CURRENCY.</w:t>
      </w:r>
    </w:p>
    <w:p>
      <w:pPr>
        <w:spacing w:after="0" w:line="12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The Company agrees, to the fullest extent that it may effectively do so under applicable law, that (a) if for the purpose of obtaining judgment in any court it is necessary to convert the sum due in respect of the principal of, or interest or premium, if any, or other amount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Business Day, in which instance, the rate of exchange used shall be the rate at which, in accordance with normal banking procedures, the Trustee could purchase in The City of New York the Required Currency with the Judgment Currency on the Business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THIS PAGE INTENTIONALLY LEFT BLANK]</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74" w:right="479" w:bottom="1440" w:gutter="0" w:footer="0" w:header="0"/>
        </w:sectPr>
      </w:pPr>
    </w:p>
    <w:bookmarkStart w:id="137" w:name="page138"/>
    <w:bookmarkEnd w:id="13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Indenture to be duly executed, and their respective corporate seals to be hereunto affixed and attested, all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ANAPTYSBIO,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4791075</wp:posOffset>
            </wp:positionH>
            <wp:positionV relativeFrom="paragraph">
              <wp:posOffset>-10795</wp:posOffset>
            </wp:positionV>
            <wp:extent cx="16567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1">
                      <a:extLst>
                        <a:ext uri="{28A0092B-C50C-407E-A947-70E740481C1C}"/>
                      </a:extLst>
                    </a:blip>
                    <a:srcRect/>
                    <a:stretch>
                      <a:fillRect/>
                    </a:stretch>
                  </pic:blipFill>
                  <pic:spPr bwMode="auto">
                    <a:xfrm>
                      <a:off x="0" y="0"/>
                      <a:ext cx="1656715" cy="8255"/>
                    </a:xfrm>
                    <a:prstGeom prst="rect">
                      <a:avLst/>
                    </a:prstGeom>
                    <a:noFill/>
                  </pic:spPr>
                </pic:pic>
              </a:graphicData>
            </a:graphic>
          </wp:anchor>
        </w:drawing>
        <w:drawing>
          <wp:anchor simplePos="0" relativeHeight="251657728" behindDoc="1" locked="0" layoutInCell="0" allowOverlap="1">
            <wp:simplePos x="0" y="0"/>
            <wp:positionH relativeFrom="column">
              <wp:posOffset>4543425</wp:posOffset>
            </wp:positionH>
            <wp:positionV relativeFrom="paragraph">
              <wp:posOffset>125730</wp:posOffset>
            </wp:positionV>
            <wp:extent cx="62865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2">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-10160</wp:posOffset>
            </wp:positionV>
            <wp:extent cx="16567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3">
                      <a:extLst>
                        <a:ext uri="{28A0092B-C50C-407E-A947-70E740481C1C}"/>
                      </a:extLst>
                    </a:blip>
                    <a:srcRect/>
                    <a:stretch>
                      <a:fillRect/>
                    </a:stretch>
                  </pic:blipFill>
                  <pic:spPr bwMode="auto">
                    <a:xfrm>
                      <a:off x="0" y="0"/>
                      <a:ext cx="1656715" cy="8255"/>
                    </a:xfrm>
                    <a:prstGeom prst="rect">
                      <a:avLst/>
                    </a:prstGeom>
                    <a:noFill/>
                  </pic:spPr>
                </pic:pic>
              </a:graphicData>
            </a:graphic>
          </wp:anchor>
        </w:drawing>
        <w:drawing>
          <wp:anchor simplePos="0" relativeHeight="251657728" behindDoc="1" locked="0" layoutInCell="0" allowOverlap="1">
            <wp:simplePos x="0" y="0"/>
            <wp:positionH relativeFrom="column">
              <wp:posOffset>4543425</wp:posOffset>
            </wp:positionH>
            <wp:positionV relativeFrom="paragraph">
              <wp:posOffset>126365</wp:posOffset>
            </wp:positionV>
            <wp:extent cx="71437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4">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[Name of Trustee]</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4791075</wp:posOffset>
            </wp:positionH>
            <wp:positionV relativeFrom="paragraph">
              <wp:posOffset>-10795</wp:posOffset>
            </wp:positionV>
            <wp:extent cx="16567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6">
                      <a:extLst>
                        <a:ext uri="{28A0092B-C50C-407E-A947-70E740481C1C}"/>
                      </a:extLst>
                    </a:blip>
                    <a:srcRect/>
                    <a:stretch>
                      <a:fillRect/>
                    </a:stretch>
                  </pic:blipFill>
                  <pic:spPr bwMode="auto">
                    <a:xfrm>
                      <a:off x="0" y="0"/>
                      <a:ext cx="1656715" cy="8255"/>
                    </a:xfrm>
                    <a:prstGeom prst="rect">
                      <a:avLst/>
                    </a:prstGeom>
                    <a:noFill/>
                  </pic:spPr>
                </pic:pic>
              </a:graphicData>
            </a:graphic>
          </wp:anchor>
        </w:drawing>
        <w:drawing>
          <wp:anchor simplePos="0" relativeHeight="251657728" behindDoc="1" locked="0" layoutInCell="0" allowOverlap="1">
            <wp:simplePos x="0" y="0"/>
            <wp:positionH relativeFrom="column">
              <wp:posOffset>4543425</wp:posOffset>
            </wp:positionH>
            <wp:positionV relativeFrom="paragraph">
              <wp:posOffset>125730</wp:posOffset>
            </wp:positionV>
            <wp:extent cx="6286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7">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-10160</wp:posOffset>
            </wp:positionV>
            <wp:extent cx="16567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8">
                      <a:extLst>
                        <a:ext uri="{28A0092B-C50C-407E-A947-70E740481C1C}"/>
                      </a:extLst>
                    </a:blip>
                    <a:srcRect/>
                    <a:stretch>
                      <a:fillRect/>
                    </a:stretch>
                  </pic:blipFill>
                  <pic:spPr bwMode="auto">
                    <a:xfrm>
                      <a:off x="0" y="0"/>
                      <a:ext cx="1656715" cy="8255"/>
                    </a:xfrm>
                    <a:prstGeom prst="rect">
                      <a:avLst/>
                    </a:prstGeom>
                    <a:noFill/>
                  </pic:spPr>
                </pic:pic>
              </a:graphicData>
            </a:graphic>
          </wp:anchor>
        </w:drawing>
        <w:drawing>
          <wp:anchor simplePos="0" relativeHeight="251657728" behindDoc="1" locked="0" layoutInCell="0" allowOverlap="1">
            <wp:simplePos x="0" y="0"/>
            <wp:positionH relativeFrom="column">
              <wp:posOffset>4543425</wp:posOffset>
            </wp:positionH>
            <wp:positionV relativeFrom="paragraph">
              <wp:posOffset>126365</wp:posOffset>
            </wp:positionV>
            <wp:extent cx="71437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9">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4791075</wp:posOffset>
            </wp:positionH>
            <wp:positionV relativeFrom="paragraph">
              <wp:posOffset>-10795</wp:posOffset>
            </wp:positionV>
            <wp:extent cx="16567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1">
                      <a:extLst>
                        <a:ext uri="{28A0092B-C50C-407E-A947-70E740481C1C}"/>
                      </a:extLst>
                    </a:blip>
                    <a:srcRect/>
                    <a:stretch>
                      <a:fillRect/>
                    </a:stretch>
                  </pic:blipFill>
                  <pic:spPr bwMode="auto">
                    <a:xfrm>
                      <a:off x="0" y="0"/>
                      <a:ext cx="1656715" cy="8255"/>
                    </a:xfrm>
                    <a:prstGeom prst="rect">
                      <a:avLst/>
                    </a:prstGeom>
                    <a:noFill/>
                  </pic:spPr>
                </pic:pic>
              </a:graphicData>
            </a:graphic>
          </wp:anchor>
        </w:drawing>
        <w:drawing>
          <wp:anchor simplePos="0" relativeHeight="251657728" behindDoc="1" locked="0" layoutInCell="0" allowOverlap="1">
            <wp:simplePos x="0" y="0"/>
            <wp:positionH relativeFrom="column">
              <wp:posOffset>4543425</wp:posOffset>
            </wp:positionH>
            <wp:positionV relativeFrom="paragraph">
              <wp:posOffset>125730</wp:posOffset>
            </wp:positionV>
            <wp:extent cx="6286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2">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-10160</wp:posOffset>
            </wp:positionV>
            <wp:extent cx="165671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3">
                      <a:extLst>
                        <a:ext uri="{28A0092B-C50C-407E-A947-70E740481C1C}"/>
                      </a:extLst>
                    </a:blip>
                    <a:srcRect/>
                    <a:stretch>
                      <a:fillRect/>
                    </a:stretch>
                  </pic:blipFill>
                  <pic:spPr bwMode="auto">
                    <a:xfrm>
                      <a:off x="0" y="0"/>
                      <a:ext cx="1656715" cy="8890"/>
                    </a:xfrm>
                    <a:prstGeom prst="rect">
                      <a:avLst/>
                    </a:prstGeom>
                    <a:noFill/>
                  </pic:spPr>
                </pic:pic>
              </a:graphicData>
            </a:graphic>
          </wp:anchor>
        </w:drawing>
        <w:drawing>
          <wp:anchor simplePos="0" relativeHeight="251657728" behindDoc="1" locked="0" layoutInCell="0" allowOverlap="1">
            <wp:simplePos x="0" y="0"/>
            <wp:positionH relativeFrom="column">
              <wp:posOffset>4543425</wp:posOffset>
            </wp:positionH>
            <wp:positionV relativeFrom="paragraph">
              <wp:posOffset>126365</wp:posOffset>
            </wp:positionV>
            <wp:extent cx="71437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4">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ectPr>
          <w:pgSz w:w="11900" w:h="16838" w:orient="portrait"/>
          <w:cols w:equalWidth="0" w:num="1">
            <w:col w:w="10780"/>
          </w:cols>
          <w:pgMar w:left="440" w:top="274" w:right="679" w:bottom="1440" w:gutter="0" w:footer="0" w:header="0"/>
        </w:sectPr>
      </w:pPr>
    </w:p>
    <w:bookmarkStart w:id="138" w:name="page139"/>
    <w:bookmarkEnd w:id="138"/>
    <w:p>
      <w:pPr>
        <w:ind w:left="10180"/>
        <w:spacing w:after="0"/>
        <w:rPr>
          <w:sz w:val="20"/>
          <w:szCs w:val="20"/>
          <w:color w:val="auto"/>
        </w:rPr>
      </w:pPr>
      <w:r>
        <w:rPr>
          <w:rFonts w:ascii="Arial" w:cs="Arial" w:eastAsia="Arial" w:hAnsi="Arial"/>
          <w:sz w:val="16"/>
          <w:szCs w:val="16"/>
          <w:b w:val="1"/>
          <w:bCs w:val="1"/>
          <w:color w:val="auto"/>
        </w:rPr>
        <w:t>Exhibit 5.1</w:t>
      </w:r>
    </w:p>
    <w:p>
      <w:pPr>
        <w:sectPr>
          <w:pgSz w:w="11900" w:h="16838" w:orient="portrait"/>
          <w:cols w:equalWidth="0" w:num="1">
            <w:col w:w="11020"/>
          </w:cols>
          <w:pgMar w:left="440" w:top="121" w:right="439" w:bottom="1440" w:gutter="0" w:footer="0" w:header="0"/>
        </w:sectPr>
      </w:pPr>
    </w:p>
    <w:p>
      <w:pPr>
        <w:spacing w:after="0" w:line="279"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555 California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-121920</wp:posOffset>
            </wp:positionV>
            <wp:extent cx="1139825" cy="2311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5">
                      <a:extLst>
                        <a:ext uri="{28A0092B-C50C-407E-A947-70E740481C1C}"/>
                      </a:extLst>
                    </a:blip>
                    <a:srcRect/>
                    <a:stretch>
                      <a:fillRect/>
                    </a:stretch>
                  </pic:blipFill>
                  <pic:spPr bwMode="auto">
                    <a:xfrm>
                      <a:off x="0" y="0"/>
                      <a:ext cx="1139825" cy="231140"/>
                    </a:xfrm>
                    <a:prstGeom prst="rect">
                      <a:avLst/>
                    </a:prstGeom>
                    <a:noFill/>
                  </pic:spPr>
                </pic:pic>
              </a:graphicData>
            </a:graphic>
          </wp:anchor>
        </w:drawing>
      </w:r>
    </w:p>
    <w:p>
      <w:pPr>
        <w:spacing w:after="0" w:line="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12th Floor</w:t>
      </w:r>
    </w:p>
    <w:p>
      <w:pPr>
        <w:spacing w:after="0" w:line="9" w:lineRule="exact"/>
        <w:rPr>
          <w:sz w:val="20"/>
          <w:szCs w:val="20"/>
          <w:color w:val="auto"/>
        </w:rPr>
      </w:pPr>
    </w:p>
    <w:p>
      <w:pPr>
        <w:ind w:left="7020"/>
        <w:spacing w:after="0"/>
        <w:rPr>
          <w:sz w:val="20"/>
          <w:szCs w:val="20"/>
          <w:color w:val="auto"/>
        </w:rPr>
      </w:pPr>
      <w:r>
        <w:rPr>
          <w:rFonts w:ascii="Arial" w:cs="Arial" w:eastAsia="Arial" w:hAnsi="Arial"/>
          <w:sz w:val="16"/>
          <w:szCs w:val="16"/>
          <w:color w:val="auto"/>
        </w:rPr>
        <w:t>San Francisco, CA 94104</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415.875.2300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Fenwick.com</w:t>
      </w:r>
    </w:p>
    <w:p>
      <w:pPr>
        <w:spacing w:after="0" w:line="415" w:lineRule="exact"/>
        <w:rPr>
          <w:sz w:val="20"/>
          <w:szCs w:val="20"/>
          <w:color w:val="auto"/>
        </w:rPr>
      </w:pPr>
    </w:p>
    <w:p>
      <w:pPr>
        <w:sectPr>
          <w:pgSz w:w="11900" w:h="16838" w:orient="portrait"/>
          <w:cols w:equalWidth="0" w:num="2">
            <w:col w:w="8860" w:space="560"/>
            <w:col w:w="1600"/>
          </w:cols>
          <w:pgMar w:left="440" w:top="121" w:right="439" w:bottom="1440" w:gutter="0" w:footer="0" w:header="0"/>
          <w:type w:val="continuous"/>
        </w:sect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10770 Wateridge Circle, Suite 210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92121-5801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440"/>
        <w:spacing w:after="0" w:line="269" w:lineRule="auto"/>
        <w:rPr>
          <w:sz w:val="20"/>
          <w:szCs w:val="20"/>
          <w:color w:val="auto"/>
        </w:rPr>
      </w:pPr>
      <w:r>
        <w:rPr>
          <w:rFonts w:ascii="Arial" w:cs="Arial" w:eastAsia="Arial" w:hAnsi="Arial"/>
          <w:sz w:val="17"/>
          <w:szCs w:val="17"/>
          <w:color w:val="auto"/>
        </w:rPr>
        <w:t>At your request, we have examined the Registration Statement on Form S-3 filed by AnaptysBio,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on December 30, 2021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in connection with the registration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of the offering and sale from time to time of (i) shares of the Company’s common stock, $0.001 par value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(ii) shares of the Company’s preferred stock, $0.001 par value per share (the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(iii) one or more series of debt securities (the “</w:t>
      </w:r>
      <w:r>
        <w:rPr>
          <w:rFonts w:ascii="Arial" w:cs="Arial" w:eastAsia="Arial" w:hAnsi="Arial"/>
          <w:sz w:val="17"/>
          <w:szCs w:val="17"/>
          <w:b w:val="1"/>
          <w:bCs w:val="1"/>
          <w:i w:val="1"/>
          <w:iCs w:val="1"/>
          <w:color w:val="auto"/>
        </w:rPr>
        <w:t>Debt Securities</w:t>
      </w:r>
      <w:r>
        <w:rPr>
          <w:rFonts w:ascii="Arial" w:cs="Arial" w:eastAsia="Arial" w:hAnsi="Arial"/>
          <w:sz w:val="17"/>
          <w:szCs w:val="17"/>
          <w:color w:val="auto"/>
        </w:rPr>
        <w:t>”) issuable pursuant to an indenture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by and between the Company and a financial institution to be identified therein as trustee (the “</w:t>
      </w:r>
      <w:r>
        <w:rPr>
          <w:rFonts w:ascii="Arial" w:cs="Arial" w:eastAsia="Arial" w:hAnsi="Arial"/>
          <w:sz w:val="17"/>
          <w:szCs w:val="17"/>
          <w:b w:val="1"/>
          <w:bCs w:val="1"/>
          <w:i w:val="1"/>
          <w:iCs w:val="1"/>
          <w:color w:val="auto"/>
        </w:rPr>
        <w:t>Trustee</w:t>
      </w:r>
      <w:r>
        <w:rPr>
          <w:rFonts w:ascii="Arial" w:cs="Arial" w:eastAsia="Arial" w:hAnsi="Arial"/>
          <w:sz w:val="17"/>
          <w:szCs w:val="17"/>
          <w:color w:val="auto"/>
        </w:rPr>
        <w:t>”), (iv) warrants to purchase Common Stock, Preferred Stock and/or Debt Securities (the “</w:t>
      </w:r>
      <w:r>
        <w:rPr>
          <w:rFonts w:ascii="Arial" w:cs="Arial" w:eastAsia="Arial" w:hAnsi="Arial"/>
          <w:sz w:val="17"/>
          <w:szCs w:val="17"/>
          <w:b w:val="1"/>
          <w:bCs w:val="1"/>
          <w:i w:val="1"/>
          <w:iCs w:val="1"/>
          <w:color w:val="auto"/>
        </w:rPr>
        <w:t>Warrants</w:t>
      </w:r>
      <w:r>
        <w:rPr>
          <w:rFonts w:ascii="Arial" w:cs="Arial" w:eastAsia="Arial" w:hAnsi="Arial"/>
          <w:sz w:val="17"/>
          <w:szCs w:val="17"/>
          <w:color w:val="auto"/>
        </w:rPr>
        <w:t>”), (v) subscription rights to purchase Common Stock, Preferred Stock and/or Debt Securities (the “</w:t>
      </w:r>
      <w:r>
        <w:rPr>
          <w:rFonts w:ascii="Arial" w:cs="Arial" w:eastAsia="Arial" w:hAnsi="Arial"/>
          <w:sz w:val="17"/>
          <w:szCs w:val="17"/>
          <w:b w:val="1"/>
          <w:bCs w:val="1"/>
          <w:i w:val="1"/>
          <w:iCs w:val="1"/>
          <w:color w:val="auto"/>
        </w:rPr>
        <w:t>Subscription Rights</w:t>
      </w:r>
      <w:r>
        <w:rPr>
          <w:rFonts w:ascii="Arial" w:cs="Arial" w:eastAsia="Arial" w:hAnsi="Arial"/>
          <w:sz w:val="17"/>
          <w:szCs w:val="17"/>
          <w:color w:val="auto"/>
        </w:rPr>
        <w:t>”), and/or (vi) units consisting of any combination of such foregoing securities described in clauses (i) through (v) above (the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having an aggregate public offering price of up to $300,000,000. The Common Stock, the Preferred Stock, the Debt Securities, the Warrants, the Subscription Rights and the Units are collectively referred to herein as the “</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 The Securities may be sold from time to time by the Company as set forth in the Registration Statement, the prospectus contained within the Registration Statement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and supplements to the Prospectus.</w:t>
      </w:r>
    </w:p>
    <w:p>
      <w:pPr>
        <w:spacing w:after="0" w:line="179" w:lineRule="exact"/>
        <w:rPr>
          <w:sz w:val="20"/>
          <w:szCs w:val="20"/>
          <w:color w:val="auto"/>
        </w:rPr>
      </w:pPr>
    </w:p>
    <w:p>
      <w:pPr>
        <w:jc w:val="both"/>
        <w:ind w:right="20" w:firstLine="440"/>
        <w:spacing w:after="0" w:line="255" w:lineRule="auto"/>
        <w:rPr>
          <w:sz w:val="20"/>
          <w:szCs w:val="20"/>
          <w:color w:val="auto"/>
        </w:rPr>
      </w:pPr>
      <w:r>
        <w:rPr>
          <w:rFonts w:ascii="Arial" w:cs="Arial" w:eastAsia="Arial" w:hAnsi="Arial"/>
          <w:sz w:val="18"/>
          <w:szCs w:val="18"/>
          <w:color w:val="auto"/>
        </w:rPr>
        <w:t>We advise you that we have also examined (i) the sales agreement prospectus filed, together with the Registration Statement and Prospectus, with the Commission on December 30, 2021 (the “</w:t>
      </w:r>
      <w:r>
        <w:rPr>
          <w:rFonts w:ascii="Arial" w:cs="Arial" w:eastAsia="Arial" w:hAnsi="Arial"/>
          <w:sz w:val="18"/>
          <w:szCs w:val="18"/>
          <w:b w:val="1"/>
          <w:bCs w:val="1"/>
          <w:i w:val="1"/>
          <w:iCs w:val="1"/>
          <w:color w:val="auto"/>
        </w:rPr>
        <w:t>Sales Agreement Prospectus</w:t>
      </w:r>
      <w:r>
        <w:rPr>
          <w:rFonts w:ascii="Arial" w:cs="Arial" w:eastAsia="Arial" w:hAnsi="Arial"/>
          <w:sz w:val="18"/>
          <w:szCs w:val="18"/>
          <w:color w:val="auto"/>
        </w:rPr>
        <w:t>”) relating to the sale by the Company through Jefferies LLC, as the sales agent (the “</w:t>
      </w:r>
      <w:r>
        <w:rPr>
          <w:rFonts w:ascii="Arial" w:cs="Arial" w:eastAsia="Arial" w:hAnsi="Arial"/>
          <w:sz w:val="18"/>
          <w:szCs w:val="18"/>
          <w:b w:val="1"/>
          <w:bCs w:val="1"/>
          <w:i w:val="1"/>
          <w:iCs w:val="1"/>
          <w:color w:val="auto"/>
        </w:rPr>
        <w:t>Sales Agent</w:t>
      </w:r>
      <w:r>
        <w:rPr>
          <w:rFonts w:ascii="Arial" w:cs="Arial" w:eastAsia="Arial" w:hAnsi="Arial"/>
          <w:sz w:val="18"/>
          <w:szCs w:val="18"/>
          <w:color w:val="auto"/>
        </w:rPr>
        <w:t>”), from time to time of shares of Common Stock (the “</w:t>
      </w:r>
      <w:r>
        <w:rPr>
          <w:rFonts w:ascii="Arial" w:cs="Arial" w:eastAsia="Arial" w:hAnsi="Arial"/>
          <w:sz w:val="18"/>
          <w:szCs w:val="18"/>
          <w:b w:val="1"/>
          <w:bCs w:val="1"/>
          <w:i w:val="1"/>
          <w:iCs w:val="1"/>
          <w:color w:val="auto"/>
        </w:rPr>
        <w:t>Placement Shares</w:t>
      </w:r>
      <w:r>
        <w:rPr>
          <w:rFonts w:ascii="Arial" w:cs="Arial" w:eastAsia="Arial" w:hAnsi="Arial"/>
          <w:sz w:val="18"/>
          <w:szCs w:val="18"/>
          <w:color w:val="auto"/>
        </w:rPr>
        <w:t>”) having an aggregate maximum offering price of up to $150,000,000 pursuant to the Registration Statement and the Sales Agreement Prospectus for the sale of the Placement Shares included in the Registration Statement, and (ii) that certain Sale Agreement, dated as of December 30, 2021, by and between the Company and the Sales Agent (the “</w:t>
      </w:r>
      <w:r>
        <w:rPr>
          <w:rFonts w:ascii="Arial" w:cs="Arial" w:eastAsia="Arial" w:hAnsi="Arial"/>
          <w:sz w:val="18"/>
          <w:szCs w:val="18"/>
          <w:b w:val="1"/>
          <w:bCs w:val="1"/>
          <w:i w:val="1"/>
          <w:iCs w:val="1"/>
          <w:color w:val="auto"/>
        </w:rPr>
        <w:t>Sales Agreement</w:t>
      </w:r>
      <w:r>
        <w:rPr>
          <w:rFonts w:ascii="Arial" w:cs="Arial" w:eastAsia="Arial" w:hAnsi="Arial"/>
          <w:sz w:val="18"/>
          <w:szCs w:val="18"/>
          <w:color w:val="auto"/>
        </w:rPr>
        <w:t>”).</w:t>
      </w:r>
    </w:p>
    <w:p>
      <w:pPr>
        <w:spacing w:after="0" w:line="192"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6"/>
          <w:szCs w:val="16"/>
          <w:color w:val="auto"/>
        </w:rPr>
        <w:t>In connection with our opinion expressed below we have examined originals or copies of the Amended and Restated Certificate of Incorporation and Restated Bylaws (together with the Amended and Restated Certificate of Incorporation, as each may be amended, modified or restated, the “</w:t>
      </w:r>
      <w:r>
        <w:rPr>
          <w:rFonts w:ascii="Arial" w:cs="Arial" w:eastAsia="Arial" w:hAnsi="Arial"/>
          <w:sz w:val="16"/>
          <w:szCs w:val="16"/>
          <w:b w:val="1"/>
          <w:bCs w:val="1"/>
          <w:i w:val="1"/>
          <w:iCs w:val="1"/>
          <w:color w:val="auto"/>
        </w:rPr>
        <w:t>Charter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Documents</w:t>
      </w:r>
      <w:r>
        <w:rPr>
          <w:rFonts w:ascii="Arial" w:cs="Arial" w:eastAsia="Arial" w:hAnsi="Arial"/>
          <w:sz w:val="16"/>
          <w:szCs w:val="16"/>
          <w:color w:val="auto"/>
        </w:rPr>
        <w:t>”), certain corporate proceedings of the Company’s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and stockholders relating to the Registration Statement,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Amended and Restated Certificate of Incorporation and Restated Bylaws, and such other agreements, documents, certificates and statements of the Company, its transfer agent and public or government officials, as we have deemed advisable, and have examined such questions of law as we have considered necessary. We have assumed, and express no opinion as to, the genuineness of all signatures on documents submitted to us, the authenticity and completeness of all documents submitted to us as originals, the conformity to originals and completeness of all documents submitted to us as copies, the legal capacity of all persons or entities (except for the Company) executing the same, the absence of any undisclosed termination, modification, waiver or amendment to any document reviewed by us, the absence of any other extrinsic agreements or documents that might change or affect the interpretation or terms of documents we have reviewed, and the due authorization, execution and delivery of all such documents where due authorization, execution and delivery are prerequisites to the effectiveness thereof. In giving our opinion, we have also relied upon a good standing certificate regarding the Company issued by the Delaware Secretary of State dated December 30, 2021 and a management certificate addressed to us and dated of even date herewith executed by the Company containing certain factual representations (the “</w:t>
      </w:r>
      <w:r>
        <w:rPr>
          <w:rFonts w:ascii="Arial" w:cs="Arial" w:eastAsia="Arial" w:hAnsi="Arial"/>
          <w:sz w:val="16"/>
          <w:szCs w:val="16"/>
          <w:b w:val="1"/>
          <w:bCs w:val="1"/>
          <w:i w:val="1"/>
          <w:iCs w:val="1"/>
          <w:color w:val="auto"/>
        </w:rPr>
        <w:t>Management Certificate</w:t>
      </w:r>
      <w:r>
        <w:rPr>
          <w:rFonts w:ascii="Arial" w:cs="Arial" w:eastAsia="Arial" w:hAnsi="Arial"/>
          <w:sz w:val="16"/>
          <w:szCs w:val="16"/>
          <w:color w:val="auto"/>
        </w:rPr>
        <w:t>”).</w:t>
      </w:r>
    </w:p>
    <w:p>
      <w:pPr>
        <w:sectPr>
          <w:pgSz w:w="11900" w:h="16838" w:orient="portrait"/>
          <w:cols w:equalWidth="0" w:num="1">
            <w:col w:w="11020"/>
          </w:cols>
          <w:pgMar w:left="440" w:top="121" w:right="439" w:bottom="1440" w:gutter="0" w:footer="0" w:header="0"/>
          <w:type w:val="continuous"/>
        </w:sectPr>
      </w:pPr>
    </w:p>
    <w:bookmarkStart w:id="139" w:name="page140"/>
    <w:bookmarkEnd w:id="139"/>
    <w:p>
      <w:pPr>
        <w:jc w:val="both"/>
        <w:ind w:right="20"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also have assumed that any certificates or instruments representing the Securities, including the Placement Shares, will be, when issued, properly signed by authorized officers of the Company, and, in the case of Debt Securities, properly authenticated in accordance with the terms of the Indenture and delivered to the intended recipients with the intent that the Company be bound thereby. Furthermore, with respect to the Company’s uncertificated capital stock, we assume that issued Common Stock, including any Placement Shares, will not be reissued by the Company in uncertificated form until any previously issued stock certificate representing such issued Common Stock has been surrendered to the Company in accordance with Section 158 of the Delaware General Corporation Law, and that the Company will properly register the transfer of the Common Stock to the purchasers of such Common Stock on the Company’s record of uncertificated securities. We also have assumed that the Indenture at the time of execution, authentication, issuance and delivery of the Debt Securities will be a valid and legally binding obligation of the Trustee.</w:t>
      </w:r>
    </w:p>
    <w:p>
      <w:pPr>
        <w:spacing w:after="0" w:line="165" w:lineRule="exact"/>
        <w:rPr>
          <w:sz w:val="20"/>
          <w:szCs w:val="20"/>
          <w:color w:val="auto"/>
        </w:rPr>
      </w:pPr>
    </w:p>
    <w:p>
      <w:pPr>
        <w:jc w:val="both"/>
        <w:ind w:right="20" w:firstLine="440"/>
        <w:spacing w:after="0" w:line="257" w:lineRule="auto"/>
        <w:rPr>
          <w:sz w:val="20"/>
          <w:szCs w:val="20"/>
          <w:color w:val="auto"/>
        </w:rPr>
      </w:pPr>
      <w:r>
        <w:rPr>
          <w:rFonts w:ascii="Arial" w:cs="Arial" w:eastAsia="Arial" w:hAnsi="Arial"/>
          <w:sz w:val="18"/>
          <w:szCs w:val="18"/>
          <w:color w:val="auto"/>
        </w:rPr>
        <w:t>As to matters of fact relevant to this opinion, we have relied solely upon our examination of the documents referred to above and the Management Certificate and have assumed the current accuracy and completeness of the information obtained from the documents referred to above and the representations and warranties made by representatives of the Company to us, including but not limited to those set forth in the Management Certificate. We have made no independent investigation or other attempt to verify the accuracy of any of such information or to determine the existence or non-existence of any other factual matters.</w:t>
      </w:r>
    </w:p>
    <w:p>
      <w:pPr>
        <w:spacing w:after="0" w:line="188" w:lineRule="exact"/>
        <w:rPr>
          <w:sz w:val="20"/>
          <w:szCs w:val="20"/>
          <w:color w:val="auto"/>
        </w:rPr>
      </w:pPr>
    </w:p>
    <w:p>
      <w:pPr>
        <w:jc w:val="both"/>
        <w:ind w:firstLine="440"/>
        <w:spacing w:after="0" w:line="269" w:lineRule="auto"/>
        <w:rPr>
          <w:sz w:val="20"/>
          <w:szCs w:val="20"/>
          <w:color w:val="auto"/>
        </w:rPr>
      </w:pPr>
      <w:r>
        <w:rPr>
          <w:rFonts w:ascii="Arial" w:cs="Arial" w:eastAsia="Arial" w:hAnsi="Arial"/>
          <w:sz w:val="17"/>
          <w:szCs w:val="17"/>
          <w:color w:val="auto"/>
        </w:rPr>
        <w:t>We are admitted to practice law in the State of California and we render this opinion only with respect to, and express no opinion herein concerning the application or effect of the laws of any jurisdiction other than (i) the existing laws of the State of California, (ii) the Delaware General Corporation Law, and (iii) solely with respect to whether or not the Debt Securities are the valid and binding obligations of the Company, the existing laws of the state of New York (clauses (i) through (iii) collectively, the “</w:t>
      </w:r>
      <w:r>
        <w:rPr>
          <w:rFonts w:ascii="Arial" w:cs="Arial" w:eastAsia="Arial" w:hAnsi="Arial"/>
          <w:sz w:val="17"/>
          <w:szCs w:val="17"/>
          <w:b w:val="1"/>
          <w:bCs w:val="1"/>
          <w:i w:val="1"/>
          <w:iCs w:val="1"/>
          <w:color w:val="auto"/>
        </w:rPr>
        <w:t>Applicable Laws</w:t>
      </w:r>
      <w:r>
        <w:rPr>
          <w:rFonts w:ascii="Arial" w:cs="Arial" w:eastAsia="Arial" w:hAnsi="Arial"/>
          <w:sz w:val="17"/>
          <w:szCs w:val="17"/>
          <w:color w:val="auto"/>
        </w:rPr>
        <w:t>”). To the extent that any Warrant Agreement, Subscription Rights Agreement or Unit Agreement (each as defined below) is governed by the laws of any jurisdiction other than the State of California, our opinion expressed below assumes that Internal California Law (as defined below) will exclusively apply to and govern such Warrant Agreement, Subscription Rights Agreement or Unit Agreement, without regard to any interpretation or construction that might be indicated by the laws stated as governing any such Warrant Agreement, Subscription Rights Agreement or Unit Agreement. As used herein “</w:t>
      </w:r>
      <w:r>
        <w:rPr>
          <w:rFonts w:ascii="Arial" w:cs="Arial" w:eastAsia="Arial" w:hAnsi="Arial"/>
          <w:sz w:val="17"/>
          <w:szCs w:val="17"/>
          <w:b w:val="1"/>
          <w:bCs w:val="1"/>
          <w:i w:val="1"/>
          <w:iCs w:val="1"/>
          <w:color w:val="auto"/>
        </w:rPr>
        <w:t>Internal California Law</w:t>
      </w:r>
      <w:r>
        <w:rPr>
          <w:rFonts w:ascii="Arial" w:cs="Arial" w:eastAsia="Arial" w:hAnsi="Arial"/>
          <w:sz w:val="17"/>
          <w:szCs w:val="17"/>
          <w:b w:val="1"/>
          <w:bCs w:val="1"/>
          <w:color w:val="auto"/>
        </w:rPr>
        <w:t>”</w:t>
      </w:r>
      <w:r>
        <w:rPr>
          <w:rFonts w:ascii="Arial" w:cs="Arial" w:eastAsia="Arial" w:hAnsi="Arial"/>
          <w:sz w:val="17"/>
          <w:szCs w:val="17"/>
          <w:color w:val="auto"/>
        </w:rPr>
        <w:t xml:space="preserve"> means the internal laws of the State of California applicable to a contract made by California residents in the State of California that selects California law as the governing law of such contract, without regard to any laws or equitable principles regarding choice of law, conflict of laws or public policies that might make any other law(s) applicable. Without limitation, we express no opinion with respect to the federal laws of the United States of America or the securities or “blue sky” laws of any state or any local or regional laws.</w:t>
      </w:r>
    </w:p>
    <w:p>
      <w:pPr>
        <w:spacing w:after="0" w:line="179" w:lineRule="exact"/>
        <w:rPr>
          <w:sz w:val="20"/>
          <w:szCs w:val="20"/>
          <w:color w:val="auto"/>
        </w:rPr>
      </w:pPr>
    </w:p>
    <w:p>
      <w:pPr>
        <w:jc w:val="both"/>
        <w:ind w:firstLine="440"/>
        <w:spacing w:after="0" w:line="285" w:lineRule="auto"/>
        <w:rPr>
          <w:sz w:val="20"/>
          <w:szCs w:val="20"/>
          <w:color w:val="auto"/>
        </w:rPr>
      </w:pPr>
      <w:r>
        <w:rPr>
          <w:rFonts w:ascii="Arial" w:cs="Arial" w:eastAsia="Arial" w:hAnsi="Arial"/>
          <w:sz w:val="16"/>
          <w:szCs w:val="16"/>
          <w:color w:val="auto"/>
        </w:rPr>
        <w:t>In connection with our opinions expressed below, we have assumed that, (i) at or prior to the time of the delivery of any of the Securities, including the Placement Shares, there will not have occurred any change in the law or the facts affecting the validity of the Securities, (ii) if any Debt Securities are issued, such Debt Securities will only be issued pursuant to the Indenture in the form filed with the Registration Statement as an exhibit and that there will not have occurred any change in law affecting the enforceability of the Debt Securities or the Indenture, (iii) all applicable covenants binding on or applicable to the Company restricting the issuance of Debt Securities will have been validly waived, (iv) the Registration Statement and any amendments (including any necessary post-effective amendments) will have been declared effective under the Securities Act, (v) at the time of the offer, issuance and sale of any Securities, including the Placement Shares, no stop order suspending the Registration Statement’s effectiveness will have been issued and remain in effect, (vi) no future amendments will be made to the Charter Documents that would be in conflict with or inconsistent with the Company’s right and ability to issue the Securities, including without limitation the Placement Shares, (vii) at the time of each offer, issuance and sale of any Securities, including without limitation the Placement Shares, the Company will have a sufficient number of authorized and unissued and unreserved shares of the applicable class or series of its capital stock included in (or purchasable upon exercise or conversion of) the Securities, including without limitation the Placement Shares, so issued and sold (after taking into account all other outstanding securities of the Company which may require the Company to issue shares of such applicable class or series) to be able to issue all such shares, and (viii) all purchasers of Securities, including without limitation the purchasers of the Placement Shares, will timely pay in full to the Company all amounts they have agreed to pay to purchase such Securities, including the Placement Shares, as approved by the Board or a duly authorized committee thereof, and that the purchase price of any Securities, including the Placement Shares, that are shares of capital stock will not be less than the par value thereof. We also have assumed that the terms of any Debt Securities to be established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40" w:name="page141"/>
    <w:bookmarkEnd w:id="140"/>
    <w:p>
      <w:pPr>
        <w:jc w:val="both"/>
        <w:ind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subsequent to the date hereof, the issuance and delivery of Securities, including the Placement Shares, subsequent to the date hereof and the compliance by the Company with the terms of such Securities, including the Placement Shares, will not violate any applicable law (including, without limitation, any law relating to usury or similar laws) or result in a violation of any provision of any of the Charter Documents or of any instrument or agreement then binding upon the Company or any restriction imposed by any court or governmental body having jurisdiction over the Company.</w:t>
      </w:r>
    </w:p>
    <w:p>
      <w:pPr>
        <w:spacing w:after="0" w:line="157"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This opinion is qualified by, and is subject to, and we render no opinion with respect to, the following limitations and exceptions to the enforceability of the Debt Securities:</w:t>
      </w:r>
    </w:p>
    <w:p>
      <w:pPr>
        <w:spacing w:after="0" w:line="76" w:lineRule="exact"/>
        <w:rPr>
          <w:sz w:val="20"/>
          <w:szCs w:val="20"/>
          <w:color w:val="auto"/>
        </w:rPr>
      </w:pPr>
    </w:p>
    <w:p>
      <w:pPr>
        <w:jc w:val="both"/>
        <w:ind w:left="1420" w:hanging="439"/>
        <w:spacing w:after="0" w:line="286" w:lineRule="auto"/>
        <w:tabs>
          <w:tab w:leader="none" w:pos="14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effect of the laws of bankruptcy, insolvency, reorganization, arrangement, moratorium, fraudulent conveyance, assignment for the benefit of creditors, and other similar laws now or hereinafter in effect relating to or affecting the rights and remedies of creditors, including the effect of statutory or other laws regarding fraudulent transfers or preferential transfers.</w:t>
      </w:r>
    </w:p>
    <w:p>
      <w:pPr>
        <w:spacing w:after="0" w:line="70" w:lineRule="exact"/>
        <w:rPr>
          <w:rFonts w:ascii="Arial" w:cs="Arial" w:eastAsia="Arial" w:hAnsi="Arial"/>
          <w:sz w:val="17"/>
          <w:szCs w:val="17"/>
          <w:color w:val="auto"/>
        </w:rPr>
      </w:pPr>
    </w:p>
    <w:p>
      <w:pPr>
        <w:jc w:val="both"/>
        <w:ind w:left="1420" w:right="20" w:hanging="439"/>
        <w:spacing w:after="0" w:line="286" w:lineRule="auto"/>
        <w:tabs>
          <w:tab w:leader="none" w:pos="14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effect of general principles of equity and similar principles, including, without limitation, concepts of materiality, reasonableness, good faith and fair dealing, public policy and unconscionability, and the possible unavailability of specific performance, injunctive relief, or other equitable remedies, regardless of whether considered in a proceeding in equity or at law.</w:t>
      </w:r>
    </w:p>
    <w:p>
      <w:pPr>
        <w:spacing w:after="0" w:line="70" w:lineRule="exact"/>
        <w:rPr>
          <w:rFonts w:ascii="Arial" w:cs="Arial" w:eastAsia="Arial" w:hAnsi="Arial"/>
          <w:sz w:val="17"/>
          <w:szCs w:val="17"/>
          <w:color w:val="auto"/>
        </w:rPr>
      </w:pPr>
    </w:p>
    <w:p>
      <w:pPr>
        <w:ind w:left="1420" w:hanging="439"/>
        <w:spacing w:after="0"/>
        <w:tabs>
          <w:tab w:leader="none" w:pos="1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effect of laws relating to usury or permissible rates of interest for loans, forbearances or the use of money.</w:t>
      </w:r>
    </w:p>
    <w:p>
      <w:pPr>
        <w:spacing w:after="0" w:line="22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We express no opinion regarding the effectiveness of any waiver or stay, extension or of unknown future rights. Further, we express no opinion regarding the effect of provisions relating to indemnification, exculpation or contribution to the extent such provisions may be held unenforceable as contrary to federal or state securities laws or public policy.</w:t>
      </w:r>
    </w:p>
    <w:p>
      <w:pPr>
        <w:spacing w:after="0" w:line="184"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6"/>
          <w:szCs w:val="16"/>
          <w:color w:val="auto"/>
        </w:rPr>
        <w:t>The Company has informed us that the Company intends to issue the Securities, including without limitation the Placement Shares, from time to time on a delayed or continuous basis. This opinion is limited to the Applicable Laws, including the rules and regulations thereunder, as in effect on the date hereof. We are basing this opinion on our understanding that, prior to issuing any Securities, excluding the Placement Shares, in connection with the Registration Statement, the Company will advise us in writing of the terms thereof and other information material thereto, will afford us an opportunity to review the operative documents pursuant to which such Securities are to be issued (including the Registration Statement, the Prospectus and the applicable supplement to the Prospectus, as then in effect) and will file such supplement or amendment to this opinion (if any) as we may reasonably consider necessary or appropriate with respect to such Securities. However, we undertake no responsibility to monitor the Company’s future compliance with applicable laws, rules or regulations of the Commission or other governmental body. In particular, except with respect to the Placement Shares, we assume that the Company will obtain the requisite approval of the Board and the requisite approval of its stockholders, if required by the laws of the State of Delaware and the Charter Documents, or if necessary because the Company does not have a sufficient number of authorized but unissued and unreserved shares of its capital stock at the time of issuance to comply with any Securities. Except with respect to the Placement Shares, we also assume the Company will timely file any and all supplements to the Registration Statement and Prospectus as are necessary to comply with applicable laws in effect from time to time and duly amend its Amended and Restated Certificate of Incorporation to increase the authorized number of shares of its capital stock as necessary if the number of such shares to be sold pursuant to the Registration Statement would cause the Company to issue more such shares than it has authorized and unissued and unreserved.</w:t>
      </w:r>
    </w:p>
    <w:p>
      <w:pPr>
        <w:spacing w:after="0" w:line="167"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With respect to our opinion expressed in paragraph (7) below, we have assumed that, upon the issuance of any of the Placement Shares, the total number of shares of Common Stock issued and outstanding and reserved for future issuance will not exceed the total number of shares of Common Stock that the Company is then authorized to issue under its Certificate of Incorporation, as then in effect.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the foregoing, we are of the following opinion: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41" w:name="page142"/>
    <w:bookmarkEnd w:id="141"/>
    <w:p>
      <w:pPr>
        <w:jc w:val="both"/>
        <w:ind w:firstLine="436"/>
        <w:spacing w:after="0" w:line="269" w:lineRule="auto"/>
        <w:tabs>
          <w:tab w:leader="none" w:pos="629" w:val="left"/>
        </w:tabs>
        <w:numPr>
          <w:ilvl w:val="0"/>
          <w:numId w:val="1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the shares of Common Stock registered pursuant to the Registration Statement (other than the Placement Shares), when (i) the issuance of and the terms of the offering of such shares of Common Stock and related matters have been duly authorized by all required corporate action of the Board or a duly authorized committee thereof, and, if required, of the stockholders of the Company in accordance with the Charter Documents and Applicable Laws and (ii) if required, certificates representing the shares of Common Stock have been duly executed, countersigned, registered and delivered either (a) in accordance with the applicable definitive purchase, underwriting or similar agreement approved by the Board, or upon the exercise of Warrants to purchase Common Stock, upon payment of the consideration therefor (in an amount not less than the par value of the Common Stock) provided for therein and approved by the Board or a duly authorized committee thereof, or (b) upon conversion or exercise of any other security of the Company, in accordance with the terms of such security or the instrument governing such security providing for such conversion or exercise as approved by the Board, for the consideration approved by the Board (in an amount not less than the par value per share of the Common Stock), then such shares of Common Stock will be validly issued, fully paid and nonassessable.</w:t>
      </w:r>
    </w:p>
    <w:p>
      <w:pPr>
        <w:spacing w:after="0" w:line="77" w:lineRule="exact"/>
        <w:rPr>
          <w:rFonts w:ascii="Arial" w:cs="Arial" w:eastAsia="Arial" w:hAnsi="Arial"/>
          <w:sz w:val="17"/>
          <w:szCs w:val="17"/>
          <w:color w:val="auto"/>
        </w:rPr>
      </w:pPr>
    </w:p>
    <w:p>
      <w:pPr>
        <w:jc w:val="both"/>
        <w:ind w:right="20" w:firstLine="436"/>
        <w:spacing w:after="0" w:line="268" w:lineRule="auto"/>
        <w:tabs>
          <w:tab w:leader="none" w:pos="633" w:val="left"/>
        </w:tabs>
        <w:numPr>
          <w:ilvl w:val="0"/>
          <w:numId w:val="128"/>
        </w:numPr>
        <w:rPr>
          <w:rFonts w:ascii="Arial" w:cs="Arial" w:eastAsia="Arial" w:hAnsi="Arial"/>
          <w:sz w:val="17"/>
          <w:szCs w:val="17"/>
          <w:color w:val="auto"/>
        </w:rPr>
      </w:pPr>
      <w:r>
        <w:rPr>
          <w:rFonts w:ascii="Arial" w:cs="Arial" w:eastAsia="Arial" w:hAnsi="Arial"/>
          <w:sz w:val="17"/>
          <w:szCs w:val="17"/>
          <w:color w:val="auto"/>
        </w:rPr>
        <w:t>With respect to any particular series of shares of Preferred Stock registered pursuant to the Registration Statement, when (i) the issuance and terms of such shares of Preferred Stock, the terms of the offering thereof and related matters, including the adoption of a certificate of designation relating to such Preferred Stock conforming to the Company’s Amended and Restated Certificate of Incorporation and Restated Bylaws and the Delaware General Corporation Law (a “</w:t>
      </w:r>
      <w:r>
        <w:rPr>
          <w:rFonts w:ascii="Arial" w:cs="Arial" w:eastAsia="Arial" w:hAnsi="Arial"/>
          <w:sz w:val="17"/>
          <w:szCs w:val="17"/>
          <w:b w:val="1"/>
          <w:bCs w:val="1"/>
          <w:i w:val="1"/>
          <w:iCs w:val="1"/>
          <w:color w:val="auto"/>
        </w:rPr>
        <w:t>Certificate</w:t>
      </w:r>
      <w:r>
        <w:rPr>
          <w:rFonts w:ascii="Arial" w:cs="Arial" w:eastAsia="Arial" w:hAnsi="Arial"/>
          <w:sz w:val="17"/>
          <w:szCs w:val="17"/>
          <w:color w:val="auto"/>
        </w:rPr>
        <w:t>”) and the filing of such Certificate with the Secretary of State of the State of Delaware (or the filing of an amendment to the Company’s Certificate of Incorporation to similar effect), have been duly authorized by all required corporate action of the Board and, if required, of the stockholders of the Company in accordance with the Charter Documents and Applicable Laws and (ii) if required, certificates representing the shares of Preferred Stock have been duly executed, countersigned, registered and delivered either (a) in accordance with the applicable definitive purchase, underwriting or similar agreement approved by the Board, or upon the exercise of Warrants to purchase Preferred Stock, upon payment of the consideration therefor (in an amount not less than the par value per share of such Preferred Stock) provided for therein and approved by the Board or (b) upon conversion or exercise of any other security of the Company, in accordance with the terms of such security or the instrument governing such security providing for such conversion or exercise as approved by the Board, for the consideration approved by the Board (in an amount not less than the par value per share of the Preferred Stock), then such shares of Preferred Stock will be validly issued, fully paid and nonassessable.</w:t>
      </w:r>
    </w:p>
    <w:p>
      <w:pPr>
        <w:spacing w:after="0" w:line="78" w:lineRule="exact"/>
        <w:rPr>
          <w:rFonts w:ascii="Arial" w:cs="Arial" w:eastAsia="Arial" w:hAnsi="Arial"/>
          <w:sz w:val="17"/>
          <w:szCs w:val="17"/>
          <w:color w:val="auto"/>
        </w:rPr>
      </w:pPr>
    </w:p>
    <w:p>
      <w:pPr>
        <w:jc w:val="both"/>
        <w:ind w:firstLine="436"/>
        <w:spacing w:after="0" w:line="269" w:lineRule="auto"/>
        <w:tabs>
          <w:tab w:leader="none" w:pos="633" w:val="left"/>
        </w:tabs>
        <w:numPr>
          <w:ilvl w:val="0"/>
          <w:numId w:val="128"/>
        </w:numPr>
        <w:rPr>
          <w:rFonts w:ascii="Arial" w:cs="Arial" w:eastAsia="Arial" w:hAnsi="Arial"/>
          <w:sz w:val="17"/>
          <w:szCs w:val="17"/>
          <w:color w:val="auto"/>
        </w:rPr>
      </w:pPr>
      <w:r>
        <w:rPr>
          <w:rFonts w:ascii="Arial" w:cs="Arial" w:eastAsia="Arial" w:hAnsi="Arial"/>
          <w:sz w:val="17"/>
          <w:szCs w:val="17"/>
          <w:color w:val="auto"/>
        </w:rPr>
        <w:t>With respect to any Debt Securities registered pursuant to the Registration Statement, when (i) the issuance of such Debt Securities has been duly authorized by all required corporate action of the Board and, if required, of the stockholders of the Company in accordance with the Charter Documents and Applicable Laws, (ii) an Indenture relating to such Debt Securities in the form filed with the Registration Statement as an exhibit has been duly authorized and validly executed and delivered by each of the Company (by duly authorized officers of the Company) and the Trustee, (iii) the form and terms of the Debt Securities have been duly established in accordance with the Indenture pursuant to resolutions duly adopted by the Board and as set forth in an officer’s certificate or supplemental indenture duly authorized by the Board in accordance with the Charter Documents and Applicable Laws and duly executed by an authorized officer of the Company, and (iv) instruments representing such Debt Securities have been duly executed and authenticated in accordance with the terms of the Indenture and any supplement thereto, and issued, sold and delivered in the manner and for the consideration approved by the Board and stated in the Registration Statement, the Prospectus and any prospectus supplement relating thereto (as amended as of the date of such issuance, sale and delivery), any applicable definitive purchase, underwriting or similar agreement and upon the exercise of Warrants to purchase Debt Securities, upon payment of the consideration therefor provided for therein, then the Debt Securities will be validly issued and will constitute valid and binding obligations of the Company.</w:t>
      </w:r>
    </w:p>
    <w:p>
      <w:pPr>
        <w:spacing w:after="0" w:line="70" w:lineRule="exact"/>
        <w:rPr>
          <w:rFonts w:ascii="Arial" w:cs="Arial" w:eastAsia="Arial" w:hAnsi="Arial"/>
          <w:sz w:val="17"/>
          <w:szCs w:val="17"/>
          <w:color w:val="auto"/>
        </w:rPr>
      </w:pPr>
    </w:p>
    <w:p>
      <w:pPr>
        <w:jc w:val="both"/>
        <w:ind w:firstLine="436"/>
        <w:spacing w:after="0" w:line="271" w:lineRule="auto"/>
        <w:tabs>
          <w:tab w:leader="none" w:pos="63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With respect to any Warrants registered pursuant to the Registration Statement, when (i) the issuance and terms of such Warrants, the terms, execution and delivery of the warrant agreement relating to the Warrants (“</w:t>
      </w:r>
      <w:r>
        <w:rPr>
          <w:rFonts w:ascii="Arial" w:cs="Arial" w:eastAsia="Arial" w:hAnsi="Arial"/>
          <w:sz w:val="17"/>
          <w:szCs w:val="17"/>
          <w:b w:val="1"/>
          <w:bCs w:val="1"/>
          <w:i w:val="1"/>
          <w:iCs w:val="1"/>
          <w:color w:val="auto"/>
        </w:rPr>
        <w:t>Warrant Agreement</w:t>
      </w:r>
      <w:r>
        <w:rPr>
          <w:rFonts w:ascii="Arial" w:cs="Arial" w:eastAsia="Arial" w:hAnsi="Arial"/>
          <w:sz w:val="17"/>
          <w:szCs w:val="17"/>
          <w:color w:val="auto"/>
        </w:rPr>
        <w:t>”), the terms of the offering thereof and related matters have been duly authorized by all required corporate action of the Board and, if required, of the stockholders of the Company in accordance with the Charter Documents and Applicable Laws, (ii) the Warrant Agreement has been duly authorized and validly executed and delivered by the Company by duly authorized officers of the Company, and (iii) such Warrants have been duly executed, issued and delivered by the Company by duly authorized officers of the Company in accordance with the provisions of the applicable Warrant Agreement and the applicable definitive purchase, underwriting or similar agreement approved by the Board, upon payment of the consideration therefor provided for therein and approved by the Board, such Warrants will constitute valid and binding obligations of the Company.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42" w:name="page143"/>
    <w:bookmarkEnd w:id="142"/>
    <w:p>
      <w:pPr>
        <w:jc w:val="both"/>
        <w:ind w:firstLine="436"/>
        <w:spacing w:after="0" w:line="271" w:lineRule="auto"/>
        <w:tabs>
          <w:tab w:leader="none" w:pos="624" w:val="left"/>
        </w:tabs>
        <w:numPr>
          <w:ilvl w:val="0"/>
          <w:numId w:val="1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any Subscription Rights registered pursuant to the Registration Statement, when (i) the issuance and terms of such Subscription Rights, the terms, execution and delivery of the subscription rights agreement relating to the Subscription Rights (“</w:t>
      </w:r>
      <w:r>
        <w:rPr>
          <w:rFonts w:ascii="Arial" w:cs="Arial" w:eastAsia="Arial" w:hAnsi="Arial"/>
          <w:sz w:val="17"/>
          <w:szCs w:val="17"/>
          <w:b w:val="1"/>
          <w:bCs w:val="1"/>
          <w:i w:val="1"/>
          <w:iCs w:val="1"/>
          <w:color w:val="auto"/>
        </w:rPr>
        <w:t>Subscription Rights Agreement</w:t>
      </w:r>
      <w:r>
        <w:rPr>
          <w:rFonts w:ascii="Arial" w:cs="Arial" w:eastAsia="Arial" w:hAnsi="Arial"/>
          <w:sz w:val="17"/>
          <w:szCs w:val="17"/>
          <w:color w:val="auto"/>
        </w:rPr>
        <w:t>”), the terms of the offering thereof and related matters have been duly authorized by all required corporate action of the Board and, if required, the stockholders of the Company in accordance with the Charter Documents and Applicable Laws, (ii) the Subscription Rights Agreement has been duly authorized and validly executed and delivered, and (iii) such Subscription Rights have been duly executed, issued and delivered by the Company by duly authorized officers of the Company in accordance with the provisions of the applicable Subscription Rights Agreement and the applicable definitive purchase, underwriting or similar agreement approved by the Board, upon payment of the consideration therefor provided for therein and approved by the Board, such Subscription Rights will constitute valid and binding obligations of the Company.</w:t>
      </w:r>
    </w:p>
    <w:p>
      <w:pPr>
        <w:spacing w:after="0" w:line="70" w:lineRule="exact"/>
        <w:rPr>
          <w:rFonts w:ascii="Arial" w:cs="Arial" w:eastAsia="Arial" w:hAnsi="Arial"/>
          <w:sz w:val="17"/>
          <w:szCs w:val="17"/>
          <w:color w:val="auto"/>
        </w:rPr>
      </w:pPr>
    </w:p>
    <w:p>
      <w:pPr>
        <w:jc w:val="both"/>
        <w:ind w:right="20" w:firstLine="436"/>
        <w:spacing w:after="0" w:line="290" w:lineRule="auto"/>
        <w:tabs>
          <w:tab w:leader="none" w:pos="643"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With respect to any Units registered pursuant to the Registration Statement, when (i) the conditions outlined in the immediately preceding paragraphs (1) through (5) that apply to the Securities that make up such Units are all met, (ii) the issuance and terms of such Units, the terms, execution and delivery of the unit purchase agreement relating to such Units (“</w:t>
      </w:r>
      <w:r>
        <w:rPr>
          <w:rFonts w:ascii="Arial" w:cs="Arial" w:eastAsia="Arial" w:hAnsi="Arial"/>
          <w:sz w:val="16"/>
          <w:szCs w:val="16"/>
          <w:b w:val="1"/>
          <w:bCs w:val="1"/>
          <w:i w:val="1"/>
          <w:iCs w:val="1"/>
          <w:color w:val="auto"/>
        </w:rPr>
        <w:t>Unit Agreement</w:t>
      </w:r>
      <w:r>
        <w:rPr>
          <w:rFonts w:ascii="Arial" w:cs="Arial" w:eastAsia="Arial" w:hAnsi="Arial"/>
          <w:sz w:val="16"/>
          <w:szCs w:val="16"/>
          <w:color w:val="auto"/>
        </w:rPr>
        <w:t>”), the terms of the offering thereof and related matters have been duly authorized by all required corporate action of the Board and, if required, of the stockholders of the Company, (iii) the Unit Agreement has been duly authorized and validly executed and delivered by the Company by duly authorized officers of the Company, and (iv) such Units have been duly executed, issued and delivered by the Company by duly authorized officers of the Company in accordance with the provisions of the applicable Unit Agreement and the applicable definitive purchase, underwriting or similar agreement approved by the Board, upon payment of the consideration therefor provided for therein and approved by the Board, such Units will constitute valid and binding obligations of the Company.</w:t>
      </w:r>
    </w:p>
    <w:p>
      <w:pPr>
        <w:spacing w:after="0" w:line="57" w:lineRule="exact"/>
        <w:rPr>
          <w:rFonts w:ascii="Arial" w:cs="Arial" w:eastAsia="Arial" w:hAnsi="Arial"/>
          <w:sz w:val="16"/>
          <w:szCs w:val="16"/>
          <w:color w:val="auto"/>
        </w:rPr>
      </w:pPr>
    </w:p>
    <w:p>
      <w:pPr>
        <w:jc w:val="both"/>
        <w:ind w:firstLine="436"/>
        <w:spacing w:after="0" w:line="257" w:lineRule="auto"/>
        <w:tabs>
          <w:tab w:leader="none" w:pos="62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Placement Shares, to be issued and sold by the Company, have been duly authorized for issuance and, when issued, sold and delivered in the manner of and for consideration (of not less than par value per share of the Common Stock) in the manner contemplated by the Sales Agreement and the Sales Agreement Prospectus and in accordance with the resolutions duly adopted and to be duly adopted by the Board and to be duly adopted by the Placement Committee of the Board with respect to the offer, sale and issuance of the Placement Shares, will be validly issued, fully paid and nonassessable.</w:t>
      </w:r>
    </w:p>
    <w:p>
      <w:pPr>
        <w:spacing w:after="0" w:line="188"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all references to us, if any, in the Registration Statement, the Prospectus and Sales Agreement Prospectus constituting parts thereof and any amendments thereto. In giving this consent we do not thereby admit that we come within the category of persons whose consent is required by the Securities Act or by the rules and regulations promulgated thereunder.</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[Concluding Paragraph Follows on Next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43" w:name="page144"/>
    <w:bookmarkEnd w:id="143"/>
    <w:p>
      <w:pPr>
        <w:jc w:val="both"/>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opinion is intended solely for use in connection with the issuance and sale of the Securities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is based solely on our understanding of facts in existence as of such date after the aforementioned examination and does not address any potential changes in facts, circumstance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2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Fenwick &amp; West LLP</w:t>
      </w:r>
    </w:p>
    <w:p>
      <w:pPr>
        <w:spacing w:after="0" w:line="3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13970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1">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consent to the use of our report dated February 25, 2021, with respect to the consolidated financial statements of AnaptysBio, Inc., incorporated herein by reference and to the reference to our firm under the heading “Experts” in the prospectus.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30,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F305DEF"/>
    <w:multiLevelType w:val="hybridMultilevel"/>
    <w:lvl w:ilvl="0">
      <w:lvlJc w:val="left"/>
      <w:lvlText w:val="(%1)"/>
      <w:numFmt w:val="decimal"/>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
      <w:numFmt w:val="bullet"/>
      <w:start w:val="1"/>
    </w:lvl>
  </w:abstractNum>
  <w:abstractNum w:abstractNumId="6">
    <w:nsid w:val="5DB70AE5"/>
    <w:multiLevelType w:val="hybridMultilevel"/>
    <w:lvl w:ilvl="0">
      <w:lvlJc w:val="left"/>
      <w:lvlText w:val="•"/>
      <w:numFmt w:val="bullet"/>
      <w:start w:val="1"/>
    </w:lvl>
  </w:abstractNum>
  <w:abstractNum w:abstractNumId="7">
    <w:nsid w:val="100F8FCA"/>
    <w:multiLevelType w:val="hybridMultilevel"/>
    <w:lvl w:ilvl="0">
      <w:lvlJc w:val="left"/>
      <w:lvlText w:val="•"/>
      <w:numFmt w:val="bullet"/>
      <w:start w:val="1"/>
    </w:lvl>
  </w:abstractNum>
  <w:abstractNum w:abstractNumId="8">
    <w:nsid w:val="6590700B"/>
    <w:multiLevelType w:val="hybridMultilevel"/>
    <w:lvl w:ilvl="0">
      <w:lvlJc w:val="left"/>
      <w:lvlText w:val="•"/>
      <w:numFmt w:val="bullet"/>
      <w:start w:val="1"/>
    </w:lvl>
  </w:abstractNum>
  <w:abstractNum w:abstractNumId="9">
    <w:nsid w:val="15014ACB"/>
    <w:multiLevelType w:val="hybridMultilevel"/>
    <w:lvl w:ilvl="0">
      <w:lvlJc w:val="left"/>
      <w:lvlText w:val="•"/>
      <w:numFmt w:val="bullet"/>
      <w:start w:val="1"/>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
      <w:numFmt w:val="bullet"/>
      <w:start w:val="1"/>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
      <w:numFmt w:val="bullet"/>
      <w:start w:val="1"/>
    </w:lvl>
  </w:abstractNum>
  <w:abstractNum w:abstractNumId="14">
    <w:nsid w:val="42C296BD"/>
    <w:multiLevelType w:val="hybridMultilevel"/>
    <w:lvl w:ilvl="0">
      <w:lvlJc w:val="left"/>
      <w:lvlText w:val="•"/>
      <w:numFmt w:val="bullet"/>
      <w:start w:val="1"/>
    </w:lvl>
  </w:abstractNum>
  <w:abstractNum w:abstractNumId="15">
    <w:nsid w:val="168E121F"/>
    <w:multiLevelType w:val="hybridMultilevel"/>
    <w:lvl w:ilvl="0">
      <w:lvlJc w:val="left"/>
      <w:lvlText w:val="•"/>
      <w:numFmt w:val="bullet"/>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
      <w:numFmt w:val="bullet"/>
      <w:start w:val="1"/>
    </w:lvl>
  </w:abstractNum>
  <w:abstractNum w:abstractNumId="18">
    <w:nsid w:val="5DC79EA8"/>
    <w:multiLevelType w:val="hybridMultilevel"/>
    <w:lvl w:ilvl="0">
      <w:lvlJc w:val="left"/>
      <w:lvlText w:val="•"/>
      <w:numFmt w:val="bullet"/>
      <w:start w:val="1"/>
    </w:lvl>
  </w:abstractNum>
  <w:abstractNum w:abstractNumId="19">
    <w:nsid w:val="540A471C"/>
    <w:multiLevelType w:val="hybridMultilevel"/>
    <w:lvl w:ilvl="0">
      <w:lvlJc w:val="left"/>
      <w:lvlText w:val="•"/>
      <w:numFmt w:val="bullet"/>
      <w:start w:val="1"/>
    </w:lvl>
  </w:abstractNum>
  <w:abstractNum w:abstractNumId="20">
    <w:nsid w:val="7BD3EE7B"/>
    <w:multiLevelType w:val="hybridMultilevel"/>
    <w:lvl w:ilvl="0">
      <w:lvlJc w:val="left"/>
      <w:lvlText w:val="•"/>
      <w:numFmt w:val="bullet"/>
      <w:start w:val="1"/>
    </w:lvl>
    <w:lvl w:ilvl="1">
      <w:lvlJc w:val="left"/>
      <w:lvlText w:val="•"/>
      <w:numFmt w:val="bullet"/>
      <w:start w:val="1"/>
    </w:lvl>
  </w:abstractNum>
  <w:abstractNum w:abstractNumId="21">
    <w:nsid w:val="51D9C564"/>
    <w:multiLevelType w:val="hybridMultilevel"/>
    <w:lvl w:ilvl="0">
      <w:lvlJc w:val="left"/>
      <w:lvlText w:val="•"/>
      <w:numFmt w:val="bullet"/>
      <w:start w:val="1"/>
    </w:lvl>
  </w:abstractNum>
  <w:abstractNum w:abstractNumId="22">
    <w:nsid w:val="613EFDC5"/>
    <w:multiLevelType w:val="hybridMultilevel"/>
    <w:lvl w:ilvl="0">
      <w:lvlJc w:val="left"/>
      <w:lvlText w:val="•"/>
      <w:numFmt w:val="bullet"/>
      <w:start w:val="1"/>
    </w:lvl>
  </w:abstractNum>
  <w:abstractNum w:abstractNumId="23">
    <w:nsid w:val="BF72B14"/>
    <w:multiLevelType w:val="hybridMultilevel"/>
    <w:lvl w:ilvl="0">
      <w:lvlJc w:val="left"/>
      <w:lvlText w:val="•"/>
      <w:numFmt w:val="bullet"/>
      <w:start w:val="1"/>
    </w:lvl>
  </w:abstractNum>
  <w:abstractNum w:abstractNumId="24">
    <w:nsid w:val="11447B73"/>
    <w:multiLevelType w:val="hybridMultilevel"/>
    <w:lvl w:ilvl="0">
      <w:lvlJc w:val="left"/>
      <w:lvlText w:val="•"/>
      <w:numFmt w:val="bullet"/>
      <w:start w:val="1"/>
    </w:lvl>
  </w:abstractNum>
  <w:abstractNum w:abstractNumId="25">
    <w:nsid w:val="42963E5A"/>
    <w:multiLevelType w:val="hybridMultilevel"/>
    <w:lvl w:ilvl="0">
      <w:lvlJc w:val="left"/>
      <w:lvlText w:val="•"/>
      <w:numFmt w:val="bullet"/>
      <w:start w:val="1"/>
    </w:lvl>
  </w:abstractNum>
  <w:abstractNum w:abstractNumId="26">
    <w:nsid w:val="A0382C5"/>
    <w:multiLevelType w:val="hybridMultilevel"/>
    <w:lvl w:ilvl="0">
      <w:lvlJc w:val="left"/>
      <w:lvlText w:val="•"/>
      <w:numFmt w:val="bullet"/>
      <w:start w:val="1"/>
    </w:lvl>
  </w:abstractNum>
  <w:abstractNum w:abstractNumId="27">
    <w:nsid w:val="8F2B15E"/>
    <w:multiLevelType w:val="hybridMultilevel"/>
    <w:lvl w:ilvl="0">
      <w:lvlJc w:val="left"/>
      <w:lvlText w:val="•"/>
      <w:numFmt w:val="bullet"/>
      <w:start w:val="1"/>
    </w:lvl>
  </w:abstractNum>
  <w:abstractNum w:abstractNumId="28">
    <w:nsid w:val="1A32234B"/>
    <w:multiLevelType w:val="hybridMultilevel"/>
    <w:lvl w:ilvl="0">
      <w:lvlJc w:val="left"/>
      <w:lvlText w:val="•"/>
      <w:numFmt w:val="bullet"/>
      <w:start w:val="1"/>
    </w:lvl>
  </w:abstractNum>
  <w:abstractNum w:abstractNumId="29">
    <w:nsid w:val="3B0FD379"/>
    <w:multiLevelType w:val="hybridMultilevel"/>
    <w:lvl w:ilvl="0">
      <w:lvlJc w:val="left"/>
      <w:lvlText w:val="•"/>
      <w:numFmt w:val="bullet"/>
      <w:start w:val="1"/>
    </w:lvl>
  </w:abstractNum>
  <w:abstractNum w:abstractNumId="30">
    <w:nsid w:val="68EB2F63"/>
    <w:multiLevelType w:val="hybridMultilevel"/>
    <w:lvl w:ilvl="0">
      <w:lvlJc w:val="left"/>
      <w:lvlText w:val="•"/>
      <w:numFmt w:val="bullet"/>
      <w:start w:val="1"/>
    </w:lvl>
  </w:abstractNum>
  <w:abstractNum w:abstractNumId="31">
    <w:nsid w:val="4962813B"/>
    <w:multiLevelType w:val="hybridMultilevel"/>
    <w:lvl w:ilvl="0">
      <w:lvlJc w:val="left"/>
      <w:lvlText w:val="*"/>
      <w:numFmt w:val="bullet"/>
      <w:start w:val="1"/>
    </w:lvl>
  </w:abstractNum>
  <w:abstractNum w:abstractNumId="32">
    <w:nsid w:val="60B6DF70"/>
    <w:multiLevelType w:val="hybridMultilevel"/>
    <w:lvl w:ilvl="0">
      <w:lvlJc w:val="left"/>
      <w:lvlText w:val="•"/>
      <w:numFmt w:val="bullet"/>
      <w:start w:val="1"/>
    </w:lvl>
  </w:abstractNum>
  <w:abstractNum w:abstractNumId="33">
    <w:nsid w:val="6A5EE64"/>
    <w:multiLevelType w:val="hybridMultilevel"/>
    <w:lvl w:ilvl="0">
      <w:lvlJc w:val="left"/>
      <w:lvlText w:val="•"/>
      <w:numFmt w:val="bullet"/>
      <w:start w:val="1"/>
    </w:lvl>
  </w:abstractNum>
  <w:abstractNum w:abstractNumId="34">
    <w:nsid w:val="14330624"/>
    <w:multiLevelType w:val="hybridMultilevel"/>
    <w:lvl w:ilvl="0">
      <w:lvlJc w:val="left"/>
      <w:lvlText w:val="*"/>
      <w:numFmt w:val="bullet"/>
      <w:start w:val="1"/>
    </w:lvl>
  </w:abstractNum>
  <w:abstractNum w:abstractNumId="35">
    <w:nsid w:val="7FFFCA11"/>
    <w:multiLevelType w:val="hybridMultilevel"/>
    <w:lvl w:ilvl="0">
      <w:lvlJc w:val="left"/>
      <w:lvlText w:val="(%1)"/>
      <w:numFmt w:val="decimal"/>
      <w:start w:val="1"/>
    </w:lvl>
  </w:abstractNum>
  <w:abstractNum w:abstractNumId="36">
    <w:nsid w:val="1A27709E"/>
    <w:multiLevelType w:val="hybridMultilevel"/>
    <w:lvl w:ilvl="0">
      <w:lvlJc w:val="left"/>
      <w:lvlText w:val="(%1)"/>
      <w:numFmt w:val="lowerRoman"/>
      <w:start w:val="2"/>
    </w:lvl>
  </w:abstractNum>
  <w:abstractNum w:abstractNumId="37">
    <w:nsid w:val="71EA1109"/>
    <w:multiLevelType w:val="hybridMultilevel"/>
    <w:lvl w:ilvl="0">
      <w:lvlJc w:val="left"/>
      <w:lvlText w:val="(%1)"/>
      <w:numFmt w:val="decimal"/>
      <w:start w:val="2"/>
    </w:lvl>
  </w:abstractNum>
  <w:abstractNum w:abstractNumId="38">
    <w:nsid w:val="100F59DC"/>
    <w:multiLevelType w:val="hybridMultilevel"/>
    <w:lvl w:ilvl="0">
      <w:lvlJc w:val="left"/>
      <w:lvlText w:val="(%1)"/>
      <w:numFmt w:val="lowerRoman"/>
      <w:start w:val="1"/>
    </w:lvl>
  </w:abstractNum>
  <w:abstractNum w:abstractNumId="39">
    <w:nsid w:val="7FB7E0AA"/>
    <w:multiLevelType w:val="hybridMultilevel"/>
    <w:lvl w:ilvl="0">
      <w:lvlJc w:val="left"/>
      <w:lvlText w:val="(%1)"/>
      <w:numFmt w:val="decimal"/>
      <w:start w:val="5"/>
    </w:lvl>
  </w:abstractNum>
  <w:abstractNum w:abstractNumId="40">
    <w:nsid w:val="6EB5BD4"/>
    <w:multiLevelType w:val="hybridMultilevel"/>
    <w:lvl w:ilvl="0">
      <w:lvlJc w:val="left"/>
      <w:lvlText w:val="(%1)"/>
      <w:numFmt w:val="lowerRoman"/>
      <w:start w:val="1"/>
    </w:lvl>
  </w:abstractNum>
  <w:abstractNum w:abstractNumId="41">
    <w:nsid w:val="6F6DD9AC"/>
    <w:multiLevelType w:val="hybridMultilevel"/>
    <w:lvl w:ilvl="0">
      <w:lvlJc w:val="left"/>
      <w:lvlText w:val="(%1)"/>
      <w:numFmt w:val="lowerLetter"/>
      <w:start w:val="2"/>
    </w:lvl>
  </w:abstractNum>
  <w:abstractNum w:abstractNumId="42">
    <w:nsid w:val="94211F2"/>
    <w:multiLevelType w:val="hybridMultilevel"/>
    <w:lvl w:ilvl="0">
      <w:lvlJc w:val="left"/>
      <w:lvlText w:val="(%1)"/>
      <w:numFmt w:val="lowerLetter"/>
      <w:start w:val="1"/>
    </w:lvl>
  </w:abstractNum>
  <w:abstractNum w:abstractNumId="43">
    <w:nsid w:val="885E1B"/>
    <w:multiLevelType w:val="hybridMultilevel"/>
    <w:lvl w:ilvl="0">
      <w:lvlJc w:val="left"/>
      <w:lvlText w:val="(%1)"/>
      <w:numFmt w:val="lowerLetter"/>
      <w:start w:val="1"/>
    </w:lvl>
  </w:abstractNum>
  <w:abstractNum w:abstractNumId="44">
    <w:nsid w:val="76272110"/>
    <w:multiLevelType w:val="hybridMultilevel"/>
    <w:lvl w:ilvl="0">
      <w:lvlJc w:val="left"/>
      <w:lvlText w:val="(%1)"/>
      <w:numFmt w:val="lowerLetter"/>
      <w:start w:val="2"/>
    </w:lvl>
  </w:abstractNum>
  <w:abstractNum w:abstractNumId="45">
    <w:nsid w:val="4C04A8AF"/>
    <w:multiLevelType w:val="hybridMultilevel"/>
    <w:lvl w:ilvl="0">
      <w:lvlJc w:val="left"/>
      <w:lvlText w:val="(%1)"/>
      <w:numFmt w:val="lowerLetter"/>
      <w:start w:val="3"/>
    </w:lvl>
  </w:abstractNum>
  <w:abstractNum w:abstractNumId="46">
    <w:nsid w:val="1716703B"/>
    <w:multiLevelType w:val="hybridMultilevel"/>
    <w:lvl w:ilvl="0">
      <w:lvlJc w:val="left"/>
      <w:lvlText w:val="(%1)"/>
      <w:numFmt w:val="lowerRoman"/>
      <w:start w:val="1"/>
    </w:lvl>
  </w:abstractNum>
  <w:abstractNum w:abstractNumId="47">
    <w:nsid w:val="14E17E33"/>
    <w:multiLevelType w:val="hybridMultilevel"/>
    <w:lvl w:ilvl="0">
      <w:lvlJc w:val="left"/>
      <w:lvlText w:val="%1"/>
      <w:numFmt w:val="lowerLetter"/>
      <w:start w:val="1"/>
    </w:lvl>
    <w:lvl w:ilvl="1">
      <w:lvlJc w:val="left"/>
      <w:lvlText w:val="(%2)"/>
      <w:numFmt w:val="lowerLetter"/>
      <w:start w:val="35"/>
    </w:lvl>
  </w:abstractNum>
  <w:abstractNum w:abstractNumId="48">
    <w:nsid w:val="3222E7CD"/>
    <w:multiLevelType w:val="hybridMultilevel"/>
    <w:lvl w:ilvl="0">
      <w:lvlJc w:val="left"/>
      <w:lvlText w:val="(%1)"/>
      <w:numFmt w:val="lowerLetter"/>
      <w:start w:val="7"/>
    </w:lvl>
    <w:lvl w:ilvl="1">
      <w:lvlJc w:val="left"/>
      <w:lvlText w:val="%2"/>
      <w:numFmt w:val="lowerLetter"/>
      <w:start w:val="1"/>
    </w:lvl>
  </w:abstractNum>
  <w:abstractNum w:abstractNumId="49">
    <w:nsid w:val="74DE0EE3"/>
    <w:multiLevelType w:val="hybridMultilevel"/>
    <w:lvl w:ilvl="0">
      <w:lvlJc w:val="left"/>
      <w:lvlText w:val="(%1)"/>
      <w:numFmt w:val="lowerLetter"/>
      <w:start w:val="9"/>
    </w:lvl>
  </w:abstractNum>
  <w:abstractNum w:abstractNumId="50">
    <w:nsid w:val="68EBC550"/>
    <w:multiLevelType w:val="hybridMultilevel"/>
    <w:lvl w:ilvl="0">
      <w:lvlJc w:val="left"/>
      <w:lvlText w:val="(%1)"/>
      <w:numFmt w:val="lowerLetter"/>
      <w:start w:val="12"/>
    </w:lvl>
  </w:abstractNum>
  <w:abstractNum w:abstractNumId="51">
    <w:nsid w:val="2DF6D648"/>
    <w:multiLevelType w:val="hybridMultilevel"/>
    <w:lvl w:ilvl="0">
      <w:lvlJc w:val="left"/>
      <w:lvlText w:val="%1"/>
      <w:numFmt w:val="lowerLetter"/>
      <w:start w:val="1"/>
    </w:lvl>
    <w:lvl w:ilvl="1">
      <w:lvlJc w:val="left"/>
      <w:lvlText w:val="(%2)"/>
      <w:numFmt w:val="lowerLetter"/>
      <w:start w:val="16"/>
    </w:lvl>
  </w:abstractNum>
  <w:abstractNum w:abstractNumId="52">
    <w:nsid w:val="46B7D447"/>
    <w:multiLevelType w:val="hybridMultilevel"/>
    <w:lvl w:ilvl="0">
      <w:lvlJc w:val="left"/>
      <w:lvlText w:val="(%1)"/>
      <w:numFmt w:val="lowerLetter"/>
      <w:start w:val="35"/>
    </w:lvl>
    <w:lvl w:ilvl="1">
      <w:lvlJc w:val="left"/>
      <w:lvlText w:val="(%2)"/>
      <w:numFmt w:val="lowerLetter"/>
      <w:start w:val="19"/>
    </w:lvl>
  </w:abstractNum>
  <w:abstractNum w:abstractNumId="53">
    <w:nsid w:val="4A2AC315"/>
    <w:multiLevelType w:val="hybridMultilevel"/>
    <w:lvl w:ilvl="0">
      <w:lvlJc w:val="left"/>
      <w:lvlText w:val="(%1)"/>
      <w:numFmt w:val="lowerLetter"/>
      <w:start w:val="20"/>
    </w:lvl>
  </w:abstractNum>
  <w:abstractNum w:abstractNumId="54">
    <w:nsid w:val="39EE015C"/>
    <w:multiLevelType w:val="hybridMultilevel"/>
    <w:lvl w:ilvl="0">
      <w:lvlJc w:val="left"/>
      <w:lvlText w:val="%1"/>
      <w:numFmt w:val="lowerLetter"/>
      <w:start w:val="1"/>
    </w:lvl>
    <w:lvl w:ilvl="1">
      <w:lvlJc w:val="left"/>
      <w:lvlText w:val="(%2)"/>
      <w:numFmt w:val="lowerLetter"/>
      <w:start w:val="27"/>
    </w:lvl>
  </w:abstractNum>
  <w:abstractNum w:abstractNumId="55">
    <w:nsid w:val="57FC4FBB"/>
    <w:multiLevelType w:val="hybridMultilevel"/>
    <w:lvl w:ilvl="0">
      <w:lvlJc w:val="left"/>
      <w:lvlText w:val="(%1)"/>
      <w:numFmt w:val="lowerLetter"/>
      <w:start w:val="9"/>
    </w:lvl>
    <w:lvl w:ilvl="1">
      <w:lvlJc w:val="left"/>
      <w:lvlText w:val="%2"/>
      <w:numFmt w:val="lowerLetter"/>
      <w:start w:val="1"/>
    </w:lvl>
  </w:abstractNum>
  <w:abstractNum w:abstractNumId="56">
    <w:nsid w:val="CC1016F"/>
    <w:multiLevelType w:val="hybridMultilevel"/>
    <w:lvl w:ilvl="0">
      <w:lvlJc w:val="left"/>
      <w:lvlText w:val="(%1)"/>
      <w:numFmt w:val="lowerLetter"/>
      <w:start w:val="29"/>
    </w:lvl>
  </w:abstractNum>
  <w:abstractNum w:abstractNumId="57">
    <w:nsid w:val="43F18422"/>
    <w:multiLevelType w:val="hybridMultilevel"/>
    <w:lvl w:ilvl="0">
      <w:lvlJc w:val="left"/>
      <w:lvlText w:val="(%1)"/>
      <w:numFmt w:val="lowerLetter"/>
      <w:start w:val="32"/>
    </w:lvl>
  </w:abstractNum>
  <w:abstractNum w:abstractNumId="58">
    <w:nsid w:val="60EF0119"/>
    <w:multiLevelType w:val="hybridMultilevel"/>
    <w:lvl w:ilvl="0">
      <w:lvlJc w:val="left"/>
      <w:lvlText w:val="(%1)"/>
      <w:numFmt w:val="lowerLetter"/>
      <w:start w:val="33"/>
    </w:lvl>
  </w:abstractNum>
  <w:abstractNum w:abstractNumId="59">
    <w:nsid w:val="26F324BA"/>
    <w:multiLevelType w:val="hybridMultilevel"/>
    <w:lvl w:ilvl="0">
      <w:lvlJc w:val="left"/>
      <w:lvlText w:val="(%1)"/>
      <w:numFmt w:val="lowerLetter"/>
      <w:start w:val="37"/>
    </w:lvl>
  </w:abstractNum>
  <w:abstractNum w:abstractNumId="60">
    <w:nsid w:val="7F01579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1">
    <w:nsid w:val="49DA307D"/>
    <w:multiLevelType w:val="hybridMultilevel"/>
    <w:lvl w:ilvl="0">
      <w:lvlJc w:val="left"/>
      <w:lvlText w:val="(%1)"/>
      <w:numFmt w:val="upperLetter"/>
      <w:start w:val="4"/>
    </w:lvl>
    <w:lvl w:ilvl="1">
      <w:lvlJc w:val="left"/>
      <w:lvlText w:val="(%2)"/>
      <w:numFmt w:val="lowerLetter"/>
      <w:start w:val="37"/>
    </w:lvl>
    <w:lvl w:ilvl="2">
      <w:lvlJc w:val="left"/>
      <w:lvlText w:val="(%3)"/>
      <w:numFmt w:val="lowerRoman"/>
      <w:start w:val="3"/>
    </w:lvl>
  </w:abstractNum>
  <w:abstractNum w:abstractNumId="62">
    <w:nsid w:val="7055A5F5"/>
    <w:multiLevelType w:val="hybridMultilevel"/>
    <w:lvl w:ilvl="0">
      <w:lvlJc w:val="left"/>
      <w:lvlText w:val="(%1)"/>
      <w:numFmt w:val="lowerLetter"/>
      <w:start w:val="40"/>
    </w:lvl>
  </w:abstractNum>
  <w:abstractNum w:abstractNumId="63">
    <w:nsid w:val="5FB8370B"/>
    <w:multiLevelType w:val="hybridMultilevel"/>
    <w:lvl w:ilvl="0">
      <w:lvlJc w:val="left"/>
      <w:lvlText w:val="(%1)"/>
      <w:numFmt w:val="lowerLetter"/>
      <w:start w:val="42"/>
    </w:lvl>
  </w:abstractNum>
  <w:abstractNum w:abstractNumId="64">
    <w:nsid w:val="50801EE1"/>
    <w:multiLevelType w:val="hybridMultilevel"/>
    <w:lvl w:ilvl="0">
      <w:lvlJc w:val="left"/>
      <w:lvlText w:val="(%1)"/>
      <w:numFmt w:val="lowerLetter"/>
      <w:start w:val="44"/>
    </w:lvl>
  </w:abstractNum>
  <w:abstractNum w:abstractNumId="65">
    <w:nsid w:val="488AC1A"/>
    <w:multiLevelType w:val="hybridMultilevel"/>
    <w:lvl w:ilvl="0">
      <w:lvlJc w:val="left"/>
      <w:lvlText w:val="(%1)"/>
      <w:numFmt w:val="lowerLetter"/>
      <w:start w:val="50"/>
    </w:lvl>
  </w:abstractNum>
  <w:abstractNum w:abstractNumId="66">
    <w:nsid w:val="5FB8011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7">
    <w:nsid w:val="6AA78F7F"/>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2"/>
    </w:lvl>
  </w:abstractNum>
  <w:abstractNum w:abstractNumId="68">
    <w:nsid w:val="7672BD23"/>
    <w:multiLevelType w:val="hybridMultilevel"/>
    <w:lvl w:ilvl="0">
      <w:lvlJc w:val="left"/>
      <w:lvlText w:val="(%1)"/>
      <w:numFmt w:val="upperLetter"/>
      <w:start w:val="2"/>
    </w:lvl>
  </w:abstractNum>
  <w:abstractNum w:abstractNumId="69">
    <w:nsid w:val="6FC75AF8"/>
    <w:multiLevelType w:val="hybridMultilevel"/>
    <w:lvl w:ilvl="0">
      <w:lvlJc w:val="left"/>
      <w:lvlText w:val="%1"/>
      <w:numFmt w:val="lowerRoman"/>
      <w:start w:val="1"/>
    </w:lvl>
    <w:lvl w:ilvl="1">
      <w:lvlJc w:val="left"/>
      <w:lvlText w:val="(%2)"/>
      <w:numFmt w:val="lowerRoman"/>
      <w:start w:val="4"/>
    </w:lvl>
  </w:abstractNum>
  <w:abstractNum w:abstractNumId="70">
    <w:nsid w:val="6A5F7029"/>
    <w:multiLevelType w:val="hybridMultilevel"/>
    <w:lvl w:ilvl="0">
      <w:lvlJc w:val="left"/>
      <w:lvlText w:val="(%1)"/>
      <w:numFmt w:val="lowerRoman"/>
      <w:start w:val="5"/>
    </w:lvl>
    <w:lvl w:ilvl="1">
      <w:lvlJc w:val="left"/>
      <w:lvlText w:val="(%2)"/>
      <w:numFmt w:val="lowerRoman"/>
      <w:start w:val="7"/>
    </w:lvl>
  </w:abstractNum>
  <w:abstractNum w:abstractNumId="71">
    <w:nsid w:val="7D5E18F8"/>
    <w:multiLevelType w:val="hybridMultilevel"/>
    <w:lvl w:ilvl="0">
      <w:lvlJc w:val="left"/>
      <w:lvlText w:val="%1"/>
      <w:numFmt w:val="lowerRoman"/>
      <w:start w:val="1"/>
    </w:lvl>
    <w:lvl w:ilvl="1">
      <w:lvlJc w:val="left"/>
      <w:lvlText w:val="(%2)"/>
      <w:numFmt w:val="lowerLetter"/>
      <w:start w:val="3"/>
    </w:lvl>
  </w:abstractNum>
  <w:abstractNum w:abstractNumId="72">
    <w:nsid w:val="5F3534A4"/>
    <w:multiLevelType w:val="hybridMultilevel"/>
    <w:lvl w:ilvl="0">
      <w:lvlJc w:val="left"/>
      <w:lvlText w:val="(%1)"/>
      <w:numFmt w:val="lowerRoman"/>
      <w:start w:val="8"/>
    </w:lvl>
    <w:lvl w:ilvl="1">
      <w:lvlJc w:val="left"/>
      <w:lvlText w:val="%2"/>
      <w:numFmt w:val="lowerLetter"/>
      <w:start w:val="1"/>
    </w:lvl>
  </w:abstractNum>
  <w:abstractNum w:abstractNumId="73">
    <w:nsid w:val="73A1821B"/>
    <w:multiLevelType w:val="hybridMultilevel"/>
    <w:lvl w:ilvl="0">
      <w:lvlJc w:val="left"/>
      <w:lvlText w:val="(%1)"/>
      <w:numFmt w:val="lowerLetter"/>
      <w:start w:val="1"/>
    </w:lvl>
  </w:abstractNum>
  <w:abstractNum w:abstractNumId="74">
    <w:nsid w:val="7DE67713"/>
    <w:multiLevelType w:val="hybridMultilevel"/>
    <w:lvl w:ilvl="0">
      <w:lvlJc w:val="left"/>
      <w:lvlText w:val="(%1)"/>
      <w:numFmt w:val="lowerLetter"/>
      <w:start w:val="4"/>
    </w:lvl>
  </w:abstractNum>
  <w:abstractNum w:abstractNumId="75">
    <w:nsid w:val="555C55B5"/>
    <w:multiLevelType w:val="hybridMultilevel"/>
    <w:lvl w:ilvl="0">
      <w:lvlJc w:val="left"/>
      <w:lvlText w:val="(%1)"/>
      <w:numFmt w:val="lowerLetter"/>
      <w:start w:val="7"/>
    </w:lvl>
  </w:abstractNum>
  <w:abstractNum w:abstractNumId="76">
    <w:nsid w:val="3FA62ACA"/>
    <w:multiLevelType w:val="hybridMultilevel"/>
    <w:lvl w:ilvl="0">
      <w:lvlJc w:val="left"/>
      <w:lvlText w:val="(%1)"/>
      <w:numFmt w:val="lowerLetter"/>
      <w:start w:val="10"/>
    </w:lvl>
  </w:abstractNum>
  <w:abstractNum w:abstractNumId="77">
    <w:nsid w:val="14FCE74E"/>
    <w:multiLevelType w:val="hybridMultilevel"/>
    <w:lvl w:ilvl="0">
      <w:lvlJc w:val="left"/>
      <w:lvlText w:val="(%1)"/>
      <w:numFmt w:val="upperLetter"/>
      <w:start w:val="1"/>
    </w:lvl>
  </w:abstractNum>
  <w:abstractNum w:abstractNumId="78">
    <w:nsid w:val="6A3DD3E8"/>
    <w:multiLevelType w:val="hybridMultilevel"/>
    <w:lvl w:ilvl="0">
      <w:lvlJc w:val="left"/>
      <w:lvlText w:val="(%1)"/>
      <w:numFmt w:val="upperLetter"/>
      <w:start w:val="3"/>
    </w:lvl>
    <w:lvl w:ilvl="1">
      <w:lvlJc w:val="left"/>
      <w:lvlText w:val="(%2)"/>
      <w:numFmt w:val="lowerLetter"/>
      <w:start w:val="16"/>
    </w:lvl>
  </w:abstractNum>
  <w:abstractNum w:abstractNumId="79">
    <w:nsid w:val="71C91298"/>
    <w:multiLevelType w:val="hybridMultilevel"/>
    <w:lvl w:ilvl="0">
      <w:lvlJc w:val="left"/>
      <w:lvlText w:val="(%1)"/>
      <w:numFmt w:val="lowerLetter"/>
      <w:start w:val="17"/>
    </w:lvl>
  </w:abstractNum>
  <w:abstractNum w:abstractNumId="80">
    <w:nsid w:val="9DAF632"/>
    <w:multiLevelType w:val="hybridMultilevel"/>
    <w:lvl w:ilvl="0">
      <w:lvlJc w:val="left"/>
      <w:lvlText w:val="%1"/>
      <w:numFmt w:val="lowerLetter"/>
      <w:start w:val="1"/>
    </w:lvl>
    <w:lvl w:ilvl="1">
      <w:lvlJc w:val="left"/>
      <w:lvlText w:val="(%2)"/>
      <w:numFmt w:val="lowerLetter"/>
      <w:start w:val="21"/>
    </w:lvl>
  </w:abstractNum>
  <w:abstractNum w:abstractNumId="81">
    <w:nsid w:val="53299938"/>
    <w:multiLevelType w:val="hybridMultilevel"/>
    <w:lvl w:ilvl="0">
      <w:lvlJc w:val="left"/>
      <w:lvlText w:val="(%1)"/>
      <w:numFmt w:val="lowerLetter"/>
      <w:start w:val="9"/>
    </w:lvl>
    <w:lvl w:ilvl="1">
      <w:lvlJc w:val="left"/>
      <w:lvlText w:val="%2"/>
      <w:numFmt w:val="lowerLetter"/>
      <w:start w:val="1"/>
    </w:lvl>
  </w:abstractNum>
  <w:abstractNum w:abstractNumId="82">
    <w:nsid w:val="1FBFE8E0"/>
    <w:multiLevelType w:val="hybridMultilevel"/>
    <w:lvl w:ilvl="0">
      <w:lvlJc w:val="left"/>
      <w:lvlText w:val="(%1)"/>
      <w:numFmt w:val="lowerLetter"/>
      <w:start w:val="1"/>
    </w:lvl>
  </w:abstractNum>
  <w:abstractNum w:abstractNumId="83">
    <w:nsid w:val="5092CA79"/>
    <w:multiLevelType w:val="hybridMultilevel"/>
    <w:lvl w:ilvl="0">
      <w:lvlJc w:val="left"/>
      <w:lvlText w:val="(%1)"/>
      <w:numFmt w:val="lowerRoman"/>
      <w:start w:val="1"/>
    </w:lvl>
  </w:abstractNum>
  <w:abstractNum w:abstractNumId="84">
    <w:nsid w:val="1D545C4D"/>
    <w:multiLevelType w:val="hybridMultilevel"/>
    <w:lvl w:ilvl="0">
      <w:lvlJc w:val="left"/>
      <w:lvlText w:val="(%1)"/>
      <w:numFmt w:val="lowerLetter"/>
      <w:start w:val="2"/>
    </w:lvl>
  </w:abstractNum>
  <w:abstractNum w:abstractNumId="85">
    <w:nsid w:val="59ADEA3D"/>
    <w:multiLevelType w:val="hybridMultilevel"/>
    <w:lvl w:ilvl="0">
      <w:lvlJc w:val="left"/>
      <w:lvlText w:val="(%1)"/>
      <w:numFmt w:val="lowerLetter"/>
      <w:start w:val="3"/>
    </w:lvl>
  </w:abstractNum>
  <w:abstractNum w:abstractNumId="86">
    <w:nsid w:val="288F1A34"/>
    <w:multiLevelType w:val="hybridMultilevel"/>
    <w:lvl w:ilvl="0">
      <w:lvlJc w:val="left"/>
      <w:lvlText w:val="%1"/>
      <w:numFmt w:val="lowerLetter"/>
      <w:start w:val="1"/>
    </w:lvl>
    <w:lvl w:ilvl="1">
      <w:lvlJc w:val="left"/>
      <w:lvlText w:val="(%2)"/>
      <w:numFmt w:val="lowerLetter"/>
      <w:start w:val="1"/>
    </w:lvl>
  </w:abstractNum>
  <w:abstractNum w:abstractNumId="87">
    <w:nsid w:val="2A155DBC"/>
    <w:multiLevelType w:val="hybridMultilevel"/>
    <w:lvl w:ilvl="0">
      <w:lvlJc w:val="left"/>
      <w:lvlText w:val="(%1)"/>
      <w:numFmt w:val="lowerLetter"/>
      <w:start w:val="35"/>
    </w:lvl>
    <w:lvl w:ilvl="1">
      <w:lvlJc w:val="left"/>
      <w:lvlText w:val="%2"/>
      <w:numFmt w:val="lowerLetter"/>
      <w:start w:val="1"/>
    </w:lvl>
  </w:abstractNum>
  <w:abstractNum w:abstractNumId="88">
    <w:nsid w:val="1D9F6E5F"/>
    <w:multiLevelType w:val="hybridMultilevel"/>
    <w:lvl w:ilvl="0">
      <w:lvlJc w:val="left"/>
      <w:lvlText w:val="(%1)"/>
      <w:numFmt w:val="lowerLetter"/>
      <w:start w:val="2"/>
    </w:lvl>
  </w:abstractNum>
  <w:abstractNum w:abstractNumId="89">
    <w:nsid w:val="97E1B4E"/>
    <w:multiLevelType w:val="hybridMultilevel"/>
    <w:lvl w:ilvl="0">
      <w:lvlJc w:val="left"/>
      <w:lvlText w:val="(%1)"/>
      <w:numFmt w:val="lowerLetter"/>
      <w:start w:val="61"/>
    </w:lvl>
    <w:lvl w:ilvl="1">
      <w:lvlJc w:val="left"/>
      <w:lvlText w:val="(%2)"/>
      <w:numFmt w:val="lowerLetter"/>
      <w:start w:val="4"/>
    </w:lvl>
  </w:abstractNum>
  <w:abstractNum w:abstractNumId="90">
    <w:nsid w:val="51088277"/>
    <w:multiLevelType w:val="hybridMultilevel"/>
    <w:lvl w:ilvl="0">
      <w:lvlJc w:val="left"/>
      <w:lvlText w:val="(%1)"/>
      <w:numFmt w:val="lowerLetter"/>
      <w:start w:val="9"/>
    </w:lvl>
    <w:lvl w:ilvl="1">
      <w:lvlJc w:val="left"/>
      <w:lvlText w:val="(%2)"/>
      <w:numFmt w:val="lowerLetter"/>
      <w:start w:val="5"/>
    </w:lvl>
  </w:abstractNum>
  <w:abstractNum w:abstractNumId="91">
    <w:nsid w:val="1CA0C5FA"/>
    <w:multiLevelType w:val="hybridMultilevel"/>
    <w:lvl w:ilvl="0">
      <w:lvlJc w:val="left"/>
      <w:lvlText w:val="(%1)"/>
      <w:numFmt w:val="lowerRoman"/>
      <w:start w:val="2"/>
    </w:lvl>
  </w:abstractNum>
  <w:abstractNum w:abstractNumId="92">
    <w:nsid w:val="53584BCB"/>
    <w:multiLevelType w:val="hybridMultilevel"/>
    <w:lvl w:ilvl="0">
      <w:lvlJc w:val="left"/>
      <w:lvlText w:val="(%1)"/>
      <w:numFmt w:val="lowerLetter"/>
      <w:start w:val="1"/>
    </w:lvl>
    <w:lvl w:ilvl="1">
      <w:lvlJc w:val="left"/>
      <w:lvlText w:val="(%2)"/>
      <w:numFmt w:val="lowerRoman"/>
      <w:start w:val="1"/>
    </w:lvl>
  </w:abstractNum>
  <w:abstractNum w:abstractNumId="93">
    <w:nsid w:val="415E286C"/>
    <w:multiLevelType w:val="hybridMultilevel"/>
    <w:lvl w:ilvl="0">
      <w:lvlJc w:val="left"/>
      <w:lvlText w:val="(%1)"/>
      <w:numFmt w:val="lowerLetter"/>
      <w:start w:val="1"/>
    </w:lvl>
  </w:abstractNum>
  <w:abstractNum w:abstractNumId="94">
    <w:nsid w:val="7C58FD05"/>
    <w:multiLevelType w:val="hybridMultilevel"/>
    <w:lvl w:ilvl="0">
      <w:lvlJc w:val="left"/>
      <w:lvlText w:val="(%1)"/>
      <w:numFmt w:val="lowerLetter"/>
      <w:start w:val="61"/>
    </w:lvl>
    <w:lvl w:ilvl="1">
      <w:lvlJc w:val="left"/>
      <w:lvlText w:val="(%2)"/>
      <w:numFmt w:val="lowerLetter"/>
      <w:start w:val="3"/>
    </w:lvl>
  </w:abstractNum>
  <w:abstractNum w:abstractNumId="95">
    <w:nsid w:val="23D86AAC"/>
    <w:multiLevelType w:val="hybridMultilevel"/>
    <w:lvl w:ilvl="0">
      <w:lvlJc w:val="left"/>
      <w:lvlText w:val="%1"/>
      <w:numFmt w:val="decimal"/>
      <w:start w:val="520"/>
    </w:lvl>
  </w:abstractNum>
  <w:abstractNum w:abstractNumId="96">
    <w:nsid w:val="45E6D486"/>
    <w:multiLevelType w:val="hybridMultilevel"/>
    <w:lvl w:ilvl="0">
      <w:lvlJc w:val="left"/>
      <w:lvlText w:val="(%1)"/>
      <w:numFmt w:val="lowerLetter"/>
      <w:start w:val="5"/>
    </w:lvl>
  </w:abstractNum>
  <w:abstractNum w:abstractNumId="97">
    <w:nsid w:val="5C10FE21"/>
    <w:multiLevelType w:val="hybridMultilevel"/>
    <w:lvl w:ilvl="0">
      <w:lvlJc w:val="left"/>
      <w:lvlText w:val="(%1)"/>
      <w:numFmt w:val="decimal"/>
      <w:start w:val="1"/>
    </w:lvl>
  </w:abstractNum>
  <w:abstractNum w:abstractNumId="98">
    <w:nsid w:val="E7FFA2B"/>
    <w:multiLevelType w:val="hybridMultilevel"/>
    <w:lvl w:ilvl="0">
      <w:lvlJc w:val="left"/>
      <w:lvlText w:val="(%1)"/>
      <w:numFmt w:val="decimal"/>
      <w:start w:val="1"/>
    </w:lvl>
  </w:abstractNum>
  <w:abstractNum w:abstractNumId="99">
    <w:nsid w:val="3C5991AA"/>
    <w:multiLevelType w:val="hybridMultilevel"/>
    <w:lvl w:ilvl="0">
      <w:lvlJc w:val="left"/>
      <w:lvlText w:val="(%1)"/>
      <w:numFmt w:val="decimal"/>
      <w:start w:val="5"/>
    </w:lvl>
  </w:abstractNum>
  <w:abstractNum w:abstractNumId="100">
    <w:nsid w:val="4BD8591A"/>
    <w:multiLevelType w:val="hybridMultilevel"/>
    <w:lvl w:ilvl="0">
      <w:lvlJc w:val="left"/>
      <w:lvlText w:val="(%1)"/>
      <w:numFmt w:val="decimal"/>
      <w:start w:val="19"/>
    </w:lvl>
  </w:abstractNum>
  <w:abstractNum w:abstractNumId="101">
    <w:nsid w:val="78DF6A55"/>
    <w:multiLevelType w:val="hybridMultilevel"/>
    <w:lvl w:ilvl="0">
      <w:lvlJc w:val="left"/>
      <w:lvlText w:val="(%1)"/>
      <w:numFmt w:val="lowerLetter"/>
      <w:start w:val="1"/>
    </w:lvl>
  </w:abstractNum>
  <w:abstractNum w:abstractNumId="102">
    <w:nsid w:val="39B7AAA2"/>
    <w:multiLevelType w:val="hybridMultilevel"/>
    <w:lvl w:ilvl="0">
      <w:lvlJc w:val="left"/>
      <w:lvlText w:val="(%1)"/>
      <w:numFmt w:val="lowerLetter"/>
      <w:start w:val="1"/>
    </w:lvl>
  </w:abstractNum>
  <w:abstractNum w:abstractNumId="103">
    <w:nsid w:val="2B0D8DBE"/>
    <w:multiLevelType w:val="hybridMultilevel"/>
    <w:lvl w:ilvl="0">
      <w:lvlJc w:val="left"/>
      <w:lvlText w:val="(%1)"/>
      <w:numFmt w:val="lowerLetter"/>
      <w:start w:val="4"/>
    </w:lvl>
  </w:abstractNum>
  <w:abstractNum w:abstractNumId="104">
    <w:nsid w:val="6C80EC70"/>
    <w:multiLevelType w:val="hybridMultilevel"/>
    <w:lvl w:ilvl="0">
      <w:lvlJc w:val="left"/>
      <w:lvlText w:val="(%1)"/>
      <w:numFmt w:val="decimal"/>
      <w:start w:val="2"/>
    </w:lvl>
  </w:abstractNum>
  <w:abstractNum w:abstractNumId="105">
    <w:nsid w:val="379E21B5"/>
    <w:multiLevelType w:val="hybridMultilevel"/>
    <w:lvl w:ilvl="0">
      <w:lvlJc w:val="left"/>
      <w:lvlText w:val="(%1)"/>
      <w:numFmt w:val="lowerLetter"/>
      <w:start w:val="1"/>
    </w:lvl>
  </w:abstractNum>
  <w:abstractNum w:abstractNumId="106">
    <w:nsid w:val="69E373"/>
    <w:multiLevelType w:val="hybridMultilevel"/>
    <w:lvl w:ilvl="0">
      <w:lvlJc w:val="left"/>
      <w:lvlText w:val="%1"/>
      <w:numFmt w:val="lowerLetter"/>
      <w:start w:val="1"/>
    </w:lvl>
    <w:lvl w:ilvl="1">
      <w:lvlJc w:val="left"/>
      <w:lvlText w:val="(%2)"/>
      <w:numFmt w:val="lowerLetter"/>
      <w:start w:val="1"/>
    </w:lvl>
  </w:abstractNum>
  <w:abstractNum w:abstractNumId="107">
    <w:nsid w:val="2C27173B"/>
    <w:multiLevelType w:val="hybridMultilevel"/>
    <w:lvl w:ilvl="0">
      <w:lvlJc w:val="left"/>
      <w:lvlText w:val="(%1)"/>
      <w:numFmt w:val="lowerLetter"/>
      <w:start w:val="35"/>
    </w:lvl>
    <w:lvl w:ilvl="1">
      <w:lvlJc w:val="left"/>
      <w:lvlText w:val="%2"/>
      <w:numFmt w:val="lowerLetter"/>
      <w:start w:val="1"/>
    </w:lvl>
  </w:abstractNum>
  <w:abstractNum w:abstractNumId="108">
    <w:nsid w:val="4C9B0904"/>
    <w:multiLevelType w:val="hybridMultilevel"/>
    <w:lvl w:ilvl="0">
      <w:lvlJc w:val="left"/>
      <w:lvlText w:val="(%1)"/>
      <w:numFmt w:val="lowerLetter"/>
      <w:start w:val="2"/>
    </w:lvl>
  </w:abstractNum>
  <w:abstractNum w:abstractNumId="109">
    <w:nsid w:val="6AA7B75C"/>
    <w:multiLevelType w:val="hybridMultilevel"/>
    <w:lvl w:ilvl="0">
      <w:lvlJc w:val="left"/>
      <w:lvlText w:val="(%1)"/>
      <w:numFmt w:val="decimal"/>
      <w:start w:val="1"/>
    </w:lvl>
    <w:lvl w:ilvl="1">
      <w:lvlJc w:val="left"/>
      <w:lvlText w:val="(%2)"/>
      <w:numFmt w:val="upperLetter"/>
      <w:start w:val="1"/>
    </w:lvl>
  </w:abstractNum>
  <w:abstractNum w:abstractNumId="110">
    <w:nsid w:val="1DF029D3"/>
    <w:multiLevelType w:val="hybridMultilevel"/>
    <w:lvl w:ilvl="0">
      <w:lvlJc w:val="left"/>
      <w:lvlText w:val="(%1)"/>
      <w:numFmt w:val="decimal"/>
      <w:start w:val="5"/>
    </w:lvl>
    <w:lvl w:ilvl="1">
      <w:lvlJc w:val="left"/>
      <w:lvlText w:val="(%2)"/>
      <w:numFmt w:val="upperLetter"/>
      <w:start w:val="1"/>
    </w:lvl>
  </w:abstractNum>
  <w:abstractNum w:abstractNumId="111">
    <w:nsid w:val="5675FF36"/>
    <w:multiLevelType w:val="hybridMultilevel"/>
    <w:lvl w:ilvl="0">
      <w:lvlJc w:val="left"/>
      <w:lvlText w:val="(%1)"/>
      <w:numFmt w:val="decimal"/>
      <w:start w:val="1"/>
    </w:lvl>
  </w:abstractNum>
  <w:abstractNum w:abstractNumId="112">
    <w:nsid w:val="3DD15094"/>
    <w:multiLevelType w:val="hybridMultilevel"/>
    <w:lvl w:ilvl="0">
      <w:lvlJc w:val="left"/>
      <w:lvlText w:val="(%1)"/>
      <w:numFmt w:val="lowerLetter"/>
      <w:start w:val="1"/>
    </w:lvl>
    <w:lvl w:ilvl="1">
      <w:lvlJc w:val="left"/>
      <w:lvlText w:val="(%2)"/>
      <w:numFmt w:val="decimal"/>
      <w:start w:val="1"/>
    </w:lvl>
  </w:abstractNum>
  <w:abstractNum w:abstractNumId="113">
    <w:nsid w:val="3DB012B3"/>
    <w:multiLevelType w:val="hybridMultilevel"/>
    <w:lvl w:ilvl="0">
      <w:lvlJc w:val="left"/>
      <w:lvlText w:val="(%1)"/>
      <w:numFmt w:val="lowerLetter"/>
      <w:start w:val="6"/>
    </w:lvl>
  </w:abstractNum>
  <w:abstractNum w:abstractNumId="114">
    <w:nsid w:val="2708C9AF"/>
    <w:multiLevelType w:val="hybridMultilevel"/>
    <w:lvl w:ilvl="0">
      <w:lvlJc w:val="left"/>
      <w:lvlText w:val="(%1)"/>
      <w:numFmt w:val="lowerLetter"/>
      <w:start w:val="1"/>
    </w:lvl>
    <w:lvl w:ilvl="1">
      <w:lvlJc w:val="left"/>
      <w:lvlText w:val="(%2)"/>
      <w:numFmt w:val="decimal"/>
      <w:start w:val="1"/>
    </w:lvl>
  </w:abstractNum>
  <w:abstractNum w:abstractNumId="115">
    <w:nsid w:val="5B25ACE2"/>
    <w:multiLevelType w:val="hybridMultilevel"/>
    <w:lvl w:ilvl="0">
      <w:lvlJc w:val="left"/>
      <w:lvlText w:val="(%1)"/>
      <w:numFmt w:val="decimal"/>
      <w:start w:val="1"/>
    </w:lvl>
  </w:abstractNum>
  <w:abstractNum w:abstractNumId="116">
    <w:nsid w:val="175DFCF0"/>
    <w:multiLevelType w:val="hybridMultilevel"/>
    <w:lvl w:ilvl="0">
      <w:lvlJc w:val="left"/>
      <w:lvlText w:val="(%1)"/>
      <w:numFmt w:val="decimal"/>
      <w:start w:val="3"/>
    </w:lvl>
  </w:abstractNum>
  <w:abstractNum w:abstractNumId="117">
    <w:nsid w:val="4F97E3E4"/>
    <w:multiLevelType w:val="hybridMultilevel"/>
    <w:lvl w:ilvl="0">
      <w:lvlJc w:val="left"/>
      <w:lvlText w:val="(%1)"/>
      <w:numFmt w:val="decimal"/>
      <w:start w:val="1"/>
    </w:lvl>
  </w:abstractNum>
  <w:abstractNum w:abstractNumId="118">
    <w:nsid w:val="53B0A9E"/>
    <w:multiLevelType w:val="hybridMultilevel"/>
    <w:lvl w:ilvl="0">
      <w:lvlJc w:val="left"/>
      <w:lvlText w:val="(%1)"/>
      <w:numFmt w:val="decimal"/>
      <w:start w:val="1"/>
    </w:lvl>
  </w:abstractNum>
  <w:abstractNum w:abstractNumId="119">
    <w:nsid w:val="34FD6B4F"/>
    <w:multiLevelType w:val="hybridMultilevel"/>
    <w:lvl w:ilvl="0">
      <w:lvlJc w:val="left"/>
      <w:lvlText w:val="(%1)"/>
      <w:numFmt w:val="decimal"/>
      <w:start w:val="4"/>
    </w:lvl>
  </w:abstractNum>
  <w:abstractNum w:abstractNumId="120">
    <w:nsid w:val="5915FF32"/>
    <w:multiLevelType w:val="hybridMultilevel"/>
    <w:lvl w:ilvl="0">
      <w:lvlJc w:val="left"/>
      <w:lvlText w:val="(%1)"/>
      <w:numFmt w:val="lowerLetter"/>
      <w:start w:val="1"/>
    </w:lvl>
    <w:lvl w:ilvl="1">
      <w:lvlJc w:val="left"/>
      <w:lvlText w:val="(%2)"/>
      <w:numFmt w:val="decimal"/>
      <w:start w:val="1"/>
    </w:lvl>
  </w:abstractNum>
  <w:abstractNum w:abstractNumId="121">
    <w:nsid w:val="56438D15"/>
    <w:multiLevelType w:val="hybridMultilevel"/>
    <w:lvl w:ilvl="0">
      <w:lvlJc w:val="left"/>
      <w:lvlText w:val="(%1)"/>
      <w:numFmt w:val="lowerLetter"/>
      <w:start w:val="2"/>
    </w:lvl>
  </w:abstractNum>
  <w:abstractNum w:abstractNumId="122">
    <w:nsid w:val="519E3149"/>
    <w:multiLevelType w:val="hybridMultilevel"/>
    <w:lvl w:ilvl="0">
      <w:lvlJc w:val="left"/>
      <w:lvlText w:val="(%1)"/>
      <w:numFmt w:val="decimal"/>
      <w:start w:val="1"/>
    </w:lvl>
  </w:abstractNum>
  <w:abstractNum w:abstractNumId="123">
    <w:nsid w:val="2C6E4AFD"/>
    <w:multiLevelType w:val="hybridMultilevel"/>
    <w:lvl w:ilvl="0">
      <w:lvlJc w:val="left"/>
      <w:lvlText w:val="(%1)"/>
      <w:numFmt w:val="decimal"/>
      <w:start w:val="7"/>
    </w:lvl>
  </w:abstractNum>
  <w:abstractNum w:abstractNumId="124">
    <w:nsid w:val="17A1B582"/>
    <w:multiLevelType w:val="hybridMultilevel"/>
    <w:lvl w:ilvl="0">
      <w:lvlJc w:val="left"/>
      <w:lvlText w:val="(%1)"/>
      <w:numFmt w:val="decimal"/>
      <w:start w:val="1"/>
    </w:lvl>
  </w:abstractNum>
  <w:abstractNum w:abstractNumId="125">
    <w:nsid w:val="4DF72E4E"/>
    <w:multiLevelType w:val="hybridMultilevel"/>
    <w:lvl w:ilvl="0">
      <w:lvlJc w:val="left"/>
      <w:lvlText w:val="(%1)"/>
      <w:numFmt w:val="decimal"/>
      <w:start w:val="1"/>
    </w:lvl>
  </w:abstractNum>
  <w:abstractNum w:abstractNumId="126">
    <w:nsid w:val="5046B5A9"/>
    <w:multiLevelType w:val="hybridMultilevel"/>
    <w:lvl w:ilvl="0">
      <w:lvlJc w:val="left"/>
      <w:lvlText w:val="(%1)"/>
      <w:numFmt w:val="decimal"/>
      <w:start w:val="1"/>
    </w:lvl>
  </w:abstractNum>
  <w:abstractNum w:abstractNumId="127">
    <w:nsid w:val="5D888A08"/>
    <w:multiLevelType w:val="hybridMultilevel"/>
    <w:lvl w:ilvl="0">
      <w:lvlJc w:val="left"/>
      <w:lvlText w:val="%1."/>
      <w:numFmt w:val="decimal"/>
      <w:start w:val="1"/>
    </w:lvl>
  </w:abstractNum>
  <w:abstractNum w:abstractNumId="128">
    <w:nsid w:val="2A082C70"/>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144" Type="http://schemas.openxmlformats.org/officeDocument/2006/relationships/image" Target="media/image120.png"/><Relationship Id="rId145" Type="http://schemas.openxmlformats.org/officeDocument/2006/relationships/image" Target="media/image121.png"/><Relationship Id="rId146" Type="http://schemas.openxmlformats.org/officeDocument/2006/relationships/image" Target="media/image122.png"/><Relationship Id="rId147" Type="http://schemas.openxmlformats.org/officeDocument/2006/relationships/image" Target="media/image123.png"/><Relationship Id="rId148"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158"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png"/><Relationship Id="rId180" Type="http://schemas.openxmlformats.org/officeDocument/2006/relationships/image" Target="media/image156.png"/><Relationship Id="rId181" Type="http://schemas.openxmlformats.org/officeDocument/2006/relationships/image" Target="media/image157.png"/><Relationship Id="rId182" Type="http://schemas.openxmlformats.org/officeDocument/2006/relationships/image" Target="media/image158.png"/><Relationship Id="rId183"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186" Type="http://schemas.openxmlformats.org/officeDocument/2006/relationships/image" Target="media/image162.png"/><Relationship Id="rId187" Type="http://schemas.openxmlformats.org/officeDocument/2006/relationships/image" Target="media/image163.png"/><Relationship Id="rId188" Type="http://schemas.openxmlformats.org/officeDocument/2006/relationships/image" Target="media/image164.png"/><Relationship Id="rId189" Type="http://schemas.openxmlformats.org/officeDocument/2006/relationships/image" Target="media/image165.png"/><Relationship Id="rId190" Type="http://schemas.openxmlformats.org/officeDocument/2006/relationships/image" Target="media/image166.png"/><Relationship Id="rId191" Type="http://schemas.openxmlformats.org/officeDocument/2006/relationships/image" Target="media/image167.png"/><Relationship Id="rId192" Type="http://schemas.openxmlformats.org/officeDocument/2006/relationships/image" Target="media/image168.png"/><Relationship Id="rId193" Type="http://schemas.openxmlformats.org/officeDocument/2006/relationships/image" Target="media/image169.png"/><Relationship Id="rId194" Type="http://schemas.openxmlformats.org/officeDocument/2006/relationships/image" Target="media/image170.png"/><Relationship Id="rId195" Type="http://schemas.openxmlformats.org/officeDocument/2006/relationships/image" Target="media/image171.png"/><Relationship Id="rId196" Type="http://schemas.openxmlformats.org/officeDocument/2006/relationships/image" Target="media/image172.png"/><Relationship Id="rId197" Type="http://schemas.openxmlformats.org/officeDocument/2006/relationships/image" Target="media/image173.png"/><Relationship Id="rId198" Type="http://schemas.openxmlformats.org/officeDocument/2006/relationships/image" Target="media/image174.png"/><Relationship Id="rId199" Type="http://schemas.openxmlformats.org/officeDocument/2006/relationships/image" Target="media/image175.png"/><Relationship Id="rId200" Type="http://schemas.openxmlformats.org/officeDocument/2006/relationships/image" Target="media/image176.png"/><Relationship Id="rId201" Type="http://schemas.openxmlformats.org/officeDocument/2006/relationships/image" Target="media/image177.png"/><Relationship Id="rId202" Type="http://schemas.openxmlformats.org/officeDocument/2006/relationships/image" Target="media/image178.png"/><Relationship Id="rId203" Type="http://schemas.openxmlformats.org/officeDocument/2006/relationships/image" Target="media/image179.png"/><Relationship Id="rId204" Type="http://schemas.openxmlformats.org/officeDocument/2006/relationships/image" Target="media/image180.png"/><Relationship Id="rId205" Type="http://schemas.openxmlformats.org/officeDocument/2006/relationships/image" Target="media/image181.png"/><Relationship Id="rId206" Type="http://schemas.openxmlformats.org/officeDocument/2006/relationships/image" Target="media/image182.png"/><Relationship Id="rId207" Type="http://schemas.openxmlformats.org/officeDocument/2006/relationships/image" Target="media/image183.png"/><Relationship Id="rId208" Type="http://schemas.openxmlformats.org/officeDocument/2006/relationships/image" Target="media/image184.png"/><Relationship Id="rId209" Type="http://schemas.openxmlformats.org/officeDocument/2006/relationships/image" Target="media/image185.png"/><Relationship Id="rId210" Type="http://schemas.openxmlformats.org/officeDocument/2006/relationships/image" Target="media/image186.png"/><Relationship Id="rId211" Type="http://schemas.openxmlformats.org/officeDocument/2006/relationships/image" Target="media/image187.png"/><Relationship Id="rId212" Type="http://schemas.openxmlformats.org/officeDocument/2006/relationships/image" Target="media/image188.png"/><Relationship Id="rId213" Type="http://schemas.openxmlformats.org/officeDocument/2006/relationships/image" Target="media/image189.png"/><Relationship Id="rId214" Type="http://schemas.openxmlformats.org/officeDocument/2006/relationships/image" Target="media/image190.png"/><Relationship Id="rId215" Type="http://schemas.openxmlformats.org/officeDocument/2006/relationships/image" Target="media/image191.png"/><Relationship Id="rId216" Type="http://schemas.openxmlformats.org/officeDocument/2006/relationships/image" Target="media/image192.png"/><Relationship Id="rId217" Type="http://schemas.openxmlformats.org/officeDocument/2006/relationships/image" Target="media/image193.png"/><Relationship Id="rId218" Type="http://schemas.openxmlformats.org/officeDocument/2006/relationships/image" Target="media/image194.png"/><Relationship Id="rId219" Type="http://schemas.openxmlformats.org/officeDocument/2006/relationships/image" Target="media/image195.png"/><Relationship Id="rId220" Type="http://schemas.openxmlformats.org/officeDocument/2006/relationships/image" Target="media/image196.png"/><Relationship Id="rId221" Type="http://schemas.openxmlformats.org/officeDocument/2006/relationships/image" Target="media/image197.png"/><Relationship Id="rId222" Type="http://schemas.openxmlformats.org/officeDocument/2006/relationships/image" Target="media/image198.png"/><Relationship Id="rId223" Type="http://schemas.openxmlformats.org/officeDocument/2006/relationships/image" Target="media/image199.png"/><Relationship Id="rId224" Type="http://schemas.openxmlformats.org/officeDocument/2006/relationships/image" Target="media/image200.png"/><Relationship Id="rId225" Type="http://schemas.openxmlformats.org/officeDocument/2006/relationships/image" Target="media/image201.jpeg"/><Relationship Id="rId226" Type="http://schemas.openxmlformats.org/officeDocument/2006/relationships/image" Target="media/image202.png"/><Relationship Id="rId227" Type="http://schemas.openxmlformats.org/officeDocument/2006/relationships/image" Target="media/image203.png"/><Relationship Id="rId228" Type="http://schemas.openxmlformats.org/officeDocument/2006/relationships/image" Target="media/image204.png"/><Relationship Id="rId229" Type="http://schemas.openxmlformats.org/officeDocument/2006/relationships/image" Target="media/image205.png"/><Relationship Id="rId230" Type="http://schemas.openxmlformats.org/officeDocument/2006/relationships/image" Target="media/image206.png"/><Relationship Id="rId231" Type="http://schemas.openxmlformats.org/officeDocument/2006/relationships/image" Target="media/image207.png"/><Relationship Id="rId37" Type="http://schemas.openxmlformats.org/officeDocument/2006/relationships/hyperlink" Target="http://www.sec.gov/ix?doc=/Archives/edgar/data/1370053/000137005321000019/anab-20201231.htm" TargetMode="External"/><Relationship Id="rId38" Type="http://schemas.openxmlformats.org/officeDocument/2006/relationships/hyperlink" Target="http://www.sec.gov/Archives/edgar/data/1370053/000137005321000031/proxystatementfy2020.htm" TargetMode="External"/><Relationship Id="rId39" Type="http://schemas.openxmlformats.org/officeDocument/2006/relationships/hyperlink" Target="http://www.sec.gov/ix?doc=/Archives/edgar/data/1370053/000137005321000041/anab-20210331.htm" TargetMode="External"/><Relationship Id="rId40" Type="http://schemas.openxmlformats.org/officeDocument/2006/relationships/hyperlink" Target="http://www.sec.gov/ix?doc=/Archives/edgar/data/1370053/000137005321000056/anab-20210630.htm" TargetMode="External"/><Relationship Id="rId41" Type="http://schemas.openxmlformats.org/officeDocument/2006/relationships/hyperlink" Target="http://www.sec.gov/ix?doc=/Archives/edgar/data/1370053/000137005321000069/anab-20210930.htm" TargetMode="External"/><Relationship Id="rId42" Type="http://schemas.openxmlformats.org/officeDocument/2006/relationships/hyperlink" Target="http://www.sec.gov/ix?doc=/Archives/edgar/data/1370053/000137005321000010/anab-20210118.htm" TargetMode="External"/><Relationship Id="rId43" Type="http://schemas.openxmlformats.org/officeDocument/2006/relationships/hyperlink" Target="http://www.sec.gov/ix?doc=/Archives/edgar/data/1370053/000137005321000025/anab-20210408.htm" TargetMode="External"/><Relationship Id="rId44" Type="http://schemas.openxmlformats.org/officeDocument/2006/relationships/hyperlink" Target="http://www.sec.gov/ix?doc=/Archives/edgar/data/1370053/000137005321000049/anab-20210617.htm" TargetMode="External"/><Relationship Id="rId45" Type="http://schemas.openxmlformats.org/officeDocument/2006/relationships/hyperlink" Target="http://www.sec.gov/ix?doc=/Archives/edgar/data/1370053/000137005321000063/anab-20211025.htm" TargetMode="External"/><Relationship Id="rId46" Type="http://schemas.openxmlformats.org/officeDocument/2006/relationships/hyperlink" Target="http://www.sec.gov/ix?doc=/Archives/edgar/data/1370053/000137005321000075/anab-20211126.htm" TargetMode="External"/><Relationship Id="rId47" Type="http://schemas.openxmlformats.org/officeDocument/2006/relationships/hyperlink" Target="http://www.sec.gov/ix?doc=/Archives/edgar/data/1370053/000137005321000079/anab-20211201.htm" TargetMode="External"/><Relationship Id="rId48" Type="http://schemas.openxmlformats.org/officeDocument/2006/relationships/hyperlink" Target="http://www.sec.gov/Archives/edgar/data/1370053/000119312517010791/d284961d8a12b.htm" TargetMode="External"/><Relationship Id="rId49" Type="http://schemas.openxmlformats.org/officeDocument/2006/relationships/hyperlink" Target="http://www.sec.gov/Archives/edgar/data/1370053/000137005320000009/anaptys-10xkfy2019xexh.htm" TargetMode="External"/><Relationship Id="rId50" Type="http://schemas.openxmlformats.org/officeDocument/2006/relationships/hyperlink" Target="http://www.sec.gov/ix?doc=/Archives/edgar/data/1370053/000137005320000009/anab-12311910k.htm" TargetMode="External"/><Relationship Id="rId107" Type="http://schemas.openxmlformats.org/officeDocument/2006/relationships/hyperlink" Target="http://www.sec.gov/Archives/edgar/data/1370053/000137005317000005/anab-033117x10qxexx31.htm" TargetMode="External"/><Relationship Id="rId108" Type="http://schemas.openxmlformats.org/officeDocument/2006/relationships/hyperlink" Target="http://www.sec.gov/Archives/edgar/data/1370053/000119312515315918/d942137dex34.htm" TargetMode="External"/><Relationship Id="rId109" Type="http://schemas.openxmlformats.org/officeDocument/2006/relationships/hyperlink" Target="http://www.sec.gov/Archives/edgar/data/1370053/000119312515315918/d942137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2021-12-30T15:21:27Z</dcterms:created>
  <dcterms:modified xsi:type="dcterms:W3CDTF">2021-12-30T15:21:27Z</dcterms:modified>
</cp:coreProperties>
</file>