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10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058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564"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Suria Hamza</w:t>
              </w:r>
            </w:hyperlink>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40" w:type="dxa"/>
            <w:vAlign w:val="bottom"/>
            <w:gridSpan w:val="3"/>
          </w:tcPr>
          <w:p>
            <w:pPr>
              <w:ind w:left="160"/>
              <w:spacing w:after="0"/>
              <w:rPr>
                <w:sz w:val="20"/>
                <w:szCs w:val="20"/>
                <w:color w:val="auto"/>
              </w:rPr>
            </w:pPr>
            <w:r>
              <w:rPr>
                <w:rFonts w:ascii="Arial" w:cs="Arial" w:eastAsia="Arial" w:hAnsi="Arial"/>
                <w:sz w:val="17"/>
                <w:szCs w:val="17"/>
                <w:color w:val="0000FF"/>
              </w:rPr>
              <w:t>12/14/2018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President, CEO</w:t>
      </w:r>
    </w:p>
    <w:p>
      <w:pPr>
        <w:spacing w:after="0" w:line="427" w:lineRule="exact"/>
        <w:rPr>
          <w:sz w:val="20"/>
          <w:szCs w:val="20"/>
          <w:color w:val="auto"/>
        </w:rPr>
      </w:pPr>
    </w:p>
    <w:p>
      <w:pPr>
        <w:sectPr>
          <w:pgSz w:w="11900" w:h="16838" w:orient="portrait"/>
          <w:cols w:equalWidth="0" w:num="2">
            <w:col w:w="7980" w:space="74"/>
            <w:col w:w="3466"/>
          </w:cols>
          <w:pgMar w:left="240" w:top="225" w:right="139" w:bottom="564"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DIEGO</w:t>
            </w:r>
          </w:p>
        </w:tc>
        <w:tc>
          <w:tcPr>
            <w:tcW w:w="100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92121</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5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12/14/2018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41,728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71,792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12/14/2018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24,844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68.887</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46,948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12/14/2018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9,084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69.6794</w:t>
            </w:r>
            <w:r>
              <w:rPr>
                <w:rFonts w:ascii="Arial" w:cs="Arial" w:eastAsia="Arial" w:hAnsi="Arial"/>
                <w:sz w:val="22"/>
                <w:szCs w:val="22"/>
                <w:color w:val="008000"/>
                <w:w w:val="90"/>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37,864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12/14/2018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7,800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70.5101</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30,064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vMerge w:val="restart"/>
          </w:tcPr>
          <w:p>
            <w:pPr>
              <w:ind w:left="100"/>
              <w:spacing w:after="0" w:line="292"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41,728</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129,284</w:t>
            </w:r>
            <w:r>
              <w:rPr>
                <w:rFonts w:ascii="Arial" w:cs="Arial" w:eastAsia="Arial" w:hAnsi="Arial"/>
                <w:sz w:val="22"/>
                <w:szCs w:val="22"/>
                <w:color w:val="008000"/>
                <w:vertAlign w:val="superscript"/>
              </w:rPr>
              <w:t>(6)</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w:t>
            </w:r>
          </w:p>
        </w:tc>
        <w:tc>
          <w:tcPr>
            <w:tcW w:w="1080" w:type="dxa"/>
            <w:vAlign w:val="bottom"/>
          </w:tcPr>
          <w:p>
            <w:pPr>
              <w:jc w:val="right"/>
              <w:ind w:right="138"/>
              <w:spacing w:after="0" w:line="145" w:lineRule="exact"/>
              <w:rPr>
                <w:sz w:val="20"/>
                <w:szCs w:val="20"/>
                <w:color w:val="auto"/>
              </w:rPr>
            </w:pPr>
            <w:r>
              <w:rPr>
                <w:rFonts w:ascii="Arial" w:cs="Arial" w:eastAsia="Arial" w:hAnsi="Arial"/>
                <w:sz w:val="13"/>
                <w:szCs w:val="13"/>
                <w:color w:val="0000FF"/>
              </w:rPr>
              <w:t>12/14/2018</w:t>
            </w:r>
          </w:p>
        </w:tc>
        <w:tc>
          <w:tcPr>
            <w:tcW w:w="1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5" w:lineRule="exact"/>
              <w:rPr>
                <w:sz w:val="20"/>
                <w:szCs w:val="20"/>
                <w:color w:val="auto"/>
              </w:rPr>
            </w:pPr>
            <w:r>
              <w:rPr>
                <w:rFonts w:ascii="Arial" w:cs="Arial" w:eastAsia="Arial" w:hAnsi="Arial"/>
                <w:sz w:val="13"/>
                <w:szCs w:val="13"/>
                <w:color w:val="0000FF"/>
                <w:w w:val="95"/>
              </w:rPr>
              <w:t>41,728</w:t>
            </w:r>
          </w:p>
        </w:tc>
        <w:tc>
          <w:tcPr>
            <w:tcW w:w="820" w:type="dxa"/>
            <w:vAlign w:val="bottom"/>
            <w:vMerge w:val="continue"/>
          </w:tcPr>
          <w:p>
            <w:pPr>
              <w:spacing w:after="0"/>
              <w:rPr>
                <w:sz w:val="12"/>
                <w:szCs w:val="12"/>
                <w:color w:val="auto"/>
              </w:rPr>
            </w:pPr>
          </w:p>
        </w:tc>
        <w:tc>
          <w:tcPr>
            <w:tcW w:w="800" w:type="dxa"/>
            <w:vAlign w:val="bottom"/>
          </w:tcPr>
          <w:p>
            <w:pPr>
              <w:ind w:left="120"/>
              <w:spacing w:after="0" w:line="145" w:lineRule="exact"/>
              <w:rPr>
                <w:sz w:val="20"/>
                <w:szCs w:val="20"/>
                <w:color w:val="auto"/>
              </w:rPr>
            </w:pPr>
            <w:r>
              <w:rPr>
                <w:rFonts w:ascii="Arial" w:cs="Arial" w:eastAsia="Arial" w:hAnsi="Arial"/>
                <w:sz w:val="13"/>
                <w:szCs w:val="13"/>
                <w:color w:val="0000FF"/>
              </w:rPr>
              <w:t>01/31/2022</w:t>
            </w:r>
          </w:p>
        </w:tc>
        <w:tc>
          <w:tcPr>
            <w:tcW w:w="5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$68.31 to $69.30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$69.31 to $70.30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$70.33 to $70.98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129,284 shares of common stock as set forth in Table II above, the Reporting Person also holds (i) additional options to purchase up to an aggregate of 705,554 shares of common stock, which options vest according to their terms, and (ii) 30,064 shares of common stock held directly.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/s/Eric Loumeau,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12/18/2018</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2019-12-24T04:15:06Z</dcterms:created>
  <dcterms:modified xsi:type="dcterms:W3CDTF">2019-12-24T04:15:06Z</dcterms:modified>
</cp:coreProperties>
</file>