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15"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Date of Report: October 10, 2017</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158750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ANAPTYSBIO,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(State or Other Jurisdiction of Incorporation)</w:t>
      </w:r>
    </w:p>
    <w:p>
      <w:pPr>
        <w:sectPr>
          <w:pgSz w:w="11900" w:h="16838" w:orient="portrait"/>
          <w:cols w:equalWidth="0" w:num="1">
            <w:col w:w="11360"/>
          </w:cols>
          <w:pgMar w:left="240" w:top="368" w:right="299" w:bottom="1440" w:gutter="0" w:footer="0" w:header="0"/>
        </w:sectPr>
      </w:pPr>
    </w:p>
    <w:p>
      <w:pPr>
        <w:spacing w:after="0" w:line="125"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50" w:lineRule="exact"/>
        <w:rPr>
          <w:sz w:val="24"/>
          <w:szCs w:val="24"/>
          <w:color w:val="auto"/>
        </w:rPr>
      </w:pPr>
    </w:p>
    <w:p>
      <w:pPr>
        <w:sectPr>
          <w:pgSz w:w="11900" w:h="16838" w:orient="portrait"/>
          <w:cols w:equalWidth="0" w:num="2">
            <w:col w:w="7500" w:space="720"/>
            <w:col w:w="3140"/>
          </w:cols>
          <w:pgMar w:left="240" w:top="368" w:right="299" w:bottom="1440" w:gutter="0" w:footer="0" w:header="0"/>
          <w:type w:val="continuous"/>
        </w:sectPr>
      </w:pPr>
    </w:p>
    <w:p>
      <w:pPr>
        <w:ind w:left="206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7" w:lineRule="exact"/>
        <w:rPr>
          <w:sz w:val="24"/>
          <w:szCs w:val="24"/>
          <w:color w:val="auto"/>
        </w:rPr>
      </w:pPr>
    </w:p>
    <w:p>
      <w:pPr>
        <w:sectPr>
          <w:pgSz w:w="11900" w:h="16838" w:orient="portrait"/>
          <w:cols w:equalWidth="0" w:num="2">
            <w:col w:w="6880" w:space="720"/>
            <w:col w:w="3760"/>
          </w:cols>
          <w:pgMar w:left="240" w:top="368" w:right="299" w:bottom="1440" w:gutter="0" w:footer="0" w:header="0"/>
          <w:type w:val="continuous"/>
        </w:sectPr>
      </w:pPr>
    </w:p>
    <w:p>
      <w:pPr>
        <w:jc w:val="center"/>
        <w:ind w:right="1920"/>
        <w:spacing w:after="0"/>
        <w:rPr>
          <w:sz w:val="20"/>
          <w:szCs w:val="20"/>
          <w:color w:val="auto"/>
        </w:rPr>
      </w:pPr>
      <w:r>
        <w:rPr>
          <w:rFonts w:ascii="Arial" w:cs="Arial" w:eastAsia="Arial" w:hAnsi="Arial"/>
          <w:sz w:val="16"/>
          <w:szCs w:val="16"/>
          <w:b w:val="1"/>
          <w:bCs w:val="1"/>
          <w:color w:val="auto"/>
        </w:rPr>
        <w:t>10421 Pacific Center Court, Suite 200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San Diego, CA</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92121</w:t>
      </w:r>
    </w:p>
    <w:p>
      <w:pPr>
        <w:spacing w:after="0" w:line="50" w:lineRule="exact"/>
        <w:rPr>
          <w:sz w:val="24"/>
          <w:szCs w:val="24"/>
          <w:color w:val="auto"/>
        </w:rPr>
      </w:pPr>
    </w:p>
    <w:p>
      <w:pPr>
        <w:sectPr>
          <w:pgSz w:w="11900" w:h="16838" w:orient="portrait"/>
          <w:cols w:equalWidth="0" w:num="2">
            <w:col w:w="7700" w:space="720"/>
            <w:col w:w="2940"/>
          </w:cols>
          <w:pgMar w:left="240" w:top="368" w:right="29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29" w:lineRule="exact"/>
        <w:rPr>
          <w:sz w:val="24"/>
          <w:szCs w:val="24"/>
          <w:color w:val="auto"/>
        </w:rPr>
      </w:pPr>
    </w:p>
    <w:p>
      <w:pPr>
        <w:sectPr>
          <w:pgSz w:w="11900" w:h="16838" w:orient="portrait"/>
          <w:cols w:equalWidth="0" w:num="2">
            <w:col w:w="7600" w:space="720"/>
            <w:col w:w="3040"/>
          </w:cols>
          <w:pgMar w:left="240" w:top="368"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(858) 362-6295</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(Registrant’s Telephone Number, Including Area Code)</w:t>
      </w:r>
    </w:p>
    <w:p>
      <w:pPr>
        <w:sectPr>
          <w:pgSz w:w="11900" w:h="16838" w:orient="portrait"/>
          <w:cols w:equalWidth="0" w:num="1">
            <w:col w:w="11360"/>
          </w:cols>
          <w:pgMar w:left="240" w:top="368" w:right="299" w:bottom="1440" w:gutter="0" w:footer="0" w:header="0"/>
          <w:type w:val="continuous"/>
        </w:sectPr>
      </w:pPr>
    </w:p>
    <w:p>
      <w:pPr>
        <w:spacing w:after="0" w:line="1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77"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While AnaptysBio, Inc., a Delaware corporation (“AnaptysBio”), has not finalized its full financial results for the quarter ended September 30, 2017, it expects to report that it had cash and cash equivalents and investments of $116.7 million as of September 30, 2017. This amount is preliminary, has not been audited and is subject to change upon completion of AnaptysBio’s quarterly review. Additional information and disclosures would be required for a more complete understanding of AnapytsBio’s financial position and results of operations as of September 30, 2017.</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information in this Item 2.02 shall not be deemed to be “filed” for purposes of Section 18 of the Securities Exchange Act of 1934, as amended, or otherwise subject to the liabilities of that section or Sections 11 and 12(a)(2) of the Securities Act of 1933, as amended. The information contained in this Item 2.02 shall not be incorporated by reference into any registration statement or other document filed by AnaptysBio with the SEC,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ectPr>
          <w:pgSz w:w="11900" w:h="16838" w:orient="portrait"/>
          <w:cols w:equalWidth="0" w:num="1">
            <w:col w:w="11380"/>
          </w:cols>
          <w:pgMar w:left="240" w:top="270" w:right="2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AnaptysBio,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October 10, 2017</w:t>
            </w:r>
          </w:p>
        </w:tc>
        <w:tc>
          <w:tcPr>
            <w:tcW w:w="2640" w:type="dxa"/>
            <w:vAlign w:val="bottom"/>
          </w:tcPr>
          <w:p>
            <w:pPr>
              <w:ind w:left="206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Dominic Piscitelli</w:t>
            </w:r>
          </w:p>
        </w:tc>
      </w:tr>
      <w:tr>
        <w:trPr>
          <w:trHeight w:val="209"/>
        </w:trPr>
        <w:tc>
          <w:tcPr>
            <w:tcW w:w="3760" w:type="dxa"/>
            <w:vAlign w:val="bottom"/>
          </w:tcPr>
          <w:p>
            <w:pPr>
              <w:spacing w:after="0"/>
              <w:rPr>
                <w:sz w:val="18"/>
                <w:szCs w:val="18"/>
                <w:color w:val="auto"/>
              </w:rPr>
            </w:pPr>
          </w:p>
        </w:tc>
        <w:tc>
          <w:tcPr>
            <w:tcW w:w="2640" w:type="dxa"/>
            <w:vAlign w:val="bottom"/>
          </w:tcPr>
          <w:p>
            <w:pPr>
              <w:ind w:left="206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Dominic Piscitelli</w:t>
            </w:r>
          </w:p>
        </w:tc>
      </w:tr>
      <w:tr>
        <w:trPr>
          <w:trHeight w:val="230"/>
        </w:trPr>
        <w:tc>
          <w:tcPr>
            <w:tcW w:w="3760" w:type="dxa"/>
            <w:vAlign w:val="bottom"/>
          </w:tcPr>
          <w:p>
            <w:pPr>
              <w:spacing w:after="0"/>
              <w:rPr>
                <w:sz w:val="20"/>
                <w:szCs w:val="20"/>
                <w:color w:val="auto"/>
              </w:rPr>
            </w:pPr>
          </w:p>
        </w:tc>
        <w:tc>
          <w:tcPr>
            <w:tcW w:w="2640" w:type="dxa"/>
            <w:vAlign w:val="bottom"/>
          </w:tcPr>
          <w:p>
            <w:pPr>
              <w:ind w:left="206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2019-12-07T03:16:41Z</dcterms:created>
  <dcterms:modified xsi:type="dcterms:W3CDTF">2019-12-07T03:16:41Z</dcterms:modified>
</cp:coreProperties>
</file>