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139700</wp:posOffset>
            </wp:positionH>
            <wp:positionV relativeFrom="page">
              <wp:posOffset>472440</wp:posOffset>
            </wp:positionV>
            <wp:extent cx="728218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180" cy="41275"/>
                    </a:xfrm>
                    <a:prstGeom prst="rect">
                      <a:avLst/>
                    </a:prstGeom>
                    <a:noFill/>
                  </pic:spPr>
                </pic:pic>
              </a:graphicData>
            </a:graphic>
          </wp:anchor>
        </w:drawing>
        <w:t>UNITED STATES</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30"/>
          <w:szCs w:val="30"/>
          <w:b w:val="1"/>
          <w:bCs w:val="1"/>
          <w:color w:val="auto"/>
        </w:rPr>
        <w:t>SECURITIES AND EXCHANGE COMMISSION</w:t>
      </w:r>
    </w:p>
    <w:p>
      <w:pPr>
        <w:spacing w:after="0" w:line="6" w:lineRule="exact"/>
        <w:rPr>
          <w:sz w:val="24"/>
          <w:szCs w:val="24"/>
          <w:color w:val="auto"/>
        </w:rPr>
      </w:pPr>
    </w:p>
    <w:p>
      <w:pPr>
        <w:ind w:left="45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342265</wp:posOffset>
            </wp:positionV>
            <wp:extent cx="728218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200"/>
        <w:spacing w:after="0"/>
        <w:rPr>
          <w:sz w:val="20"/>
          <w:szCs w:val="20"/>
          <w:color w:val="auto"/>
        </w:rPr>
      </w:pPr>
      <w:r>
        <w:rPr>
          <w:rFonts w:ascii="Arial" w:cs="Arial" w:eastAsia="Arial" w:hAnsi="Arial"/>
          <w:sz w:val="30"/>
          <w:szCs w:val="30"/>
          <w:b w:val="1"/>
          <w:bCs w:val="1"/>
          <w:color w:val="auto"/>
        </w:rPr>
        <w:t>SCHEDULE 14A</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(Rule 14a-101)</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SCHEDULE 14A INFORMATION</w:t>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9"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342265</wp:posOffset>
            </wp:positionV>
            <wp:extent cx="728218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0"/>
        <w:spacing w:after="0" w:line="196" w:lineRule="exact"/>
        <w:tabs>
          <w:tab w:leader="none" w:pos="2980" w:val="left"/>
          <w:tab w:leader="none" w:pos="4700" w:val="left"/>
          <w:tab w:leader="none" w:pos="916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00" w:lineRule="exact"/>
        <w:rPr>
          <w:sz w:val="24"/>
          <w:szCs w:val="24"/>
          <w:color w:val="auto"/>
        </w:rPr>
      </w:pPr>
    </w:p>
    <w:p>
      <w:pPr>
        <w:spacing w:after="0" w:line="341" w:lineRule="exact"/>
        <w:rPr>
          <w:sz w:val="24"/>
          <w:szCs w:val="24"/>
          <w:color w:val="auto"/>
        </w:rPr>
      </w:pPr>
    </w:p>
    <w:p>
      <w:pPr>
        <w:ind w:left="480" w:hanging="45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99" w:lineRule="exact"/>
        <w:rPr>
          <w:rFonts w:ascii="MS PGothic" w:cs="MS PGothic" w:eastAsia="MS PGothic" w:hAnsi="MS PGothic"/>
          <w:sz w:val="17"/>
          <w:szCs w:val="17"/>
          <w:color w:val="auto"/>
        </w:rPr>
      </w:pPr>
    </w:p>
    <w:p>
      <w:pPr>
        <w:ind w:left="480" w:hanging="45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08" w:lineRule="exact"/>
        <w:rPr>
          <w:sz w:val="24"/>
          <w:szCs w:val="24"/>
          <w:color w:val="auto"/>
        </w:rPr>
      </w:pPr>
    </w:p>
    <w:p>
      <w:pPr>
        <w:ind w:left="480" w:hanging="455"/>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04" w:lineRule="exact"/>
        <w:rPr>
          <w:sz w:val="24"/>
          <w:szCs w:val="24"/>
          <w:color w:val="auto"/>
        </w:rPr>
      </w:pPr>
    </w:p>
    <w:p>
      <w:pPr>
        <w:ind w:left="480" w:hanging="455"/>
        <w:spacing w:after="0"/>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3" w:lineRule="exact"/>
        <w:rPr>
          <w:rFonts w:ascii="MS PGothic" w:cs="MS PGothic" w:eastAsia="MS PGothic" w:hAnsi="MS PGothic"/>
          <w:sz w:val="17"/>
          <w:szCs w:val="17"/>
          <w:color w:val="auto"/>
        </w:rPr>
      </w:pPr>
    </w:p>
    <w:p>
      <w:pPr>
        <w:ind w:left="480" w:hanging="455"/>
        <w:spacing w:after="0"/>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310" w:lineRule="exact"/>
        <w:rPr>
          <w:sz w:val="24"/>
          <w:szCs w:val="24"/>
          <w:color w:val="auto"/>
        </w:rPr>
      </w:pPr>
    </w:p>
    <w:p>
      <w:pPr>
        <w:ind w:left="4040"/>
        <w:spacing w:after="0"/>
        <w:rPr>
          <w:sz w:val="20"/>
          <w:szCs w:val="20"/>
          <w:color w:val="auto"/>
        </w:rPr>
      </w:pPr>
      <w:r>
        <w:rPr>
          <w:rFonts w:ascii="Arial" w:cs="Arial" w:eastAsia="Arial" w:hAnsi="Arial"/>
          <w:sz w:val="37"/>
          <w:szCs w:val="37"/>
          <w:b w:val="1"/>
          <w:bCs w:val="1"/>
          <w:color w:val="auto"/>
        </w:rPr>
        <w:t>ANAPTYSBIO, INC.</w:t>
      </w:r>
    </w:p>
    <w:p>
      <w:pPr>
        <w:spacing w:after="0" w:line="44" w:lineRule="exact"/>
        <w:rPr>
          <w:sz w:val="24"/>
          <w:szCs w:val="24"/>
          <w:color w:val="auto"/>
        </w:rPr>
      </w:pPr>
    </w:p>
    <w:p>
      <w:pPr>
        <w:ind w:left="400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8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N/A</w:t>
      </w:r>
    </w:p>
    <w:p>
      <w:pPr>
        <w:spacing w:after="0" w:line="14" w:lineRule="exact"/>
        <w:rPr>
          <w:sz w:val="24"/>
          <w:szCs w:val="24"/>
          <w:color w:val="auto"/>
        </w:rPr>
      </w:pPr>
    </w:p>
    <w:p>
      <w:pPr>
        <w:ind w:left="36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ectPr>
          <w:pgSz w:w="11900" w:h="16838" w:orient="portrait"/>
          <w:cols w:equalWidth="0" w:num="1">
            <w:col w:w="10219"/>
          </w:cols>
          <w:pgMar w:left="240" w:top="1061"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Payment of Filing Fee (Check the appropriate box):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0" w:hanging="299"/>
        <w:spacing w:after="0"/>
        <w:tabs>
          <w:tab w:leader="none" w:pos="380" w:val="left"/>
        </w:tabs>
        <w:numPr>
          <w:ilvl w:val="0"/>
          <w:numId w:val="4"/>
        </w:numPr>
        <w:rPr>
          <w:rFonts w:ascii="Arial" w:cs="Arial" w:eastAsia="Arial" w:hAnsi="Arial"/>
          <w:sz w:val="15"/>
          <w:szCs w:val="15"/>
          <w:color w:val="auto"/>
        </w:rPr>
      </w:pPr>
      <w:r>
        <w:rPr>
          <w:rFonts w:ascii="Arial" w:cs="Arial" w:eastAsia="Arial" w:hAnsi="Arial"/>
          <w:sz w:val="17"/>
          <w:szCs w:val="17"/>
          <w:color w:val="auto"/>
        </w:rPr>
        <w:t>No fee required.</w:t>
      </w:r>
    </w:p>
    <w:p>
      <w:pPr>
        <w:spacing w:after="0" w:line="304" w:lineRule="exact"/>
        <w:rPr>
          <w:sz w:val="20"/>
          <w:szCs w:val="20"/>
          <w:color w:val="auto"/>
        </w:rPr>
      </w:pPr>
    </w:p>
    <w:p>
      <w:pPr>
        <w:ind w:left="380" w:hanging="355"/>
        <w:spacing w:after="0"/>
        <w:tabs>
          <w:tab w:leader="none" w:pos="3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03" w:lineRule="exact"/>
        <w:rPr>
          <w:rFonts w:ascii="MS PGothic" w:cs="MS PGothic" w:eastAsia="MS PGothic" w:hAnsi="MS PGothic"/>
          <w:sz w:val="17"/>
          <w:szCs w:val="17"/>
          <w:color w:val="auto"/>
        </w:rPr>
      </w:pPr>
    </w:p>
    <w:p>
      <w:pPr>
        <w:ind w:left="1060" w:hanging="673"/>
        <w:spacing w:after="0"/>
        <w:tabs>
          <w:tab w:leader="none" w:pos="10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ind w:left="1060" w:hanging="673"/>
        <w:spacing w:after="0"/>
        <w:tabs>
          <w:tab w:leader="none" w:pos="10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ind w:left="1060" w:hanging="673"/>
        <w:spacing w:after="0" w:line="265" w:lineRule="auto"/>
        <w:tabs>
          <w:tab w:leader="none" w:pos="10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left="1060" w:hanging="673"/>
        <w:spacing w:after="0"/>
        <w:tabs>
          <w:tab w:leader="none" w:pos="10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ind w:left="1060" w:hanging="673"/>
        <w:spacing w:after="0"/>
        <w:tabs>
          <w:tab w:leader="none" w:pos="10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0" w:lineRule="exact"/>
        <w:rPr>
          <w:rFonts w:ascii="Arial" w:cs="Arial" w:eastAsia="Arial" w:hAnsi="Arial"/>
          <w:sz w:val="17"/>
          <w:szCs w:val="17"/>
          <w:color w:val="auto"/>
        </w:rPr>
      </w:pPr>
    </w:p>
    <w:p>
      <w:pPr>
        <w:ind w:left="380" w:hanging="355"/>
        <w:spacing w:after="0"/>
        <w:tabs>
          <w:tab w:leader="none" w:pos="3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0" w:lineRule="exact"/>
        <w:rPr>
          <w:rFonts w:ascii="MS PGothic" w:cs="MS PGothic" w:eastAsia="MS PGothic" w:hAnsi="MS PGothic"/>
          <w:sz w:val="17"/>
          <w:szCs w:val="17"/>
          <w:color w:val="auto"/>
        </w:rPr>
      </w:pPr>
    </w:p>
    <w:p>
      <w:pPr>
        <w:spacing w:after="0" w:line="203" w:lineRule="exact"/>
        <w:rPr>
          <w:rFonts w:ascii="MS PGothic" w:cs="MS PGothic" w:eastAsia="MS PGothic" w:hAnsi="MS PGothic"/>
          <w:sz w:val="17"/>
          <w:szCs w:val="17"/>
          <w:color w:val="auto"/>
        </w:rPr>
      </w:pPr>
    </w:p>
    <w:p>
      <w:pPr>
        <w:ind w:left="380" w:right="40" w:hanging="355"/>
        <w:spacing w:after="0" w:line="265" w:lineRule="auto"/>
        <w:tabs>
          <w:tab w:leader="none" w:pos="3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66" w:lineRule="exact"/>
        <w:rPr>
          <w:rFonts w:ascii="MS PGothic" w:cs="MS PGothic" w:eastAsia="MS PGothic" w:hAnsi="MS PGothic"/>
          <w:sz w:val="17"/>
          <w:szCs w:val="17"/>
          <w:color w:val="auto"/>
        </w:rPr>
      </w:pPr>
    </w:p>
    <w:p>
      <w:pPr>
        <w:ind w:left="1060" w:hanging="673"/>
        <w:spacing w:after="0"/>
        <w:tabs>
          <w:tab w:leader="none" w:pos="10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ind w:left="1060" w:hanging="673"/>
        <w:spacing w:after="0"/>
        <w:tabs>
          <w:tab w:leader="none" w:pos="10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ind w:left="1060" w:hanging="673"/>
        <w:spacing w:after="0"/>
        <w:tabs>
          <w:tab w:leader="none" w:pos="10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ind w:left="1060" w:hanging="673"/>
        <w:spacing w:after="0"/>
        <w:tabs>
          <w:tab w:leader="none" w:pos="106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303530</wp:posOffset>
            </wp:positionV>
            <wp:extent cx="65995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9555" cy="762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-139065</wp:posOffset>
            </wp:positionV>
            <wp:extent cx="65995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9555" cy="762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-582930</wp:posOffset>
            </wp:positionV>
            <wp:extent cx="65995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9555" cy="762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-1026795</wp:posOffset>
            </wp:positionV>
            <wp:extent cx="65995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9555" cy="762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-2571750</wp:posOffset>
            </wp:positionV>
            <wp:extent cx="65995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9555" cy="762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-3014980</wp:posOffset>
            </wp:positionV>
            <wp:extent cx="65995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9555" cy="762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-3458845</wp:posOffset>
            </wp:positionV>
            <wp:extent cx="65995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9555" cy="762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-4029075</wp:posOffset>
            </wp:positionV>
            <wp:extent cx="65995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9555" cy="762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-4472940</wp:posOffset>
            </wp:positionV>
            <wp:extent cx="65995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955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782320</wp:posOffset>
            </wp:positionV>
            <wp:extent cx="728218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ectPr>
          <w:pgSz w:w="11900" w:h="16838" w:orient="portrait"/>
          <w:cols w:equalWidth="0" w:num="1">
            <w:col w:w="10920"/>
          </w:cols>
          <w:pgMar w:left="240" w:top="651" w:right="739" w:bottom="1440" w:gutter="0" w:footer="0" w:header="0"/>
        </w:sectPr>
      </w:pPr>
    </w:p>
    <w:bookmarkStart w:id="2" w:name="page3"/>
    <w:bookmarkEnd w:id="2"/>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3162935</wp:posOffset>
            </wp:positionH>
            <wp:positionV relativeFrom="page">
              <wp:posOffset>231775</wp:posOffset>
            </wp:positionV>
            <wp:extent cx="1243965" cy="387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43965" cy="387985"/>
                    </a:xfrm>
                    <a:prstGeom prst="rect">
                      <a:avLst/>
                    </a:prstGeom>
                    <a:noFill/>
                  </pic:spPr>
                </pic:pic>
              </a:graphicData>
            </a:graphic>
          </wp:anchor>
        </w:drawing>
        <w:t>April 26, 2019</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10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You are cordially invited to attend the 2019 Annual Meeting of Stockholders of AnaptysBio, Inc. to be held at AnaptysBio’s corporate office at 10455 Pacific Center Court, Suite 200, San Diego, CA 92121, on Tuesday, June 11, 2019 at 9:00 a.m. (Pacific Daylight Time).</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April 26, 2019, we expect to mail to stockholders a Notice of Internet Availability of Proxy Materials containing instructions on how to access our proxy statement for our 2019 Annual Meeting of Stockholders and our 2018 annual report on Form 10-K to stockholders. The Notice of Internet Availability or Proxy Materials also provides instructions on how to vote through the Internet or by telephone, and includes instructions on how to receive paper copies of the proxy materials by mail, if desired.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matters to be acted upon at the meeting are described in the accompanying notice of annual meeting and 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Your vote is important.</w:t>
      </w:r>
    </w:p>
    <w:p>
      <w:pPr>
        <w:spacing w:after="0" w:line="20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Whether or not you plan to attend the meeting in person, please vote on the Internet or by telephone, or request, sign and return a proxy card to ensure that your shares are represented at the meeting.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4404995</wp:posOffset>
            </wp:positionH>
            <wp:positionV relativeFrom="paragraph">
              <wp:posOffset>168910</wp:posOffset>
            </wp:positionV>
            <wp:extent cx="736600" cy="546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6600" cy="54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Hamza Suria</w:t>
      </w:r>
    </w:p>
    <w:p>
      <w:pPr>
        <w:spacing w:after="0" w:line="54"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1163" w:right="239" w:bottom="1440" w:gutter="0" w:footer="0" w:header="0"/>
        </w:sectPr>
      </w:pPr>
    </w:p>
    <w:bookmarkStart w:id="3" w:name="page4"/>
    <w:bookmarkEnd w:id="3"/>
    <w:p>
      <w:pPr>
        <w:ind w:left="4800"/>
        <w:spacing w:after="0"/>
        <w:rPr>
          <w:sz w:val="20"/>
          <w:szCs w:val="20"/>
          <w:color w:val="auto"/>
        </w:rPr>
      </w:pPr>
      <w:r>
        <w:rPr>
          <w:rFonts w:ascii="Arial" w:cs="Arial" w:eastAsia="Arial" w:hAnsi="Arial"/>
          <w:sz w:val="20"/>
          <w:szCs w:val="20"/>
          <w:b w:val="1"/>
          <w:bCs w:val="1"/>
          <w:color w:val="auto"/>
        </w:rPr>
        <w:t>ANAPTYSBIO,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10421 Pacific Center Court, Suite 200</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28218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To Be Held Tuesday, June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124460</wp:posOffset>
            </wp:positionV>
            <wp:extent cx="728218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To Our Stockholders:</w:t>
      </w:r>
    </w:p>
    <w:p>
      <w:pPr>
        <w:spacing w:after="0" w:line="104"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NOTICE IS HEREBY GIVEN that the 2019 Annual Meeting of Stockholders of AnaptysBio, Inc. will be held at AnaptysBio’s corporate office at 10455 Pacific Center Court, Suite 200, San Diego, California 92121, on Tuesday, June 11, 2019 at 9:00 a.m. (Pacific Daylight Time).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We are holding the meeting for the following purposes, which are more fully described in the accompanying proxy statement:</w:t>
      </w:r>
    </w:p>
    <w:p>
      <w:pPr>
        <w:spacing w:after="0" w:line="116" w:lineRule="exact"/>
        <w:rPr>
          <w:sz w:val="20"/>
          <w:szCs w:val="20"/>
          <w:color w:val="auto"/>
        </w:rPr>
      </w:pPr>
    </w:p>
    <w:p>
      <w:pPr>
        <w:ind w:left="600" w:right="200" w:hanging="301"/>
        <w:spacing w:after="0" w:line="265"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two Class II directors, each to serve three-year terms through the third annual meeting of stockholders following this meeting and until a successor has been elected and qualified or until earlier resignation or removal.</w:t>
      </w:r>
    </w:p>
    <w:p>
      <w:pPr>
        <w:spacing w:after="0" w:line="67" w:lineRule="exact"/>
        <w:rPr>
          <w:rFonts w:ascii="Arial" w:cs="Arial" w:eastAsia="Arial" w:hAnsi="Arial"/>
          <w:sz w:val="17"/>
          <w:szCs w:val="17"/>
          <w:color w:val="auto"/>
        </w:rPr>
      </w:pPr>
    </w:p>
    <w:p>
      <w:pPr>
        <w:ind w:left="600" w:hanging="301"/>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December 31, 2019.</w:t>
      </w:r>
    </w:p>
    <w:p>
      <w:pPr>
        <w:spacing w:after="0" w:line="103" w:lineRule="exact"/>
        <w:rPr>
          <w:rFonts w:ascii="Arial" w:cs="Arial" w:eastAsia="Arial" w:hAnsi="Arial"/>
          <w:sz w:val="17"/>
          <w:szCs w:val="17"/>
          <w:color w:val="auto"/>
        </w:rPr>
      </w:pPr>
    </w:p>
    <w:p>
      <w:pPr>
        <w:ind w:left="600" w:hanging="301"/>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conduct a non-binding advisory vote on the compensation of our named executive officers as disclosed in the accompanying materials.</w:t>
      </w:r>
    </w:p>
    <w:p>
      <w:pPr>
        <w:spacing w:after="0" w:line="103" w:lineRule="exact"/>
        <w:rPr>
          <w:rFonts w:ascii="Arial" w:cs="Arial" w:eastAsia="Arial" w:hAnsi="Arial"/>
          <w:sz w:val="17"/>
          <w:szCs w:val="17"/>
          <w:color w:val="auto"/>
        </w:rPr>
      </w:pPr>
    </w:p>
    <w:p>
      <w:pPr>
        <w:ind w:left="600" w:hanging="301"/>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conduct a non-binding advisory vote on the frequency of holding future advisory votes on named executive officer compensation.</w:t>
      </w:r>
    </w:p>
    <w:p>
      <w:pPr>
        <w:spacing w:after="0" w:line="304"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In addition, stockholders may be asked to consider and vote upon such other business as may properly come before the meeting or any adjournment or postponement thereof.</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Only stockholders of record at the close of business on April 18, 2019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Your vote as an AnaptysBio, Inc. stockholder is very important. Each share of stock that you own represents one vote.</w:t>
      </w:r>
    </w:p>
    <w:p>
      <w:pPr>
        <w:spacing w:after="0" w:line="204"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42545</wp:posOffset>
            </wp:positionV>
            <wp:extent cx="1307465" cy="483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7465" cy="48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Dr. James Topper</w:t>
      </w:r>
    </w:p>
    <w:p>
      <w:pPr>
        <w:spacing w:after="0" w:line="17" w:lineRule="exact"/>
        <w:rPr>
          <w:sz w:val="20"/>
          <w:szCs w:val="20"/>
          <w:color w:val="auto"/>
        </w:rPr>
      </w:pPr>
    </w:p>
    <w:p>
      <w:pPr>
        <w:ind w:left="7340"/>
        <w:spacing w:after="0"/>
        <w:rPr>
          <w:sz w:val="20"/>
          <w:szCs w:val="20"/>
          <w:color w:val="auto"/>
        </w:rPr>
      </w:pPr>
      <w:r>
        <w:rPr>
          <w:rFonts w:ascii="Arial" w:cs="Arial" w:eastAsia="Arial" w:hAnsi="Arial"/>
          <w:sz w:val="17"/>
          <w:szCs w:val="17"/>
          <w:color w:val="auto"/>
        </w:rPr>
        <w:t>Chairman of the Board of Directors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April 26, 2019</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June 11, 2019: the Proxy Statement and our Annual Report on Form 10-K for the fiscal year ended December 31, 2018 are available at http://ir.anaptysbio.com.</w:t>
      </w:r>
    </w:p>
    <w:p>
      <w:pPr>
        <w:sectPr>
          <w:pgSz w:w="11900" w:h="16838" w:orient="portrait"/>
          <w:cols w:equalWidth="0" w:num="1">
            <w:col w:w="11380"/>
          </w:cols>
          <w:pgMar w:left="240" w:top="351" w:right="27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7"/>
          <w:szCs w:val="17"/>
          <w:b w:val="1"/>
          <w:bCs w:val="1"/>
          <w:color w:val="auto"/>
        </w:rPr>
        <w:t>ANAPTYSBIO, INC.</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PROXY STATEMENT FOR 2019 ANNUAL MEETING OF STOCKHOLDERS</w:t>
      </w:r>
    </w:p>
    <w:p>
      <w:pPr>
        <w:spacing w:after="0" w:line="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TABLE OF CONTENTS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0000EE"/>
            </w:tcBorders>
            <w:gridSpan w:val="10"/>
          </w:tcPr>
          <w:p>
            <w:pPr>
              <w:spacing w:after="0"/>
              <w:rPr>
                <w:rFonts w:ascii="Arial" w:cs="Arial" w:eastAsia="Arial" w:hAnsi="Arial"/>
                <w:sz w:val="17"/>
                <w:szCs w:val="17"/>
                <w:color w:val="0000EE"/>
                <w:w w:val="95"/>
              </w:rPr>
            </w:pPr>
            <w:hyperlink w:anchor="page6">
              <w:r>
                <w:rPr>
                  <w:rFonts w:ascii="Arial" w:cs="Arial" w:eastAsia="Arial" w:hAnsi="Arial"/>
                  <w:sz w:val="17"/>
                  <w:szCs w:val="17"/>
                  <w:color w:val="0000EE"/>
                  <w:w w:val="95"/>
                </w:rPr>
                <w:t>INFORMATION ABOUT SOLICITATION AND VOTING</w:t>
              </w:r>
            </w:hyperlink>
          </w:p>
        </w:tc>
        <w:tc>
          <w:tcPr>
            <w:tcW w:w="6820" w:type="dxa"/>
            <w:vAlign w:val="bottom"/>
            <w:gridSpan w:val="8"/>
          </w:tcPr>
          <w:p>
            <w:pPr>
              <w:spacing w:after="0"/>
              <w:rPr>
                <w:sz w:val="16"/>
                <w:szCs w:val="16"/>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40" w:type="dxa"/>
            <w:vAlign w:val="bottom"/>
          </w:tcPr>
          <w:p>
            <w:pPr>
              <w:spacing w:after="0"/>
              <w:rPr>
                <w:sz w:val="16"/>
                <w:szCs w:val="16"/>
                <w:color w:val="auto"/>
              </w:rPr>
            </w:pPr>
          </w:p>
        </w:tc>
      </w:tr>
      <w:tr>
        <w:trPr>
          <w:trHeight w:val="230"/>
        </w:trPr>
        <w:tc>
          <w:tcPr>
            <w:tcW w:w="3820" w:type="dxa"/>
            <w:vAlign w:val="bottom"/>
            <w:tcBorders>
              <w:bottom w:val="single" w:sz="8" w:color="0000EE"/>
            </w:tcBorders>
            <w:gridSpan w:val="9"/>
          </w:tcPr>
          <w:p>
            <w:pPr>
              <w:spacing w:after="0"/>
              <w:rPr>
                <w:rFonts w:ascii="Arial" w:cs="Arial" w:eastAsia="Arial" w:hAnsi="Arial"/>
                <w:sz w:val="17"/>
                <w:szCs w:val="17"/>
                <w:color w:val="0000EE"/>
                <w:w w:val="96"/>
              </w:rPr>
            </w:pPr>
            <w:hyperlink w:anchor="page6">
              <w:r>
                <w:rPr>
                  <w:rFonts w:ascii="Arial" w:cs="Arial" w:eastAsia="Arial" w:hAnsi="Arial"/>
                  <w:sz w:val="17"/>
                  <w:szCs w:val="17"/>
                  <w:color w:val="0000EE"/>
                  <w:w w:val="96"/>
                </w:rPr>
                <w:t>INTERNET AVAILABILITY OF PROXY MATERIALS</w:t>
              </w:r>
            </w:hyperlink>
          </w:p>
        </w:tc>
        <w:tc>
          <w:tcPr>
            <w:tcW w:w="7000" w:type="dxa"/>
            <w:vAlign w:val="bottom"/>
            <w:gridSpan w:val="9"/>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40" w:type="dxa"/>
            <w:vAlign w:val="bottom"/>
          </w:tcPr>
          <w:p>
            <w:pPr>
              <w:spacing w:after="0"/>
              <w:rPr>
                <w:sz w:val="19"/>
                <w:szCs w:val="19"/>
                <w:color w:val="auto"/>
              </w:rPr>
            </w:pPr>
          </w:p>
        </w:tc>
      </w:tr>
      <w:tr>
        <w:trPr>
          <w:trHeight w:val="230"/>
        </w:trPr>
        <w:tc>
          <w:tcPr>
            <w:tcW w:w="10820" w:type="dxa"/>
            <w:vAlign w:val="bottom"/>
            <w:gridSpan w:val="1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GENERAL INFORMATION ABOUT THE MEETING</w:t>
              </w:r>
            </w:hyperlink>
          </w:p>
        </w:tc>
        <w:tc>
          <w:tcPr>
            <w:tcW w:w="140" w:type="dxa"/>
            <w:vAlign w:val="bottom"/>
            <w:gridSpan w:val="2"/>
          </w:tcPr>
          <w:p>
            <w:pPr>
              <w:jc w:val="center"/>
              <w:ind w:right="40"/>
              <w:spacing w:after="0"/>
              <w:rPr>
                <w:rFonts w:ascii="Arial" w:cs="Arial" w:eastAsia="Arial" w:hAnsi="Arial"/>
                <w:sz w:val="17"/>
                <w:szCs w:val="17"/>
                <w:color w:val="0000EE"/>
              </w:rPr>
            </w:pPr>
            <w:hyperlink w:anchor="page6">
              <w:r>
                <w:rPr>
                  <w:rFonts w:ascii="Arial" w:cs="Arial" w:eastAsia="Arial" w:hAnsi="Arial"/>
                  <w:sz w:val="17"/>
                  <w:szCs w:val="17"/>
                  <w:color w:val="0000EE"/>
                </w:rPr>
                <w:t>1</w:t>
              </w:r>
            </w:hyperlink>
          </w:p>
        </w:tc>
      </w:tr>
      <w:tr>
        <w:trPr>
          <w:trHeight w:val="230"/>
        </w:trPr>
        <w:tc>
          <w:tcPr>
            <w:tcW w:w="256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4"/>
              </w:rPr>
            </w:pPr>
            <w:hyperlink w:anchor="page7">
              <w:r>
                <w:rPr>
                  <w:rFonts w:ascii="Arial" w:cs="Arial" w:eastAsia="Arial" w:hAnsi="Arial"/>
                  <w:sz w:val="17"/>
                  <w:szCs w:val="17"/>
                  <w:color w:val="0000EE"/>
                  <w:w w:val="94"/>
                </w:rPr>
                <w:t>GENERAL PROXY INFORMATION</w:t>
              </w:r>
            </w:hyperlink>
          </w:p>
        </w:tc>
        <w:tc>
          <w:tcPr>
            <w:tcW w:w="1160" w:type="dxa"/>
            <w:vAlign w:val="bottom"/>
            <w:tcBorders>
              <w:top w:val="single" w:sz="8" w:color="0000EE"/>
            </w:tcBorders>
            <w:gridSpan w:val="4"/>
          </w:tcPr>
          <w:p>
            <w:pPr>
              <w:spacing w:after="0"/>
              <w:rPr>
                <w:sz w:val="19"/>
                <w:szCs w:val="19"/>
                <w:color w:val="auto"/>
              </w:rPr>
            </w:pPr>
          </w:p>
        </w:tc>
        <w:tc>
          <w:tcPr>
            <w:tcW w:w="7100" w:type="dxa"/>
            <w:vAlign w:val="bottom"/>
            <w:gridSpan w:val="10"/>
          </w:tcPr>
          <w:p>
            <w:pPr>
              <w:spacing w:after="0"/>
              <w:rPr>
                <w:sz w:val="19"/>
                <w:szCs w:val="19"/>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rPr>
            </w:pPr>
            <w:hyperlink w:anchor="page7">
              <w:r>
                <w:rPr>
                  <w:rFonts w:ascii="Arial" w:cs="Arial" w:eastAsia="Arial" w:hAnsi="Arial"/>
                  <w:sz w:val="17"/>
                  <w:szCs w:val="17"/>
                  <w:color w:val="0000EE"/>
                </w:rPr>
                <w:t>2</w:t>
              </w:r>
            </w:hyperlink>
          </w:p>
        </w:tc>
        <w:tc>
          <w:tcPr>
            <w:tcW w:w="40" w:type="dxa"/>
            <w:vAlign w:val="bottom"/>
          </w:tcPr>
          <w:p>
            <w:pPr>
              <w:spacing w:after="0"/>
              <w:rPr>
                <w:sz w:val="19"/>
                <w:szCs w:val="19"/>
                <w:color w:val="auto"/>
              </w:rPr>
            </w:pPr>
          </w:p>
        </w:tc>
      </w:tr>
      <w:tr>
        <w:trPr>
          <w:trHeight w:val="230"/>
        </w:trPr>
        <w:tc>
          <w:tcPr>
            <w:tcW w:w="5760" w:type="dxa"/>
            <w:vAlign w:val="bottom"/>
            <w:tcBorders>
              <w:bottom w:val="single" w:sz="8" w:color="0000EE"/>
            </w:tcBorders>
            <w:gridSpan w:val="13"/>
          </w:tcPr>
          <w:p>
            <w:pPr>
              <w:spacing w:after="0"/>
              <w:rPr>
                <w:rFonts w:ascii="Arial" w:cs="Arial" w:eastAsia="Arial" w:hAnsi="Arial"/>
                <w:sz w:val="17"/>
                <w:szCs w:val="17"/>
                <w:color w:val="0000EE"/>
                <w:w w:val="93"/>
              </w:rPr>
            </w:pPr>
            <w:hyperlink w:anchor="page10">
              <w:r>
                <w:rPr>
                  <w:rFonts w:ascii="Arial" w:cs="Arial" w:eastAsia="Arial" w:hAnsi="Arial"/>
                  <w:sz w:val="17"/>
                  <w:szCs w:val="17"/>
                  <w:color w:val="0000EE"/>
                  <w:w w:val="93"/>
                </w:rPr>
                <w:t>CORPORATE GOVERNANCE STANDARDS AND DIRECTOR INDEPENDENCE</w:t>
              </w:r>
            </w:hyperlink>
          </w:p>
        </w:tc>
        <w:tc>
          <w:tcPr>
            <w:tcW w:w="5060" w:type="dxa"/>
            <w:vAlign w:val="bottom"/>
            <w:gridSpan w:val="5"/>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10">
              <w:r>
                <w:rPr>
                  <w:rFonts w:ascii="Arial" w:cs="Arial" w:eastAsia="Arial" w:hAnsi="Arial"/>
                  <w:sz w:val="17"/>
                  <w:szCs w:val="17"/>
                  <w:color w:val="0000EE"/>
                </w:rPr>
                <w:t>5</w:t>
              </w:r>
            </w:hyperlink>
          </w:p>
        </w:tc>
        <w:tc>
          <w:tcPr>
            <w:tcW w:w="40" w:type="dxa"/>
            <w:vAlign w:val="bottom"/>
          </w:tcPr>
          <w:p>
            <w:pPr>
              <w:spacing w:after="0"/>
              <w:rPr>
                <w:sz w:val="19"/>
                <w:szCs w:val="19"/>
                <w:color w:val="auto"/>
              </w:rPr>
            </w:pPr>
          </w:p>
        </w:tc>
      </w:tr>
      <w:tr>
        <w:trPr>
          <w:trHeight w:val="230"/>
        </w:trPr>
        <w:tc>
          <w:tcPr>
            <w:tcW w:w="4080" w:type="dxa"/>
            <w:vAlign w:val="bottom"/>
            <w:tcBorders>
              <w:bottom w:val="single" w:sz="8" w:color="0000EE"/>
            </w:tcBorders>
            <w:gridSpan w:val="11"/>
          </w:tcPr>
          <w:p>
            <w:pPr>
              <w:spacing w:after="0"/>
              <w:rPr>
                <w:rFonts w:ascii="Arial" w:cs="Arial" w:eastAsia="Arial" w:hAnsi="Arial"/>
                <w:sz w:val="17"/>
                <w:szCs w:val="17"/>
                <w:color w:val="0000EE"/>
                <w:w w:val="92"/>
              </w:rPr>
            </w:pPr>
            <w:hyperlink w:anchor="page14">
              <w:r>
                <w:rPr>
                  <w:rFonts w:ascii="Arial" w:cs="Arial" w:eastAsia="Arial" w:hAnsi="Arial"/>
                  <w:sz w:val="17"/>
                  <w:szCs w:val="17"/>
                  <w:color w:val="0000EE"/>
                  <w:w w:val="92"/>
                </w:rPr>
                <w:t>PROPOSAL NO. 1 ELECTION OF CLASS II DIRECTORS</w:t>
              </w:r>
            </w:hyperlink>
          </w:p>
        </w:tc>
        <w:tc>
          <w:tcPr>
            <w:tcW w:w="6740" w:type="dxa"/>
            <w:vAlign w:val="bottom"/>
            <w:gridSpan w:val="7"/>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14">
              <w:r>
                <w:rPr>
                  <w:rFonts w:ascii="Arial" w:cs="Arial" w:eastAsia="Arial" w:hAnsi="Arial"/>
                  <w:sz w:val="17"/>
                  <w:szCs w:val="17"/>
                  <w:color w:val="0000EE"/>
                </w:rPr>
                <w:t>9</w:t>
              </w:r>
            </w:hyperlink>
          </w:p>
        </w:tc>
        <w:tc>
          <w:tcPr>
            <w:tcW w:w="40" w:type="dxa"/>
            <w:vAlign w:val="bottom"/>
          </w:tcPr>
          <w:p>
            <w:pPr>
              <w:spacing w:after="0"/>
              <w:rPr>
                <w:sz w:val="19"/>
                <w:szCs w:val="19"/>
                <w:color w:val="auto"/>
              </w:rPr>
            </w:pPr>
          </w:p>
        </w:tc>
      </w:tr>
      <w:tr>
        <w:trPr>
          <w:trHeight w:val="230"/>
        </w:trPr>
        <w:tc>
          <w:tcPr>
            <w:tcW w:w="10820" w:type="dxa"/>
            <w:vAlign w:val="bottom"/>
            <w:gridSpan w:val="18"/>
          </w:tcPr>
          <w:p>
            <w:pPr>
              <w:spacing w:after="0"/>
              <w:rPr>
                <w:rFonts w:ascii="Arial" w:cs="Arial" w:eastAsia="Arial" w:hAnsi="Arial"/>
                <w:sz w:val="17"/>
                <w:szCs w:val="17"/>
                <w:color w:val="0000EE"/>
              </w:rPr>
            </w:pPr>
            <w:hyperlink w:anchor="page18">
              <w:r>
                <w:rPr>
                  <w:rFonts w:ascii="Arial" w:cs="Arial" w:eastAsia="Arial" w:hAnsi="Arial"/>
                  <w:sz w:val="17"/>
                  <w:szCs w:val="17"/>
                  <w:color w:val="0000EE"/>
                </w:rPr>
                <w:t>PROPOSAL NO. 2 RATIFICATION OF INDEPENDENT REGISTERED PUBLIC ACCOUNTING FIRM</w:t>
              </w:r>
            </w:hyperlink>
          </w:p>
        </w:tc>
        <w:tc>
          <w:tcPr>
            <w:tcW w:w="140" w:type="dxa"/>
            <w:vAlign w:val="bottom"/>
            <w:gridSpan w:val="2"/>
          </w:tcPr>
          <w:p>
            <w:pPr>
              <w:jc w:val="center"/>
              <w:spacing w:after="0"/>
              <w:rPr>
                <w:rFonts w:ascii="Arial" w:cs="Arial" w:eastAsia="Arial" w:hAnsi="Arial"/>
                <w:sz w:val="17"/>
                <w:szCs w:val="17"/>
                <w:color w:val="0000EE"/>
                <w:w w:val="73"/>
              </w:rPr>
            </w:pPr>
            <w:hyperlink w:anchor="page18">
              <w:r>
                <w:rPr>
                  <w:rFonts w:ascii="Arial" w:cs="Arial" w:eastAsia="Arial" w:hAnsi="Arial"/>
                  <w:sz w:val="17"/>
                  <w:szCs w:val="17"/>
                  <w:color w:val="0000EE"/>
                  <w:w w:val="73"/>
                </w:rPr>
                <w:t>13</w:t>
              </w:r>
            </w:hyperlink>
          </w:p>
        </w:tc>
      </w:tr>
      <w:tr>
        <w:trPr>
          <w:trHeight w:val="20"/>
        </w:trPr>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30"/>
        </w:trPr>
        <w:tc>
          <w:tcPr>
            <w:tcW w:w="10820" w:type="dxa"/>
            <w:vAlign w:val="bottom"/>
            <w:gridSpan w:val="18"/>
          </w:tcPr>
          <w:p>
            <w:pPr>
              <w:spacing w:after="0"/>
              <w:rPr>
                <w:rFonts w:ascii="Arial" w:cs="Arial" w:eastAsia="Arial" w:hAnsi="Arial"/>
                <w:sz w:val="17"/>
                <w:szCs w:val="17"/>
                <w:color w:val="0000EE"/>
              </w:rPr>
            </w:pPr>
            <w:hyperlink w:anchor="page19">
              <w:r>
                <w:rPr>
                  <w:rFonts w:ascii="Arial" w:cs="Arial" w:eastAsia="Arial" w:hAnsi="Arial"/>
                  <w:sz w:val="17"/>
                  <w:szCs w:val="17"/>
                  <w:color w:val="0000EE"/>
                </w:rPr>
                <w:t>PROPOSAL NO. 3 NON-BINDING ADVISORY VOTE ON COMPENSATION OF OUR NAMED EXECUTIVE OFFICERS</w:t>
              </w:r>
            </w:hyperlink>
          </w:p>
        </w:tc>
        <w:tc>
          <w:tcPr>
            <w:tcW w:w="140" w:type="dxa"/>
            <w:vAlign w:val="bottom"/>
            <w:gridSpan w:val="2"/>
          </w:tcPr>
          <w:p>
            <w:pPr>
              <w:jc w:val="center"/>
              <w:spacing w:after="0"/>
              <w:rPr>
                <w:rFonts w:ascii="Arial" w:cs="Arial" w:eastAsia="Arial" w:hAnsi="Arial"/>
                <w:sz w:val="17"/>
                <w:szCs w:val="17"/>
                <w:color w:val="0000EE"/>
                <w:w w:val="73"/>
              </w:rPr>
            </w:pPr>
            <w:hyperlink w:anchor="page19">
              <w:r>
                <w:rPr>
                  <w:rFonts w:ascii="Arial" w:cs="Arial" w:eastAsia="Arial" w:hAnsi="Arial"/>
                  <w:sz w:val="17"/>
                  <w:szCs w:val="17"/>
                  <w:color w:val="0000EE"/>
                  <w:w w:val="73"/>
                </w:rPr>
                <w:t>14</w:t>
              </w:r>
            </w:hyperlink>
          </w:p>
        </w:tc>
      </w:tr>
      <w:tr>
        <w:trPr>
          <w:trHeight w:val="20"/>
        </w:trPr>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30"/>
        </w:trPr>
        <w:tc>
          <w:tcPr>
            <w:tcW w:w="10820" w:type="dxa"/>
            <w:vAlign w:val="bottom"/>
            <w:gridSpan w:val="18"/>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PROPOSAL NO. 4 NON-BINDING ADVISORY VOTE ON THE FREQUENCY OF HOLDING FUTURE ADVISORY VOTES REGARDING</w:t>
              </w:r>
            </w:hyperlink>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0"/>
        </w:trPr>
        <w:tc>
          <w:tcPr>
            <w:tcW w:w="9740" w:type="dxa"/>
            <w:vAlign w:val="bottom"/>
            <w:tcBorders>
              <w:top w:val="single" w:sz="8" w:color="0000EE"/>
            </w:tcBorders>
            <w:gridSpan w:val="17"/>
          </w:tcPr>
          <w:p>
            <w:pPr>
              <w:spacing w:after="0" w:line="180" w:lineRule="exact"/>
              <w:rPr>
                <w:rFonts w:ascii="Arial" w:cs="Arial" w:eastAsia="Arial" w:hAnsi="Arial"/>
                <w:sz w:val="17"/>
                <w:szCs w:val="17"/>
                <w:color w:val="0000EE"/>
              </w:rPr>
            </w:pPr>
            <w:hyperlink w:anchor="page20">
              <w:r>
                <w:rPr>
                  <w:rFonts w:ascii="Arial" w:cs="Arial" w:eastAsia="Arial" w:hAnsi="Arial"/>
                  <w:sz w:val="17"/>
                  <w:szCs w:val="17"/>
                  <w:color w:val="0000EE"/>
                </w:rPr>
                <w:t>NAMED EXECUTIVE OFFICER COMPENSATION</w:t>
              </w:r>
            </w:hyperlink>
          </w:p>
        </w:tc>
        <w:tc>
          <w:tcPr>
            <w:tcW w:w="1080" w:type="dxa"/>
            <w:vAlign w:val="bottom"/>
          </w:tcPr>
          <w:p>
            <w:pPr>
              <w:spacing w:after="0"/>
              <w:rPr>
                <w:sz w:val="15"/>
                <w:szCs w:val="15"/>
                <w:color w:val="auto"/>
              </w:rPr>
            </w:pPr>
          </w:p>
        </w:tc>
        <w:tc>
          <w:tcPr>
            <w:tcW w:w="140" w:type="dxa"/>
            <w:vAlign w:val="bottom"/>
            <w:gridSpan w:val="2"/>
          </w:tcPr>
          <w:p>
            <w:pPr>
              <w:jc w:val="center"/>
              <w:spacing w:after="0" w:line="180" w:lineRule="exact"/>
              <w:rPr>
                <w:rFonts w:ascii="Arial" w:cs="Arial" w:eastAsia="Arial" w:hAnsi="Arial"/>
                <w:sz w:val="17"/>
                <w:szCs w:val="17"/>
                <w:color w:val="0000EE"/>
                <w:w w:val="73"/>
              </w:rPr>
            </w:pPr>
            <w:hyperlink w:anchor="page20">
              <w:r>
                <w:rPr>
                  <w:rFonts w:ascii="Arial" w:cs="Arial" w:eastAsia="Arial" w:hAnsi="Arial"/>
                  <w:sz w:val="17"/>
                  <w:szCs w:val="17"/>
                  <w:color w:val="0000EE"/>
                  <w:w w:val="73"/>
                </w:rPr>
                <w:t>15</w:t>
              </w:r>
            </w:hyperlink>
          </w:p>
        </w:tc>
      </w:tr>
      <w:tr>
        <w:trPr>
          <w:trHeight w:val="230"/>
        </w:trPr>
        <w:tc>
          <w:tcPr>
            <w:tcW w:w="3620" w:type="dxa"/>
            <w:vAlign w:val="bottom"/>
            <w:tcBorders>
              <w:top w:val="single" w:sz="8" w:color="0000EE"/>
            </w:tcBorders>
            <w:gridSpan w:val="7"/>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REPORT OF THE AUDIT COMMITTEE</w:t>
              </w:r>
            </w:hyperlink>
          </w:p>
        </w:tc>
        <w:tc>
          <w:tcPr>
            <w:tcW w:w="7200" w:type="dxa"/>
            <w:vAlign w:val="bottom"/>
            <w:gridSpan w:val="11"/>
          </w:tcPr>
          <w:p>
            <w:pPr>
              <w:spacing w:after="0"/>
              <w:rPr>
                <w:sz w:val="19"/>
                <w:szCs w:val="19"/>
                <w:color w:val="auto"/>
              </w:rPr>
            </w:pPr>
          </w:p>
        </w:tc>
        <w:tc>
          <w:tcPr>
            <w:tcW w:w="140" w:type="dxa"/>
            <w:vAlign w:val="bottom"/>
            <w:tcBorders>
              <w:top w:val="single" w:sz="8" w:color="0000EE"/>
            </w:tcBorders>
            <w:gridSpan w:val="2"/>
          </w:tcPr>
          <w:p>
            <w:pPr>
              <w:jc w:val="center"/>
              <w:spacing w:after="0"/>
              <w:rPr>
                <w:rFonts w:ascii="Arial" w:cs="Arial" w:eastAsia="Arial" w:hAnsi="Arial"/>
                <w:sz w:val="17"/>
                <w:szCs w:val="17"/>
                <w:color w:val="0000EE"/>
                <w:w w:val="73"/>
              </w:rPr>
            </w:pPr>
            <w:hyperlink w:anchor="page21">
              <w:r>
                <w:rPr>
                  <w:rFonts w:ascii="Arial" w:cs="Arial" w:eastAsia="Arial" w:hAnsi="Arial"/>
                  <w:sz w:val="17"/>
                  <w:szCs w:val="17"/>
                  <w:color w:val="0000EE"/>
                  <w:w w:val="73"/>
                </w:rPr>
                <w:t>16</w:t>
              </w:r>
            </w:hyperlink>
          </w:p>
        </w:tc>
      </w:tr>
      <w:tr>
        <w:trPr>
          <w:trHeight w:val="20"/>
        </w:trPr>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620" w:type="dxa"/>
            <w:vAlign w:val="bottom"/>
            <w:tcBorders>
              <w:right w:val="single" w:sz="8" w:color="0000EE"/>
            </w:tcBorders>
            <w:gridSpan w:val="4"/>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30"/>
        </w:trPr>
        <w:tc>
          <w:tcPr>
            <w:tcW w:w="10820" w:type="dxa"/>
            <w:vAlign w:val="bottom"/>
            <w:gridSpan w:val="18"/>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SECURITY OWNERSHIP OF CERTAIN BENEFICIAL OWNERS AND MANAGEMENT</w:t>
              </w:r>
            </w:hyperlink>
          </w:p>
        </w:tc>
        <w:tc>
          <w:tcPr>
            <w:tcW w:w="140" w:type="dxa"/>
            <w:vAlign w:val="bottom"/>
            <w:gridSpan w:val="2"/>
          </w:tcPr>
          <w:p>
            <w:pPr>
              <w:jc w:val="center"/>
              <w:spacing w:after="0"/>
              <w:rPr>
                <w:rFonts w:ascii="Arial" w:cs="Arial" w:eastAsia="Arial" w:hAnsi="Arial"/>
                <w:sz w:val="17"/>
                <w:szCs w:val="17"/>
                <w:color w:val="0000EE"/>
                <w:w w:val="73"/>
              </w:rPr>
            </w:pPr>
            <w:hyperlink w:anchor="page22">
              <w:r>
                <w:rPr>
                  <w:rFonts w:ascii="Arial" w:cs="Arial" w:eastAsia="Arial" w:hAnsi="Arial"/>
                  <w:sz w:val="17"/>
                  <w:szCs w:val="17"/>
                  <w:color w:val="0000EE"/>
                  <w:w w:val="73"/>
                </w:rPr>
                <w:t>17</w:t>
              </w:r>
            </w:hyperlink>
          </w:p>
        </w:tc>
      </w:tr>
      <w:tr>
        <w:trPr>
          <w:trHeight w:val="230"/>
        </w:trPr>
        <w:tc>
          <w:tcPr>
            <w:tcW w:w="6200" w:type="dxa"/>
            <w:vAlign w:val="bottom"/>
            <w:tcBorders>
              <w:top w:val="single" w:sz="8" w:color="0000EE"/>
            </w:tcBorders>
            <w:gridSpan w:val="14"/>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EXECUTIVE OFFICERS</w:t>
              </w:r>
            </w:hyperlink>
          </w:p>
        </w:tc>
        <w:tc>
          <w:tcPr>
            <w:tcW w:w="4620" w:type="dxa"/>
            <w:vAlign w:val="bottom"/>
            <w:gridSpan w:val="4"/>
          </w:tcPr>
          <w:p>
            <w:pPr>
              <w:spacing w:after="0"/>
              <w:rPr>
                <w:sz w:val="19"/>
                <w:szCs w:val="19"/>
                <w:color w:val="auto"/>
              </w:rPr>
            </w:pPr>
          </w:p>
        </w:tc>
        <w:tc>
          <w:tcPr>
            <w:tcW w:w="140" w:type="dxa"/>
            <w:vAlign w:val="bottom"/>
            <w:tcBorders>
              <w:top w:val="single" w:sz="8" w:color="0000EE"/>
            </w:tcBorders>
            <w:gridSpan w:val="2"/>
          </w:tcPr>
          <w:p>
            <w:pPr>
              <w:jc w:val="center"/>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19</w:t>
              </w:r>
            </w:hyperlink>
          </w:p>
        </w:tc>
      </w:tr>
      <w:tr>
        <w:trPr>
          <w:trHeight w:val="20"/>
        </w:trPr>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5760" w:type="dxa"/>
            <w:vAlign w:val="bottom"/>
            <w:tcBorders>
              <w:right w:val="single" w:sz="8" w:color="0000EE"/>
            </w:tcBorders>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30"/>
        </w:trPr>
        <w:tc>
          <w:tcPr>
            <w:tcW w:w="10820" w:type="dxa"/>
            <w:vAlign w:val="bottom"/>
            <w:gridSpan w:val="18"/>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EXECUTIVE COMPENSATION</w:t>
              </w:r>
            </w:hyperlink>
          </w:p>
        </w:tc>
        <w:tc>
          <w:tcPr>
            <w:tcW w:w="140" w:type="dxa"/>
            <w:vAlign w:val="bottom"/>
            <w:gridSpan w:val="2"/>
          </w:tcPr>
          <w:p>
            <w:pPr>
              <w:jc w:val="center"/>
              <w:spacing w:after="0"/>
              <w:rPr>
                <w:rFonts w:ascii="Arial" w:cs="Arial" w:eastAsia="Arial" w:hAnsi="Arial"/>
                <w:sz w:val="17"/>
                <w:szCs w:val="17"/>
                <w:color w:val="0000EE"/>
                <w:w w:val="73"/>
              </w:rPr>
            </w:pPr>
            <w:hyperlink w:anchor="page25">
              <w:r>
                <w:rPr>
                  <w:rFonts w:ascii="Arial" w:cs="Arial" w:eastAsia="Arial" w:hAnsi="Arial"/>
                  <w:sz w:val="17"/>
                  <w:szCs w:val="17"/>
                  <w:color w:val="0000EE"/>
                  <w:w w:val="73"/>
                </w:rPr>
                <w:t>20</w:t>
              </w:r>
            </w:hyperlink>
          </w:p>
        </w:tc>
      </w:tr>
      <w:tr>
        <w:trPr>
          <w:trHeight w:val="20"/>
        </w:trPr>
        <w:tc>
          <w:tcPr>
            <w:tcW w:w="13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5760" w:type="dxa"/>
            <w:vAlign w:val="bottom"/>
            <w:tcBorders>
              <w:right w:val="single" w:sz="8" w:color="0000EE"/>
            </w:tcBorders>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30"/>
        </w:trPr>
        <w:tc>
          <w:tcPr>
            <w:tcW w:w="3600" w:type="dxa"/>
            <w:vAlign w:val="bottom"/>
            <w:tcBorders>
              <w:bottom w:val="single" w:sz="8" w:color="0000EE"/>
            </w:tcBorders>
            <w:gridSpan w:val="6"/>
          </w:tcPr>
          <w:p>
            <w:pPr>
              <w:spacing w:after="0"/>
              <w:rPr>
                <w:rFonts w:ascii="Arial" w:cs="Arial" w:eastAsia="Arial" w:hAnsi="Arial"/>
                <w:sz w:val="17"/>
                <w:szCs w:val="17"/>
                <w:color w:val="0000EE"/>
                <w:w w:val="94"/>
              </w:rPr>
            </w:pPr>
            <w:hyperlink w:anchor="page42">
              <w:r>
                <w:rPr>
                  <w:rFonts w:ascii="Arial" w:cs="Arial" w:eastAsia="Arial" w:hAnsi="Arial"/>
                  <w:sz w:val="17"/>
                  <w:szCs w:val="17"/>
                  <w:color w:val="0000EE"/>
                  <w:w w:val="94"/>
                </w:rPr>
                <w:t>EQUITY COMPENSATION PLAN INFORMATION</w:t>
              </w:r>
            </w:hyperlink>
          </w:p>
        </w:tc>
        <w:tc>
          <w:tcPr>
            <w:tcW w:w="7220" w:type="dxa"/>
            <w:vAlign w:val="bottom"/>
            <w:gridSpan w:val="12"/>
          </w:tcPr>
          <w:p>
            <w:pPr>
              <w:spacing w:after="0"/>
              <w:rPr>
                <w:sz w:val="19"/>
                <w:szCs w:val="19"/>
                <w:color w:val="auto"/>
              </w:rPr>
            </w:pPr>
          </w:p>
        </w:tc>
        <w:tc>
          <w:tcPr>
            <w:tcW w:w="140" w:type="dxa"/>
            <w:vAlign w:val="bottom"/>
            <w:tcBorders>
              <w:bottom w:val="single" w:sz="8" w:color="0000EE"/>
            </w:tcBorders>
            <w:gridSpan w:val="2"/>
          </w:tcPr>
          <w:p>
            <w:pPr>
              <w:jc w:val="center"/>
              <w:spacing w:after="0"/>
              <w:rPr>
                <w:rFonts w:ascii="Arial" w:cs="Arial" w:eastAsia="Arial" w:hAnsi="Arial"/>
                <w:sz w:val="17"/>
                <w:szCs w:val="17"/>
                <w:color w:val="0000EE"/>
                <w:w w:val="73"/>
              </w:rPr>
            </w:pPr>
            <w:hyperlink w:anchor="page42">
              <w:r>
                <w:rPr>
                  <w:rFonts w:ascii="Arial" w:cs="Arial" w:eastAsia="Arial" w:hAnsi="Arial"/>
                  <w:sz w:val="17"/>
                  <w:szCs w:val="17"/>
                  <w:color w:val="0000EE"/>
                  <w:w w:val="73"/>
                </w:rPr>
                <w:t>37</w:t>
              </w:r>
            </w:hyperlink>
          </w:p>
        </w:tc>
      </w:tr>
      <w:tr>
        <w:trPr>
          <w:trHeight w:val="230"/>
        </w:trPr>
        <w:tc>
          <w:tcPr>
            <w:tcW w:w="10820" w:type="dxa"/>
            <w:vAlign w:val="bottom"/>
            <w:gridSpan w:val="18"/>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CERTAIN RELATIONSHIPS AND RELATED-PARTY TRANSACTIONS</w:t>
              </w:r>
            </w:hyperlink>
          </w:p>
        </w:tc>
        <w:tc>
          <w:tcPr>
            <w:tcW w:w="140" w:type="dxa"/>
            <w:vAlign w:val="bottom"/>
            <w:gridSpan w:val="2"/>
          </w:tcPr>
          <w:p>
            <w:pPr>
              <w:jc w:val="center"/>
              <w:spacing w:after="0"/>
              <w:rPr>
                <w:rFonts w:ascii="Arial" w:cs="Arial" w:eastAsia="Arial" w:hAnsi="Arial"/>
                <w:sz w:val="17"/>
                <w:szCs w:val="17"/>
                <w:color w:val="0000EE"/>
                <w:w w:val="73"/>
              </w:rPr>
            </w:pPr>
            <w:hyperlink w:anchor="page43">
              <w:r>
                <w:rPr>
                  <w:rFonts w:ascii="Arial" w:cs="Arial" w:eastAsia="Arial" w:hAnsi="Arial"/>
                  <w:sz w:val="17"/>
                  <w:szCs w:val="17"/>
                  <w:color w:val="0000EE"/>
                  <w:w w:val="73"/>
                </w:rPr>
                <w:t>38</w:t>
              </w:r>
            </w:hyperlink>
          </w:p>
        </w:tc>
      </w:tr>
      <w:tr>
        <w:trPr>
          <w:trHeight w:val="230"/>
        </w:trPr>
        <w:tc>
          <w:tcPr>
            <w:tcW w:w="224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7"/>
              </w:rPr>
            </w:pPr>
            <w:hyperlink w:anchor="page44">
              <w:r>
                <w:rPr>
                  <w:rFonts w:ascii="Arial" w:cs="Arial" w:eastAsia="Arial" w:hAnsi="Arial"/>
                  <w:sz w:val="17"/>
                  <w:szCs w:val="17"/>
                  <w:color w:val="0000EE"/>
                  <w:w w:val="97"/>
                </w:rPr>
                <w:t>ADDITIONAL INFORMATION</w:t>
              </w:r>
            </w:hyperlink>
          </w:p>
        </w:tc>
        <w:tc>
          <w:tcPr>
            <w:tcW w:w="2820" w:type="dxa"/>
            <w:vAlign w:val="bottom"/>
            <w:tcBorders>
              <w:top w:val="single" w:sz="8" w:color="0000EE"/>
            </w:tcBorders>
            <w:gridSpan w:val="9"/>
          </w:tcPr>
          <w:p>
            <w:pPr>
              <w:spacing w:after="0"/>
              <w:rPr>
                <w:sz w:val="19"/>
                <w:szCs w:val="19"/>
                <w:color w:val="auto"/>
              </w:rPr>
            </w:pPr>
          </w:p>
        </w:tc>
        <w:tc>
          <w:tcPr>
            <w:tcW w:w="5760" w:type="dxa"/>
            <w:vAlign w:val="bottom"/>
            <w:gridSpan w:val="6"/>
          </w:tcPr>
          <w:p>
            <w:pPr>
              <w:spacing w:after="0"/>
              <w:rPr>
                <w:sz w:val="19"/>
                <w:szCs w:val="19"/>
                <w:color w:val="auto"/>
              </w:rPr>
            </w:pPr>
          </w:p>
        </w:tc>
        <w:tc>
          <w:tcPr>
            <w:tcW w:w="140" w:type="dxa"/>
            <w:vAlign w:val="bottom"/>
            <w:tcBorders>
              <w:top w:val="single" w:sz="8" w:color="0000EE"/>
              <w:bottom w:val="single" w:sz="8" w:color="0000EE"/>
            </w:tcBorders>
            <w:gridSpan w:val="2"/>
          </w:tcPr>
          <w:p>
            <w:pPr>
              <w:jc w:val="center"/>
              <w:spacing w:after="0"/>
              <w:rPr>
                <w:rFonts w:ascii="Arial" w:cs="Arial" w:eastAsia="Arial" w:hAnsi="Arial"/>
                <w:sz w:val="17"/>
                <w:szCs w:val="17"/>
                <w:color w:val="0000EE"/>
                <w:w w:val="73"/>
              </w:rPr>
            </w:pPr>
            <w:hyperlink w:anchor="page44">
              <w:r>
                <w:rPr>
                  <w:rFonts w:ascii="Arial" w:cs="Arial" w:eastAsia="Arial" w:hAnsi="Arial"/>
                  <w:sz w:val="17"/>
                  <w:szCs w:val="17"/>
                  <w:color w:val="0000EE"/>
                  <w:w w:val="73"/>
                </w:rPr>
                <w:t>39</w:t>
              </w:r>
            </w:hyperlink>
          </w:p>
        </w:tc>
      </w:tr>
      <w:tr>
        <w:trPr>
          <w:trHeight w:val="230"/>
        </w:trPr>
        <w:tc>
          <w:tcPr>
            <w:tcW w:w="10820" w:type="dxa"/>
            <w:vAlign w:val="bottom"/>
            <w:gridSpan w:val="18"/>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OTHER MATTERS</w:t>
              </w:r>
            </w:hyperlink>
          </w:p>
        </w:tc>
        <w:tc>
          <w:tcPr>
            <w:tcW w:w="140" w:type="dxa"/>
            <w:vAlign w:val="bottom"/>
            <w:gridSpan w:val="2"/>
          </w:tcPr>
          <w:p>
            <w:pPr>
              <w:jc w:val="center"/>
              <w:spacing w:after="0"/>
              <w:rPr>
                <w:rFonts w:ascii="Arial" w:cs="Arial" w:eastAsia="Arial" w:hAnsi="Arial"/>
                <w:sz w:val="17"/>
                <w:szCs w:val="17"/>
                <w:color w:val="0000EE"/>
                <w:w w:val="73"/>
              </w:rPr>
            </w:pPr>
            <w:hyperlink w:anchor="page46">
              <w:r>
                <w:rPr>
                  <w:rFonts w:ascii="Arial" w:cs="Arial" w:eastAsia="Arial" w:hAnsi="Arial"/>
                  <w:sz w:val="17"/>
                  <w:szCs w:val="17"/>
                  <w:color w:val="0000EE"/>
                  <w:w w:val="73"/>
                </w:rPr>
                <w:t>41</w:t>
              </w:r>
            </w:hyperlink>
          </w:p>
        </w:tc>
      </w:tr>
      <w:tr>
        <w:trPr>
          <w:trHeight w:val="20"/>
        </w:trPr>
        <w:tc>
          <w:tcPr>
            <w:tcW w:w="1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960"/>
          </w:cols>
          <w:pgMar w:left="280" w:top="348" w:right="659" w:bottom="1440" w:gutter="0" w:footer="0" w:header="0"/>
        </w:sectPr>
      </w:pPr>
    </w:p>
    <w:bookmarkStart w:id="5" w:name="page6"/>
    <w:bookmarkEnd w:id="5"/>
    <w:p>
      <w:pPr>
        <w:ind w:left="4800"/>
        <w:spacing w:after="0"/>
        <w:rPr>
          <w:sz w:val="20"/>
          <w:szCs w:val="20"/>
          <w:color w:val="auto"/>
        </w:rPr>
      </w:pPr>
      <w:r>
        <w:rPr>
          <w:rFonts w:ascii="Arial" w:cs="Arial" w:eastAsia="Arial" w:hAnsi="Arial"/>
          <w:sz w:val="20"/>
          <w:szCs w:val="20"/>
          <w:b w:val="1"/>
          <w:bCs w:val="1"/>
          <w:color w:val="auto"/>
        </w:rPr>
        <w:t>ANAPTYSBIO,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10421 Pacific Center Court, Suite 200</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28218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 FOR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213995</wp:posOffset>
            </wp:positionV>
            <wp:extent cx="728218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218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11, 2019</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ABOUT SOLICITATION AND VOTING</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accompanying proxy is solicited on behalf of AnaptysBio, Inc.’s board of directors for use at AnaptysBio’s 2019 Annual Meeting of Stockholders (“Annual Meeting”) to be held at AnaptysBio’s corporate office at 10455 Pacific Center Court, Suite 200, San Diego, California 92121, on Tuesday, June 11, 2019 at 9:00 a.m. (Pacific Daylight Time), and any adjournment or postponement thereof.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INTERNET AVAILABILITY OF PROXY MATERIALS</w:t>
      </w:r>
    </w:p>
    <w:p>
      <w:pPr>
        <w:spacing w:after="0" w:line="308"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Under rules adopted by the Securities and Exchange Commission (SEC), we are furnishing proxy materials to our stockholders primarily via the Internet, instead of mailing printed copies to each stockholder. On or about April 26, 2019,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spacing w:after="0" w:line="167" w:lineRule="exact"/>
        <w:rPr>
          <w:sz w:val="20"/>
          <w:szCs w:val="20"/>
          <w:color w:val="auto"/>
        </w:rPr>
      </w:pPr>
    </w:p>
    <w:p>
      <w:pPr>
        <w:jc w:val="both"/>
        <w:ind w:right="400"/>
        <w:spacing w:after="0" w:line="255" w:lineRule="auto"/>
        <w:rPr>
          <w:sz w:val="20"/>
          <w:szCs w:val="20"/>
          <w:color w:val="auto"/>
        </w:rPr>
      </w:pPr>
      <w:r>
        <w:rPr>
          <w:rFonts w:ascii="Arial" w:cs="Arial" w:eastAsia="Arial" w:hAnsi="Arial"/>
          <w:sz w:val="17"/>
          <w:szCs w:val="17"/>
          <w:color w:val="auto"/>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INFORMATION ABOUT THE MEETING</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of the Meeting</w:t>
      </w:r>
    </w:p>
    <w:p>
      <w:pPr>
        <w:spacing w:after="0" w:line="108"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Quorum</w:t>
      </w:r>
    </w:p>
    <w:p>
      <w:pPr>
        <w:spacing w:after="0" w:line="10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Only holders of record of common stock at the close of business on April 18, 2019, the record date, will be entitled to vote at the meeting. At the close of business on April 18, 2019, 27,017,053 shares of common stock were outstanding and entitled to vote.</w:t>
      </w:r>
    </w:p>
    <w:p>
      <w:pPr>
        <w:spacing w:after="0" w:line="26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holders of a majority of the voting power of the shares of stock entitled to vote at the meeting as of the record date must be present or represented by proxy at the meeting in order to hold the meeting and conduct business. This presence is called a quorum. Your shares are counted as present at the meeting if you are present and vote in person at the meeting or if you have properly submitted a proxy.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351"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GENERAL PROXY INFORMATION</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10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Each holder of shares of common stock is entitled to one vote for each share of common stock held as of the close of business on April 18, 2019,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spacing w:after="0" w:line="141" w:lineRule="exact"/>
        <w:rPr>
          <w:sz w:val="20"/>
          <w:szCs w:val="20"/>
          <w:color w:val="auto"/>
        </w:rPr>
      </w:pPr>
    </w:p>
    <w:p>
      <w:pPr>
        <w:jc w:val="both"/>
        <w:ind w:right="100"/>
        <w:spacing w:after="0" w:line="305" w:lineRule="auto"/>
        <w:rPr>
          <w:sz w:val="20"/>
          <w:szCs w:val="20"/>
          <w:color w:val="auto"/>
        </w:rPr>
      </w:pPr>
      <w:r>
        <w:rPr>
          <w:rFonts w:ascii="Arial" w:cs="Arial" w:eastAsia="Arial" w:hAnsi="Arial"/>
          <w:sz w:val="15"/>
          <w:szCs w:val="15"/>
          <w:i w:val="1"/>
          <w:iCs w:val="1"/>
          <w:color w:val="auto"/>
        </w:rPr>
        <w:t xml:space="preserve">Stockholder of Record: Shares Registered in Your Name. </w:t>
      </w:r>
      <w:r>
        <w:rPr>
          <w:rFonts w:ascii="Arial" w:cs="Arial" w:eastAsia="Arial" w:hAnsi="Arial"/>
          <w:sz w:val="15"/>
          <w:szCs w:val="15"/>
          <w:color w:val="auto"/>
        </w:rPr>
        <w:t>If on April 18, 2019, your shares were registered directly in your name with our transfer agent, American Stock</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 &amp;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141" w:lineRule="exact"/>
        <w:rPr>
          <w:sz w:val="20"/>
          <w:szCs w:val="20"/>
          <w:color w:val="auto"/>
        </w:rPr>
      </w:pPr>
    </w:p>
    <w:p>
      <w:pPr>
        <w:spacing w:after="0" w:line="250" w:lineRule="auto"/>
        <w:rPr>
          <w:sz w:val="20"/>
          <w:szCs w:val="20"/>
          <w:color w:val="auto"/>
        </w:rPr>
      </w:pPr>
      <w:r>
        <w:rPr>
          <w:rFonts w:ascii="Arial" w:cs="Arial" w:eastAsia="Arial" w:hAnsi="Arial"/>
          <w:sz w:val="17"/>
          <w:szCs w:val="17"/>
          <w:i w:val="1"/>
          <w:iCs w:val="1"/>
          <w:color w:val="auto"/>
        </w:rPr>
        <w:t xml:space="preserve">Beneficial Owner: Shares Registered in the Name of a Broker or Nominee. </w:t>
      </w:r>
      <w:r>
        <w:rPr>
          <w:rFonts w:ascii="Arial" w:cs="Arial" w:eastAsia="Arial" w:hAnsi="Arial"/>
          <w:sz w:val="17"/>
          <w:szCs w:val="17"/>
          <w:color w:val="auto"/>
        </w:rPr>
        <w:t>If on April 18, 2019, your shares were held in an account with a brokerage firm, bank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 xml:space="preserve">Proposal 1: </w:t>
      </w:r>
      <w:r>
        <w:rPr>
          <w:rFonts w:ascii="Arial" w:cs="Arial" w:eastAsia="Arial" w:hAnsi="Arial"/>
          <w:sz w:val="17"/>
          <w:szCs w:val="17"/>
          <w:color w:val="auto"/>
        </w:rPr>
        <w:t>Each director will be elected by a plurality of the votes cast at the meeting. This means that the two individuals nominated for election to the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 meeting receiving the highest number of votes cast “FOR” that nominee will be elected. You may either vote “FOR” one or two of the nominees or “WITHHOLD” your vote with respect to any or all of nominees. You may not cumulate votes in the election of directors.</w:t>
      </w:r>
    </w:p>
    <w:p>
      <w:pPr>
        <w:spacing w:after="0" w:line="7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b w:val="1"/>
          <w:bCs w:val="1"/>
          <w:i w:val="1"/>
          <w:iCs w:val="1"/>
          <w:color w:val="auto"/>
        </w:rPr>
        <w:t xml:space="preserve">Proposal 2: </w:t>
      </w:r>
      <w:r>
        <w:rPr>
          <w:rFonts w:ascii="Arial" w:cs="Arial" w:eastAsia="Arial" w:hAnsi="Arial"/>
          <w:sz w:val="17"/>
          <w:szCs w:val="17"/>
          <w:color w:val="auto"/>
        </w:rPr>
        <w:t>Approval of the ratification of the appointment of our independent registered public accounting firm will be obtained if the holders of a majority of the votes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cast at the meeting vote “FOR” the proposal.</w:t>
      </w:r>
    </w:p>
    <w:p>
      <w:pPr>
        <w:spacing w:after="0" w:line="67" w:lineRule="exact"/>
        <w:rPr>
          <w:sz w:val="20"/>
          <w:szCs w:val="20"/>
          <w:color w:val="auto"/>
        </w:rPr>
      </w:pPr>
    </w:p>
    <w:p>
      <w:pPr>
        <w:ind w:right="460"/>
        <w:spacing w:after="0" w:line="265" w:lineRule="auto"/>
        <w:rPr>
          <w:sz w:val="20"/>
          <w:szCs w:val="20"/>
          <w:color w:val="auto"/>
        </w:rPr>
      </w:pPr>
      <w:r>
        <w:rPr>
          <w:rFonts w:ascii="Arial" w:cs="Arial" w:eastAsia="Arial" w:hAnsi="Arial"/>
          <w:sz w:val="17"/>
          <w:szCs w:val="17"/>
          <w:b w:val="1"/>
          <w:bCs w:val="1"/>
          <w:i w:val="1"/>
          <w:iCs w:val="1"/>
          <w:color w:val="auto"/>
        </w:rPr>
        <w:t xml:space="preserve">Proposal 3: </w:t>
      </w:r>
      <w:r>
        <w:rPr>
          <w:rFonts w:ascii="Arial" w:cs="Arial" w:eastAsia="Arial" w:hAnsi="Arial"/>
          <w:sz w:val="17"/>
          <w:szCs w:val="17"/>
          <w:color w:val="auto"/>
        </w:rPr>
        <w:t>The advisory vote on named executive officer compensation will be obtained if the number of votes cast “FOR” the proposal at the meeting exceeds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votes “AGAINST” the proposal. This vote is advisory and non-binding in nature.</w:t>
      </w:r>
    </w:p>
    <w:p>
      <w:pPr>
        <w:spacing w:after="0" w:line="6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b w:val="1"/>
          <w:bCs w:val="1"/>
          <w:i w:val="1"/>
          <w:iCs w:val="1"/>
          <w:color w:val="auto"/>
        </w:rPr>
        <w:t xml:space="preserve">Proposal 4: </w:t>
      </w:r>
      <w:r>
        <w:rPr>
          <w:rFonts w:ascii="Arial" w:cs="Arial" w:eastAsia="Arial" w:hAnsi="Arial"/>
          <w:sz w:val="17"/>
          <w:szCs w:val="17"/>
          <w:color w:val="auto"/>
        </w:rPr>
        <w:t>The advisory vote on the frequency of holding an advisory vote on named executive officer compensation will be the option of either “ONE YEAR,” “TWO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or “THREE YEARS” that receives the highest number of votes. This vote is advisory and non-binding in nature.</w:t>
      </w:r>
    </w:p>
    <w:p>
      <w:pPr>
        <w:spacing w:after="0" w:line="26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broker non-votes will count for purposes of determining the presence of a quorum, but are not treated as votes cast and, therefore, will have no effect on the matters being voted upon, except for Proposal 2, which is considered a routine proposal and is subject to the discretionary vote of the broker.</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Recommendations of the Board of Directors on Each of the Proposals Scheduled to be Voted on at the Meeting</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board of directors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election of each of the Class II directors named in this proxy statement (Proposal 1),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KPMG LLP as our independent registered public accounting firm for the fiscal year ending December 31, 2019 (Proposal 2), “</w:t>
      </w:r>
      <w:r>
        <w:rPr>
          <w:rFonts w:ascii="Arial" w:cs="Arial" w:eastAsia="Arial" w:hAnsi="Arial"/>
          <w:sz w:val="17"/>
          <w:szCs w:val="17"/>
          <w:b w:val="1"/>
          <w:bCs w:val="1"/>
          <w:color w:val="auto"/>
        </w:rPr>
        <w:t>FOR</w:t>
      </w:r>
      <w:r>
        <w:rPr>
          <w:rFonts w:ascii="Arial" w:cs="Arial" w:eastAsia="Arial" w:hAnsi="Arial"/>
          <w:sz w:val="17"/>
          <w:szCs w:val="17"/>
          <w:color w:val="auto"/>
        </w:rPr>
        <w:t>” the non-binding advisory vote on named executive officer compensation (Proposal 3) and “</w:t>
      </w:r>
      <w:r>
        <w:rPr>
          <w:rFonts w:ascii="Arial" w:cs="Arial" w:eastAsia="Arial" w:hAnsi="Arial"/>
          <w:sz w:val="17"/>
          <w:szCs w:val="17"/>
          <w:b w:val="1"/>
          <w:bCs w:val="1"/>
          <w:color w:val="auto"/>
        </w:rPr>
        <w:t>ONE YEAR</w:t>
      </w:r>
      <w:r>
        <w:rPr>
          <w:rFonts w:ascii="Arial" w:cs="Arial" w:eastAsia="Arial" w:hAnsi="Arial"/>
          <w:sz w:val="17"/>
          <w:szCs w:val="17"/>
          <w:color w:val="auto"/>
        </w:rPr>
        <w:t>” for the non-binding advisory vote on the frequency of holding an advisory vote on named executive officer compensation (Proposal 4).</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Instructions; Voting of Proxies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If you are a stockholder of record, you may:</w:t>
      </w:r>
    </w:p>
    <w:p>
      <w:pPr>
        <w:spacing w:after="0" w:line="116" w:lineRule="exact"/>
        <w:rPr>
          <w:sz w:val="20"/>
          <w:szCs w:val="20"/>
          <w:color w:val="auto"/>
        </w:rPr>
      </w:pPr>
    </w:p>
    <w:p>
      <w:pPr>
        <w:ind w:left="5680" w:right="3320" w:hanging="5081"/>
        <w:spacing w:after="0" w:line="602" w:lineRule="auto"/>
        <w:tabs>
          <w:tab w:leader="none" w:pos="906"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vote in person – we will provide a ballot to stockholders who attend the meeting and wish to vote in person; 2</w:t>
      </w:r>
    </w:p>
    <w:p>
      <w:pPr>
        <w:sectPr>
          <w:pgSz w:w="11900" w:h="16838" w:orient="portrait"/>
          <w:cols w:equalWidth="0" w:num="1">
            <w:col w:w="11400"/>
          </w:cols>
          <w:pgMar w:left="240" w:top="547" w:right="259" w:bottom="1440" w:gutter="0" w:footer="0" w:header="0"/>
        </w:sectPr>
      </w:pPr>
    </w:p>
    <w:bookmarkStart w:id="7" w:name="page8"/>
    <w:bookmarkEnd w:id="7"/>
    <w:p>
      <w:pPr>
        <w:ind w:left="900" w:hanging="301"/>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vote through the Internet or by telephone – in order to do so, please follow the instructions shown on your Notice of Internet Availability or proxy card; or</w:t>
      </w:r>
    </w:p>
    <w:p>
      <w:pPr>
        <w:spacing w:after="0" w:line="77" w:lineRule="exact"/>
        <w:rPr>
          <w:rFonts w:ascii="Arial" w:cs="Arial" w:eastAsia="Arial" w:hAnsi="Arial"/>
          <w:sz w:val="15"/>
          <w:szCs w:val="15"/>
          <w:color w:val="auto"/>
        </w:rPr>
      </w:pPr>
    </w:p>
    <w:p>
      <w:pPr>
        <w:ind w:left="900" w:right="340" w:hanging="301"/>
        <w:spacing w:after="0" w:line="265"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vote by mail – if you request or receive a paper proxy card and voting instructions by mail, simply complete, sign and date the proxy card and return it as soon as possible before the meeting in the envelope provided.</w:t>
      </w:r>
    </w:p>
    <w:p>
      <w:pPr>
        <w:spacing w:after="0" w:line="167"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Votes submitted through the Internet or by telephone must be received by 11:59 p.m., Eastern Time, on June 10, 2019.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 For Proposal 1, you may vote “FOR” each of the nominees to the board of directors or you may withhold your vote from any nominee you specify. For Proposal 2 and Proposal 3, you may vote “FOR” or “AGAINST” or “ABSTAIN” from voting. For Proposal 4 you may vote “ONE YEAR,” “TWO YEARS,” or “THREE YEARS.” Your vote is important. Whether or not you plan to attend the meeting, we urge you to vote by proxy to ensure that your vote is counted.</w:t>
      </w:r>
    </w:p>
    <w:p>
      <w:pPr>
        <w:spacing w:after="0" w:line="169" w:lineRule="exact"/>
        <w:rPr>
          <w:sz w:val="20"/>
          <w:szCs w:val="20"/>
          <w:color w:val="auto"/>
        </w:rPr>
      </w:pPr>
    </w:p>
    <w:p>
      <w:pPr>
        <w:ind w:right="40"/>
        <w:spacing w:after="0" w:line="333" w:lineRule="auto"/>
        <w:rPr>
          <w:sz w:val="20"/>
          <w:szCs w:val="20"/>
          <w:color w:val="auto"/>
        </w:rPr>
      </w:pPr>
      <w:r>
        <w:rPr>
          <w:rFonts w:ascii="Arial" w:cs="Arial" w:eastAsia="Arial" w:hAnsi="Arial"/>
          <w:sz w:val="15"/>
          <w:szCs w:val="15"/>
          <w:color w:val="auto"/>
        </w:rPr>
        <w:t>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of directors stated above.</w:t>
      </w:r>
    </w:p>
    <w:p>
      <w:pPr>
        <w:spacing w:after="0" w:line="12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w:t>
      </w:r>
    </w:p>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the Internet. If you requested or received paper proxy materials by mail, please complete, sign and return each proxy card to ensure that all of your shares are voted.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 of Soliciting Proxies</w:t>
      </w:r>
    </w:p>
    <w:p>
      <w:pPr>
        <w:spacing w:after="0" w:line="108"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A stockholder of record who has given a proxy may revoke it at any time before the closing of the polls by the inspector of elections at the meeting by:</w:t>
      </w:r>
    </w:p>
    <w:p>
      <w:pPr>
        <w:spacing w:after="0" w:line="116" w:lineRule="exact"/>
        <w:rPr>
          <w:sz w:val="20"/>
          <w:szCs w:val="20"/>
          <w:color w:val="auto"/>
        </w:rPr>
      </w:pPr>
    </w:p>
    <w:p>
      <w:pPr>
        <w:ind w:left="900" w:hanging="301"/>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delivering to our Corporate Secretary (by any means) a written notice stating that the proxy is revoked;</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signing and delivering a proxy bearing a later date;</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voting again through the Internet or by telephone; or</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attending and voting at the meeting (although attendance at the meeting will not, by itself, revoke a proxy).</w:t>
      </w:r>
    </w:p>
    <w:p>
      <w:pPr>
        <w:spacing w:after="0" w:line="204"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Please note, however, that if your shares are held of record by a brokerage firm, bank or other nominee and you wish to revoke a proxy, you must contact that firm to revoke or change any prior voting instructions.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Access to the Proxy Materials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Notice of Internet Availability will provide you with instructions regarding how 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52" w:right="239" w:bottom="1440" w:gutter="0" w:footer="0" w:header="0"/>
        </w:sectPr>
      </w:pPr>
    </w:p>
    <w:bookmarkStart w:id="8" w:name="page9"/>
    <w:bookmarkEnd w:id="8"/>
    <w:p>
      <w:pPr>
        <w:ind w:left="900" w:hanging="301"/>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view our proxy materials for the meeting through the Internet;</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instruct us to mail paper copies of our future proxy materials to you; and</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instruct us to send our future proxy materials to you electronically by email.</w:t>
      </w:r>
    </w:p>
    <w:p>
      <w:pPr>
        <w:spacing w:after="0" w:line="20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Results</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Voting results will be tabulated and certified by the inspector of elections appointed for the meeting. The preliminary voting results will be announced at the meeting and posted on our website at http://ir.anaptysbio.com. The final results will be tallied by the inspector of elections and filed with the SEC in a current report on Form 8-K within four business days of the meeting.</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352"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7"/>
          <w:szCs w:val="17"/>
          <w:b w:val="1"/>
          <w:bCs w:val="1"/>
          <w:color w:val="auto"/>
        </w:rPr>
        <w:t>CORPORATE GOVERNANCE STANDARDS AND DIRECTOR INDEPENDENCE</w:t>
      </w:r>
    </w:p>
    <w:p>
      <w:pPr>
        <w:spacing w:after="0" w:line="308"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We are committed to good corporate governance practices. These practices provide an important framework within which our board of directors and management pursue our strategic objectives for the benefit of our stockholders.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Guidelines</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 and Leadership Structure</w:t>
      </w:r>
    </w:p>
    <w:p>
      <w:pPr>
        <w:spacing w:after="0" w:line="108" w:lineRule="exact"/>
        <w:rPr>
          <w:sz w:val="20"/>
          <w:szCs w:val="20"/>
          <w:color w:val="auto"/>
        </w:rPr>
      </w:pPr>
    </w:p>
    <w:p>
      <w:pPr>
        <w:ind w:right="400"/>
        <w:spacing w:after="0" w:line="296" w:lineRule="auto"/>
        <w:rPr>
          <w:sz w:val="20"/>
          <w:szCs w:val="20"/>
          <w:color w:val="auto"/>
        </w:rPr>
      </w:pPr>
      <w:r>
        <w:rPr>
          <w:rFonts w:ascii="Arial" w:cs="Arial" w:eastAsia="Arial" w:hAnsi="Arial"/>
          <w:sz w:val="15"/>
          <w:szCs w:val="15"/>
          <w:color w:val="auto"/>
        </w:rPr>
        <w:t>The positions of Chief Executive Officer and Chairman of our board of directors are held by two different individuals (Mr. Suria and Dr. Topper, respectively). This structure allows our Chief Executive Officer to focus on our day-to-day business while our Chairman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Board’s Role in Risk Oversight</w:t>
      </w:r>
    </w:p>
    <w:p>
      <w:pPr>
        <w:spacing w:after="0" w:line="10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directors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08"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Our common stock is listed on The Nasdaq Global Select Market, or Nasdaq.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47"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6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board of directors has undertaken a review of the independence of each director and considered whether each director has a material relationship with us that could compromise his or her ability to exercise independent judgment in carrying out his responsibilities. As a result of this review, our board of directors determined that Dr. Fenton, Dr. Lydon, Mr. Schmid, Mr. Renton, Dr. Topper and Dr. Ware, representing six of our seven directors, are “independent directors” as defined under the applicable rules and regulations of the Securities and Exchange Commission, or the SEC, and the listing requirements and rules of Nasdaq.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Related-Party Transactions.”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4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208"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Our board of directors has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committee operates under a charter approved by our board of directors. Copies of each committee’s charter are posted on the investor relations section of our website at http://ir.anaptysbio.com.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4"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Our audit committee is composed of Dr. Fenton, Mr. Schmid and Dr. Ware. Mr. Schmid is the chairperson of our audit committee. Dr. Fenton, Mr. Schmid and Dr. Ware each meet the requirements for independence under the current Nasdaq listing standards and SEC rules and regulations. Each member of our audit committee is financially literate. In addition, our board of directors has determined that each member of our audit committee is an “audit committee financial expert” as defined in Item 407(d)(5)</w:t>
      </w:r>
    </w:p>
    <w:p>
      <w:pPr>
        <w:spacing w:after="0" w:line="2" w:lineRule="exact"/>
        <w:rPr>
          <w:sz w:val="20"/>
          <w:szCs w:val="20"/>
          <w:color w:val="auto"/>
        </w:rPr>
      </w:pPr>
    </w:p>
    <w:p>
      <w:pPr>
        <w:ind w:right="440"/>
        <w:spacing w:after="0" w:line="280"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spacing w:after="0" w:line="57" w:lineRule="exact"/>
        <w:rPr>
          <w:rFonts w:ascii="Arial" w:cs="Arial" w:eastAsia="Arial" w:hAnsi="Arial"/>
          <w:sz w:val="16"/>
          <w:szCs w:val="16"/>
          <w:color w:val="auto"/>
        </w:rPr>
      </w:pPr>
    </w:p>
    <w:p>
      <w:pPr>
        <w:ind w:left="900" w:hanging="301"/>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our accounting and financial reporting processes, including our financial statement audits and the integrity of our financial statements;</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reviewing and approving related person transactions;</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selecting and hiring our registered independent public accounting firm;</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qualifications, independence and performance of our independent auditors; and</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preparation of the audit committee report to be included in our annual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4"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Our compensation committee is composed of Dr. Fenton, Mr. Schmid and Dr. Lydon. Dr. Fenton is the chairperson of our compensation committee. Upon Dr. Lydon’s departure at the Annual Meeting, our compensation committee will be composed of Dr. Fenton and Mr. Schmid.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or the Code, and (ii) a non-employee director, as defined in Rule 16b-3 promulgated under the Exchange Act. Our compensation committee is responsible for, among other things:</w:t>
      </w:r>
    </w:p>
    <w:p>
      <w:pPr>
        <w:spacing w:after="0" w:line="67" w:lineRule="exact"/>
        <w:rPr>
          <w:sz w:val="20"/>
          <w:szCs w:val="20"/>
          <w:color w:val="auto"/>
        </w:rPr>
      </w:pPr>
    </w:p>
    <w:p>
      <w:pPr>
        <w:ind w:left="900" w:hanging="301"/>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evaluating, recommending, approving and reviewing executive officer and director compensation arrangements, plans, policies and programs;</w:t>
      </w:r>
    </w:p>
    <w:p>
      <w:pPr>
        <w:spacing w:after="0" w:line="65" w:lineRule="exact"/>
        <w:rPr>
          <w:rFonts w:ascii="Arial" w:cs="Arial" w:eastAsia="Arial" w:hAnsi="Arial"/>
          <w:sz w:val="16"/>
          <w:szCs w:val="16"/>
          <w:color w:val="auto"/>
        </w:rPr>
      </w:pPr>
    </w:p>
    <w:p>
      <w:pPr>
        <w:ind w:left="900" w:hanging="301"/>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administering our cash-based and equity-based compensation plans; and</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making recommendations to our board of directors regarding any other board of director responsibilities relating to executive compensation.</w:t>
      </w:r>
    </w:p>
    <w:p>
      <w:pPr>
        <w:spacing w:after="0" w:line="104"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Our compensation committee retained an independent compensation consultant, Compensia Inc. (“Compensia”), a national compensation consulting firm, to assist in structuring our executive officer and director compensation for 2019. Compensia provided our compensation committee with market data and analyses from a peer group of biotechnology companies with product candidates in a similar stage of development and similar financial and size characteristics. Compensia has not provided our company or our compensation committee with any other services during 2018 that would compromise its independence or pose a conflict of interest.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0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nominating and corporate governance committee is composed of Mr. Renton, Dr. Topper and Dr. Ware.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59" w:lineRule="exact"/>
        <w:rPr>
          <w:sz w:val="20"/>
          <w:szCs w:val="20"/>
          <w:color w:val="auto"/>
        </w:rPr>
      </w:pPr>
    </w:p>
    <w:p>
      <w:pPr>
        <w:ind w:left="900" w:hanging="301"/>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identifying, considering and recommending candidates for membership on our board of directors;</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overseeing the process of evaluating the performance of our board of directors; and</w:t>
      </w:r>
    </w:p>
    <w:p>
      <w:pPr>
        <w:spacing w:after="0" w:line="54" w:lineRule="exact"/>
        <w:rPr>
          <w:rFonts w:ascii="Arial" w:cs="Arial" w:eastAsia="Arial" w:hAnsi="Arial"/>
          <w:sz w:val="17"/>
          <w:szCs w:val="17"/>
          <w:color w:val="auto"/>
        </w:rPr>
      </w:pPr>
    </w:p>
    <w:p>
      <w:pPr>
        <w:ind w:left="900" w:hanging="301"/>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advising our board of directors on other corporate governance matters.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547"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Codes of Business Conduct and Ethics</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for Directors or our Code of Conduct for Employees pertaining to a member of our board of directors or one of our executive officers will be disclosed on our website at the above-referenced address.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0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2018.</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and Committee Meetings and Attendance</w:t>
      </w:r>
    </w:p>
    <w:p>
      <w:pPr>
        <w:spacing w:after="0" w:line="10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board of directors and its committees meet regularly throughout the year and also hold special meetings and act by written consent from time to time. During 2018, the board of directors held five meetings, including telephonic meetings, the audit committee held four meetings, the compensation committee held four meetings and the nominating and corporate governance committee held two meetings. During 2018, none of the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Attendance at Annual Stockholders’ Meeting</w:t>
      </w:r>
    </w:p>
    <w:p>
      <w:pPr>
        <w:spacing w:after="0" w:line="108" w:lineRule="exact"/>
        <w:rPr>
          <w:sz w:val="20"/>
          <w:szCs w:val="20"/>
          <w:color w:val="auto"/>
        </w:rPr>
      </w:pPr>
    </w:p>
    <w:p>
      <w:pPr>
        <w:ind w:right="260"/>
        <w:spacing w:after="0" w:line="333" w:lineRule="auto"/>
        <w:rPr>
          <w:sz w:val="20"/>
          <w:szCs w:val="20"/>
          <w:color w:val="auto"/>
        </w:rPr>
      </w:pPr>
      <w:r>
        <w:rPr>
          <w:rFonts w:ascii="Arial" w:cs="Arial" w:eastAsia="Arial" w:hAnsi="Arial"/>
          <w:sz w:val="15"/>
          <w:szCs w:val="15"/>
          <w:color w:val="auto"/>
        </w:rPr>
        <w:t>All seven directors were in attendance at our 2018 annual meeting of stockholders. We invite and encourage each member of our board of directors to attend our annual meetings of stockholders, however, we do not have a formal policy regarding attendance of annual meetings by the members of our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 with Directors</w:t>
      </w:r>
    </w:p>
    <w:p>
      <w:pPr>
        <w:spacing w:after="0" w:line="108"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color w:val="auto"/>
        </w:rPr>
        <w:t>Stockholders and interested parties who wish to communicate with our board of directors, non-management members of our board of directors as a group, a committee of the board of directors or a specific member of our board of directors (including our Chairman) may do so by letters addressed to the attention of our Corporate Secretary, AnaptysBio, Inc., 10421 Pacific Center Court, Suite 200, San Diego, CA 92121.</w:t>
      </w:r>
    </w:p>
    <w:p>
      <w:pPr>
        <w:spacing w:after="0" w:line="126" w:lineRule="exact"/>
        <w:rPr>
          <w:sz w:val="20"/>
          <w:szCs w:val="20"/>
          <w:color w:val="auto"/>
        </w:rPr>
      </w:pPr>
    </w:p>
    <w:p>
      <w:pPr>
        <w:jc w:val="both"/>
        <w:ind w:right="100"/>
        <w:spacing w:after="0" w:line="255" w:lineRule="auto"/>
        <w:rPr>
          <w:sz w:val="20"/>
          <w:szCs w:val="20"/>
          <w:color w:val="auto"/>
        </w:rPr>
      </w:pPr>
      <w:r>
        <w:rPr>
          <w:rFonts w:ascii="Arial" w:cs="Arial" w:eastAsia="Arial" w:hAnsi="Arial"/>
          <w:sz w:val="17"/>
          <w:szCs w:val="17"/>
          <w:color w:val="auto"/>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Considerations in Evaluating Director Nominees</w:t>
      </w:r>
    </w:p>
    <w:p>
      <w:pPr>
        <w:spacing w:after="0" w:line="108"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The nominating and corporate governance committee is responsible for identifying, evaluating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spacing w:after="0" w:line="180" w:lineRule="exact"/>
        <w:rPr>
          <w:sz w:val="20"/>
          <w:szCs w:val="20"/>
          <w:color w:val="auto"/>
        </w:rPr>
      </w:pPr>
    </w:p>
    <w:p>
      <w:pPr>
        <w:jc w:val="both"/>
        <w:ind w:right="340"/>
        <w:spacing w:after="0" w:line="305" w:lineRule="auto"/>
        <w:rPr>
          <w:sz w:val="20"/>
          <w:szCs w:val="20"/>
          <w:color w:val="auto"/>
        </w:rPr>
      </w:pPr>
      <w:r>
        <w:rPr>
          <w:rFonts w:ascii="Arial" w:cs="Arial" w:eastAsia="Arial" w:hAnsi="Arial"/>
          <w:sz w:val="15"/>
          <w:szCs w:val="15"/>
          <w:color w:val="auto"/>
        </w:rPr>
        <w:t>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p>
    <w:p>
      <w:pPr>
        <w:spacing w:after="0" w:line="141"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of directors. Exceptional candidates who do not meet all of these criteria may still be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647" w:right="239" w:bottom="1440" w:gutter="0" w:footer="0" w:header="0"/>
        </w:sectPr>
      </w:pPr>
    </w:p>
    <w:bookmarkStart w:id="12" w:name="page13"/>
    <w:bookmarkEnd w:id="12"/>
    <w:p>
      <w:pPr>
        <w:ind w:right="320"/>
        <w:spacing w:after="0" w:line="265" w:lineRule="auto"/>
        <w:rPr>
          <w:sz w:val="20"/>
          <w:szCs w:val="20"/>
          <w:color w:val="auto"/>
        </w:rPr>
      </w:pPr>
      <w:r>
        <w:rPr>
          <w:rFonts w:ascii="Arial" w:cs="Arial" w:eastAsia="Arial" w:hAnsi="Arial"/>
          <w:sz w:val="17"/>
          <w:szCs w:val="17"/>
          <w:color w:val="auto"/>
        </w:rPr>
        <w:t>considered. In evaluating potential candidates for the board of directors, the nominating and corporate governance committee considers these factors in the light of the specific needs of the board of directors at that time.</w:t>
      </w:r>
    </w:p>
    <w:p>
      <w:pPr>
        <w:spacing w:after="0" w:line="16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Recommendations for Nominations to the Board of Directors</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1.11 of our Bylaws. Any eligible stockholder who wishes to submit a nomination should review the requirements in the Bylaws on nominations by stockholders. Any nomination should be sent in writing to our Corporate Secretary, AnaptysBio, Inc., 10421 Pacific Center Court, Suite 200, San Diego, CA 92121. Submissions must include the full name of the proposed nominee, complete biographical information, a description of the proposed nominee’s qualifications as a director, other information specified in our Bylaws, and a representation that the nominating stockholder is a beneficial or record holder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Stockholders are also advised to review our Bylaws, which contain additional requirements with respect to advance notice of stockholder proposals and director nominations.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551" w:right="27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7"/>
          <w:szCs w:val="17"/>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CLASS II DIRECTORS</w:t>
      </w:r>
    </w:p>
    <w:p>
      <w:pPr>
        <w:spacing w:after="0" w:line="191"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Our board of directors is divided into three classes. Each class serves for three years, with the terms of office of the respective classes expiring in successive years. Directors and director nominees in Class II will stand for election at this meeting. The terms of office of directors in Class III and Class I do not expire until the annual meetings of stockholders to be held in 2020 and 2021, respectively.</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Our Class II directors, whose terms will expire at this Annual Meeting, are Dr. Lydon, Mr. Suria and Dr. Ware. On April 22, 2019, Dr. Lydon informed our board of directors that he will not stand for re-election as a Class II director at the Annual Meeting (this information is being reported in this proxy statement in lieu of a Form 8-K). Accordingly, our nominating and corporate governance committee decided not to recommend that Dr. Lydon be nominated for re-election at the Annual Meeting, and our board of directors will decrease its size to six members effective as of the Annual Meeting.</w:t>
      </w:r>
    </w:p>
    <w:p>
      <w:pPr>
        <w:spacing w:after="0" w:line="180" w:lineRule="exact"/>
        <w:rPr>
          <w:sz w:val="20"/>
          <w:szCs w:val="20"/>
          <w:color w:val="auto"/>
        </w:rPr>
      </w:pPr>
    </w:p>
    <w:p>
      <w:pPr>
        <w:ind w:right="180"/>
        <w:spacing w:after="0" w:line="296" w:lineRule="auto"/>
        <w:rPr>
          <w:sz w:val="20"/>
          <w:szCs w:val="20"/>
          <w:color w:val="auto"/>
        </w:rPr>
      </w:pPr>
      <w:r>
        <w:rPr>
          <w:rFonts w:ascii="Arial" w:cs="Arial" w:eastAsia="Arial" w:hAnsi="Arial"/>
          <w:sz w:val="15"/>
          <w:szCs w:val="15"/>
          <w:color w:val="auto"/>
        </w:rPr>
        <w:t>Our nominating and corporate governance committee recommended to our board of directors, and our board of directors nominated, Mr. Suria and Dr. Ware, each an incumbent Class II director, for election as Class II directors at the Annual Meeting. At the recommendation of our nominating and corporate governance committee, our board of directors proposes that each of Mr. Suria and Dr. Ware be elected as a Class II director for a three-year term expiring at the annual meeting of stockholders to be held in 2022 and until such director’s successor is duly elected and qualified or until such director’s earlier resignation or removal.</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Each director will be elected by a plurality of the votes present in person or represented by proxy at the meeting and entitled to vote on the election of directors. This means that the two individuals nominated for election to the board of directors at the meeting receiving the highest number of “FOR” votes will be elected. You may either vote “FOR” one or two nominees or “WITHHOLD” your vote with respect to any or all of the individuals nominated for election to the board of directors. You may not cumulate votes in the election of directors. Shares represented by proxies will be voted “FOR” the election of each of the Class II nominees, unless the proxy is marked to withhold authority to so vote.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two directors.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to the Board of Directors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nominees and their ages are provided in the table below. Additional biographical information for each nominee is set forth in the text below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980" w:type="dxa"/>
            <w:vAlign w:val="bottom"/>
          </w:tcPr>
          <w:p>
            <w:pPr>
              <w:jc w:val="center"/>
              <w:ind w:left="1417"/>
              <w:spacing w:after="0"/>
              <w:rPr>
                <w:sz w:val="20"/>
                <w:szCs w:val="20"/>
                <w:color w:val="auto"/>
              </w:rPr>
            </w:pPr>
            <w:r>
              <w:rPr>
                <w:rFonts w:ascii="Arial" w:cs="Arial" w:eastAsia="Arial" w:hAnsi="Arial"/>
                <w:sz w:val="17"/>
                <w:szCs w:val="17"/>
                <w:b w:val="1"/>
                <w:bCs w:val="1"/>
                <w:color w:val="auto"/>
                <w:w w:val="87"/>
              </w:rPr>
              <w:t>Age</w:t>
            </w:r>
          </w:p>
        </w:tc>
        <w:tc>
          <w:tcPr>
            <w:tcW w:w="6140" w:type="dxa"/>
            <w:vAlign w:val="bottom"/>
          </w:tcPr>
          <w:p>
            <w:pPr>
              <w:ind w:left="2480"/>
              <w:spacing w:after="0"/>
              <w:rPr>
                <w:sz w:val="20"/>
                <w:szCs w:val="20"/>
                <w:color w:val="auto"/>
              </w:rPr>
            </w:pPr>
            <w:r>
              <w:rPr>
                <w:rFonts w:ascii="Arial" w:cs="Arial" w:eastAsia="Arial" w:hAnsi="Arial"/>
                <w:sz w:val="17"/>
                <w:szCs w:val="17"/>
                <w:b w:val="1"/>
                <w:bCs w:val="1"/>
                <w:color w:val="auto"/>
              </w:rPr>
              <w:t>Position and Class</w:t>
            </w:r>
          </w:p>
        </w:tc>
      </w:tr>
      <w:tr>
        <w:trPr>
          <w:trHeight w:val="25"/>
        </w:trPr>
        <w:tc>
          <w:tcPr>
            <w:tcW w:w="3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22"/>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Hamza Suria, M.B.A</w:t>
            </w:r>
          </w:p>
        </w:tc>
        <w:tc>
          <w:tcPr>
            <w:tcW w:w="1980" w:type="dxa"/>
            <w:vAlign w:val="bottom"/>
            <w:tcBorders>
              <w:bottom w:val="single" w:sz="8" w:color="CCEEFF"/>
            </w:tcBorders>
            <w:shd w:val="clear" w:color="auto" w:fill="CCEEFF"/>
          </w:tcPr>
          <w:p>
            <w:pPr>
              <w:jc w:val="center"/>
              <w:ind w:left="1417"/>
              <w:spacing w:after="0"/>
              <w:rPr>
                <w:sz w:val="20"/>
                <w:szCs w:val="20"/>
                <w:color w:val="auto"/>
              </w:rPr>
            </w:pPr>
            <w:r>
              <w:rPr>
                <w:rFonts w:ascii="Arial" w:cs="Arial" w:eastAsia="Arial" w:hAnsi="Arial"/>
                <w:sz w:val="17"/>
                <w:szCs w:val="17"/>
                <w:color w:val="auto"/>
                <w:w w:val="84"/>
              </w:rPr>
              <w:t>42</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President, Chief Executive Officer and Director, Class II</w:t>
            </w:r>
          </w:p>
        </w:tc>
      </w:tr>
      <w:tr>
        <w:trPr>
          <w:trHeight w:val="314"/>
        </w:trPr>
        <w:tc>
          <w:tcPr>
            <w:tcW w:w="3300" w:type="dxa"/>
            <w:vAlign w:val="bottom"/>
          </w:tcPr>
          <w:p>
            <w:pPr>
              <w:ind w:left="20"/>
              <w:spacing w:after="0"/>
              <w:rPr>
                <w:sz w:val="20"/>
                <w:szCs w:val="20"/>
                <w:color w:val="auto"/>
              </w:rPr>
            </w:pPr>
            <w:r>
              <w:rPr>
                <w:rFonts w:ascii="Arial" w:cs="Arial" w:eastAsia="Arial" w:hAnsi="Arial"/>
                <w:sz w:val="17"/>
                <w:szCs w:val="17"/>
                <w:color w:val="auto"/>
              </w:rPr>
              <w:t>J. Anthony Ware, M.D.</w:t>
            </w:r>
            <w:r>
              <w:rPr>
                <w:rFonts w:ascii="Arial" w:cs="Arial" w:eastAsia="Arial" w:hAnsi="Arial"/>
                <w:sz w:val="23"/>
                <w:szCs w:val="23"/>
                <w:color w:val="auto"/>
                <w:vertAlign w:val="superscript"/>
              </w:rPr>
              <w:t>(1)</w:t>
            </w:r>
          </w:p>
        </w:tc>
        <w:tc>
          <w:tcPr>
            <w:tcW w:w="1980" w:type="dxa"/>
            <w:vAlign w:val="bottom"/>
          </w:tcPr>
          <w:p>
            <w:pPr>
              <w:jc w:val="center"/>
              <w:ind w:left="1417"/>
              <w:spacing w:after="0"/>
              <w:rPr>
                <w:sz w:val="20"/>
                <w:szCs w:val="20"/>
                <w:color w:val="auto"/>
              </w:rPr>
            </w:pPr>
            <w:r>
              <w:rPr>
                <w:rFonts w:ascii="Arial" w:cs="Arial" w:eastAsia="Arial" w:hAnsi="Arial"/>
                <w:sz w:val="17"/>
                <w:szCs w:val="17"/>
                <w:color w:val="auto"/>
                <w:w w:val="84"/>
              </w:rPr>
              <w:t>66</w:t>
            </w:r>
          </w:p>
        </w:tc>
        <w:tc>
          <w:tcPr>
            <w:tcW w:w="6140" w:type="dxa"/>
            <w:vAlign w:val="bottom"/>
          </w:tcPr>
          <w:p>
            <w:pPr>
              <w:ind w:left="120"/>
              <w:spacing w:after="0"/>
              <w:rPr>
                <w:sz w:val="20"/>
                <w:szCs w:val="20"/>
                <w:color w:val="auto"/>
              </w:rPr>
            </w:pPr>
            <w:r>
              <w:rPr>
                <w:rFonts w:ascii="Arial" w:cs="Arial" w:eastAsia="Arial" w:hAnsi="Arial"/>
                <w:sz w:val="17"/>
                <w:szCs w:val="17"/>
                <w:color w:val="auto"/>
              </w:rPr>
              <w:t>Director, Class II</w:t>
            </w:r>
          </w:p>
        </w:tc>
      </w:tr>
    </w:tbl>
    <w:p>
      <w:pPr>
        <w:spacing w:after="0" w:line="160" w:lineRule="exact"/>
        <w:rPr>
          <w:sz w:val="20"/>
          <w:szCs w:val="20"/>
          <w:color w:val="auto"/>
        </w:rPr>
      </w:pPr>
    </w:p>
    <w:p>
      <w:pPr>
        <w:ind w:left="360" w:hanging="360"/>
        <w:spacing w:after="0"/>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Member of the Audit and Nominating and Corporate Governance Committees</w:t>
      </w:r>
    </w:p>
    <w:p>
      <w:pPr>
        <w:spacing w:after="0" w:line="254"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b w:val="1"/>
          <w:bCs w:val="1"/>
          <w:i w:val="1"/>
          <w:iCs w:val="1"/>
          <w:color w:val="auto"/>
        </w:rPr>
        <w:t>Hamza Suria, M.B.A.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our President and Chief Executive Officer and a member of our board of directors since July 2011. From January 2009 to June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Suria served as Vice President of Corporate Development. Before joining our company in December 2008, Mr. Suria was at Maxygen, where he was responsible for partnering and alliance management of next-generation protein therapeutics in oncology supportive care, hematology and autoimmunity, including partnerships with Roche, Sanofi-Aventis, Bayer and Astellas. Mr. Suria holds a B.A. in biochemistry from Kalamazoo College, an M.S. in immunology from the University of Western Ontario and an Executive MBA from the Richard Ivey School of Business. Mr. Suria is a graduate of The Mercersburg Academy.</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J. Anthony Ware, M.D., </w:t>
      </w:r>
      <w:r>
        <w:rPr>
          <w:rFonts w:ascii="Arial" w:cs="Arial" w:eastAsia="Arial" w:hAnsi="Arial"/>
          <w:sz w:val="16"/>
          <w:szCs w:val="16"/>
          <w:color w:val="auto"/>
        </w:rPr>
        <w:t>has served as a member of our board of directors since August 2017. From 2001 to January 2018, Dr. Ware held numerous positions at Eli Lilly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Company, a global pharmaceutical company, including Senior Vice President of 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 Coronary Care Unit at Beth Israel Hospital. Dr. Ware received his B.S. from Washburn University,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47" w:right="239" w:bottom="1440" w:gutter="0" w:footer="0" w:header="0"/>
        </w:sectPr>
      </w:pPr>
    </w:p>
    <w:bookmarkStart w:id="14" w:name="page15"/>
    <w:bookmarkEnd w:id="14"/>
    <w:p>
      <w:pPr>
        <w:spacing w:after="0" w:line="265" w:lineRule="auto"/>
        <w:rPr>
          <w:sz w:val="20"/>
          <w:szCs w:val="20"/>
          <w:color w:val="auto"/>
        </w:rPr>
      </w:pPr>
      <w:r>
        <w:rPr>
          <w:rFonts w:ascii="Arial" w:cs="Arial" w:eastAsia="Arial" w:hAnsi="Arial"/>
          <w:sz w:val="17"/>
          <w:szCs w:val="17"/>
          <w:color w:val="auto"/>
        </w:rPr>
        <w:t>disease. Our board of directors believes that Dr. Ware’s extensive academic and industry experience and significant knowledge of scientific matters provide him with the qualifications and skills to serve on our board of directors.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Not Standing for Election</w:t>
      </w:r>
    </w:p>
    <w:p>
      <w:pPr>
        <w:spacing w:after="0" w:line="108"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color w:val="auto"/>
        </w:rPr>
        <w:t>The directors who are serving or who have been appointed for terms that end following the meeting and their ages, occupations and length of board service are provided in the table and notes below. Additional biographical information for each nominee is set forth in the text below the table. As noted above, Dr. Lydon, a Class II director, will not stand for re-election at the Annual Meeting; we have included information about Dr. Lydon in this proxy statement for reference only.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740" w:type="dxa"/>
            <w:vAlign w:val="bottom"/>
          </w:tcPr>
          <w:p>
            <w:pPr>
              <w:jc w:val="center"/>
              <w:ind w:left="1177"/>
              <w:spacing w:after="0"/>
              <w:rPr>
                <w:sz w:val="20"/>
                <w:szCs w:val="20"/>
                <w:color w:val="auto"/>
              </w:rPr>
            </w:pPr>
            <w:r>
              <w:rPr>
                <w:rFonts w:ascii="Arial" w:cs="Arial" w:eastAsia="Arial" w:hAnsi="Arial"/>
                <w:sz w:val="17"/>
                <w:szCs w:val="17"/>
                <w:b w:val="1"/>
                <w:bCs w:val="1"/>
                <w:color w:val="auto"/>
                <w:w w:val="87"/>
              </w:rPr>
              <w:t>Age</w:t>
            </w:r>
          </w:p>
        </w:tc>
        <w:tc>
          <w:tcPr>
            <w:tcW w:w="5980" w:type="dxa"/>
            <w:vAlign w:val="bottom"/>
          </w:tcPr>
          <w:p>
            <w:pPr>
              <w:ind w:left="2380"/>
              <w:spacing w:after="0"/>
              <w:rPr>
                <w:sz w:val="20"/>
                <w:szCs w:val="20"/>
                <w:color w:val="auto"/>
              </w:rPr>
            </w:pPr>
            <w:r>
              <w:rPr>
                <w:rFonts w:ascii="Arial" w:cs="Arial" w:eastAsia="Arial" w:hAnsi="Arial"/>
                <w:sz w:val="17"/>
                <w:szCs w:val="17"/>
                <w:b w:val="1"/>
                <w:bCs w:val="1"/>
                <w:color w:val="auto"/>
              </w:rPr>
              <w:t>Position and Class</w:t>
            </w:r>
          </w:p>
        </w:tc>
      </w:tr>
      <w:tr>
        <w:trPr>
          <w:trHeight w:val="25"/>
        </w:trPr>
        <w:tc>
          <w:tcPr>
            <w:tcW w:w="36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r>
      <w:tr>
        <w:trPr>
          <w:trHeight w:val="242"/>
        </w:trPr>
        <w:tc>
          <w:tcPr>
            <w:tcW w:w="3600" w:type="dxa"/>
            <w:vAlign w:val="bottom"/>
            <w:shd w:val="clear" w:color="auto" w:fill="CCEEFF"/>
          </w:tcPr>
          <w:p>
            <w:pPr>
              <w:ind w:left="20"/>
              <w:spacing w:after="0" w:line="242" w:lineRule="exact"/>
              <w:rPr>
                <w:sz w:val="20"/>
                <w:szCs w:val="20"/>
                <w:color w:val="auto"/>
              </w:rPr>
            </w:pPr>
            <w:r>
              <w:rPr>
                <w:rFonts w:ascii="Arial" w:cs="Arial" w:eastAsia="Arial" w:hAnsi="Arial"/>
                <w:sz w:val="17"/>
                <w:szCs w:val="17"/>
                <w:color w:val="auto"/>
              </w:rPr>
              <w:t>Dennis Fenton, Ph.D.</w:t>
            </w:r>
            <w:r>
              <w:rPr>
                <w:rFonts w:ascii="Arial" w:cs="Arial" w:eastAsia="Arial" w:hAnsi="Arial"/>
                <w:sz w:val="23"/>
                <w:szCs w:val="23"/>
                <w:color w:val="auto"/>
                <w:vertAlign w:val="superscript"/>
              </w:rPr>
              <w:t>(1)(3)</w:t>
            </w:r>
          </w:p>
        </w:tc>
        <w:tc>
          <w:tcPr>
            <w:tcW w:w="1740" w:type="dxa"/>
            <w:vAlign w:val="bottom"/>
            <w:shd w:val="clear" w:color="auto" w:fill="CCEEFF"/>
          </w:tcPr>
          <w:p>
            <w:pPr>
              <w:jc w:val="center"/>
              <w:ind w:left="1177"/>
              <w:spacing w:after="0"/>
              <w:rPr>
                <w:sz w:val="20"/>
                <w:szCs w:val="20"/>
                <w:color w:val="auto"/>
              </w:rPr>
            </w:pPr>
            <w:r>
              <w:rPr>
                <w:rFonts w:ascii="Arial" w:cs="Arial" w:eastAsia="Arial" w:hAnsi="Arial"/>
                <w:sz w:val="17"/>
                <w:szCs w:val="17"/>
                <w:color w:val="auto"/>
                <w:w w:val="84"/>
              </w:rPr>
              <w:t>67</w:t>
            </w:r>
          </w:p>
        </w:tc>
        <w:tc>
          <w:tcPr>
            <w:tcW w:w="5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Director, Class I</w:t>
            </w:r>
          </w:p>
        </w:tc>
      </w:tr>
      <w:tr>
        <w:trPr>
          <w:trHeight w:val="250"/>
        </w:trPr>
        <w:tc>
          <w:tcPr>
            <w:tcW w:w="3600" w:type="dxa"/>
            <w:vAlign w:val="bottom"/>
          </w:tcPr>
          <w:p>
            <w:pPr>
              <w:ind w:left="20"/>
              <w:spacing w:after="0" w:line="250" w:lineRule="exact"/>
              <w:rPr>
                <w:sz w:val="20"/>
                <w:szCs w:val="20"/>
                <w:color w:val="auto"/>
              </w:rPr>
            </w:pPr>
            <w:r>
              <w:rPr>
                <w:rFonts w:ascii="Arial" w:cs="Arial" w:eastAsia="Arial" w:hAnsi="Arial"/>
                <w:sz w:val="17"/>
                <w:szCs w:val="17"/>
                <w:color w:val="auto"/>
              </w:rPr>
              <w:t>Nicholas B. Lydon, Ph.D., FRS</w:t>
            </w:r>
            <w:r>
              <w:rPr>
                <w:rFonts w:ascii="Arial" w:cs="Arial" w:eastAsia="Arial" w:hAnsi="Arial"/>
                <w:sz w:val="23"/>
                <w:szCs w:val="23"/>
                <w:color w:val="auto"/>
                <w:vertAlign w:val="superscript"/>
              </w:rPr>
              <w:t>(1)</w:t>
            </w:r>
          </w:p>
        </w:tc>
        <w:tc>
          <w:tcPr>
            <w:tcW w:w="1740" w:type="dxa"/>
            <w:vAlign w:val="bottom"/>
          </w:tcPr>
          <w:p>
            <w:pPr>
              <w:jc w:val="center"/>
              <w:ind w:left="1177"/>
              <w:spacing w:after="0"/>
              <w:rPr>
                <w:sz w:val="20"/>
                <w:szCs w:val="20"/>
                <w:color w:val="auto"/>
              </w:rPr>
            </w:pPr>
            <w:r>
              <w:rPr>
                <w:rFonts w:ascii="Arial" w:cs="Arial" w:eastAsia="Arial" w:hAnsi="Arial"/>
                <w:sz w:val="17"/>
                <w:szCs w:val="17"/>
                <w:color w:val="auto"/>
                <w:w w:val="84"/>
              </w:rPr>
              <w:t>62</w:t>
            </w:r>
          </w:p>
        </w:tc>
        <w:tc>
          <w:tcPr>
            <w:tcW w:w="5980" w:type="dxa"/>
            <w:vAlign w:val="bottom"/>
          </w:tcPr>
          <w:p>
            <w:pPr>
              <w:ind w:left="120"/>
              <w:spacing w:after="0"/>
              <w:rPr>
                <w:sz w:val="20"/>
                <w:szCs w:val="20"/>
                <w:color w:val="auto"/>
              </w:rPr>
            </w:pPr>
            <w:r>
              <w:rPr>
                <w:rFonts w:ascii="Arial" w:cs="Arial" w:eastAsia="Arial" w:hAnsi="Arial"/>
                <w:sz w:val="17"/>
                <w:szCs w:val="17"/>
                <w:color w:val="auto"/>
              </w:rPr>
              <w:t>Director, Class II</w:t>
            </w:r>
          </w:p>
        </w:tc>
      </w:tr>
      <w:tr>
        <w:trPr>
          <w:trHeight w:val="250"/>
        </w:trPr>
        <w:tc>
          <w:tcPr>
            <w:tcW w:w="360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Hollings Renton, M.B.A.</w:t>
            </w:r>
            <w:r>
              <w:rPr>
                <w:rFonts w:ascii="Arial" w:cs="Arial" w:eastAsia="Arial" w:hAnsi="Arial"/>
                <w:sz w:val="23"/>
                <w:szCs w:val="23"/>
                <w:color w:val="auto"/>
                <w:vertAlign w:val="superscript"/>
              </w:rPr>
              <w:t>(2)(4)</w:t>
            </w:r>
          </w:p>
        </w:tc>
        <w:tc>
          <w:tcPr>
            <w:tcW w:w="1740" w:type="dxa"/>
            <w:vAlign w:val="bottom"/>
            <w:shd w:val="clear" w:color="auto" w:fill="CCEEFF"/>
          </w:tcPr>
          <w:p>
            <w:pPr>
              <w:jc w:val="center"/>
              <w:ind w:left="1177"/>
              <w:spacing w:after="0"/>
              <w:rPr>
                <w:sz w:val="20"/>
                <w:szCs w:val="20"/>
                <w:color w:val="auto"/>
              </w:rPr>
            </w:pPr>
            <w:r>
              <w:rPr>
                <w:rFonts w:ascii="Arial" w:cs="Arial" w:eastAsia="Arial" w:hAnsi="Arial"/>
                <w:sz w:val="17"/>
                <w:szCs w:val="17"/>
                <w:color w:val="auto"/>
                <w:w w:val="84"/>
              </w:rPr>
              <w:t>72</w:t>
            </w:r>
          </w:p>
        </w:tc>
        <w:tc>
          <w:tcPr>
            <w:tcW w:w="5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Director, Class III</w:t>
            </w:r>
          </w:p>
        </w:tc>
      </w:tr>
      <w:tr>
        <w:trPr>
          <w:trHeight w:val="250"/>
        </w:trPr>
        <w:tc>
          <w:tcPr>
            <w:tcW w:w="3600" w:type="dxa"/>
            <w:vAlign w:val="bottom"/>
          </w:tcPr>
          <w:p>
            <w:pPr>
              <w:ind w:left="20"/>
              <w:spacing w:after="0" w:line="250" w:lineRule="exact"/>
              <w:rPr>
                <w:sz w:val="20"/>
                <w:szCs w:val="20"/>
                <w:color w:val="auto"/>
              </w:rPr>
            </w:pPr>
            <w:r>
              <w:rPr>
                <w:rFonts w:ascii="Arial" w:cs="Arial" w:eastAsia="Arial" w:hAnsi="Arial"/>
                <w:sz w:val="17"/>
                <w:szCs w:val="17"/>
                <w:color w:val="auto"/>
              </w:rPr>
              <w:t>John P. Schmid, M.B.A.</w:t>
            </w:r>
            <w:r>
              <w:rPr>
                <w:rFonts w:ascii="Arial" w:cs="Arial" w:eastAsia="Arial" w:hAnsi="Arial"/>
                <w:sz w:val="23"/>
                <w:szCs w:val="23"/>
                <w:color w:val="auto"/>
                <w:vertAlign w:val="superscript"/>
              </w:rPr>
              <w:t>(1)(3)</w:t>
            </w:r>
          </w:p>
        </w:tc>
        <w:tc>
          <w:tcPr>
            <w:tcW w:w="1740" w:type="dxa"/>
            <w:vAlign w:val="bottom"/>
          </w:tcPr>
          <w:p>
            <w:pPr>
              <w:jc w:val="center"/>
              <w:ind w:left="1177"/>
              <w:spacing w:after="0"/>
              <w:rPr>
                <w:sz w:val="20"/>
                <w:szCs w:val="20"/>
                <w:color w:val="auto"/>
              </w:rPr>
            </w:pPr>
            <w:r>
              <w:rPr>
                <w:rFonts w:ascii="Arial" w:cs="Arial" w:eastAsia="Arial" w:hAnsi="Arial"/>
                <w:sz w:val="17"/>
                <w:szCs w:val="17"/>
                <w:color w:val="auto"/>
                <w:w w:val="84"/>
              </w:rPr>
              <w:t>56</w:t>
            </w:r>
          </w:p>
        </w:tc>
        <w:tc>
          <w:tcPr>
            <w:tcW w:w="5980" w:type="dxa"/>
            <w:vAlign w:val="bottom"/>
          </w:tcPr>
          <w:p>
            <w:pPr>
              <w:ind w:left="120"/>
              <w:spacing w:after="0"/>
              <w:rPr>
                <w:sz w:val="20"/>
                <w:szCs w:val="20"/>
                <w:color w:val="auto"/>
              </w:rPr>
            </w:pPr>
            <w:r>
              <w:rPr>
                <w:rFonts w:ascii="Arial" w:cs="Arial" w:eastAsia="Arial" w:hAnsi="Arial"/>
                <w:sz w:val="17"/>
                <w:szCs w:val="17"/>
                <w:color w:val="auto"/>
              </w:rPr>
              <w:t>Director, Class III</w:t>
            </w:r>
          </w:p>
        </w:tc>
      </w:tr>
      <w:tr>
        <w:trPr>
          <w:trHeight w:val="250"/>
        </w:trPr>
        <w:tc>
          <w:tcPr>
            <w:tcW w:w="360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James Topper, M.D., Ph.D.</w:t>
            </w:r>
            <w:r>
              <w:rPr>
                <w:rFonts w:ascii="Arial" w:cs="Arial" w:eastAsia="Arial" w:hAnsi="Arial"/>
                <w:sz w:val="23"/>
                <w:szCs w:val="23"/>
                <w:color w:val="auto"/>
                <w:vertAlign w:val="superscript"/>
              </w:rPr>
              <w:t>(2)</w:t>
            </w:r>
          </w:p>
        </w:tc>
        <w:tc>
          <w:tcPr>
            <w:tcW w:w="1740" w:type="dxa"/>
            <w:vAlign w:val="bottom"/>
            <w:shd w:val="clear" w:color="auto" w:fill="CCEEFF"/>
          </w:tcPr>
          <w:p>
            <w:pPr>
              <w:jc w:val="center"/>
              <w:ind w:left="1177"/>
              <w:spacing w:after="0"/>
              <w:rPr>
                <w:sz w:val="20"/>
                <w:szCs w:val="20"/>
                <w:color w:val="auto"/>
              </w:rPr>
            </w:pPr>
            <w:r>
              <w:rPr>
                <w:rFonts w:ascii="Arial" w:cs="Arial" w:eastAsia="Arial" w:hAnsi="Arial"/>
                <w:sz w:val="17"/>
                <w:szCs w:val="17"/>
                <w:color w:val="auto"/>
                <w:w w:val="84"/>
              </w:rPr>
              <w:t>57</w:t>
            </w:r>
          </w:p>
        </w:tc>
        <w:tc>
          <w:tcPr>
            <w:tcW w:w="5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Chairman of the Board, Class I</w:t>
            </w:r>
          </w:p>
        </w:tc>
      </w:tr>
    </w:tbl>
    <w:p>
      <w:pPr>
        <w:spacing w:after="0" w:line="225" w:lineRule="exact"/>
        <w:rPr>
          <w:sz w:val="20"/>
          <w:szCs w:val="20"/>
          <w:color w:val="auto"/>
        </w:rPr>
      </w:pPr>
    </w:p>
    <w:p>
      <w:pPr>
        <w:ind w:left="360" w:hanging="360"/>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54" w:lineRule="exact"/>
        <w:rPr>
          <w:rFonts w:ascii="Arial" w:cs="Arial" w:eastAsia="Arial" w:hAnsi="Arial"/>
          <w:sz w:val="17"/>
          <w:szCs w:val="17"/>
          <w:color w:val="auto"/>
        </w:rPr>
      </w:pPr>
    </w:p>
    <w:p>
      <w:pPr>
        <w:ind w:left="360" w:hanging="360"/>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54" w:lineRule="exact"/>
        <w:rPr>
          <w:rFonts w:ascii="Arial" w:cs="Arial" w:eastAsia="Arial" w:hAnsi="Arial"/>
          <w:sz w:val="17"/>
          <w:szCs w:val="17"/>
          <w:color w:val="auto"/>
        </w:rPr>
      </w:pPr>
    </w:p>
    <w:p>
      <w:pPr>
        <w:ind w:left="360" w:hanging="360"/>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54" w:lineRule="exact"/>
        <w:rPr>
          <w:rFonts w:ascii="Arial" w:cs="Arial" w:eastAsia="Arial" w:hAnsi="Arial"/>
          <w:sz w:val="17"/>
          <w:szCs w:val="17"/>
          <w:color w:val="auto"/>
        </w:rPr>
      </w:pPr>
    </w:p>
    <w:p>
      <w:pPr>
        <w:ind w:left="360" w:hanging="360"/>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Lead Independent Director</w:t>
      </w:r>
    </w:p>
    <w:p>
      <w:pPr>
        <w:spacing w:after="0" w:line="204"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b w:val="1"/>
          <w:bCs w:val="1"/>
          <w:i w:val="1"/>
          <w:iCs w:val="1"/>
          <w:color w:val="auto"/>
        </w:rPr>
        <w:t>Dennis Fenton, Ph.D</w:t>
      </w:r>
      <w:r>
        <w:rPr>
          <w:rFonts w:ascii="Arial" w:cs="Arial" w:eastAsia="Arial" w:hAnsi="Arial"/>
          <w:sz w:val="15"/>
          <w:szCs w:val="15"/>
          <w:i w:val="1"/>
          <w:iCs w:val="1"/>
          <w:color w:val="auto"/>
        </w:rPr>
        <w:t>.</w:t>
      </w:r>
      <w:r>
        <w:rPr>
          <w:rFonts w:ascii="Arial" w:cs="Arial" w:eastAsia="Arial" w:hAnsi="Arial"/>
          <w:sz w:val="15"/>
          <w:szCs w:val="15"/>
          <w:color w:val="auto"/>
        </w:rPr>
        <w:t>, has served as a member of our board of directors since March 2018. From 1981 to 2008, Dr. Fenton held numerous positions at Amgen, Inc.,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Dr. Fenton currently serves on the board of directors of Sienna Biopharmaceuticals, Portola Pharmaceuticals, and Pfenex Inc. He previously served on the boards of directors of XenoPort, Inc. and Kythera Biopharmaceuticals, Inc., as well as several private company boards. Dr. Fenton holds a B.S. in Biology from Manhattan College and a Ph.D. in Microbiology from Rutgers University. Our board of directors believes that Dr. Fenton’s extensive experience in the life sciences industry provides him with the qualifications and skills to serve on our board of directors.</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b w:val="1"/>
          <w:bCs w:val="1"/>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 November 2005. Dr. Lydon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 Amgen in 2000. Prior to joining Kinetix, Dr. Lydon worked at CIBA-GEIGY, AG (Novartis) in Basel, Switzerland from 1985 to 1997, where he was responsible for the protein kinase inhibitor program, including 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76"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i w:val="1"/>
          <w:iCs w:val="1"/>
          <w:color w:val="auto"/>
        </w:rPr>
        <w:t xml:space="preserve">Hollings Renton, M.B.A., </w:t>
      </w:r>
      <w:r>
        <w:rPr>
          <w:rFonts w:ascii="Arial" w:cs="Arial" w:eastAsia="Arial" w:hAnsi="Arial"/>
          <w:sz w:val="17"/>
          <w:szCs w:val="17"/>
          <w:color w:val="auto"/>
        </w:rPr>
        <w:t>has served as a member of our board of directors since June 2015. Mr. Renton previously served as the Chief Executive Officer and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Chiron Corporation, Mr. Renton served as the President of Cetus Corporation from 1990 to 1991, as Chief Operating Officer from 1987 to 1990, and as Chief Financial Officer from 1983 to 1987. Mr. Renton currently serves as chairperson of the board of directors of Portola Pharmaceuticals, Inc. and currently serves on the board of directors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51" w:right="239" w:bottom="1440" w:gutter="0" w:footer="0" w:header="0"/>
        </w:sectPr>
      </w:pPr>
    </w:p>
    <w:bookmarkStart w:id="15" w:name="page16"/>
    <w:bookmarkEnd w:id="15"/>
    <w:p>
      <w:pPr>
        <w:ind w:right="160"/>
        <w:spacing w:after="0" w:line="251" w:lineRule="auto"/>
        <w:rPr>
          <w:sz w:val="20"/>
          <w:szCs w:val="20"/>
          <w:color w:val="auto"/>
        </w:rPr>
      </w:pPr>
      <w:r>
        <w:rPr>
          <w:rFonts w:ascii="Arial" w:cs="Arial" w:eastAsia="Arial" w:hAnsi="Arial"/>
          <w:sz w:val="17"/>
          <w:szCs w:val="17"/>
          <w:color w:val="auto"/>
        </w:rPr>
        <w:t>Zymeworks Inc. He previously served on the boards of directors of Cepheid, Inc., Kythera Biopharmaceuticals, Inc., Rigel Pharmaceuticals, Inc., Affymax Inc., Sangstat Medical Corporation, Special Olympics Northern California and the Biotechnology Industry Organization. Mr. Renton received his M.B.A. from the University of Michigan and his B.S. in Mathematics from Colorado State University. Our board of directors believes that Mr. Renton’s extensive industry experience and board memberships provide him with the qualifications and skills to serve on our board of directors.</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i w:val="1"/>
          <w:iCs w:val="1"/>
          <w:color w:val="auto"/>
        </w:rPr>
        <w:t xml:space="preserve">John P. Schmid, M.B.A., </w:t>
      </w:r>
      <w:r>
        <w:rPr>
          <w:rFonts w:ascii="Arial" w:cs="Arial" w:eastAsia="Arial" w:hAnsi="Arial"/>
          <w:sz w:val="15"/>
          <w:szCs w:val="15"/>
          <w:color w:val="auto"/>
        </w:rPr>
        <w:t>has served as a member of our board of directors since June 2015. Mr. Schmid served as Chief Financial Officer of Auspex Pharmaceuticals, Inc.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 1998 to 2003, and at Endonetics, a private medical device company, from 1995 to 1998. Mr. Schmid currently serves as a member of the board of directors of Neos Therapeutics, Poseida Therapeutics, Xeris Pharmaceuticals and Forge Therapeutics, all pharmaceutical companies, and as the chairman of the board of directors of Speak, Inc., a speakers’ bureau, which he helped found in 1989.</w:t>
      </w:r>
    </w:p>
    <w:p>
      <w:pPr>
        <w:spacing w:after="0" w:line="3"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auto"/>
        </w:rPr>
        <w:t>Mr. Schmid received his M.B.A. from the University of San Diego and his B.A. from Wesleyan University. Our board of directors believes that Mr. Schmid’s extensive industry experience and executive positions at multiple biopharmaceutical companies qualify him to serve on our board of directors.</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auto"/>
        </w:rPr>
        <w:t>James N. Topper, M.D., Ph.D.</w:t>
      </w:r>
      <w:r>
        <w:rPr>
          <w:rFonts w:ascii="Arial" w:cs="Arial" w:eastAsia="Arial" w:hAnsi="Arial"/>
          <w:sz w:val="16"/>
          <w:szCs w:val="16"/>
          <w:color w:val="auto"/>
        </w:rPr>
        <w:t>, has served as a member of our board of directors since November 2007. Dr. Topper has been a partner with Frazier Healthcare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2003, serving as General Partner since 2005. 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led and served as a board member for many of Frazier Healthcare’s life sciences investments, including Acerta Pharma BV, Calistoga Pharmaceuticals, Inc., Rempex Pharmaceuticals, Inc., Incline Therapeutics, Inc., Alnara Pharmaceuticals, Inc., Portola Pharmaceuticals, Inc., CoTherix, Inc., and Threshold Pharmaceuticals, Inc. He serves as a board member of Allena Pharmaceuticals, Inc., Alpine Immune Sciences, Inc., Aptinyx Inc., Entasis Therapeutics Holdings Inc., Mavupharma, Inc., and Amunix Pharmaceuticals Inc. He is also a board observer for Alcresta Therapeutics, Inc. and Sojournix, Inc. Dr. Topper received his M.D. and Ph.D. in biophysics from Stanford University and his B.S. in biology from the University of Michigan. Our board of directors believes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familial relationships among any of our directors and executive officers.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total compensation for each person who served as a non-employee member of our board of directors in the year ended December 31, 2018.</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Mr. Suria, our Chief Executive Officer, received no compensation for his service as a director in the year ended December 31, 2018.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00" w:type="dxa"/>
            <w:vAlign w:val="bottom"/>
          </w:tcPr>
          <w:p>
            <w:pPr>
              <w:spacing w:after="0"/>
              <w:rPr>
                <w:sz w:val="17"/>
                <w:szCs w:val="17"/>
                <w:color w:val="auto"/>
              </w:rPr>
            </w:pPr>
          </w:p>
        </w:tc>
        <w:tc>
          <w:tcPr>
            <w:tcW w:w="3880" w:type="dxa"/>
            <w:vAlign w:val="bottom"/>
          </w:tcPr>
          <w:p>
            <w:pPr>
              <w:jc w:val="center"/>
              <w:ind w:left="2437"/>
              <w:spacing w:after="0"/>
              <w:rPr>
                <w:sz w:val="20"/>
                <w:szCs w:val="20"/>
                <w:color w:val="auto"/>
              </w:rPr>
            </w:pPr>
            <w:r>
              <w:rPr>
                <w:rFonts w:ascii="Arial" w:cs="Arial" w:eastAsia="Arial" w:hAnsi="Arial"/>
                <w:sz w:val="17"/>
                <w:szCs w:val="17"/>
                <w:b w:val="1"/>
                <w:bCs w:val="1"/>
                <w:color w:val="auto"/>
                <w:w w:val="86"/>
              </w:rPr>
              <w:t>Fees Earned</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800" w:type="dxa"/>
            <w:vAlign w:val="bottom"/>
          </w:tcPr>
          <w:p>
            <w:pPr>
              <w:spacing w:after="0"/>
              <w:rPr>
                <w:sz w:val="17"/>
                <w:szCs w:val="17"/>
                <w:color w:val="auto"/>
              </w:rPr>
            </w:pPr>
          </w:p>
        </w:tc>
        <w:tc>
          <w:tcPr>
            <w:tcW w:w="3880" w:type="dxa"/>
            <w:vAlign w:val="bottom"/>
          </w:tcPr>
          <w:p>
            <w:pPr>
              <w:jc w:val="center"/>
              <w:ind w:left="2457"/>
              <w:spacing w:after="0"/>
              <w:rPr>
                <w:sz w:val="20"/>
                <w:szCs w:val="20"/>
                <w:color w:val="auto"/>
              </w:rPr>
            </w:pPr>
            <w:r>
              <w:rPr>
                <w:rFonts w:ascii="Arial" w:cs="Arial" w:eastAsia="Arial" w:hAnsi="Arial"/>
                <w:sz w:val="17"/>
                <w:szCs w:val="17"/>
                <w:b w:val="1"/>
                <w:bCs w:val="1"/>
                <w:color w:val="auto"/>
                <w:w w:val="88"/>
              </w:rPr>
              <w:t>or Paid in Cash</w:t>
            </w:r>
          </w:p>
        </w:tc>
        <w:tc>
          <w:tcPr>
            <w:tcW w:w="1600" w:type="dxa"/>
            <w:vAlign w:val="bottom"/>
          </w:tcPr>
          <w:p>
            <w:pPr>
              <w:jc w:val="right"/>
              <w:ind w:right="197"/>
              <w:spacing w:after="0" w:line="200" w:lineRule="exact"/>
              <w:rPr>
                <w:sz w:val="20"/>
                <w:szCs w:val="20"/>
                <w:color w:val="auto"/>
              </w:rPr>
            </w:pPr>
            <w:r>
              <w:rPr>
                <w:rFonts w:ascii="Arial" w:cs="Arial" w:eastAsia="Arial" w:hAnsi="Arial"/>
                <w:sz w:val="17"/>
                <w:szCs w:val="17"/>
                <w:b w:val="1"/>
                <w:bCs w:val="1"/>
                <w:color w:val="auto"/>
                <w:w w:val="93"/>
              </w:rPr>
              <w:t>Option Awards</w:t>
            </w:r>
            <w:r>
              <w:rPr>
                <w:rFonts w:ascii="Arial" w:cs="Arial" w:eastAsia="Arial" w:hAnsi="Arial"/>
                <w:sz w:val="23"/>
                <w:szCs w:val="23"/>
                <w:b w:val="1"/>
                <w:bCs w:val="1"/>
                <w:color w:val="auto"/>
                <w:w w:val="93"/>
                <w:vertAlign w:val="superscript"/>
              </w:rPr>
              <w:t>(2)</w:t>
            </w:r>
          </w:p>
        </w:tc>
        <w:tc>
          <w:tcPr>
            <w:tcW w:w="1140" w:type="dxa"/>
            <w:vAlign w:val="bottom"/>
          </w:tcPr>
          <w:p>
            <w:pPr>
              <w:jc w:val="right"/>
              <w:ind w:right="397"/>
              <w:spacing w:after="0"/>
              <w:rPr>
                <w:sz w:val="20"/>
                <w:szCs w:val="20"/>
                <w:color w:val="auto"/>
              </w:rPr>
            </w:pPr>
            <w:r>
              <w:rPr>
                <w:rFonts w:ascii="Arial" w:cs="Arial" w:eastAsia="Arial" w:hAnsi="Arial"/>
                <w:sz w:val="17"/>
                <w:szCs w:val="17"/>
                <w:b w:val="1"/>
                <w:bCs w:val="1"/>
                <w:color w:val="auto"/>
              </w:rPr>
              <w:t>Total</w:t>
            </w:r>
          </w:p>
        </w:tc>
      </w:tr>
      <w:tr>
        <w:trPr>
          <w:trHeight w:val="241"/>
        </w:trPr>
        <w:tc>
          <w:tcPr>
            <w:tcW w:w="4800" w:type="dxa"/>
            <w:vAlign w:val="bottom"/>
            <w:tcBorders>
              <w:bottom w:val="single" w:sz="8" w:color="auto"/>
            </w:tcBorders>
          </w:tcPr>
          <w:p>
            <w:pPr>
              <w:ind w:left="20"/>
              <w:spacing w:after="0" w:line="241" w:lineRule="exact"/>
              <w:rPr>
                <w:sz w:val="20"/>
                <w:szCs w:val="20"/>
                <w:color w:val="auto"/>
              </w:rPr>
            </w:pPr>
            <w:r>
              <w:rPr>
                <w:rFonts w:ascii="Arial" w:cs="Arial" w:eastAsia="Arial" w:hAnsi="Arial"/>
                <w:sz w:val="17"/>
                <w:szCs w:val="17"/>
                <w:b w:val="1"/>
                <w:bCs w:val="1"/>
                <w:color w:val="auto"/>
              </w:rPr>
              <w:t>Name</w:t>
            </w:r>
            <w:r>
              <w:rPr>
                <w:rFonts w:ascii="Arial" w:cs="Arial" w:eastAsia="Arial" w:hAnsi="Arial"/>
                <w:sz w:val="23"/>
                <w:szCs w:val="23"/>
                <w:b w:val="1"/>
                <w:bCs w:val="1"/>
                <w:color w:val="auto"/>
                <w:vertAlign w:val="superscript"/>
              </w:rPr>
              <w:t>(1)</w:t>
            </w:r>
          </w:p>
        </w:tc>
        <w:tc>
          <w:tcPr>
            <w:tcW w:w="3880" w:type="dxa"/>
            <w:vAlign w:val="bottom"/>
            <w:tcBorders>
              <w:bottom w:val="single" w:sz="8" w:color="auto"/>
            </w:tcBorders>
          </w:tcPr>
          <w:p>
            <w:pPr>
              <w:jc w:val="center"/>
              <w:ind w:left="2477"/>
              <w:spacing w:after="0"/>
              <w:rPr>
                <w:sz w:val="20"/>
                <w:szCs w:val="20"/>
                <w:color w:val="auto"/>
              </w:rPr>
            </w:pPr>
            <w:r>
              <w:rPr>
                <w:rFonts w:ascii="Arial" w:cs="Arial" w:eastAsia="Arial" w:hAnsi="Arial"/>
                <w:sz w:val="17"/>
                <w:szCs w:val="17"/>
                <w:b w:val="1"/>
                <w:bCs w:val="1"/>
                <w:color w:val="auto"/>
                <w:w w:val="96"/>
              </w:rPr>
              <w:t>($)</w:t>
            </w:r>
          </w:p>
        </w:tc>
        <w:tc>
          <w:tcPr>
            <w:tcW w:w="1600" w:type="dxa"/>
            <w:vAlign w:val="bottom"/>
            <w:tcBorders>
              <w:bottom w:val="single" w:sz="8" w:color="auto"/>
            </w:tcBorders>
          </w:tcPr>
          <w:p>
            <w:pPr>
              <w:jc w:val="right"/>
              <w:ind w:right="717"/>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w:t>
            </w:r>
          </w:p>
        </w:tc>
      </w:tr>
      <w:tr>
        <w:trPr>
          <w:trHeight w:val="222"/>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Dennis Fenton, Ph.D.</w:t>
            </w:r>
          </w:p>
        </w:tc>
        <w:tc>
          <w:tcPr>
            <w:tcW w:w="3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54,586</w:t>
            </w:r>
          </w:p>
        </w:tc>
        <w:tc>
          <w:tcPr>
            <w:tcW w:w="160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835,714</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890,300</w:t>
            </w:r>
          </w:p>
        </w:tc>
      </w:tr>
      <w:tr>
        <w:trPr>
          <w:trHeight w:val="250"/>
        </w:trPr>
        <w:tc>
          <w:tcPr>
            <w:tcW w:w="4800" w:type="dxa"/>
            <w:vAlign w:val="bottom"/>
          </w:tcPr>
          <w:p>
            <w:pPr>
              <w:ind w:left="20"/>
              <w:spacing w:after="0" w:line="250" w:lineRule="exact"/>
              <w:rPr>
                <w:sz w:val="20"/>
                <w:szCs w:val="20"/>
                <w:color w:val="auto"/>
              </w:rPr>
            </w:pPr>
            <w:r>
              <w:rPr>
                <w:rFonts w:ascii="Arial" w:cs="Arial" w:eastAsia="Arial" w:hAnsi="Arial"/>
                <w:sz w:val="17"/>
                <w:szCs w:val="17"/>
                <w:color w:val="auto"/>
              </w:rPr>
              <w:t>Carol Gallagher, Pharm. D.</w:t>
            </w:r>
            <w:r>
              <w:rPr>
                <w:rFonts w:ascii="Arial" w:cs="Arial" w:eastAsia="Arial" w:hAnsi="Arial"/>
                <w:sz w:val="23"/>
                <w:szCs w:val="23"/>
                <w:color w:val="auto"/>
                <w:vertAlign w:val="superscript"/>
              </w:rPr>
              <w:t>(3)</w:t>
            </w:r>
          </w:p>
        </w:tc>
        <w:tc>
          <w:tcPr>
            <w:tcW w:w="3880" w:type="dxa"/>
            <w:vAlign w:val="bottom"/>
          </w:tcPr>
          <w:p>
            <w:pPr>
              <w:jc w:val="right"/>
              <w:ind w:right="17"/>
              <w:spacing w:after="0"/>
              <w:rPr>
                <w:sz w:val="20"/>
                <w:szCs w:val="20"/>
                <w:color w:val="auto"/>
              </w:rPr>
            </w:pPr>
            <w:r>
              <w:rPr>
                <w:rFonts w:ascii="Arial" w:cs="Arial" w:eastAsia="Arial" w:hAnsi="Arial"/>
                <w:sz w:val="17"/>
                <w:szCs w:val="17"/>
                <w:color w:val="auto"/>
              </w:rPr>
              <w:t>10,222</w:t>
            </w:r>
          </w:p>
        </w:tc>
        <w:tc>
          <w:tcPr>
            <w:tcW w:w="1600" w:type="dxa"/>
            <w:vAlign w:val="bottom"/>
          </w:tcPr>
          <w:p>
            <w:pPr>
              <w:jc w:val="right"/>
              <w:ind w:right="237"/>
              <w:spacing w:after="0"/>
              <w:rPr>
                <w:sz w:val="20"/>
                <w:szCs w:val="20"/>
                <w:color w:val="auto"/>
              </w:rPr>
            </w:pPr>
            <w:r>
              <w:rPr>
                <w:rFonts w:ascii="Arial" w:cs="Arial" w:eastAsia="Arial" w:hAnsi="Arial"/>
                <w:sz w:val="17"/>
                <w:szCs w:val="17"/>
                <w:color w:val="auto"/>
              </w:rPr>
              <w:t>383,929</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394,151</w:t>
            </w: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Nicholas B. Lydon, Ph.D., FRS</w:t>
            </w:r>
          </w:p>
        </w:tc>
        <w:tc>
          <w:tcPr>
            <w:tcW w:w="3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55,000</w:t>
            </w:r>
          </w:p>
        </w:tc>
        <w:tc>
          <w:tcPr>
            <w:tcW w:w="160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383,929</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438,929</w:t>
            </w:r>
          </w:p>
        </w:tc>
      </w:tr>
      <w:tr>
        <w:trPr>
          <w:trHeight w:val="225"/>
        </w:trPr>
        <w:tc>
          <w:tcPr>
            <w:tcW w:w="4800" w:type="dxa"/>
            <w:vAlign w:val="bottom"/>
          </w:tcPr>
          <w:p>
            <w:pPr>
              <w:ind w:left="20"/>
              <w:spacing w:after="0"/>
              <w:rPr>
                <w:sz w:val="20"/>
                <w:szCs w:val="20"/>
                <w:color w:val="auto"/>
              </w:rPr>
            </w:pPr>
            <w:r>
              <w:rPr>
                <w:rFonts w:ascii="Arial" w:cs="Arial" w:eastAsia="Arial" w:hAnsi="Arial"/>
                <w:sz w:val="17"/>
                <w:szCs w:val="17"/>
                <w:color w:val="auto"/>
              </w:rPr>
              <w:t>Hollings Renton, M.B.A.</w:t>
            </w:r>
          </w:p>
        </w:tc>
        <w:tc>
          <w:tcPr>
            <w:tcW w:w="3880" w:type="dxa"/>
            <w:vAlign w:val="bottom"/>
          </w:tcPr>
          <w:p>
            <w:pPr>
              <w:jc w:val="right"/>
              <w:ind w:right="17"/>
              <w:spacing w:after="0"/>
              <w:rPr>
                <w:sz w:val="20"/>
                <w:szCs w:val="20"/>
                <w:color w:val="auto"/>
              </w:rPr>
            </w:pPr>
            <w:r>
              <w:rPr>
                <w:rFonts w:ascii="Arial" w:cs="Arial" w:eastAsia="Arial" w:hAnsi="Arial"/>
                <w:sz w:val="17"/>
                <w:szCs w:val="17"/>
                <w:color w:val="auto"/>
              </w:rPr>
              <w:t>67,500</w:t>
            </w:r>
          </w:p>
        </w:tc>
        <w:tc>
          <w:tcPr>
            <w:tcW w:w="1600" w:type="dxa"/>
            <w:vAlign w:val="bottom"/>
          </w:tcPr>
          <w:p>
            <w:pPr>
              <w:jc w:val="right"/>
              <w:ind w:right="237"/>
              <w:spacing w:after="0"/>
              <w:rPr>
                <w:sz w:val="20"/>
                <w:szCs w:val="20"/>
                <w:color w:val="auto"/>
              </w:rPr>
            </w:pPr>
            <w:r>
              <w:rPr>
                <w:rFonts w:ascii="Arial" w:cs="Arial" w:eastAsia="Arial" w:hAnsi="Arial"/>
                <w:sz w:val="17"/>
                <w:szCs w:val="17"/>
                <w:color w:val="auto"/>
              </w:rPr>
              <w:t>383,929</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451,429</w:t>
            </w:r>
          </w:p>
        </w:tc>
      </w:tr>
      <w:tr>
        <w:trPr>
          <w:trHeight w:val="25"/>
        </w:trPr>
        <w:tc>
          <w:tcPr>
            <w:tcW w:w="48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John P. Schmid, M.B.A.</w:t>
            </w:r>
          </w:p>
        </w:tc>
        <w:tc>
          <w:tcPr>
            <w:tcW w:w="3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55,000</w:t>
            </w:r>
          </w:p>
        </w:tc>
        <w:tc>
          <w:tcPr>
            <w:tcW w:w="160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383,929</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438,929</w:t>
            </w:r>
          </w:p>
        </w:tc>
      </w:tr>
      <w:tr>
        <w:trPr>
          <w:trHeight w:val="250"/>
        </w:trPr>
        <w:tc>
          <w:tcPr>
            <w:tcW w:w="4800" w:type="dxa"/>
            <w:vAlign w:val="bottom"/>
          </w:tcPr>
          <w:p>
            <w:pPr>
              <w:ind w:left="20"/>
              <w:spacing w:after="0" w:line="250" w:lineRule="exact"/>
              <w:rPr>
                <w:sz w:val="20"/>
                <w:szCs w:val="20"/>
                <w:color w:val="auto"/>
              </w:rPr>
            </w:pPr>
            <w:r>
              <w:rPr>
                <w:rFonts w:ascii="Arial" w:cs="Arial" w:eastAsia="Arial" w:hAnsi="Arial"/>
                <w:sz w:val="17"/>
                <w:szCs w:val="17"/>
                <w:color w:val="auto"/>
              </w:rPr>
              <w:t>Jim Schoeneck</w:t>
            </w:r>
            <w:r>
              <w:rPr>
                <w:rFonts w:ascii="Arial" w:cs="Arial" w:eastAsia="Arial" w:hAnsi="Arial"/>
                <w:sz w:val="23"/>
                <w:szCs w:val="23"/>
                <w:color w:val="auto"/>
                <w:vertAlign w:val="superscript"/>
              </w:rPr>
              <w:t>(4)</w:t>
            </w:r>
          </w:p>
        </w:tc>
        <w:tc>
          <w:tcPr>
            <w:tcW w:w="3880" w:type="dxa"/>
            <w:vAlign w:val="bottom"/>
          </w:tcPr>
          <w:p>
            <w:pPr>
              <w:jc w:val="right"/>
              <w:ind w:right="17"/>
              <w:spacing w:after="0"/>
              <w:rPr>
                <w:sz w:val="20"/>
                <w:szCs w:val="20"/>
                <w:color w:val="auto"/>
              </w:rPr>
            </w:pPr>
            <w:r>
              <w:rPr>
                <w:rFonts w:ascii="Arial" w:cs="Arial" w:eastAsia="Arial" w:hAnsi="Arial"/>
                <w:sz w:val="17"/>
                <w:szCs w:val="17"/>
                <w:color w:val="auto"/>
              </w:rPr>
              <w:t>13,486</w:t>
            </w:r>
          </w:p>
        </w:tc>
        <w:tc>
          <w:tcPr>
            <w:tcW w:w="1600" w:type="dxa"/>
            <w:vAlign w:val="bottom"/>
          </w:tcPr>
          <w:p>
            <w:pPr>
              <w:jc w:val="right"/>
              <w:ind w:right="237"/>
              <w:spacing w:after="0"/>
              <w:rPr>
                <w:sz w:val="20"/>
                <w:szCs w:val="20"/>
                <w:color w:val="auto"/>
              </w:rPr>
            </w:pPr>
            <w:r>
              <w:rPr>
                <w:rFonts w:ascii="Arial" w:cs="Arial" w:eastAsia="Arial" w:hAnsi="Arial"/>
                <w:sz w:val="17"/>
                <w:szCs w:val="17"/>
                <w:color w:val="auto"/>
              </w:rPr>
              <w:t>383,929</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397,415</w:t>
            </w: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James Topper, M.D., Ph.D.</w:t>
            </w:r>
          </w:p>
        </w:tc>
        <w:tc>
          <w:tcPr>
            <w:tcW w:w="3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68,750</w:t>
            </w:r>
          </w:p>
        </w:tc>
        <w:tc>
          <w:tcPr>
            <w:tcW w:w="160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383,929</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452,679</w:t>
            </w:r>
          </w:p>
        </w:tc>
      </w:tr>
      <w:tr>
        <w:trPr>
          <w:trHeight w:val="225"/>
        </w:trPr>
        <w:tc>
          <w:tcPr>
            <w:tcW w:w="4800" w:type="dxa"/>
            <w:vAlign w:val="bottom"/>
          </w:tcPr>
          <w:p>
            <w:pPr>
              <w:ind w:left="20"/>
              <w:spacing w:after="0"/>
              <w:rPr>
                <w:sz w:val="20"/>
                <w:szCs w:val="20"/>
                <w:color w:val="auto"/>
              </w:rPr>
            </w:pPr>
            <w:r>
              <w:rPr>
                <w:rFonts w:ascii="Arial" w:cs="Arial" w:eastAsia="Arial" w:hAnsi="Arial"/>
                <w:sz w:val="17"/>
                <w:szCs w:val="17"/>
                <w:color w:val="auto"/>
              </w:rPr>
              <w:t>J. Anthony Ware, M.D.</w:t>
            </w:r>
          </w:p>
        </w:tc>
        <w:tc>
          <w:tcPr>
            <w:tcW w:w="3880" w:type="dxa"/>
            <w:vAlign w:val="bottom"/>
          </w:tcPr>
          <w:p>
            <w:pPr>
              <w:jc w:val="right"/>
              <w:ind w:right="17"/>
              <w:spacing w:after="0"/>
              <w:rPr>
                <w:sz w:val="20"/>
                <w:szCs w:val="20"/>
                <w:color w:val="auto"/>
              </w:rPr>
            </w:pPr>
            <w:r>
              <w:rPr>
                <w:rFonts w:ascii="Arial" w:cs="Arial" w:eastAsia="Arial" w:hAnsi="Arial"/>
                <w:sz w:val="17"/>
                <w:szCs w:val="17"/>
                <w:color w:val="auto"/>
              </w:rPr>
              <w:t>61,167</w:t>
            </w:r>
          </w:p>
        </w:tc>
        <w:tc>
          <w:tcPr>
            <w:tcW w:w="1600" w:type="dxa"/>
            <w:vAlign w:val="bottom"/>
          </w:tcPr>
          <w:p>
            <w:pPr>
              <w:jc w:val="right"/>
              <w:ind w:right="237"/>
              <w:spacing w:after="0"/>
              <w:rPr>
                <w:sz w:val="20"/>
                <w:szCs w:val="20"/>
                <w:color w:val="auto"/>
              </w:rPr>
            </w:pPr>
            <w:r>
              <w:rPr>
                <w:rFonts w:ascii="Arial" w:cs="Arial" w:eastAsia="Arial" w:hAnsi="Arial"/>
                <w:sz w:val="17"/>
                <w:szCs w:val="17"/>
                <w:color w:val="auto"/>
              </w:rPr>
              <w:t>383,929</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445,096</w:t>
            </w:r>
          </w:p>
        </w:tc>
      </w:tr>
    </w:tbl>
    <w:p>
      <w:pPr>
        <w:spacing w:after="0" w:line="212" w:lineRule="exact"/>
        <w:rPr>
          <w:sz w:val="20"/>
          <w:szCs w:val="20"/>
          <w:color w:val="auto"/>
        </w:rPr>
      </w:pPr>
    </w:p>
    <w:p>
      <w:pPr>
        <w:ind w:left="360" w:right="180" w:hanging="360"/>
        <w:spacing w:after="0" w:line="255"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December 31, 2018, Dr. Fenton held outstanding options to purchase 11,507 shares of common stock with a weighted-average exercise price of $118.97 per share; Dr. Lydon held outstanding options to purchase 52,012 shares of common stock with a weighted-average exercise price of $17.99 per share; Mr. Renton held outstanding options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551" w:right="239" w:bottom="1440" w:gutter="0" w:footer="0" w:header="0"/>
        </w:sectPr>
      </w:pPr>
    </w:p>
    <w:bookmarkStart w:id="16" w:name="page17"/>
    <w:bookmarkEnd w:id="16"/>
    <w:p>
      <w:pPr>
        <w:ind w:left="360"/>
        <w:spacing w:after="0" w:line="297" w:lineRule="auto"/>
        <w:rPr>
          <w:sz w:val="20"/>
          <w:szCs w:val="20"/>
          <w:color w:val="auto"/>
        </w:rPr>
      </w:pPr>
      <w:r>
        <w:rPr>
          <w:rFonts w:ascii="Arial" w:cs="Arial" w:eastAsia="Arial" w:hAnsi="Arial"/>
          <w:sz w:val="17"/>
          <w:szCs w:val="17"/>
          <w:color w:val="auto"/>
        </w:rPr>
        <w:t>purchase 72,156 shares of common stock with a weighted-average exercise price of $17.53 per share; Mr. Schmid held outstanding options to purchase 63,337 shares of common stock with a weighted-average exercise price of $18.74 per share; Dr. Topper held outstanding options to purchase 21,000 shares of common stock with an exercise price of $44.65 per share; and Dr. Ware held outstanding options to purchase 45,265 shares of common stock with an weighted-average exercise price of $36.13 per share.</w:t>
      </w:r>
    </w:p>
    <w:p>
      <w:pPr>
        <w:spacing w:after="0" w:line="55" w:lineRule="exact"/>
        <w:rPr>
          <w:sz w:val="20"/>
          <w:szCs w:val="20"/>
          <w:color w:val="auto"/>
        </w:rPr>
      </w:pPr>
    </w:p>
    <w:p>
      <w:pPr>
        <w:ind w:left="360" w:hanging="360"/>
        <w:spacing w:after="0" w:line="291"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amounts reported in the Option Awards column represent the grant date fair value of the stock options granted to the directors during the year ended December 31, 2018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2018. Note that the amounts reported in this column reflect the accounting cost for these stock options, and do not correspond to the actual economic value that may be received by our directors from the options.</w:t>
      </w:r>
    </w:p>
    <w:p>
      <w:pPr>
        <w:spacing w:after="0" w:line="102" w:lineRule="exact"/>
        <w:rPr>
          <w:rFonts w:ascii="Arial" w:cs="Arial" w:eastAsia="Arial" w:hAnsi="Arial"/>
          <w:sz w:val="15"/>
          <w:szCs w:val="15"/>
          <w:color w:val="auto"/>
        </w:rPr>
      </w:pPr>
    </w:p>
    <w:p>
      <w:pPr>
        <w:ind w:left="360" w:hanging="360"/>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Resigned from the board of directors in March 2018.</w:t>
      </w:r>
    </w:p>
    <w:p>
      <w:pPr>
        <w:spacing w:after="0" w:line="191" w:lineRule="exact"/>
        <w:rPr>
          <w:rFonts w:ascii="Arial" w:cs="Arial" w:eastAsia="Arial" w:hAnsi="Arial"/>
          <w:sz w:val="17"/>
          <w:szCs w:val="17"/>
          <w:color w:val="auto"/>
        </w:rPr>
      </w:pPr>
    </w:p>
    <w:p>
      <w:pPr>
        <w:ind w:left="360" w:hanging="360"/>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Resigned from the board of directors in March 2018.</w:t>
      </w:r>
    </w:p>
    <w:p>
      <w:pPr>
        <w:spacing w:after="0" w:line="241"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In February 2019, our board of directors approved non-employee director compensation that will provide each of our non-employee directors with an annual retainer of $40,000. Additionally, our lead director and the chairpersons of our board of directors, audit, compensation, nominating and corporate governance, and research and development committees will receive an additional annual payment of $20,000, $15,000 ($30,000 if no lead director is serving), $15,000, $10,000, $7,500 and $15,000, respectively; and the other members of our audit, compensation, nominating and corporate governance, and research and development committees will receive an additional annual payment of $7,500, $5,000, $3,750 and $10,000, respectively.</w:t>
      </w:r>
    </w:p>
    <w:p>
      <w:pPr>
        <w:spacing w:after="0" w:line="167"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color w:val="auto"/>
        </w:rPr>
        <w:t>Each of our non-employee directors will also receive an annual stock option grant to purchase 6,000 shares of common stock, which stock option will vest in equal monthly installments over one year, subject to the director’s continued service. Additionally, new non-employee directors will receive a stock option to purchase 6,000 shares of common stock, which stock option will vest in equal monthly installments over three years, subject to the director’s continued service.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OUR BOARD OF DIRECTORS RECOMMENDS A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ELECTION OF EACH OF THE NOMINATED CLASS II DIRECTORS.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377" w:right="27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RATIFICATION OF INDEPENDENT REGISTERED PUBLIC ACCOUNTING FIRM</w:t>
      </w:r>
    </w:p>
    <w:p>
      <w:pPr>
        <w:spacing w:after="0" w:line="29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Our audit committee has selected KPMG LLP as our principal independent registered public accounting firm to perform the audit of our consolidated financial statements for the fiscal year ending December 31, 2019. KPMG LLP audited our financial statements for the fiscal years ended December 31, 2018 and 2017. We expect that representatives of KPMG LLP will be present at the Annual Meeting, will be able to make a statement if they so desire and will be available to respond to appropriate questions.</w:t>
      </w:r>
    </w:p>
    <w:p>
      <w:pPr>
        <w:spacing w:after="0" w:line="180"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At the Annual Meeting, the stockholders are being asked to ratify the appointment of KPMG LLP as our independent registered public accounting firm for the fiscal year ending December 31, 2019.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fees for services rendered by KPMG LLP for the years ended December 31, 2018 and 2017 (in thousands).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Accountant Fees and Services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Fees Billed to AnaptysBio</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98"/>
              </w:rPr>
              <w:t>Fiscal Year 2018</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96"/>
              </w:rPr>
              <w:t>Fiscal Year 2017</w:t>
            </w:r>
          </w:p>
        </w:tc>
        <w:tc>
          <w:tcPr>
            <w:tcW w:w="100" w:type="dxa"/>
            <w:vAlign w:val="bottom"/>
            <w:tcBorders>
              <w:bottom w:val="single" w:sz="8" w:color="CCEEFF"/>
            </w:tcBorders>
          </w:tcPr>
          <w:p>
            <w:pPr>
              <w:spacing w:after="0"/>
              <w:rPr>
                <w:sz w:val="15"/>
                <w:szCs w:val="15"/>
                <w:color w:val="auto"/>
              </w:rPr>
            </w:pPr>
          </w:p>
        </w:tc>
      </w:tr>
      <w:tr>
        <w:trPr>
          <w:trHeight w:val="247"/>
        </w:trPr>
        <w:tc>
          <w:tcPr>
            <w:tcW w:w="8140" w:type="dxa"/>
            <w:vAlign w:val="bottom"/>
            <w:gridSpan w:val="2"/>
            <w:shd w:val="clear" w:color="auto" w:fill="CCEEFF"/>
          </w:tcPr>
          <w:p>
            <w:pPr>
              <w:ind w:left="20"/>
              <w:spacing w:after="0" w:line="247" w:lineRule="exact"/>
              <w:rPr>
                <w:sz w:val="20"/>
                <w:szCs w:val="20"/>
                <w:color w:val="auto"/>
              </w:rPr>
            </w:pPr>
            <w:r>
              <w:rPr>
                <w:rFonts w:ascii="Arial" w:cs="Arial" w:eastAsia="Arial" w:hAnsi="Arial"/>
                <w:sz w:val="17"/>
                <w:szCs w:val="17"/>
                <w:color w:val="auto"/>
              </w:rPr>
              <w:t>Audit fees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spacing w:after="0"/>
              <w:rPr>
                <w:sz w:val="21"/>
                <w:szCs w:val="21"/>
                <w:color w:val="auto"/>
              </w:rPr>
            </w:pPr>
          </w:p>
        </w:tc>
      </w:tr>
      <w:tr>
        <w:trPr>
          <w:trHeight w:val="250"/>
        </w:trPr>
        <w:tc>
          <w:tcPr>
            <w:tcW w:w="8140" w:type="dxa"/>
            <w:vAlign w:val="bottom"/>
            <w:tcBorders>
              <w:bottom w:val="single" w:sz="8" w:color="CCEEFF"/>
            </w:tcBorders>
            <w:gridSpan w:val="2"/>
          </w:tcPr>
          <w:p>
            <w:pPr>
              <w:ind w:left="20"/>
              <w:spacing w:after="0" w:line="250" w:lineRule="exact"/>
              <w:rPr>
                <w:sz w:val="20"/>
                <w:szCs w:val="20"/>
                <w:color w:val="auto"/>
              </w:rPr>
            </w:pPr>
            <w:r>
              <w:rPr>
                <w:rFonts w:ascii="Arial" w:cs="Arial" w:eastAsia="Arial" w:hAnsi="Arial"/>
                <w:sz w:val="17"/>
                <w:szCs w:val="17"/>
                <w:color w:val="auto"/>
              </w:rPr>
              <w:t>Tax fees</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21"/>
                <w:szCs w:val="21"/>
                <w:color w:val="auto"/>
              </w:rPr>
            </w:pPr>
          </w:p>
        </w:tc>
      </w:tr>
      <w:tr>
        <w:trPr>
          <w:trHeight w:val="21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fees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18"/>
                <w:szCs w:val="18"/>
                <w:color w:val="auto"/>
              </w:rPr>
            </w:pPr>
          </w:p>
        </w:tc>
      </w:tr>
      <w:tr>
        <w:trPr>
          <w:trHeight w:val="25"/>
        </w:trPr>
        <w:tc>
          <w:tcPr>
            <w:tcW w:w="7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37" w:lineRule="exact"/>
        <w:rPr>
          <w:sz w:val="20"/>
          <w:szCs w:val="20"/>
          <w:color w:val="auto"/>
        </w:rPr>
      </w:pPr>
    </w:p>
    <w:p>
      <w:pPr>
        <w:jc w:val="both"/>
        <w:ind w:left="480" w:right="320" w:hanging="455"/>
        <w:spacing w:after="0" w:line="255"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Audit fees</w:t>
      </w:r>
      <w:r>
        <w:rPr>
          <w:rFonts w:ascii="Arial" w:cs="Arial" w:eastAsia="Arial" w:hAnsi="Arial"/>
          <w:sz w:val="17"/>
          <w:szCs w:val="17"/>
          <w:color w:val="auto"/>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the registration statements for our IPO and follow-on offerings.</w:t>
      </w:r>
    </w:p>
    <w:p>
      <w:pPr>
        <w:spacing w:after="0" w:line="25" w:lineRule="exact"/>
        <w:rPr>
          <w:rFonts w:ascii="Arial" w:cs="Arial" w:eastAsia="Arial" w:hAnsi="Arial"/>
          <w:sz w:val="17"/>
          <w:szCs w:val="17"/>
          <w:color w:val="auto"/>
        </w:rPr>
      </w:pPr>
    </w:p>
    <w:p>
      <w:pPr>
        <w:ind w:left="480" w:right="100" w:hanging="455"/>
        <w:spacing w:after="0" w:line="265"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include fees related to tax compliance and advice. Tax advice fees encompass a variety of permissible services, including technical tax advice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and state income tax matters; and assistance with tax audits.</w:t>
      </w:r>
    </w:p>
    <w:p>
      <w:pPr>
        <w:spacing w:after="0" w:line="92" w:lineRule="exact"/>
        <w:rPr>
          <w:sz w:val="20"/>
          <w:szCs w:val="20"/>
          <w:color w:val="auto"/>
        </w:rPr>
      </w:pPr>
    </w:p>
    <w:p>
      <w:pPr>
        <w:ind w:right="360"/>
        <w:spacing w:after="0" w:line="305" w:lineRule="auto"/>
        <w:rPr>
          <w:sz w:val="20"/>
          <w:szCs w:val="20"/>
          <w:color w:val="auto"/>
        </w:rPr>
      </w:pPr>
      <w:r>
        <w:rPr>
          <w:rFonts w:ascii="Arial" w:cs="Arial" w:eastAsia="Arial" w:hAnsi="Arial"/>
          <w:sz w:val="15"/>
          <w:szCs w:val="15"/>
          <w:color w:val="auto"/>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of the audit committee or acting by unanimous written consent. During 2018, all services billed by KPMG LLP were pre-approved by the audit committee in accordance with this policy.</w:t>
      </w:r>
    </w:p>
    <w:p>
      <w:pPr>
        <w:spacing w:after="0" w:line="4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OUR BOARD OF DIRECTORS RECOMMENDS A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APPROVAL OF PROPOSAL NO.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47"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7"/>
          <w:szCs w:val="17"/>
          <w:b w:val="1"/>
          <w:bCs w:val="1"/>
          <w:color w:val="auto"/>
        </w:rPr>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NON-BINDING ADVISORY VOTE ON COMPENSATION OF OUR NAMED EXECUTIVE OFFICERS</w:t>
      </w:r>
    </w:p>
    <w:p>
      <w:pPr>
        <w:spacing w:after="0" w:line="191"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We are seeking a non-binding, advisory stockholder vote on the compensation awarded to our named executive officers for the fiscal year ended December 31, 2018, known as a “Say on Pay” vote.</w:t>
      </w:r>
    </w:p>
    <w:p>
      <w:pPr>
        <w:spacing w:after="0" w:line="167"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The Dodd-Frank Wall Street Reform and Consumer Protection Act of 2010 enables our stockholders to vote to approve, on an advisory, non-binding basis, the compensation of our named executive officers as disclosed in this proxy statement in accordance with Section 14A of the Exchange Act. This is our first year holding a Say on Pay vote, in connection with our annual meeting of stockholders.</w:t>
      </w:r>
    </w:p>
    <w:p>
      <w:pPr>
        <w:spacing w:after="0" w:line="17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described in detail in the “Compensation Discussion and Analysis” and “Executive Compensation” sections of this proxy statement, our compensation program is designed to reward our executive officers at a level consistent with our overall strategic and financial performance and to provide remuneration sufficient to attract, retain and motivate them to exert their best efforts and create a successful company. Our philosophy is to tie a greater percentage of an executive officer’s compensation to stockholder returns and to keep cash compensation at a competitive level while providing the opportunity to be well-rewarded through equity if we perform well over time. We believe that our executive compensation program, with its balance of short-term incentives (including base salary and annual cash incentives tied to performance measures) and long-term incentives (including equity awards) reward sustained performance that is aligned with long-term stockholder interests. Stockholders are encouraged to read the Compensation Discussion and Analysis, the accompanying compensation tables, and the related narrative disclosure for a comprehensive explanation and analysis of our executive compensation policies and practices.</w:t>
      </w:r>
    </w:p>
    <w:p>
      <w:pPr>
        <w:spacing w:after="0" w:line="171"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Based on the above, we request that stockholders approve, on a non-binding advisory basis, the compensation of our named executive officers as described in this proxy statement pursuant to the following resolution:</w:t>
      </w:r>
    </w:p>
    <w:p>
      <w:pPr>
        <w:spacing w:after="0" w:line="163" w:lineRule="exact"/>
        <w:rPr>
          <w:sz w:val="20"/>
          <w:szCs w:val="20"/>
          <w:color w:val="auto"/>
        </w:rPr>
      </w:pPr>
    </w:p>
    <w:p>
      <w:pPr>
        <w:ind w:left="600" w:right="720"/>
        <w:spacing w:after="0" w:line="338"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that the compensation paid to AnaptysBio’s named executive officers, as disclosed in this proxy statement, including the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Discussion and Analysis” and “Executive Compensation” sections, compensation tables and narrative discussion, is hereby APPROVED.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Approval of named executive officer compensation requires the approval of a majority of the votes present or represented by proxy and entitled to vote thereon.</w:t>
      </w:r>
    </w:p>
    <w:p>
      <w:pPr>
        <w:spacing w:after="0" w:line="215" w:lineRule="exact"/>
        <w:rPr>
          <w:sz w:val="20"/>
          <w:szCs w:val="20"/>
          <w:color w:val="auto"/>
        </w:rPr>
      </w:pPr>
    </w:p>
    <w:p>
      <w:pPr>
        <w:ind w:right="620"/>
        <w:spacing w:after="0" w:line="297" w:lineRule="auto"/>
        <w:rPr>
          <w:sz w:val="20"/>
          <w:szCs w:val="20"/>
          <w:color w:val="auto"/>
        </w:rPr>
      </w:pPr>
      <w:r>
        <w:rPr>
          <w:rFonts w:ascii="Arial" w:cs="Arial" w:eastAsia="Arial" w:hAnsi="Arial"/>
          <w:sz w:val="16"/>
          <w:szCs w:val="16"/>
          <w:color w:val="auto"/>
        </w:rPr>
        <w:t>As an advisory vote, this proposal is non-binding. Although the vote is non-binding, our board of directors and compensation committee value the opinions of our stockholders and will consider the outcome of the vote when making future compensation decisions for our named executive officers.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OUR BOARD OF DIRECTORS RECOMMENDS A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APPROVAL OF PROPOSAL NO. 3.</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348"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color w:val="auto"/>
        </w:rPr>
        <w:t>PROPOSAL NO.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NON-BINDING ADVISORY VOTE ON THE FREQUENCY OF HOLDING FUTURE ADVISORY VOTES REGARDING NAMED EXECUTIVE OFFICER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COMPENSATION</w:t>
      </w:r>
    </w:p>
    <w:p>
      <w:pPr>
        <w:spacing w:after="0" w:line="19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Under the Section 14A of the Exchange Act, at least every six years our stockholders are entitled to cast an advisory vote to indicate the frequency with which we should hold future non- binding votes to approve executive compensation, commonly known as a “say-when-on-pay” vote, or to abstain from voting.</w:t>
      </w:r>
    </w:p>
    <w:p>
      <w:pPr>
        <w:spacing w:after="0" w:line="144" w:lineRule="exact"/>
        <w:rPr>
          <w:sz w:val="20"/>
          <w:szCs w:val="20"/>
          <w:color w:val="auto"/>
        </w:rPr>
      </w:pPr>
    </w:p>
    <w:p>
      <w:pPr>
        <w:jc w:val="both"/>
        <w:ind w:right="40"/>
        <w:spacing w:after="0" w:line="305" w:lineRule="auto"/>
        <w:rPr>
          <w:sz w:val="20"/>
          <w:szCs w:val="20"/>
          <w:color w:val="auto"/>
        </w:rPr>
      </w:pPr>
      <w:r>
        <w:rPr>
          <w:rFonts w:ascii="Arial" w:cs="Arial" w:eastAsia="Arial" w:hAnsi="Arial"/>
          <w:sz w:val="15"/>
          <w:szCs w:val="15"/>
          <w:color w:val="auto"/>
        </w:rPr>
        <w:t>We are requesting your non-binding vote to determine whether the frequency of the vote to approve the compensation of our named executive officers should be every one year, two years or three years. Our board of directors and the compensation committee believe that annual votes will allow the compensation committee, management, and our stockholders to continue to engage in a timely, open and meaningful dialogue regarding our executive compensation philosophy, policies and practices.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option of one year, two years or three years that receives the highest number of votes cast by the holders of shares represented in person or by proxy at the meeting and entitled to vote thereon will be the frequency for the advisory vote on named executive officer compensation that has been selected by stockholders. Abstentions and broker non-votes will have no effect on the outcome of the vote. As an advisory vote, the vote on Proposal 4 is not binding on us. However, the board of directors and the compensation and nominating and governance committees of the board of directors value the opinions of our stockholders and will consider the outcome of the vote when setting the frequency of the advisory vote on executive compensation.</w:t>
      </w:r>
    </w:p>
    <w:p>
      <w:pPr>
        <w:spacing w:after="0" w:line="180"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Notwithstanding the board of directors’ recommendation and the outcome of the stockholder vote, the board of directors may, in the future, decide to conduct advisory votes on a more or less frequent basis and may vary its practice based on factors such as discussions with stockholders and the adoption of material changes to compensation programs.</w:t>
      </w:r>
    </w:p>
    <w:p>
      <w:pPr>
        <w:spacing w:after="0" w:line="171" w:lineRule="exact"/>
        <w:rPr>
          <w:sz w:val="20"/>
          <w:szCs w:val="20"/>
          <w:color w:val="auto"/>
        </w:rPr>
      </w:pPr>
    </w:p>
    <w:p>
      <w:pPr>
        <w:ind w:right="660"/>
        <w:spacing w:after="0" w:line="270" w:lineRule="auto"/>
        <w:rPr>
          <w:sz w:val="20"/>
          <w:szCs w:val="20"/>
          <w:color w:val="auto"/>
        </w:rPr>
      </w:pPr>
      <w:r>
        <w:rPr>
          <w:rFonts w:ascii="Arial" w:cs="Arial" w:eastAsia="Arial" w:hAnsi="Arial"/>
          <w:sz w:val="17"/>
          <w:szCs w:val="17"/>
          <w:b w:val="1"/>
          <w:bCs w:val="1"/>
          <w:color w:val="auto"/>
        </w:rPr>
        <w:t>OUR BOARD OF DIRECTORS RECOMMENDS A VOTE FOR A FREQUENCY OF EVERY YEAR (ONE YEAR) FOR HOLDING FUTURE NON-BINDING VOTES TO APPROVE EXECUTIVE COMPENSATION.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47" w:right="23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7"/>
          <w:szCs w:val="17"/>
          <w:b w:val="1"/>
          <w:bCs w:val="1"/>
          <w:color w:val="auto"/>
        </w:rPr>
        <w:t>REPORT OF THE AUDIT COMMITTEE</w:t>
      </w:r>
    </w:p>
    <w:p>
      <w:pPr>
        <w:spacing w:after="0" w:line="308" w:lineRule="exact"/>
        <w:rPr>
          <w:sz w:val="20"/>
          <w:szCs w:val="20"/>
          <w:color w:val="auto"/>
        </w:rPr>
      </w:pPr>
    </w:p>
    <w:p>
      <w:pPr>
        <w:spacing w:after="0" w:line="333" w:lineRule="auto"/>
        <w:rPr>
          <w:sz w:val="20"/>
          <w:szCs w:val="20"/>
          <w:color w:val="auto"/>
        </w:rPr>
      </w:pPr>
      <w:r>
        <w:rPr>
          <w:rFonts w:ascii="Arial" w:cs="Arial" w:eastAsia="Arial" w:hAnsi="Arial"/>
          <w:sz w:val="15"/>
          <w:szCs w:val="15"/>
          <w:i w:val="1"/>
          <w:iCs w:val="1"/>
          <w:color w:val="auto"/>
        </w:rPr>
        <w:t>The information contained in the following report of the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w:t>
      </w:r>
    </w:p>
    <w:p>
      <w:pPr>
        <w:spacing w:after="0" w:line="120"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audit committee has reviewed and discussed with our management and KPMG LLP our audited consolidated financial statements as of and for the year ended December 31, 2018. The audit committee has also discussed with KPMG LLP the matters required to be discussed by Auditing Standard No. 1301 adopted by the Public Company Accounting Oversight Board (United States) regarding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Based on the review and discussions referred to above, the audit committee recommended to our board of directors that the audited consolidated financial statements as of and for the year ended December 31, 2018 be included in our annual report on Form 10-K for the year ended December 31, 2018 for filing with the Securities and Exchange Commission.</w:t>
      </w:r>
    </w:p>
    <w:p>
      <w:pPr>
        <w:spacing w:after="0" w:line="271"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Submitted by the Audit Committee</w:t>
      </w:r>
    </w:p>
    <w:p>
      <w:pPr>
        <w:spacing w:after="0" w:line="58"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John P. Schmid (Chair)</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Dennis Fenton, Ph.D.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J. Anthony Ware, M.D.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60"/>
          </w:cols>
          <w:pgMar w:left="240" w:top="547" w:right="29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March 15, 2019 for:</w:t>
      </w:r>
    </w:p>
    <w:p>
      <w:pPr>
        <w:spacing w:after="0" w:line="204" w:lineRule="exact"/>
        <w:rPr>
          <w:sz w:val="20"/>
          <w:szCs w:val="20"/>
          <w:color w:val="auto"/>
        </w:rPr>
      </w:pPr>
    </w:p>
    <w:p>
      <w:pPr>
        <w:ind w:left="820" w:hanging="29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61" w:lineRule="exact"/>
        <w:rPr>
          <w:rFonts w:ascii="Arial" w:cs="Arial" w:eastAsia="Arial" w:hAnsi="Arial"/>
          <w:sz w:val="17"/>
          <w:szCs w:val="17"/>
          <w:color w:val="auto"/>
        </w:rPr>
      </w:pPr>
    </w:p>
    <w:p>
      <w:pPr>
        <w:ind w:left="820" w:hanging="296"/>
        <w:spacing w:after="0"/>
        <w:tabs>
          <w:tab w:leader="none" w:pos="820" w:val="left"/>
        </w:tabs>
        <w:numPr>
          <w:ilvl w:val="0"/>
          <w:numId w:val="19"/>
        </w:numPr>
        <w:rPr>
          <w:rFonts w:ascii="Arial" w:cs="Arial" w:eastAsia="Arial" w:hAnsi="Arial"/>
          <w:sz w:val="20"/>
          <w:szCs w:val="20"/>
          <w:color w:val="auto"/>
        </w:rPr>
      </w:pPr>
      <w:r>
        <w:rPr>
          <w:rFonts w:ascii="Arial" w:cs="Arial" w:eastAsia="Arial" w:hAnsi="Arial"/>
          <w:sz w:val="17"/>
          <w:szCs w:val="17"/>
          <w:color w:val="auto"/>
        </w:rPr>
        <w:t>each of our named executive officers;</w:t>
      </w:r>
    </w:p>
    <w:p>
      <w:pPr>
        <w:spacing w:after="0" w:line="56" w:lineRule="exact"/>
        <w:rPr>
          <w:rFonts w:ascii="Arial" w:cs="Arial" w:eastAsia="Arial" w:hAnsi="Arial"/>
          <w:sz w:val="20"/>
          <w:szCs w:val="20"/>
          <w:color w:val="auto"/>
        </w:rPr>
      </w:pPr>
    </w:p>
    <w:p>
      <w:pPr>
        <w:ind w:left="820" w:hanging="296"/>
        <w:spacing w:after="0"/>
        <w:tabs>
          <w:tab w:leader="none" w:pos="820" w:val="left"/>
        </w:tabs>
        <w:numPr>
          <w:ilvl w:val="0"/>
          <w:numId w:val="19"/>
        </w:numPr>
        <w:rPr>
          <w:rFonts w:ascii="Arial" w:cs="Arial" w:eastAsia="Arial" w:hAnsi="Arial"/>
          <w:sz w:val="20"/>
          <w:szCs w:val="20"/>
          <w:color w:val="auto"/>
        </w:rPr>
      </w:pPr>
      <w:r>
        <w:rPr>
          <w:rFonts w:ascii="Arial" w:cs="Arial" w:eastAsia="Arial" w:hAnsi="Arial"/>
          <w:sz w:val="17"/>
          <w:szCs w:val="17"/>
          <w:color w:val="auto"/>
        </w:rPr>
        <w:t>all of our directors and executive officers as a group; and</w:t>
      </w:r>
    </w:p>
    <w:p>
      <w:pPr>
        <w:spacing w:after="0" w:line="56" w:lineRule="exact"/>
        <w:rPr>
          <w:rFonts w:ascii="Arial" w:cs="Arial" w:eastAsia="Arial" w:hAnsi="Arial"/>
          <w:sz w:val="20"/>
          <w:szCs w:val="20"/>
          <w:color w:val="auto"/>
        </w:rPr>
      </w:pPr>
    </w:p>
    <w:p>
      <w:pPr>
        <w:ind w:left="820" w:hanging="296"/>
        <w:spacing w:after="0"/>
        <w:tabs>
          <w:tab w:leader="none" w:pos="820" w:val="left"/>
        </w:tabs>
        <w:numPr>
          <w:ilvl w:val="0"/>
          <w:numId w:val="19"/>
        </w:numPr>
        <w:rPr>
          <w:rFonts w:ascii="Arial" w:cs="Arial" w:eastAsia="Arial" w:hAnsi="Arial"/>
          <w:sz w:val="20"/>
          <w:szCs w:val="20"/>
          <w:color w:val="auto"/>
        </w:rPr>
      </w:pPr>
      <w:r>
        <w:rPr>
          <w:rFonts w:ascii="Arial" w:cs="Arial" w:eastAsia="Arial" w:hAnsi="Arial"/>
          <w:sz w:val="17"/>
          <w:szCs w:val="17"/>
          <w:color w:val="auto"/>
        </w:rPr>
        <w:t>each person, or group of affiliated persons, known by us to be the beneficial owner of more than 5% of our common stock.</w:t>
      </w:r>
    </w:p>
    <w:p>
      <w:pPr>
        <w:spacing w:after="0" w:line="50"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41"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Applicable percentage ownership is based on 27,006,043 shares of common stock issued and outstanding as of March 15, 2019.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March 15, 2019. We did not deem these shares outstanding, however, for the purpose of computing the percentage ownership of any other person. Unless otherwise indicated, the address of each beneficial owner listed in the table on the following page is c/o AnaptysBio, Inc., 10421 Pacific Center Court, Suite 200, San Diego, CA 92121.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Shares Beneficially</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1"/>
              </w:rPr>
              <w:t>% Shares</w:t>
            </w:r>
          </w:p>
        </w:tc>
      </w:tr>
      <w:tr>
        <w:trPr>
          <w:trHeight w:val="216"/>
        </w:trPr>
        <w:tc>
          <w:tcPr>
            <w:tcW w:w="20" w:type="dxa"/>
            <w:vAlign w:val="bottom"/>
          </w:tcPr>
          <w:p>
            <w:pPr>
              <w:spacing w:after="0"/>
              <w:rPr>
                <w:sz w:val="18"/>
                <w:szCs w:val="18"/>
                <w:color w:val="auto"/>
              </w:rPr>
            </w:pPr>
          </w:p>
        </w:tc>
        <w:tc>
          <w:tcPr>
            <w:tcW w:w="8020" w:type="dxa"/>
            <w:vAlign w:val="bottom"/>
            <w:gridSpan w:val="4"/>
          </w:tcPr>
          <w:p>
            <w:pPr>
              <w:spacing w:after="0"/>
              <w:rPr>
                <w:sz w:val="20"/>
                <w:szCs w:val="20"/>
                <w:color w:val="auto"/>
              </w:rPr>
            </w:pPr>
            <w:r>
              <w:rPr>
                <w:rFonts w:ascii="Arial" w:cs="Arial" w:eastAsia="Arial" w:hAnsi="Arial"/>
                <w:sz w:val="17"/>
                <w:szCs w:val="17"/>
                <w:b w:val="1"/>
                <w:bCs w:val="1"/>
                <w:color w:val="auto"/>
              </w:rPr>
              <w:t>Beneficial Owner</w:t>
            </w: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Owned (#)</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88"/>
              </w:rPr>
              <w:t>Beneficially Owned</w:t>
            </w:r>
          </w:p>
        </w:tc>
      </w:tr>
      <w:tr>
        <w:trPr>
          <w:trHeight w:val="25"/>
        </w:trPr>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auto"/>
            </w:tcBorders>
            <w:gridSpan w:val="2"/>
            <w:shd w:val="clear" w:color="auto" w:fill="CCEEFF"/>
          </w:tcPr>
          <w:p>
            <w:pPr>
              <w:spacing w:after="0" w:line="180" w:lineRule="exact"/>
              <w:rPr>
                <w:sz w:val="20"/>
                <w:szCs w:val="20"/>
                <w:color w:val="auto"/>
              </w:rPr>
            </w:pPr>
            <w:r>
              <w:rPr>
                <w:rFonts w:ascii="Arial" w:cs="Arial" w:eastAsia="Arial" w:hAnsi="Arial"/>
                <w:sz w:val="17"/>
                <w:szCs w:val="17"/>
                <w:b w:val="1"/>
                <w:bCs w:val="1"/>
                <w:i w:val="1"/>
                <w:iCs w:val="1"/>
                <w:color w:val="auto"/>
                <w:w w:val="85"/>
              </w:rPr>
              <w:t>Executive Officers and Directors</w:t>
            </w:r>
          </w:p>
        </w:tc>
        <w:tc>
          <w:tcPr>
            <w:tcW w:w="5760" w:type="dxa"/>
            <w:vAlign w:val="bottom"/>
            <w:tcBorders>
              <w:bottom w:val="single" w:sz="8" w:color="CCEEFF"/>
            </w:tcBorders>
            <w:gridSpan w:val="2"/>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8020" w:type="dxa"/>
            <w:vAlign w:val="bottom"/>
            <w:gridSpan w:val="4"/>
          </w:tcPr>
          <w:p>
            <w:pPr>
              <w:spacing w:after="0" w:line="250" w:lineRule="exact"/>
              <w:rPr>
                <w:sz w:val="20"/>
                <w:szCs w:val="20"/>
                <w:color w:val="auto"/>
              </w:rPr>
            </w:pPr>
            <w:r>
              <w:rPr>
                <w:rFonts w:ascii="Arial" w:cs="Arial" w:eastAsia="Arial" w:hAnsi="Arial"/>
                <w:sz w:val="17"/>
                <w:szCs w:val="17"/>
                <w:color w:val="auto"/>
              </w:rPr>
              <w:t xml:space="preserve">Hamza Suria, M.B.A. </w:t>
            </w:r>
            <w:r>
              <w:rPr>
                <w:rFonts w:ascii="Arial" w:cs="Arial" w:eastAsia="Arial" w:hAnsi="Arial"/>
                <w:sz w:val="23"/>
                <w:szCs w:val="23"/>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7"/>
                <w:szCs w:val="17"/>
                <w:color w:val="auto"/>
                <w:w w:val="87"/>
              </w:rPr>
              <w:t>661,844</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7"/>
              </w:rPr>
              <w:t>2.4%</w:t>
            </w:r>
          </w:p>
        </w:tc>
      </w:tr>
      <w:tr>
        <w:trPr>
          <w:trHeight w:val="250"/>
        </w:trPr>
        <w:tc>
          <w:tcPr>
            <w:tcW w:w="20" w:type="dxa"/>
            <w:vAlign w:val="bottom"/>
            <w:shd w:val="clear" w:color="auto" w:fill="CCEEFF"/>
          </w:tcPr>
          <w:p>
            <w:pPr>
              <w:spacing w:after="0"/>
              <w:rPr>
                <w:sz w:val="21"/>
                <w:szCs w:val="21"/>
                <w:color w:val="auto"/>
              </w:rPr>
            </w:pPr>
          </w:p>
        </w:tc>
        <w:tc>
          <w:tcPr>
            <w:tcW w:w="8020" w:type="dxa"/>
            <w:vAlign w:val="bottom"/>
            <w:gridSpan w:val="4"/>
            <w:shd w:val="clear" w:color="auto" w:fill="CCEEFF"/>
          </w:tcPr>
          <w:p>
            <w:pPr>
              <w:spacing w:after="0" w:line="250" w:lineRule="exact"/>
              <w:rPr>
                <w:sz w:val="20"/>
                <w:szCs w:val="20"/>
                <w:color w:val="auto"/>
              </w:rPr>
            </w:pPr>
            <w:r>
              <w:rPr>
                <w:rFonts w:ascii="Arial" w:cs="Arial" w:eastAsia="Arial" w:hAnsi="Arial"/>
                <w:sz w:val="17"/>
                <w:szCs w:val="17"/>
                <w:color w:val="auto"/>
              </w:rPr>
              <w:t xml:space="preserve">Marco Londei, M.D. </w:t>
            </w:r>
            <w:r>
              <w:rPr>
                <w:rFonts w:ascii="Arial" w:cs="Arial" w:eastAsia="Arial" w:hAnsi="Arial"/>
                <w:sz w:val="23"/>
                <w:szCs w:val="23"/>
                <w:color w:val="auto"/>
                <w:vertAlign w:val="superscript"/>
              </w:rPr>
              <w:t>(2)</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146,154</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50"/>
        </w:trPr>
        <w:tc>
          <w:tcPr>
            <w:tcW w:w="20" w:type="dxa"/>
            <w:vAlign w:val="bottom"/>
          </w:tcPr>
          <w:p>
            <w:pPr>
              <w:spacing w:after="0"/>
              <w:rPr>
                <w:sz w:val="21"/>
                <w:szCs w:val="21"/>
                <w:color w:val="auto"/>
              </w:rPr>
            </w:pPr>
          </w:p>
        </w:tc>
        <w:tc>
          <w:tcPr>
            <w:tcW w:w="8020" w:type="dxa"/>
            <w:vAlign w:val="bottom"/>
            <w:gridSpan w:val="4"/>
          </w:tcPr>
          <w:p>
            <w:pPr>
              <w:spacing w:after="0" w:line="250" w:lineRule="exact"/>
              <w:rPr>
                <w:sz w:val="20"/>
                <w:szCs w:val="20"/>
                <w:color w:val="auto"/>
              </w:rPr>
            </w:pPr>
            <w:r>
              <w:rPr>
                <w:rFonts w:ascii="Arial" w:cs="Arial" w:eastAsia="Arial" w:hAnsi="Arial"/>
                <w:sz w:val="17"/>
                <w:szCs w:val="17"/>
                <w:color w:val="auto"/>
              </w:rPr>
              <w:t xml:space="preserve">Dominic G. Piscitelli, M.B.A., C.P.A. </w:t>
            </w:r>
            <w:r>
              <w:rPr>
                <w:rFonts w:ascii="Arial" w:cs="Arial" w:eastAsia="Arial" w:hAnsi="Arial"/>
                <w:sz w:val="23"/>
                <w:szCs w:val="23"/>
                <w:color w:val="auto"/>
                <w:vertAlign w:val="superscript"/>
              </w:rPr>
              <w:t>(3)</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110,114</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Eric Loumeau, J.D.</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50"/>
        </w:trPr>
        <w:tc>
          <w:tcPr>
            <w:tcW w:w="20" w:type="dxa"/>
            <w:vAlign w:val="bottom"/>
          </w:tcPr>
          <w:p>
            <w:pPr>
              <w:spacing w:after="0"/>
              <w:rPr>
                <w:sz w:val="21"/>
                <w:szCs w:val="21"/>
                <w:color w:val="auto"/>
              </w:rPr>
            </w:pPr>
          </w:p>
        </w:tc>
        <w:tc>
          <w:tcPr>
            <w:tcW w:w="8020" w:type="dxa"/>
            <w:vAlign w:val="bottom"/>
            <w:gridSpan w:val="4"/>
          </w:tcPr>
          <w:p>
            <w:pPr>
              <w:spacing w:after="0" w:line="250" w:lineRule="exact"/>
              <w:rPr>
                <w:sz w:val="20"/>
                <w:szCs w:val="20"/>
                <w:color w:val="auto"/>
              </w:rPr>
            </w:pPr>
            <w:r>
              <w:rPr>
                <w:rFonts w:ascii="Arial" w:cs="Arial" w:eastAsia="Arial" w:hAnsi="Arial"/>
                <w:sz w:val="17"/>
                <w:szCs w:val="17"/>
                <w:color w:val="auto"/>
              </w:rPr>
              <w:t xml:space="preserve">Dennis Fenton, Ph.D. </w:t>
            </w:r>
            <w:r>
              <w:rPr>
                <w:rFonts w:ascii="Arial" w:cs="Arial" w:eastAsia="Arial" w:hAnsi="Arial"/>
                <w:sz w:val="23"/>
                <w:szCs w:val="23"/>
                <w:color w:val="auto"/>
                <w:vertAlign w:val="superscript"/>
              </w:rPr>
              <w:t>(4)</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9,340</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50"/>
        </w:trPr>
        <w:tc>
          <w:tcPr>
            <w:tcW w:w="20" w:type="dxa"/>
            <w:vAlign w:val="bottom"/>
            <w:shd w:val="clear" w:color="auto" w:fill="CCEEFF"/>
          </w:tcPr>
          <w:p>
            <w:pPr>
              <w:spacing w:after="0"/>
              <w:rPr>
                <w:sz w:val="21"/>
                <w:szCs w:val="21"/>
                <w:color w:val="auto"/>
              </w:rPr>
            </w:pPr>
          </w:p>
        </w:tc>
        <w:tc>
          <w:tcPr>
            <w:tcW w:w="8020" w:type="dxa"/>
            <w:vAlign w:val="bottom"/>
            <w:gridSpan w:val="4"/>
            <w:shd w:val="clear" w:color="auto" w:fill="CCEEFF"/>
          </w:tcPr>
          <w:p>
            <w:pPr>
              <w:spacing w:after="0" w:line="250" w:lineRule="exact"/>
              <w:rPr>
                <w:sz w:val="20"/>
                <w:szCs w:val="20"/>
                <w:color w:val="auto"/>
              </w:rPr>
            </w:pPr>
            <w:r>
              <w:rPr>
                <w:rFonts w:ascii="Arial" w:cs="Arial" w:eastAsia="Arial" w:hAnsi="Arial"/>
                <w:sz w:val="17"/>
                <w:szCs w:val="17"/>
                <w:color w:val="auto"/>
              </w:rPr>
              <w:t xml:space="preserve">Nicholas B. Lydon, Ph.D. </w:t>
            </w:r>
            <w:r>
              <w:rPr>
                <w:rFonts w:ascii="Arial" w:cs="Arial" w:eastAsia="Arial" w:hAnsi="Arial"/>
                <w:sz w:val="23"/>
                <w:szCs w:val="23"/>
                <w:color w:val="auto"/>
                <w:vertAlign w:val="superscript"/>
              </w:rPr>
              <w:t>(5)</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324,618</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1.2%</w:t>
            </w:r>
          </w:p>
        </w:tc>
      </w:tr>
      <w:tr>
        <w:trPr>
          <w:trHeight w:val="250"/>
        </w:trPr>
        <w:tc>
          <w:tcPr>
            <w:tcW w:w="20" w:type="dxa"/>
            <w:vAlign w:val="bottom"/>
          </w:tcPr>
          <w:p>
            <w:pPr>
              <w:spacing w:after="0"/>
              <w:rPr>
                <w:sz w:val="21"/>
                <w:szCs w:val="21"/>
                <w:color w:val="auto"/>
              </w:rPr>
            </w:pPr>
          </w:p>
        </w:tc>
        <w:tc>
          <w:tcPr>
            <w:tcW w:w="8020" w:type="dxa"/>
            <w:vAlign w:val="bottom"/>
            <w:gridSpan w:val="4"/>
          </w:tcPr>
          <w:p>
            <w:pPr>
              <w:spacing w:after="0" w:line="250" w:lineRule="exact"/>
              <w:rPr>
                <w:sz w:val="20"/>
                <w:szCs w:val="20"/>
                <w:color w:val="auto"/>
              </w:rPr>
            </w:pPr>
            <w:r>
              <w:rPr>
                <w:rFonts w:ascii="Arial" w:cs="Arial" w:eastAsia="Arial" w:hAnsi="Arial"/>
                <w:sz w:val="17"/>
                <w:szCs w:val="17"/>
                <w:color w:val="auto"/>
              </w:rPr>
              <w:t xml:space="preserve">Hollings Renton, M.B.A. </w:t>
            </w:r>
            <w:r>
              <w:rPr>
                <w:rFonts w:ascii="Arial" w:cs="Arial" w:eastAsia="Arial" w:hAnsi="Arial"/>
                <w:sz w:val="23"/>
                <w:szCs w:val="23"/>
                <w:color w:val="auto"/>
                <w:vertAlign w:val="superscript"/>
              </w:rPr>
              <w:t>(6)</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73,656</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50"/>
        </w:trPr>
        <w:tc>
          <w:tcPr>
            <w:tcW w:w="20" w:type="dxa"/>
            <w:vAlign w:val="bottom"/>
            <w:shd w:val="clear" w:color="auto" w:fill="CCEEFF"/>
          </w:tcPr>
          <w:p>
            <w:pPr>
              <w:spacing w:after="0"/>
              <w:rPr>
                <w:sz w:val="21"/>
                <w:szCs w:val="21"/>
                <w:color w:val="auto"/>
              </w:rPr>
            </w:pPr>
          </w:p>
        </w:tc>
        <w:tc>
          <w:tcPr>
            <w:tcW w:w="8020" w:type="dxa"/>
            <w:vAlign w:val="bottom"/>
            <w:gridSpan w:val="4"/>
            <w:shd w:val="clear" w:color="auto" w:fill="CCEEFF"/>
          </w:tcPr>
          <w:p>
            <w:pPr>
              <w:spacing w:after="0" w:line="250" w:lineRule="exact"/>
              <w:rPr>
                <w:sz w:val="20"/>
                <w:szCs w:val="20"/>
                <w:color w:val="auto"/>
              </w:rPr>
            </w:pPr>
            <w:r>
              <w:rPr>
                <w:rFonts w:ascii="Arial" w:cs="Arial" w:eastAsia="Arial" w:hAnsi="Arial"/>
                <w:sz w:val="17"/>
                <w:szCs w:val="17"/>
                <w:color w:val="auto"/>
              </w:rPr>
              <w:t xml:space="preserve">John P. Schmid, M.B.A. </w:t>
            </w:r>
            <w:r>
              <w:rPr>
                <w:rFonts w:ascii="Arial" w:cs="Arial" w:eastAsia="Arial" w:hAnsi="Arial"/>
                <w:sz w:val="23"/>
                <w:szCs w:val="23"/>
                <w:color w:val="auto"/>
                <w:vertAlign w:val="superscript"/>
              </w:rPr>
              <w:t>(7)</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64,837</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50"/>
        </w:trPr>
        <w:tc>
          <w:tcPr>
            <w:tcW w:w="20" w:type="dxa"/>
            <w:vAlign w:val="bottom"/>
          </w:tcPr>
          <w:p>
            <w:pPr>
              <w:spacing w:after="0"/>
              <w:rPr>
                <w:sz w:val="21"/>
                <w:szCs w:val="21"/>
                <w:color w:val="auto"/>
              </w:rPr>
            </w:pPr>
          </w:p>
        </w:tc>
        <w:tc>
          <w:tcPr>
            <w:tcW w:w="8020" w:type="dxa"/>
            <w:vAlign w:val="bottom"/>
            <w:gridSpan w:val="4"/>
          </w:tcPr>
          <w:p>
            <w:pPr>
              <w:spacing w:after="0" w:line="250" w:lineRule="exact"/>
              <w:rPr>
                <w:sz w:val="20"/>
                <w:szCs w:val="20"/>
                <w:color w:val="auto"/>
              </w:rPr>
            </w:pPr>
            <w:r>
              <w:rPr>
                <w:rFonts w:ascii="Arial" w:cs="Arial" w:eastAsia="Arial" w:hAnsi="Arial"/>
                <w:sz w:val="17"/>
                <w:szCs w:val="17"/>
                <w:color w:val="auto"/>
              </w:rPr>
              <w:t xml:space="preserve">James N. Topper, M.D., Ph.D. </w:t>
            </w:r>
            <w:r>
              <w:rPr>
                <w:rFonts w:ascii="Arial" w:cs="Arial" w:eastAsia="Arial" w:hAnsi="Arial"/>
                <w:sz w:val="23"/>
                <w:szCs w:val="23"/>
                <w:color w:val="auto"/>
                <w:vertAlign w:val="superscript"/>
              </w:rPr>
              <w:t>(8)</w:t>
            </w: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2,370,801</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7"/>
              </w:rPr>
              <w:t>8.8%</w:t>
            </w:r>
          </w:p>
        </w:tc>
      </w:tr>
      <w:tr>
        <w:trPr>
          <w:trHeight w:val="250"/>
        </w:trPr>
        <w:tc>
          <w:tcPr>
            <w:tcW w:w="20" w:type="dxa"/>
            <w:vAlign w:val="bottom"/>
            <w:shd w:val="clear" w:color="auto" w:fill="CCEEFF"/>
          </w:tcPr>
          <w:p>
            <w:pPr>
              <w:spacing w:after="0"/>
              <w:rPr>
                <w:sz w:val="21"/>
                <w:szCs w:val="21"/>
                <w:color w:val="auto"/>
              </w:rPr>
            </w:pPr>
          </w:p>
        </w:tc>
        <w:tc>
          <w:tcPr>
            <w:tcW w:w="8020" w:type="dxa"/>
            <w:vAlign w:val="bottom"/>
            <w:gridSpan w:val="4"/>
            <w:shd w:val="clear" w:color="auto" w:fill="CCEEFF"/>
          </w:tcPr>
          <w:p>
            <w:pPr>
              <w:spacing w:after="0" w:line="250" w:lineRule="exact"/>
              <w:rPr>
                <w:sz w:val="20"/>
                <w:szCs w:val="20"/>
                <w:color w:val="auto"/>
              </w:rPr>
            </w:pPr>
            <w:r>
              <w:rPr>
                <w:rFonts w:ascii="Arial" w:cs="Arial" w:eastAsia="Arial" w:hAnsi="Arial"/>
                <w:sz w:val="17"/>
                <w:szCs w:val="17"/>
                <w:color w:val="auto"/>
              </w:rPr>
              <w:t xml:space="preserve">Anthony Ware, M.D. </w:t>
            </w:r>
            <w:r>
              <w:rPr>
                <w:rFonts w:ascii="Arial" w:cs="Arial" w:eastAsia="Arial" w:hAnsi="Arial"/>
                <w:sz w:val="23"/>
                <w:szCs w:val="23"/>
                <w:color w:val="auto"/>
                <w:vertAlign w:val="superscript"/>
              </w:rPr>
              <w:t>(9)</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34,067</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50"/>
        </w:trPr>
        <w:tc>
          <w:tcPr>
            <w:tcW w:w="20" w:type="dxa"/>
            <w:vAlign w:val="bottom"/>
          </w:tcPr>
          <w:p>
            <w:pPr>
              <w:spacing w:after="0"/>
              <w:rPr>
                <w:sz w:val="21"/>
                <w:szCs w:val="21"/>
                <w:color w:val="auto"/>
              </w:rPr>
            </w:pPr>
          </w:p>
        </w:tc>
        <w:tc>
          <w:tcPr>
            <w:tcW w:w="8020" w:type="dxa"/>
            <w:vAlign w:val="bottom"/>
            <w:gridSpan w:val="4"/>
          </w:tcPr>
          <w:p>
            <w:pPr>
              <w:spacing w:after="0" w:line="250" w:lineRule="exact"/>
              <w:rPr>
                <w:sz w:val="20"/>
                <w:szCs w:val="20"/>
                <w:color w:val="auto"/>
              </w:rPr>
            </w:pPr>
            <w:r>
              <w:rPr>
                <w:rFonts w:ascii="Arial" w:cs="Arial" w:eastAsia="Arial" w:hAnsi="Arial"/>
                <w:sz w:val="17"/>
                <w:szCs w:val="17"/>
                <w:b w:val="1"/>
                <w:bCs w:val="1"/>
                <w:color w:val="auto"/>
              </w:rPr>
              <w:t xml:space="preserve">Total Executive Officers and Directors as a Group (10 people) </w:t>
            </w:r>
            <w:r>
              <w:rPr>
                <w:rFonts w:ascii="Arial" w:cs="Arial" w:eastAsia="Arial" w:hAnsi="Arial"/>
                <w:sz w:val="23"/>
                <w:szCs w:val="23"/>
                <w:b w:val="1"/>
                <w:bCs w:val="1"/>
                <w:color w:val="auto"/>
                <w:vertAlign w:val="superscript"/>
              </w:rPr>
              <w:t>(10)</w:t>
            </w: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9"/>
              </w:rPr>
              <w:t>3,795,431</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5"/>
              </w:rPr>
              <w:t>14.0%</w:t>
            </w:r>
          </w:p>
        </w:tc>
      </w:tr>
      <w:tr>
        <w:trPr>
          <w:trHeight w:val="212"/>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8020" w:type="dxa"/>
            <w:vAlign w:val="bottom"/>
            <w:gridSpan w:val="4"/>
          </w:tcPr>
          <w:p>
            <w:pPr>
              <w:spacing w:after="0" w:line="187" w:lineRule="exact"/>
              <w:rPr>
                <w:sz w:val="20"/>
                <w:szCs w:val="20"/>
                <w:color w:val="auto"/>
              </w:rPr>
            </w:pPr>
            <w:r>
              <w:rPr>
                <w:rFonts w:ascii="Arial" w:cs="Arial" w:eastAsia="Arial" w:hAnsi="Arial"/>
                <w:sz w:val="17"/>
                <w:szCs w:val="17"/>
                <w:b w:val="1"/>
                <w:bCs w:val="1"/>
                <w:i w:val="1"/>
                <w:iCs w:val="1"/>
                <w:color w:val="auto"/>
              </w:rPr>
              <w:t>5% Stockholders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20" w:type="dxa"/>
            <w:vAlign w:val="bottom"/>
            <w:shd w:val="clear" w:color="auto" w:fill="CCEEFF"/>
          </w:tcPr>
          <w:p>
            <w:pPr>
              <w:spacing w:after="0"/>
              <w:rPr>
                <w:sz w:val="21"/>
                <w:szCs w:val="21"/>
                <w:color w:val="auto"/>
              </w:rPr>
            </w:pPr>
          </w:p>
        </w:tc>
        <w:tc>
          <w:tcPr>
            <w:tcW w:w="8020" w:type="dxa"/>
            <w:vAlign w:val="bottom"/>
            <w:gridSpan w:val="4"/>
            <w:shd w:val="clear" w:color="auto" w:fill="CCEEFF"/>
          </w:tcPr>
          <w:p>
            <w:pPr>
              <w:spacing w:after="0" w:line="250" w:lineRule="exact"/>
              <w:rPr>
                <w:sz w:val="20"/>
                <w:szCs w:val="20"/>
                <w:color w:val="auto"/>
              </w:rPr>
            </w:pPr>
            <w:r>
              <w:rPr>
                <w:rFonts w:ascii="Arial" w:cs="Arial" w:eastAsia="Arial" w:hAnsi="Arial"/>
                <w:sz w:val="17"/>
                <w:szCs w:val="17"/>
                <w:color w:val="auto"/>
              </w:rPr>
              <w:t xml:space="preserve">FMR LLC </w:t>
            </w:r>
            <w:r>
              <w:rPr>
                <w:rFonts w:ascii="Arial" w:cs="Arial" w:eastAsia="Arial" w:hAnsi="Arial"/>
                <w:sz w:val="23"/>
                <w:szCs w:val="23"/>
                <w:color w:val="auto"/>
                <w:vertAlign w:val="superscript"/>
              </w:rPr>
              <w:t>(11)</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4,012,735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14.9%</w:t>
            </w:r>
          </w:p>
        </w:tc>
      </w:tr>
      <w:tr>
        <w:trPr>
          <w:trHeight w:val="250"/>
        </w:trPr>
        <w:tc>
          <w:tcPr>
            <w:tcW w:w="20" w:type="dxa"/>
            <w:vAlign w:val="bottom"/>
          </w:tcPr>
          <w:p>
            <w:pPr>
              <w:spacing w:after="0"/>
              <w:rPr>
                <w:sz w:val="21"/>
                <w:szCs w:val="21"/>
                <w:color w:val="auto"/>
              </w:rPr>
            </w:pPr>
          </w:p>
        </w:tc>
        <w:tc>
          <w:tcPr>
            <w:tcW w:w="8020" w:type="dxa"/>
            <w:vAlign w:val="bottom"/>
            <w:gridSpan w:val="4"/>
          </w:tcPr>
          <w:p>
            <w:pPr>
              <w:spacing w:after="0" w:line="250" w:lineRule="exact"/>
              <w:rPr>
                <w:sz w:val="20"/>
                <w:szCs w:val="20"/>
                <w:color w:val="auto"/>
              </w:rPr>
            </w:pPr>
            <w:r>
              <w:rPr>
                <w:rFonts w:ascii="Arial" w:cs="Arial" w:eastAsia="Arial" w:hAnsi="Arial"/>
                <w:sz w:val="17"/>
                <w:szCs w:val="17"/>
                <w:color w:val="auto"/>
              </w:rPr>
              <w:t xml:space="preserve">Janus Henderson Group plc </w:t>
            </w:r>
            <w:r>
              <w:rPr>
                <w:rFonts w:ascii="Arial" w:cs="Arial" w:eastAsia="Arial" w:hAnsi="Arial"/>
                <w:sz w:val="23"/>
                <w:szCs w:val="23"/>
                <w:color w:val="auto"/>
                <w:vertAlign w:val="superscript"/>
              </w:rPr>
              <w:t>(12)</w:t>
            </w: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3,388,984</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7"/>
              </w:rPr>
              <w:t>12.5%</w:t>
            </w:r>
          </w:p>
        </w:tc>
      </w:tr>
      <w:tr>
        <w:trPr>
          <w:trHeight w:val="250"/>
        </w:trPr>
        <w:tc>
          <w:tcPr>
            <w:tcW w:w="20" w:type="dxa"/>
            <w:vAlign w:val="bottom"/>
            <w:shd w:val="clear" w:color="auto" w:fill="CCEEFF"/>
          </w:tcPr>
          <w:p>
            <w:pPr>
              <w:spacing w:after="0"/>
              <w:rPr>
                <w:sz w:val="21"/>
                <w:szCs w:val="21"/>
                <w:color w:val="auto"/>
              </w:rPr>
            </w:pPr>
          </w:p>
        </w:tc>
        <w:tc>
          <w:tcPr>
            <w:tcW w:w="8020" w:type="dxa"/>
            <w:vAlign w:val="bottom"/>
            <w:gridSpan w:val="4"/>
            <w:shd w:val="clear" w:color="auto" w:fill="CCEEFF"/>
          </w:tcPr>
          <w:p>
            <w:pPr>
              <w:spacing w:after="0" w:line="250" w:lineRule="exact"/>
              <w:rPr>
                <w:sz w:val="20"/>
                <w:szCs w:val="20"/>
                <w:color w:val="auto"/>
              </w:rPr>
            </w:pPr>
            <w:r>
              <w:rPr>
                <w:rFonts w:ascii="Arial" w:cs="Arial" w:eastAsia="Arial" w:hAnsi="Arial"/>
                <w:sz w:val="17"/>
                <w:szCs w:val="17"/>
                <w:color w:val="auto"/>
              </w:rPr>
              <w:t xml:space="preserve">Frazier Healthcare Entities </w:t>
            </w:r>
            <w:r>
              <w:rPr>
                <w:rFonts w:ascii="Arial" w:cs="Arial" w:eastAsia="Arial" w:hAnsi="Arial"/>
                <w:sz w:val="23"/>
                <w:szCs w:val="23"/>
                <w:color w:val="auto"/>
                <w:vertAlign w:val="superscript"/>
              </w:rPr>
              <w:t>(13)</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2,370,801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8.8%</w:t>
            </w:r>
          </w:p>
        </w:tc>
      </w:tr>
      <w:tr>
        <w:trPr>
          <w:trHeight w:val="250"/>
        </w:trPr>
        <w:tc>
          <w:tcPr>
            <w:tcW w:w="20" w:type="dxa"/>
            <w:vAlign w:val="bottom"/>
          </w:tcPr>
          <w:p>
            <w:pPr>
              <w:spacing w:after="0"/>
              <w:rPr>
                <w:sz w:val="21"/>
                <w:szCs w:val="21"/>
                <w:color w:val="auto"/>
              </w:rPr>
            </w:pPr>
          </w:p>
        </w:tc>
        <w:tc>
          <w:tcPr>
            <w:tcW w:w="8020" w:type="dxa"/>
            <w:vAlign w:val="bottom"/>
            <w:gridSpan w:val="4"/>
          </w:tcPr>
          <w:p>
            <w:pPr>
              <w:spacing w:after="0" w:line="250" w:lineRule="exact"/>
              <w:rPr>
                <w:sz w:val="20"/>
                <w:szCs w:val="20"/>
                <w:color w:val="auto"/>
              </w:rPr>
            </w:pPr>
            <w:r>
              <w:rPr>
                <w:rFonts w:ascii="Arial" w:cs="Arial" w:eastAsia="Arial" w:hAnsi="Arial"/>
                <w:sz w:val="17"/>
                <w:szCs w:val="17"/>
                <w:color w:val="auto"/>
              </w:rPr>
              <w:t xml:space="preserve">Adage Capital Partners, L.P. </w:t>
            </w:r>
            <w:r>
              <w:rPr>
                <w:rFonts w:ascii="Arial" w:cs="Arial" w:eastAsia="Arial" w:hAnsi="Arial"/>
                <w:sz w:val="23"/>
                <w:szCs w:val="23"/>
                <w:color w:val="auto"/>
                <w:vertAlign w:val="superscript"/>
              </w:rPr>
              <w:t>(14)</w:t>
            </w:r>
          </w:p>
        </w:tc>
        <w:tc>
          <w:tcPr>
            <w:tcW w:w="1600" w:type="dxa"/>
            <w:vAlign w:val="bottom"/>
          </w:tcPr>
          <w:p>
            <w:pPr>
              <w:jc w:val="center"/>
              <w:spacing w:after="0"/>
              <w:rPr>
                <w:sz w:val="20"/>
                <w:szCs w:val="20"/>
                <w:color w:val="auto"/>
              </w:rPr>
            </w:pPr>
            <w:r>
              <w:rPr>
                <w:rFonts w:ascii="Arial" w:cs="Arial" w:eastAsia="Arial" w:hAnsi="Arial"/>
                <w:sz w:val="17"/>
                <w:szCs w:val="17"/>
                <w:color w:val="auto"/>
                <w:w w:val="89"/>
              </w:rPr>
              <w:t>2,295,000</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7"/>
              </w:rPr>
              <w:t>8.5%</w:t>
            </w:r>
          </w:p>
        </w:tc>
      </w:tr>
      <w:tr>
        <w:trPr>
          <w:trHeight w:val="250"/>
        </w:trPr>
        <w:tc>
          <w:tcPr>
            <w:tcW w:w="20" w:type="dxa"/>
            <w:vAlign w:val="bottom"/>
            <w:shd w:val="clear" w:color="auto" w:fill="CCEEFF"/>
          </w:tcPr>
          <w:p>
            <w:pPr>
              <w:spacing w:after="0"/>
              <w:rPr>
                <w:sz w:val="21"/>
                <w:szCs w:val="21"/>
                <w:color w:val="auto"/>
              </w:rPr>
            </w:pPr>
          </w:p>
        </w:tc>
        <w:tc>
          <w:tcPr>
            <w:tcW w:w="8020" w:type="dxa"/>
            <w:vAlign w:val="bottom"/>
            <w:gridSpan w:val="4"/>
            <w:shd w:val="clear" w:color="auto" w:fill="CCEEFF"/>
          </w:tcPr>
          <w:p>
            <w:pPr>
              <w:spacing w:after="0" w:line="250" w:lineRule="exact"/>
              <w:rPr>
                <w:sz w:val="20"/>
                <w:szCs w:val="20"/>
                <w:color w:val="auto"/>
              </w:rPr>
            </w:pPr>
            <w:r>
              <w:rPr>
                <w:rFonts w:ascii="Arial" w:cs="Arial" w:eastAsia="Arial" w:hAnsi="Arial"/>
                <w:sz w:val="17"/>
                <w:szCs w:val="17"/>
                <w:color w:val="auto"/>
              </w:rPr>
              <w:t xml:space="preserve">The Vanguard Group </w:t>
            </w:r>
            <w:r>
              <w:rPr>
                <w:rFonts w:ascii="Arial" w:cs="Arial" w:eastAsia="Arial" w:hAnsi="Arial"/>
                <w:sz w:val="23"/>
                <w:szCs w:val="23"/>
                <w:color w:val="auto"/>
                <w:vertAlign w:val="superscript"/>
              </w:rPr>
              <w:t>(15)</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1,889,201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7.0%</w:t>
            </w:r>
          </w:p>
        </w:tc>
      </w:tr>
      <w:tr>
        <w:trPr>
          <w:trHeight w:val="250"/>
        </w:trPr>
        <w:tc>
          <w:tcPr>
            <w:tcW w:w="20" w:type="dxa"/>
            <w:vAlign w:val="bottom"/>
            <w:tcBorders>
              <w:bottom w:val="single" w:sz="8" w:color="auto"/>
            </w:tcBorders>
          </w:tcPr>
          <w:p>
            <w:pPr>
              <w:spacing w:after="0"/>
              <w:rPr>
                <w:sz w:val="21"/>
                <w:szCs w:val="21"/>
                <w:color w:val="auto"/>
              </w:rPr>
            </w:pPr>
          </w:p>
        </w:tc>
        <w:tc>
          <w:tcPr>
            <w:tcW w:w="7900" w:type="dxa"/>
            <w:vAlign w:val="bottom"/>
            <w:tcBorders>
              <w:bottom w:val="single" w:sz="8" w:color="auto"/>
            </w:tcBorders>
            <w:gridSpan w:val="3"/>
          </w:tcPr>
          <w:p>
            <w:pPr>
              <w:spacing w:after="0" w:line="250" w:lineRule="exact"/>
              <w:rPr>
                <w:sz w:val="20"/>
                <w:szCs w:val="20"/>
                <w:color w:val="auto"/>
              </w:rPr>
            </w:pPr>
            <w:r>
              <w:rPr>
                <w:rFonts w:ascii="Arial" w:cs="Arial" w:eastAsia="Arial" w:hAnsi="Arial"/>
                <w:sz w:val="17"/>
                <w:szCs w:val="17"/>
                <w:color w:val="auto"/>
              </w:rPr>
              <w:t xml:space="preserve">BlackRock, Inc. </w:t>
            </w:r>
            <w:r>
              <w:rPr>
                <w:rFonts w:ascii="Arial" w:cs="Arial" w:eastAsia="Arial" w:hAnsi="Arial"/>
                <w:sz w:val="23"/>
                <w:szCs w:val="23"/>
                <w:color w:val="auto"/>
                <w:vertAlign w:val="superscript"/>
              </w:rPr>
              <w:t>(16)</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1,816,825</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6.7%</w:t>
            </w:r>
          </w:p>
        </w:tc>
      </w:tr>
      <w:tr>
        <w:trPr>
          <w:trHeight w:val="217"/>
        </w:trPr>
        <w:tc>
          <w:tcPr>
            <w:tcW w:w="20" w:type="dxa"/>
            <w:vAlign w:val="bottom"/>
            <w:shd w:val="clear" w:color="auto" w:fill="CCEEFF"/>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17,198,176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5"/>
              </w:rPr>
              <w:t>63.6%</w:t>
            </w:r>
          </w:p>
        </w:tc>
      </w:tr>
      <w:tr>
        <w:trPr>
          <w:trHeight w:val="25"/>
        </w:trPr>
        <w:tc>
          <w:tcPr>
            <w:tcW w:w="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 Represents beneficial ownership of less than one percent.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20"/>
          </w:cols>
          <w:pgMar w:left="240" w:top="547" w:right="339" w:bottom="1440" w:gutter="0" w:footer="0" w:header="0"/>
        </w:sectPr>
      </w:pPr>
    </w:p>
    <w:bookmarkStart w:id="22" w:name="page23"/>
    <w:bookmarkEnd w:id="22"/>
    <w:p>
      <w:pPr>
        <w:ind w:left="300" w:right="300" w:hanging="300"/>
        <w:spacing w:after="0" w:line="265" w:lineRule="auto"/>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(a) 30,064 shares of common stock held directly by Mr. Suria and (b) 631,780 shares of common stock issuable to Mr. Suria upon the exercise of stock options that are exercisable within 60 days of March 15, 2019.</w:t>
      </w:r>
    </w:p>
    <w:p>
      <w:pPr>
        <w:spacing w:after="0" w:line="17" w:lineRule="exact"/>
        <w:rPr>
          <w:rFonts w:ascii="Arial" w:cs="Arial" w:eastAsia="Arial" w:hAnsi="Arial"/>
          <w:sz w:val="17"/>
          <w:szCs w:val="17"/>
          <w:color w:val="auto"/>
        </w:rPr>
      </w:pPr>
    </w:p>
    <w:p>
      <w:pPr>
        <w:ind w:left="300" w:right="120" w:hanging="300"/>
        <w:spacing w:after="0" w:line="265" w:lineRule="auto"/>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(a) 22,377 shares of common stock held directly by Dr. Londei and (b) 123,777 shares of common stock issuable to Dr. Londei upon the exercise of stock options that are exercisable within 60 days of March 15, 2019.</w:t>
      </w:r>
    </w:p>
    <w:p>
      <w:pPr>
        <w:spacing w:after="0" w:line="17" w:lineRule="exact"/>
        <w:rPr>
          <w:rFonts w:ascii="Arial" w:cs="Arial" w:eastAsia="Arial" w:hAnsi="Arial"/>
          <w:sz w:val="17"/>
          <w:szCs w:val="17"/>
          <w:color w:val="auto"/>
        </w:rPr>
      </w:pPr>
    </w:p>
    <w:p>
      <w:pPr>
        <w:ind w:left="300" w:hanging="300"/>
        <w:spacing w:after="0"/>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110,114 shares of common stock issuable to Mr. Piscitelli upon the exercise of stock options that are exercisable within 60 days of March 15, 2019.</w:t>
      </w:r>
    </w:p>
    <w:p>
      <w:pPr>
        <w:spacing w:after="0" w:line="77" w:lineRule="exact"/>
        <w:rPr>
          <w:rFonts w:ascii="Arial" w:cs="Arial" w:eastAsia="Arial" w:hAnsi="Arial"/>
          <w:sz w:val="15"/>
          <w:szCs w:val="15"/>
          <w:color w:val="auto"/>
        </w:rPr>
      </w:pPr>
    </w:p>
    <w:p>
      <w:pPr>
        <w:ind w:left="300" w:hanging="300"/>
        <w:spacing w:after="0"/>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9,340 shares of common stock issuable to Dr. Fenton upon the exercise of stock options that are exercisable within 60 days of March 15, 2019.</w:t>
      </w:r>
    </w:p>
    <w:p>
      <w:pPr>
        <w:spacing w:after="0" w:line="65" w:lineRule="exact"/>
        <w:rPr>
          <w:rFonts w:ascii="Arial" w:cs="Arial" w:eastAsia="Arial" w:hAnsi="Arial"/>
          <w:sz w:val="16"/>
          <w:szCs w:val="16"/>
          <w:color w:val="auto"/>
        </w:rPr>
      </w:pPr>
    </w:p>
    <w:p>
      <w:pPr>
        <w:ind w:left="300" w:right="200" w:hanging="300"/>
        <w:spacing w:after="0" w:line="255" w:lineRule="auto"/>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(a) 271,106 shares of common stock held directly by Dr. Lydon and (b) 53,512 shares of common stock issuable to Dr. Lydon upon the exercise of stock options that are exercisable within 60 days of March 15, 2019. Upon the conclusion of the Annual Meeting, Dr. Lydon will no longer be a member of our Board of Directors.</w:t>
      </w:r>
    </w:p>
    <w:p>
      <w:pPr>
        <w:spacing w:after="0" w:line="25" w:lineRule="exact"/>
        <w:rPr>
          <w:rFonts w:ascii="Arial" w:cs="Arial" w:eastAsia="Arial" w:hAnsi="Arial"/>
          <w:sz w:val="17"/>
          <w:szCs w:val="17"/>
          <w:color w:val="auto"/>
        </w:rPr>
      </w:pPr>
    </w:p>
    <w:p>
      <w:pPr>
        <w:ind w:left="300" w:hanging="300"/>
        <w:spacing w:after="0"/>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73,656 shares of common stock issuable to Mr. Renton upon the exercise of stock options that are exercisable within 60 days of March 15, 2019.</w:t>
      </w:r>
    </w:p>
    <w:p>
      <w:pPr>
        <w:spacing w:after="0" w:line="65" w:lineRule="exact"/>
        <w:rPr>
          <w:rFonts w:ascii="Arial" w:cs="Arial" w:eastAsia="Arial" w:hAnsi="Arial"/>
          <w:sz w:val="16"/>
          <w:szCs w:val="16"/>
          <w:color w:val="auto"/>
        </w:rPr>
      </w:pPr>
    </w:p>
    <w:p>
      <w:pPr>
        <w:ind w:left="300" w:hanging="300"/>
        <w:spacing w:after="0"/>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64,837 shares of common stock issuable to Mr. Schmid upon the exercise of stock options that are exercisable within 60 days of March 15, 2019.</w:t>
      </w:r>
    </w:p>
    <w:p>
      <w:pPr>
        <w:spacing w:after="0" w:line="77" w:lineRule="exact"/>
        <w:rPr>
          <w:rFonts w:ascii="Arial" w:cs="Arial" w:eastAsia="Arial" w:hAnsi="Arial"/>
          <w:sz w:val="15"/>
          <w:szCs w:val="15"/>
          <w:color w:val="auto"/>
        </w:rPr>
      </w:pPr>
    </w:p>
    <w:p>
      <w:pPr>
        <w:ind w:left="300" w:right="280" w:hanging="300"/>
        <w:spacing w:after="0" w:line="292"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 2,316,447 shares of common stock as set forth in footnote 13 below; (b) 31,854 shares of common stock held directly by Dr. Topper; and (c) 22,500 shares of common stock issuable to Dr. Topper upon the exercise of stock options that are exercisable within 60 days of March 15, 2019.</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34,067 shares of common stock issuable to Mr. Ware upon the exercise of stock options that are exercisable within 60 days of March 15, 2019.</w:t>
      </w:r>
    </w:p>
    <w:p>
      <w:pPr>
        <w:spacing w:after="0" w:line="65" w:lineRule="exact"/>
        <w:rPr>
          <w:rFonts w:ascii="Arial" w:cs="Arial" w:eastAsia="Arial" w:hAnsi="Arial"/>
          <w:sz w:val="16"/>
          <w:szCs w:val="16"/>
          <w:color w:val="auto"/>
        </w:rPr>
      </w:pPr>
    </w:p>
    <w:p>
      <w:pPr>
        <w:ind w:left="300" w:right="300" w:hanging="300"/>
        <w:spacing w:after="0" w:line="292"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shares beneficially owned by our executive officers and directors. Consists of (a) 2,671,848 shares of common stock and (b) 1,123,583 shares of common stock issuable upon the exercise of stock options that are exercisable within 60 days of March 15, 2019.</w:t>
      </w:r>
    </w:p>
    <w:p>
      <w:pPr>
        <w:spacing w:after="0" w:line="1" w:lineRule="exact"/>
        <w:rPr>
          <w:rFonts w:ascii="Arial" w:cs="Arial" w:eastAsia="Arial" w:hAnsi="Arial"/>
          <w:sz w:val="16"/>
          <w:szCs w:val="16"/>
          <w:color w:val="auto"/>
        </w:rPr>
      </w:pPr>
    </w:p>
    <w:p>
      <w:pPr>
        <w:ind w:left="300" w:right="40" w:hanging="300"/>
        <w:spacing w:after="0" w:line="272"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Schedule 13-G/A filed by FMR LLC on February 13, 2019. Consists of 4,012,735 shares of common stock held directly by FMR LLC. Abigail P. Johnson is a Director, the Chairman and the Chief Executive Officer of FMR LLC, and members of the Johnson family, including Abigail P. Johnson, are the predominant owners, directly or through trusts, of Series B voting common shares of FMR LLC, representing 49% of the voting power of FMR LLC. The address of FMR LLC is 245 Summer Street, Boston, Massachusetts 02210.</w:t>
      </w:r>
    </w:p>
    <w:p>
      <w:pPr>
        <w:spacing w:after="0" w:line="14" w:lineRule="exact"/>
        <w:rPr>
          <w:rFonts w:ascii="Arial" w:cs="Arial" w:eastAsia="Arial" w:hAnsi="Arial"/>
          <w:sz w:val="16"/>
          <w:szCs w:val="16"/>
          <w:color w:val="auto"/>
        </w:rPr>
      </w:pPr>
    </w:p>
    <w:p>
      <w:pPr>
        <w:ind w:left="300" w:right="20" w:hanging="300"/>
        <w:spacing w:after="0" w:line="286" w:lineRule="auto"/>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Schedule 13-G/A filed by Janus Henderson Group plc on February 11, 2019. As a result of its role as investment adviser or sub-adviser to the Managed Portfolios, Janus Capital may be deemed to be the beneficial owner of 2,968,820 shares or 11.1% of the outstanding shares of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JCIL may be deemed to be the beneficial owner of 420,164 shares or 1.6% of the outstanding shares of common stock held by such Managed Portfolios. However, JCIL does not have the right to receive any dividends from, or the proceeds from the sale of, the securities held in the Managed Portfolios and disclaims any ownership associated with such rights. The address of Janus Henderson Group plc is 201 Bishopsgate EC2M 3AE, United Kingdom.</w:t>
      </w:r>
    </w:p>
    <w:p>
      <w:pPr>
        <w:spacing w:after="0" w:line="8" w:lineRule="exact"/>
        <w:rPr>
          <w:rFonts w:ascii="Arial" w:cs="Arial" w:eastAsia="Arial" w:hAnsi="Arial"/>
          <w:sz w:val="15"/>
          <w:szCs w:val="15"/>
          <w:color w:val="auto"/>
        </w:rPr>
      </w:pPr>
    </w:p>
    <w:p>
      <w:pPr>
        <w:ind w:left="300" w:right="20" w:hanging="300"/>
        <w:spacing w:after="0" w:line="264"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Schedule 13-D/A filed by Frazier Healthcare V, L.P. on February 14, 2019. Consists of (a) 973,612 shares of common stock held directly by Frazier Healthcare V, L.P., (b) 1,045,031 shares of common stock held directly by Frazier Healthcare VII, L.P, (c) 297,804 shares of common stock held directly by Frazier Healthcare VII-A, L.P, (d) 31,854 shares of common stock held directly by Dr. Topper, and (e) 22,500 shares of common stock issuable to Dr. Topper upon the exercise of stock options that are exercisable within 60 days of March 15, 2019.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25" w:lineRule="exact"/>
        <w:rPr>
          <w:rFonts w:ascii="Arial" w:cs="Arial" w:eastAsia="Arial" w:hAnsi="Arial"/>
          <w:sz w:val="16"/>
          <w:szCs w:val="16"/>
          <w:color w:val="auto"/>
        </w:rPr>
      </w:pPr>
    </w:p>
    <w:p>
      <w:pPr>
        <w:ind w:left="300" w:hanging="300"/>
        <w:spacing w:after="0" w:line="278"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Schedule 13-G/A filed by Adage Capital Partners, L.P. on February 13, 2019. Consists of 2,295,000 shares of common stock held directly by Adage Capital Partners, L.P., Adage Capital Partners GP, L.L.C., and Adage Capital Advisors, L.L.C. The address of Adage Capital Partners, L.P. is 200 Clarendon Street, 52nd floor, Boston, Massachusetts 02116.</w:t>
      </w:r>
    </w:p>
    <w:p>
      <w:pPr>
        <w:spacing w:after="0" w:line="9" w:lineRule="exact"/>
        <w:rPr>
          <w:rFonts w:ascii="Arial" w:cs="Arial" w:eastAsia="Arial" w:hAnsi="Arial"/>
          <w:sz w:val="16"/>
          <w:szCs w:val="16"/>
          <w:color w:val="auto"/>
        </w:rPr>
      </w:pPr>
    </w:p>
    <w:p>
      <w:pPr>
        <w:ind w:left="300" w:hanging="300"/>
        <w:spacing w:after="0"/>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Schedule 13-G filed by The Vanguard Group on February 11, 2019. Consists of 1,889,201 shares of common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51" w:right="239" w:bottom="1440" w:gutter="0" w:footer="0" w:header="0"/>
        </w:sectPr>
      </w:pPr>
    </w:p>
    <w:bookmarkStart w:id="23" w:name="page24"/>
    <w:bookmarkEnd w:id="23"/>
    <w:p>
      <w:pPr>
        <w:ind w:left="300"/>
        <w:spacing w:after="0"/>
        <w:rPr>
          <w:sz w:val="20"/>
          <w:szCs w:val="20"/>
          <w:color w:val="auto"/>
        </w:rPr>
      </w:pPr>
      <w:r>
        <w:rPr>
          <w:rFonts w:ascii="Arial" w:cs="Arial" w:eastAsia="Arial" w:hAnsi="Arial"/>
          <w:sz w:val="17"/>
          <w:szCs w:val="17"/>
          <w:color w:val="auto"/>
        </w:rPr>
        <w:t>stock held directly by The Vanguard Group. The address of The Vanguard Group is 100 Vanguard Blvd. Malvern, PA 19355.</w:t>
      </w:r>
    </w:p>
    <w:p>
      <w:pPr>
        <w:spacing w:after="0" w:line="67" w:lineRule="exact"/>
        <w:rPr>
          <w:sz w:val="20"/>
          <w:szCs w:val="20"/>
          <w:color w:val="auto"/>
        </w:rPr>
      </w:pPr>
    </w:p>
    <w:p>
      <w:pPr>
        <w:ind w:left="300" w:right="20" w:hanging="300"/>
        <w:spacing w:after="0" w:line="267"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Schedule 13-G/A filed by BlackRock, Inc. on February 4, 2019. Consists of 1,816,825 shares of common stock held by the following subsidiaries of BlackRock, Inc, or BlackRock: BlackRock International Limited, BlackRock Advisors, LLC, BlackRock (Netherlands) B.V., BlackRock Institutional Trusy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and BlackRock Fund Advisors. Blackrock’s address is 55 East 52nd Street, New York, New York 10055.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our executive officers as of April 26, 2019:</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660" w:type="dxa"/>
            <w:vAlign w:val="bottom"/>
          </w:tcPr>
          <w:p>
            <w:pPr>
              <w:jc w:val="center"/>
              <w:ind w:left="1097"/>
              <w:spacing w:after="0"/>
              <w:rPr>
                <w:sz w:val="20"/>
                <w:szCs w:val="20"/>
                <w:color w:val="auto"/>
              </w:rPr>
            </w:pPr>
            <w:r>
              <w:rPr>
                <w:rFonts w:ascii="Arial" w:cs="Arial" w:eastAsia="Arial" w:hAnsi="Arial"/>
                <w:sz w:val="17"/>
                <w:szCs w:val="17"/>
                <w:b w:val="1"/>
                <w:bCs w:val="1"/>
                <w:color w:val="auto"/>
                <w:w w:val="87"/>
              </w:rPr>
              <w:t>Age</w:t>
            </w:r>
          </w:p>
        </w:tc>
        <w:tc>
          <w:tcPr>
            <w:tcW w:w="6140" w:type="dxa"/>
            <w:vAlign w:val="bottom"/>
          </w:tcPr>
          <w:p>
            <w:pPr>
              <w:ind w:left="2840"/>
              <w:spacing w:after="0"/>
              <w:rPr>
                <w:sz w:val="20"/>
                <w:szCs w:val="20"/>
                <w:color w:val="auto"/>
              </w:rPr>
            </w:pPr>
            <w:r>
              <w:rPr>
                <w:rFonts w:ascii="Arial" w:cs="Arial" w:eastAsia="Arial" w:hAnsi="Arial"/>
                <w:sz w:val="17"/>
                <w:szCs w:val="17"/>
                <w:b w:val="1"/>
                <w:bCs w:val="1"/>
                <w:color w:val="auto"/>
              </w:rPr>
              <w:t>Position</w:t>
            </w:r>
          </w:p>
        </w:tc>
      </w:tr>
      <w:tr>
        <w:trPr>
          <w:trHeight w:val="25"/>
        </w:trPr>
        <w:tc>
          <w:tcPr>
            <w:tcW w:w="3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ind w:left="20"/>
              <w:spacing w:after="0"/>
              <w:rPr>
                <w:sz w:val="20"/>
                <w:szCs w:val="20"/>
                <w:color w:val="auto"/>
              </w:rPr>
            </w:pPr>
            <w:r>
              <w:rPr>
                <w:rFonts w:ascii="Arial" w:cs="Arial" w:eastAsia="Arial" w:hAnsi="Arial"/>
                <w:sz w:val="17"/>
                <w:szCs w:val="17"/>
                <w:b w:val="1"/>
                <w:bCs w:val="1"/>
                <w:color w:val="auto"/>
              </w:rPr>
              <w:t>Executive Officers:</w:t>
            </w:r>
          </w:p>
        </w:tc>
        <w:tc>
          <w:tcPr>
            <w:tcW w:w="166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5"/>
        </w:trPr>
        <w:tc>
          <w:tcPr>
            <w:tcW w:w="3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40" w:type="dxa"/>
            <w:vAlign w:val="bottom"/>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Hamza Suria, M.B.A.</w:t>
            </w:r>
          </w:p>
        </w:tc>
        <w:tc>
          <w:tcPr>
            <w:tcW w:w="1660" w:type="dxa"/>
            <w:vAlign w:val="bottom"/>
            <w:tcBorders>
              <w:bottom w:val="single" w:sz="8" w:color="CCEEFF"/>
            </w:tcBorders>
            <w:shd w:val="clear" w:color="auto" w:fill="CCEEFF"/>
          </w:tcPr>
          <w:p>
            <w:pPr>
              <w:jc w:val="center"/>
              <w:ind w:left="1097"/>
              <w:spacing w:after="0"/>
              <w:rPr>
                <w:sz w:val="20"/>
                <w:szCs w:val="20"/>
                <w:color w:val="auto"/>
              </w:rPr>
            </w:pPr>
            <w:r>
              <w:rPr>
                <w:rFonts w:ascii="Arial" w:cs="Arial" w:eastAsia="Arial" w:hAnsi="Arial"/>
                <w:sz w:val="17"/>
                <w:szCs w:val="17"/>
                <w:color w:val="auto"/>
                <w:w w:val="84"/>
              </w:rPr>
              <w:t>42</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President, Chief Executive Officer and Director</w:t>
            </w:r>
          </w:p>
        </w:tc>
      </w:tr>
      <w:tr>
        <w:trPr>
          <w:trHeight w:val="225"/>
        </w:trPr>
        <w:tc>
          <w:tcPr>
            <w:tcW w:w="3620" w:type="dxa"/>
            <w:vAlign w:val="bottom"/>
          </w:tcPr>
          <w:p>
            <w:pPr>
              <w:ind w:left="20"/>
              <w:spacing w:after="0"/>
              <w:rPr>
                <w:sz w:val="20"/>
                <w:szCs w:val="20"/>
                <w:color w:val="auto"/>
              </w:rPr>
            </w:pPr>
            <w:r>
              <w:rPr>
                <w:rFonts w:ascii="Arial" w:cs="Arial" w:eastAsia="Arial" w:hAnsi="Arial"/>
                <w:sz w:val="17"/>
                <w:szCs w:val="17"/>
                <w:color w:val="auto"/>
              </w:rPr>
              <w:t>Marco Londei, M.D.</w:t>
            </w:r>
          </w:p>
        </w:tc>
        <w:tc>
          <w:tcPr>
            <w:tcW w:w="1660" w:type="dxa"/>
            <w:vAlign w:val="bottom"/>
          </w:tcPr>
          <w:p>
            <w:pPr>
              <w:jc w:val="center"/>
              <w:ind w:left="1097"/>
              <w:spacing w:after="0"/>
              <w:rPr>
                <w:sz w:val="20"/>
                <w:szCs w:val="20"/>
                <w:color w:val="auto"/>
              </w:rPr>
            </w:pPr>
            <w:r>
              <w:rPr>
                <w:rFonts w:ascii="Arial" w:cs="Arial" w:eastAsia="Arial" w:hAnsi="Arial"/>
                <w:sz w:val="17"/>
                <w:szCs w:val="17"/>
                <w:color w:val="auto"/>
                <w:w w:val="84"/>
              </w:rPr>
              <w:t>63</w:t>
            </w:r>
          </w:p>
        </w:tc>
        <w:tc>
          <w:tcPr>
            <w:tcW w:w="6140" w:type="dxa"/>
            <w:vAlign w:val="bottom"/>
          </w:tcPr>
          <w:p>
            <w:pPr>
              <w:ind w:left="120"/>
              <w:spacing w:after="0"/>
              <w:rPr>
                <w:sz w:val="20"/>
                <w:szCs w:val="20"/>
                <w:color w:val="auto"/>
              </w:rPr>
            </w:pPr>
            <w:r>
              <w:rPr>
                <w:rFonts w:ascii="Arial" w:cs="Arial" w:eastAsia="Arial" w:hAnsi="Arial"/>
                <w:sz w:val="17"/>
                <w:szCs w:val="17"/>
                <w:color w:val="auto"/>
              </w:rPr>
              <w:t>Chief Medical Officer</w:t>
            </w:r>
          </w:p>
        </w:tc>
      </w:tr>
      <w:tr>
        <w:trPr>
          <w:trHeight w:val="25"/>
        </w:trPr>
        <w:tc>
          <w:tcPr>
            <w:tcW w:w="3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40" w:type="dxa"/>
            <w:vAlign w:val="bottom"/>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Dominic Piscitelli, M.B.A., C.P.A.</w:t>
            </w:r>
          </w:p>
        </w:tc>
        <w:tc>
          <w:tcPr>
            <w:tcW w:w="1660" w:type="dxa"/>
            <w:vAlign w:val="bottom"/>
            <w:tcBorders>
              <w:bottom w:val="single" w:sz="8" w:color="CCEEFF"/>
            </w:tcBorders>
            <w:shd w:val="clear" w:color="auto" w:fill="CCEEFF"/>
          </w:tcPr>
          <w:p>
            <w:pPr>
              <w:jc w:val="center"/>
              <w:ind w:left="1097"/>
              <w:spacing w:after="0"/>
              <w:rPr>
                <w:sz w:val="20"/>
                <w:szCs w:val="20"/>
                <w:color w:val="auto"/>
              </w:rPr>
            </w:pPr>
            <w:r>
              <w:rPr>
                <w:rFonts w:ascii="Arial" w:cs="Arial" w:eastAsia="Arial" w:hAnsi="Arial"/>
                <w:sz w:val="17"/>
                <w:szCs w:val="17"/>
                <w:color w:val="auto"/>
                <w:w w:val="84"/>
              </w:rPr>
              <w:t>45</w:t>
            </w:r>
          </w:p>
        </w:tc>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Chief Financial Officer</w:t>
            </w:r>
          </w:p>
        </w:tc>
      </w:tr>
      <w:tr>
        <w:trPr>
          <w:trHeight w:val="225"/>
        </w:trPr>
        <w:tc>
          <w:tcPr>
            <w:tcW w:w="3620" w:type="dxa"/>
            <w:vAlign w:val="bottom"/>
          </w:tcPr>
          <w:p>
            <w:pPr>
              <w:ind w:left="20"/>
              <w:spacing w:after="0"/>
              <w:rPr>
                <w:sz w:val="20"/>
                <w:szCs w:val="20"/>
                <w:color w:val="auto"/>
              </w:rPr>
            </w:pPr>
            <w:r>
              <w:rPr>
                <w:rFonts w:ascii="Arial" w:cs="Arial" w:eastAsia="Arial" w:hAnsi="Arial"/>
                <w:sz w:val="17"/>
                <w:szCs w:val="17"/>
                <w:color w:val="auto"/>
              </w:rPr>
              <w:t>Eric Loumeau, J.D.</w:t>
            </w:r>
          </w:p>
        </w:tc>
        <w:tc>
          <w:tcPr>
            <w:tcW w:w="1660" w:type="dxa"/>
            <w:vAlign w:val="bottom"/>
          </w:tcPr>
          <w:p>
            <w:pPr>
              <w:jc w:val="center"/>
              <w:ind w:left="1097"/>
              <w:spacing w:after="0"/>
              <w:rPr>
                <w:sz w:val="20"/>
                <w:szCs w:val="20"/>
                <w:color w:val="auto"/>
              </w:rPr>
            </w:pPr>
            <w:r>
              <w:rPr>
                <w:rFonts w:ascii="Arial" w:cs="Arial" w:eastAsia="Arial" w:hAnsi="Arial"/>
                <w:sz w:val="17"/>
                <w:szCs w:val="17"/>
                <w:color w:val="auto"/>
                <w:w w:val="84"/>
              </w:rPr>
              <w:t>56</w:t>
            </w:r>
          </w:p>
        </w:tc>
        <w:tc>
          <w:tcPr>
            <w:tcW w:w="6140" w:type="dxa"/>
            <w:vAlign w:val="bottom"/>
          </w:tcPr>
          <w:p>
            <w:pPr>
              <w:ind w:left="120"/>
              <w:spacing w:after="0"/>
              <w:rPr>
                <w:sz w:val="20"/>
                <w:szCs w:val="20"/>
                <w:color w:val="auto"/>
              </w:rPr>
            </w:pPr>
            <w:r>
              <w:rPr>
                <w:rFonts w:ascii="Arial" w:cs="Arial" w:eastAsia="Arial" w:hAnsi="Arial"/>
                <w:sz w:val="17"/>
                <w:szCs w:val="17"/>
                <w:color w:val="auto"/>
              </w:rPr>
              <w:t>General Counsel</w:t>
            </w:r>
          </w:p>
        </w:tc>
      </w:tr>
    </w:tbl>
    <w:p>
      <w:pPr>
        <w:spacing w:after="0" w:line="212"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b w:val="1"/>
          <w:bCs w:val="1"/>
          <w:i w:val="1"/>
          <w:iCs w:val="1"/>
          <w:color w:val="auto"/>
        </w:rPr>
        <w:t>Hamza Suria, M.B.A.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our President and Chief Executive Officer and a member of our board of directors since July 2011. From January 2009 to June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Suria served as Vice President of Corporate Development. Before joining our company in December 2008, Mr. Suria was at Maxygen, where he was responsible for partnering and alliance management of next-generation protein therapeutics in oncology supportive care, hematology and autoimmunity, including partnerships with Roche, Sanofi, Aventis, Bayer and Astellas. Mr. Suria holds a B.A. in biochemistry from Kalamazoo College, an M.S. in immunology from the University of Western Ontario and an Executive MBA from the Richard Ivey School of Business. Mr. Suria is a graduate of The Mercersburg Academy.</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b w:val="1"/>
          <w:bCs w:val="1"/>
          <w:i w:val="1"/>
          <w:iCs w:val="1"/>
          <w:color w:val="auto"/>
        </w:rPr>
        <w:t xml:space="preserve">Marco Londei, M.D. </w:t>
      </w:r>
      <w:r>
        <w:rPr>
          <w:rFonts w:ascii="Arial" w:cs="Arial" w:eastAsia="Arial" w:hAnsi="Arial"/>
          <w:sz w:val="17"/>
          <w:szCs w:val="17"/>
          <w:color w:val="auto"/>
        </w:rPr>
        <w:t>has served as our Chief Medical Officer since October 2016. Prior to that, Dr. Londei served as our Chief Development Officer since October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joining our company, Dr. Londei worked as Therapeutic 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83"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b w:val="1"/>
          <w:bCs w:val="1"/>
          <w:i w:val="1"/>
          <w:iCs w:val="1"/>
          <w:color w:val="auto"/>
        </w:rPr>
        <w:t>Dominic G. Piscitelli, M.B.A., C.P.A.</w:t>
      </w:r>
      <w:r>
        <w:rPr>
          <w:rFonts w:ascii="Arial" w:cs="Arial" w:eastAsia="Arial" w:hAnsi="Arial"/>
          <w:sz w:val="15"/>
          <w:szCs w:val="15"/>
          <w:color w:val="auto"/>
        </w:rPr>
        <w:t>, commenced serving as our Chief Financial Officer in January 2017. Mr. Piscitelli has more than 15 years of experience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pharmaceutical and biopharmaceutical industries, and more than 20 years of experience in finance. Before joining us, from September 2012 to January 2017, Mr. Piscitelli served as the Vice President of Finance at Medivation, Inc., a biopharmaceutical company. Prior to that, from January 2011 to September 2012, Mr. Piscitelli served as the Senior Director of Global Finance at Astellas Pharma US, Inc., a pharmaceutical company. From September 2001 to January 2011, Mr. Piscitelli held positions at OSI Pharmaceuticals, Inc., a biotechnology company that was acquired by Astellas Pharma US, Inc. in June 2010, serving as the Vice President of Treasury and Management Finance from 2009 to 2011, and previously as Senior Director, Oncology Finance &amp; Treasury, Director, Commercial Finance and Associate Director/Assistant Controller, SEC Reporting. Mr. Piscitelli earned both his B.A. in Business Administration and his M.B.A. from Hofstra University.</w:t>
      </w:r>
    </w:p>
    <w:p>
      <w:pPr>
        <w:spacing w:after="0" w:line="158"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b w:val="1"/>
          <w:bCs w:val="1"/>
          <w:i w:val="1"/>
          <w:iCs w:val="1"/>
          <w:color w:val="auto"/>
        </w:rPr>
        <w:t xml:space="preserve">Eric Loumeau </w:t>
      </w:r>
      <w:r>
        <w:rPr>
          <w:rFonts w:ascii="Arial" w:cs="Arial" w:eastAsia="Arial" w:hAnsi="Arial"/>
          <w:sz w:val="16"/>
          <w:szCs w:val="16"/>
          <w:color w:val="auto"/>
        </w:rPr>
        <w:t>has served as our General Counsel since August 2018. Mr. Loumeau previously served as General Counsel and Chief Compliance Officer of Otonomy,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26" w:right="239" w:bottom="1440" w:gutter="0" w:footer="0" w:header="0"/>
        </w:sectPr>
      </w:pPr>
    </w:p>
    <w:bookmarkStart w:id="24" w:name="page25"/>
    <w:bookmarkEnd w:id="24"/>
    <w:p>
      <w:pPr>
        <w:ind w:right="280"/>
        <w:spacing w:after="0" w:line="255" w:lineRule="auto"/>
        <w:rPr>
          <w:sz w:val="20"/>
          <w:szCs w:val="20"/>
          <w:color w:val="auto"/>
        </w:rPr>
      </w:pPr>
      <w:r>
        <w:rPr>
          <w:rFonts w:ascii="Arial" w:cs="Arial" w:eastAsia="Arial" w:hAnsi="Arial"/>
          <w:sz w:val="17"/>
          <w:szCs w:val="17"/>
          <w:color w:val="auto"/>
        </w:rPr>
        <w:t>experience as outside corporate counsel at national law firms includes tenures at Skadden, Arps, Slate, Meagher &amp; Flom LLP, Cooley LLP, Mintz Levin Cohn Ferris Glovsky and Popeo PC, and Bass, Berry &amp; Sims PLC. Mr. Loumeau received his J.D. from Boalt Hall School of Law at the University of California, Berkeley, and his B.S. in Finance from Brigham Young University.</w:t>
      </w:r>
    </w:p>
    <w:p>
      <w:pPr>
        <w:spacing w:after="0" w:line="175"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Our executive officers are appointed by, and serve at the discretion of, our board of directors. There are no family relationships among any of our directors or executive officers.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EXECUTIVE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45"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color w:val="auto"/>
        </w:rPr>
        <w:t>This compensation discussion and analysis provides an overview of the material components of our executive compensation program during 2018 for our chief executive officer, chief financial officer and up to three other most highly compensated executive officers (collectively referred to as our “named executive officers”). For 2018, our named executive officers were as follows:</w:t>
      </w:r>
    </w:p>
    <w:p>
      <w:pPr>
        <w:ind w:left="1200" w:hanging="601"/>
        <w:spacing w:after="0" w:line="234" w:lineRule="auto"/>
        <w:tabs>
          <w:tab w:leader="none" w:pos="1200" w:val="left"/>
        </w:tabs>
        <w:numPr>
          <w:ilvl w:val="0"/>
          <w:numId w:val="22"/>
        </w:numPr>
        <w:rPr>
          <w:rFonts w:ascii="Arial" w:cs="Arial" w:eastAsia="Arial" w:hAnsi="Arial"/>
          <w:sz w:val="20"/>
          <w:szCs w:val="20"/>
          <w:color w:val="auto"/>
        </w:rPr>
      </w:pPr>
      <w:r>
        <w:rPr>
          <w:rFonts w:ascii="Arial" w:cs="Arial" w:eastAsia="Arial" w:hAnsi="Arial"/>
          <w:sz w:val="17"/>
          <w:szCs w:val="17"/>
          <w:color w:val="auto"/>
        </w:rPr>
        <w:t>Hamza Suria, President, Chief Executive Officer and Director;</w:t>
      </w:r>
    </w:p>
    <w:p>
      <w:pPr>
        <w:spacing w:after="0" w:line="57" w:lineRule="exact"/>
        <w:rPr>
          <w:rFonts w:ascii="Arial" w:cs="Arial" w:eastAsia="Arial" w:hAnsi="Arial"/>
          <w:sz w:val="20"/>
          <w:szCs w:val="20"/>
          <w:color w:val="auto"/>
        </w:rPr>
      </w:pPr>
    </w:p>
    <w:p>
      <w:pPr>
        <w:ind w:left="1200" w:hanging="601"/>
        <w:spacing w:after="0"/>
        <w:tabs>
          <w:tab w:leader="none" w:pos="1200" w:val="left"/>
        </w:tabs>
        <w:numPr>
          <w:ilvl w:val="0"/>
          <w:numId w:val="22"/>
        </w:numPr>
        <w:rPr>
          <w:rFonts w:ascii="Arial" w:cs="Arial" w:eastAsia="Arial" w:hAnsi="Arial"/>
          <w:sz w:val="20"/>
          <w:szCs w:val="20"/>
          <w:color w:val="auto"/>
        </w:rPr>
      </w:pPr>
      <w:r>
        <w:rPr>
          <w:rFonts w:ascii="Arial" w:cs="Arial" w:eastAsia="Arial" w:hAnsi="Arial"/>
          <w:sz w:val="17"/>
          <w:szCs w:val="17"/>
          <w:color w:val="auto"/>
        </w:rPr>
        <w:t>Dominic Piscitelli, Chief Financial Officer;</w:t>
      </w:r>
    </w:p>
    <w:p>
      <w:pPr>
        <w:spacing w:after="0" w:line="56" w:lineRule="exact"/>
        <w:rPr>
          <w:rFonts w:ascii="Arial" w:cs="Arial" w:eastAsia="Arial" w:hAnsi="Arial"/>
          <w:sz w:val="20"/>
          <w:szCs w:val="20"/>
          <w:color w:val="auto"/>
        </w:rPr>
      </w:pPr>
    </w:p>
    <w:p>
      <w:pPr>
        <w:ind w:left="1200" w:hanging="601"/>
        <w:spacing w:after="0"/>
        <w:tabs>
          <w:tab w:leader="none" w:pos="1200" w:val="left"/>
        </w:tabs>
        <w:numPr>
          <w:ilvl w:val="0"/>
          <w:numId w:val="22"/>
        </w:numPr>
        <w:rPr>
          <w:rFonts w:ascii="Arial" w:cs="Arial" w:eastAsia="Arial" w:hAnsi="Arial"/>
          <w:sz w:val="20"/>
          <w:szCs w:val="20"/>
          <w:color w:val="auto"/>
        </w:rPr>
      </w:pPr>
      <w:r>
        <w:rPr>
          <w:rFonts w:ascii="Arial" w:cs="Arial" w:eastAsia="Arial" w:hAnsi="Arial"/>
          <w:sz w:val="17"/>
          <w:szCs w:val="17"/>
          <w:color w:val="auto"/>
        </w:rPr>
        <w:t>Marco Londei, M.D., Chief Medical Officer; and</w:t>
      </w:r>
    </w:p>
    <w:p>
      <w:pPr>
        <w:spacing w:after="0" w:line="56" w:lineRule="exact"/>
        <w:rPr>
          <w:rFonts w:ascii="Arial" w:cs="Arial" w:eastAsia="Arial" w:hAnsi="Arial"/>
          <w:sz w:val="20"/>
          <w:szCs w:val="20"/>
          <w:color w:val="auto"/>
        </w:rPr>
      </w:pPr>
    </w:p>
    <w:p>
      <w:pPr>
        <w:ind w:left="1200" w:hanging="601"/>
        <w:spacing w:after="0"/>
        <w:tabs>
          <w:tab w:leader="none" w:pos="1200" w:val="left"/>
        </w:tabs>
        <w:numPr>
          <w:ilvl w:val="0"/>
          <w:numId w:val="22"/>
        </w:numPr>
        <w:rPr>
          <w:rFonts w:ascii="Arial" w:cs="Arial" w:eastAsia="Arial" w:hAnsi="Arial"/>
          <w:sz w:val="20"/>
          <w:szCs w:val="20"/>
          <w:color w:val="auto"/>
        </w:rPr>
      </w:pPr>
      <w:r>
        <w:rPr>
          <w:rFonts w:ascii="Arial" w:cs="Arial" w:eastAsia="Arial" w:hAnsi="Arial"/>
          <w:sz w:val="17"/>
          <w:szCs w:val="17"/>
          <w:color w:val="auto"/>
        </w:rPr>
        <w:t>Eric Loumeau, J.D., General Counsel.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Mr. Loumeau was appointed by our board of directors as our General Counsel, effective August 6, 2018.</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This Compensation Discussion and Analysis describes the material elements of our executive compensation program during 2018. It also provides an overview of our executive compensation philosophy, including our principal compensation policies and practices. Finally, it analyzes how and why our compensation committee arrived at specific compensation decisions for our Named Executive Officers in 2018, and discusses the key factors that our compensation committee considered in such decision-making.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Overview</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are a clinical stage biotechnology company developing first-in-class antibody product candidates focused on unmet medical needs in inflammation. We develop our product candidates to address emerging biological targets using our proprietary antibody discovery technology platform based on a breakthrough technology that replicates the natural process of antibody generation, known as somatic hypermutation (SHM) in vitro. Our strategy is to advance the development and commercialization of our proprietary product candidates, and for certain programs, establish partnerships with leading biopharmaceutical companies while retaining certain development and commercialization rights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Corporate Performance Highlights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We made significant progress on several program and corporate milestones during 2018, including the following:</w:t>
      </w:r>
    </w:p>
    <w:p>
      <w:pPr>
        <w:spacing w:after="0" w:line="254" w:lineRule="exact"/>
        <w:rPr>
          <w:sz w:val="20"/>
          <w:szCs w:val="20"/>
          <w:color w:val="auto"/>
        </w:rPr>
      </w:pPr>
    </w:p>
    <w:p>
      <w:pPr>
        <w:ind w:left="1200" w:right="180" w:hanging="601"/>
        <w:spacing w:after="0" w:line="265" w:lineRule="auto"/>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September 2018, we announced positive top-line proof-of-concept data for etokimab, our investigational anti-IL-33 therapeutic antibody, in a single dose Phase 2a clinical trial in adult patients with severe eosinophilic asthma.</w:t>
      </w:r>
    </w:p>
    <w:p>
      <w:pPr>
        <w:spacing w:after="0" w:line="17" w:lineRule="exact"/>
        <w:rPr>
          <w:rFonts w:ascii="Arial" w:cs="Arial" w:eastAsia="Arial" w:hAnsi="Arial"/>
          <w:sz w:val="17"/>
          <w:szCs w:val="17"/>
          <w:color w:val="auto"/>
        </w:rPr>
      </w:pPr>
    </w:p>
    <w:p>
      <w:pPr>
        <w:jc w:val="both"/>
        <w:ind w:left="1200" w:right="660" w:hanging="601"/>
        <w:spacing w:after="0" w:line="312" w:lineRule="auto"/>
        <w:tabs>
          <w:tab w:leader="none" w:pos="1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initiated a Phase 2b randomized, double-blinded, placebo-controlled, multi-dose study in 300 adult patients with moderate-to-severe atopic dermatitis, also referred to as the ATLAS trial, to assess different dose levels and dosing frequencies of subcutaneously-administered etokimab.</w:t>
      </w:r>
    </w:p>
    <w:p>
      <w:pPr>
        <w:ind w:left="1200" w:right="500" w:hanging="601"/>
        <w:spacing w:after="0" w:line="265" w:lineRule="auto"/>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initiated a randomized, placebo-controlled Phase 2 trial in approximately 100 adult patients with chronic rhinosinusitis with nasal polyps, also referred to as the ECLIPSE trial.</w:t>
      </w:r>
    </w:p>
    <w:p>
      <w:pPr>
        <w:spacing w:after="0" w:line="17" w:lineRule="exact"/>
        <w:rPr>
          <w:rFonts w:ascii="Arial" w:cs="Arial" w:eastAsia="Arial" w:hAnsi="Arial"/>
          <w:sz w:val="17"/>
          <w:szCs w:val="17"/>
          <w:color w:val="auto"/>
        </w:rPr>
      </w:pPr>
    </w:p>
    <w:p>
      <w:pPr>
        <w:ind w:left="1200" w:hanging="601"/>
        <w:spacing w:after="0"/>
        <w:tabs>
          <w:tab w:leader="none" w:pos="1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initiated a 10-patient, single arm, open-label Phase 2 trial of ANB019 in generalized pustular psoriasis, or GPP, also known as the GALLOP trial.</w:t>
      </w:r>
    </w:p>
    <w:p>
      <w:pPr>
        <w:spacing w:after="0" w:line="77" w:lineRule="exact"/>
        <w:rPr>
          <w:rFonts w:ascii="Arial" w:cs="Arial" w:eastAsia="Arial" w:hAnsi="Arial"/>
          <w:sz w:val="15"/>
          <w:szCs w:val="15"/>
          <w:color w:val="auto"/>
        </w:rPr>
      </w:pPr>
    </w:p>
    <w:p>
      <w:pPr>
        <w:ind w:left="1200" w:hanging="601"/>
        <w:spacing w:after="0"/>
        <w:tabs>
          <w:tab w:leader="none" w:pos="12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initiated a randomized, placebo-controlled 50-patient multi-dose Phase 2 trial in palmoplantar pustulosis, or PPP, also known as the POPLAR trial.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551" w:right="259" w:bottom="1440" w:gutter="0" w:footer="0" w:header="0"/>
        </w:sectPr>
      </w:pPr>
    </w:p>
    <w:bookmarkStart w:id="25" w:name="page26"/>
    <w:bookmarkEnd w:id="25"/>
    <w:p>
      <w:pPr>
        <w:ind w:left="1200" w:right="200" w:hanging="601"/>
        <w:spacing w:after="0" w:line="255" w:lineRule="auto"/>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successfully completed an underwritten public offering of 2,530,000 shares of common stock at a price to the public of $94.46, which included the exercise by the underwriters of their option to purchase an additional 330,000 shares of common stock. Net proceeds from the offering were $227.5 million, after deducting underwriting discounts and commissions.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Compensation Highlights</w:t>
      </w:r>
    </w:p>
    <w:p>
      <w:pPr>
        <w:spacing w:after="0" w:line="20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Based on our overall operating environment and these results, our compensation committee took the following key actions with respect to the compensation of our Named Executive Officers for and during 2018:</w:t>
      </w:r>
    </w:p>
    <w:p>
      <w:pPr>
        <w:spacing w:after="0" w:line="167" w:lineRule="exact"/>
        <w:rPr>
          <w:sz w:val="20"/>
          <w:szCs w:val="20"/>
          <w:color w:val="auto"/>
        </w:rPr>
      </w:pPr>
    </w:p>
    <w:p>
      <w:pPr>
        <w:ind w:left="1200" w:right="100" w:hanging="601"/>
        <w:spacing w:after="0" w:line="255" w:lineRule="auto"/>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Base Salaries </w:t>
      </w:r>
      <w:r>
        <w:rPr>
          <w:rFonts w:ascii="Arial" w:cs="Arial" w:eastAsia="Arial" w:hAnsi="Arial"/>
          <w:sz w:val="17"/>
          <w:szCs w:val="17"/>
          <w:color w:val="auto"/>
        </w:rPr>
        <w:t>- Increased the annual base salaries of our Named Executive Officers (other than our CEO) by 8.8% - 10.3%, in addition to increasing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annual base salary of our CEO by 17.6%, following each such individual’s annual performance evaluation and to better align executive officer salaries with market competitive salaries.</w:t>
      </w:r>
    </w:p>
    <w:p>
      <w:pPr>
        <w:spacing w:after="0" w:line="25" w:lineRule="exact"/>
        <w:rPr>
          <w:rFonts w:ascii="Arial" w:cs="Arial" w:eastAsia="Arial" w:hAnsi="Arial"/>
          <w:sz w:val="17"/>
          <w:szCs w:val="17"/>
          <w:color w:val="auto"/>
        </w:rPr>
      </w:pPr>
    </w:p>
    <w:p>
      <w:pPr>
        <w:ind w:left="1200" w:right="200" w:hanging="601"/>
        <w:spacing w:after="0" w:line="312" w:lineRule="auto"/>
        <w:tabs>
          <w:tab w:leader="none" w:pos="120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Annual Cash Incentive Program </w:t>
      </w:r>
      <w:r>
        <w:rPr>
          <w:rFonts w:ascii="Arial" w:cs="Arial" w:eastAsia="Arial" w:hAnsi="Arial"/>
          <w:sz w:val="15"/>
          <w:szCs w:val="15"/>
          <w:color w:val="auto"/>
        </w:rPr>
        <w:t>- Approved payment of annual cash bonuses with respect to 2018 performance at 92.5% of the target annual cash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bonus opportunity for each of our Named Executive Officers (other than our CEO), and 90% of the target annual cash bonus opportunity for our CEO.</w:t>
      </w:r>
    </w:p>
    <w:p>
      <w:pPr>
        <w:ind w:left="1200" w:right="160" w:hanging="601"/>
        <w:spacing w:after="0" w:line="255" w:lineRule="auto"/>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Long-Term Incentive Compensation </w:t>
      </w:r>
      <w:r>
        <w:rPr>
          <w:rFonts w:ascii="Arial" w:cs="Arial" w:eastAsia="Arial" w:hAnsi="Arial"/>
          <w:sz w:val="17"/>
          <w:szCs w:val="17"/>
          <w:color w:val="auto"/>
        </w:rPr>
        <w:t>- Granted options to purchase shares of our common stock to each of our Named Executive Officers in amounts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ranging from 23,000 shares to 28,000 shares, as well as an option to purchase 63,000 shares of the common stock to our CEO, subject to vesting over a four-year period based on continued service.</w:t>
      </w:r>
    </w:p>
    <w:p>
      <w:pPr>
        <w:spacing w:after="0" w:line="25" w:lineRule="exact"/>
        <w:rPr>
          <w:rFonts w:ascii="Arial" w:cs="Arial" w:eastAsia="Arial" w:hAnsi="Arial"/>
          <w:sz w:val="17"/>
          <w:szCs w:val="17"/>
          <w:color w:val="auto"/>
        </w:rPr>
      </w:pPr>
    </w:p>
    <w:p>
      <w:pPr>
        <w:ind w:left="1200" w:hanging="601"/>
        <w:spacing w:after="0" w:line="269" w:lineRule="auto"/>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Compensation Arrangements with Mr. Loumeau </w:t>
      </w:r>
      <w:r>
        <w:rPr>
          <w:rFonts w:ascii="Arial" w:cs="Arial" w:eastAsia="Arial" w:hAnsi="Arial"/>
          <w:sz w:val="16"/>
          <w:szCs w:val="16"/>
          <w:color w:val="auto"/>
        </w:rPr>
        <w:t>- In connection with his appointment as our General Counsel, we entered into an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with Mr. Loumeau, dated August 6, 2018, which provided for, among other things, an annual base salary of $365,000, an annual cash bonus opportunity of up to 40% of his annual base salary and an option to purchase shares of our common stock, eligible to vest with respect to 25% of the total number of underlying shares on the first anniversary of the grant date and with respect to 1/48th of the total number of underlying shares each month thereafter, subject to Mr. Loumeau’s continued service on each applicable vesting date.</w:t>
      </w:r>
    </w:p>
    <w:p>
      <w:pPr>
        <w:spacing w:after="0" w:line="16" w:lineRule="exact"/>
        <w:rPr>
          <w:rFonts w:ascii="Arial" w:cs="Arial" w:eastAsia="Arial" w:hAnsi="Arial"/>
          <w:sz w:val="16"/>
          <w:szCs w:val="16"/>
          <w:color w:val="auto"/>
        </w:rPr>
      </w:pPr>
    </w:p>
    <w:p>
      <w:pPr>
        <w:ind w:left="1200"/>
        <w:spacing w:after="0" w:line="291" w:lineRule="auto"/>
        <w:rPr>
          <w:rFonts w:ascii="Arial" w:cs="Arial" w:eastAsia="Arial" w:hAnsi="Arial"/>
          <w:sz w:val="16"/>
          <w:szCs w:val="16"/>
          <w:color w:val="auto"/>
        </w:rPr>
      </w:pPr>
      <w:r>
        <w:rPr>
          <w:rFonts w:ascii="Arial" w:cs="Arial" w:eastAsia="Arial" w:hAnsi="Arial"/>
          <w:sz w:val="15"/>
          <w:szCs w:val="15"/>
          <w:color w:val="auto"/>
        </w:rPr>
        <w:t>In establishing Mr. Loumeau’s initial compensation arrangements, we took into consideration the requisite experience and skills that a qualified candidate would need to work in a growing business in a dynamic and ever-changing environment, the competitive market for similar positions at other comparable companies based on a review of compensation survey data and the need to integrate Mr. Loumeau into the executive compensation structure that we had developed since our initial public offering of our equity securities, balancing both competitive and internal equity considerations. For a summary of the material terms and conditions of Mr. Loumeau’s employment agreement, see “—</w:t>
      </w:r>
      <w:r>
        <w:rPr>
          <w:rFonts w:ascii="Arial" w:cs="Arial" w:eastAsia="Arial" w:hAnsi="Arial"/>
          <w:sz w:val="15"/>
          <w:szCs w:val="15"/>
          <w:i w:val="1"/>
          <w:iCs w:val="1"/>
          <w:color w:val="auto"/>
        </w:rPr>
        <w:t>Employment Agreements</w:t>
      </w:r>
      <w:r>
        <w:rPr>
          <w:rFonts w:ascii="Arial" w:cs="Arial" w:eastAsia="Arial" w:hAnsi="Arial"/>
          <w:sz w:val="15"/>
          <w:szCs w:val="15"/>
          <w:color w:val="auto"/>
        </w:rPr>
        <w:t>” below.</w:t>
      </w:r>
    </w:p>
    <w:p>
      <w:pPr>
        <w:spacing w:after="0" w:line="2" w:lineRule="exact"/>
        <w:rPr>
          <w:sz w:val="20"/>
          <w:szCs w:val="20"/>
          <w:color w:val="auto"/>
        </w:rPr>
      </w:pPr>
    </w:p>
    <w:p>
      <w:pPr>
        <w:ind w:left="1200" w:right="160" w:hanging="601"/>
        <w:spacing w:after="0" w:line="291" w:lineRule="auto"/>
        <w:tabs>
          <w:tab w:leader="none" w:pos="1200" w:val="left"/>
        </w:tabs>
        <w:numPr>
          <w:ilvl w:val="0"/>
          <w:numId w:val="2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Amended Employment Agreements </w:t>
      </w:r>
      <w:r>
        <w:rPr>
          <w:rFonts w:ascii="Arial" w:cs="Arial" w:eastAsia="Arial" w:hAnsi="Arial"/>
          <w:sz w:val="15"/>
          <w:szCs w:val="15"/>
          <w:color w:val="auto"/>
        </w:rPr>
        <w:t>- Our compensation committee approved changes to existing employment agreements with our executive officers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our Named Executive Officers) to amend terms providing for severance and other payments and benefits in the event of certain terminations of employment, including in connection with a change in control transaction. These amendments were designed to promote retention of our executive officers and provide continuity of management in the event of a change in control. For a summary of the material terms and conditions of the amended employment agreements, see “—</w:t>
      </w:r>
      <w:r>
        <w:rPr>
          <w:rFonts w:ascii="Arial" w:cs="Arial" w:eastAsia="Arial" w:hAnsi="Arial"/>
          <w:sz w:val="15"/>
          <w:szCs w:val="15"/>
          <w:i w:val="1"/>
          <w:iCs w:val="1"/>
          <w:color w:val="auto"/>
        </w:rPr>
        <w:t>Potential Payments upon Termination or Change in Control</w:t>
      </w:r>
      <w:r>
        <w:rPr>
          <w:rFonts w:ascii="Arial" w:cs="Arial" w:eastAsia="Arial" w:hAnsi="Arial"/>
          <w:sz w:val="15"/>
          <w:szCs w:val="15"/>
          <w:color w:val="auto"/>
        </w:rPr>
        <w:t>” below.</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Compensation Policies and Practices</w:t>
      </w:r>
    </w:p>
    <w:p>
      <w:pPr>
        <w:spacing w:after="0" w:line="104"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color w:val="auto"/>
        </w:rPr>
        <w:t>We endeavor to maintain sound compensation governance standards consistent with our executive compensation policies and practices. Our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u w:val="single" w:color="auto"/>
          <w:color w:val="auto"/>
        </w:rPr>
        <w:t>What We Do</w:t>
      </w:r>
    </w:p>
    <w:p>
      <w:pPr>
        <w:spacing w:after="0" w:line="204" w:lineRule="exact"/>
        <w:rPr>
          <w:sz w:val="20"/>
          <w:szCs w:val="20"/>
          <w:color w:val="auto"/>
        </w:rPr>
      </w:pPr>
    </w:p>
    <w:p>
      <w:pPr>
        <w:ind w:left="1200" w:right="720" w:hanging="601"/>
        <w:spacing w:after="0" w:line="265" w:lineRule="auto"/>
        <w:tabs>
          <w:tab w:leader="none" w:pos="12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an Independent Compensation Committee</w:t>
      </w:r>
      <w:r>
        <w:rPr>
          <w:rFonts w:ascii="Arial" w:cs="Arial" w:eastAsia="Arial" w:hAnsi="Arial"/>
          <w:sz w:val="17"/>
          <w:szCs w:val="17"/>
          <w:color w:val="auto"/>
        </w:rPr>
        <w:t>. Our compensation committee consists solely of independent directors who establish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practices.</w:t>
      </w:r>
    </w:p>
    <w:p>
      <w:pPr>
        <w:spacing w:after="0" w:line="17" w:lineRule="exact"/>
        <w:rPr>
          <w:rFonts w:ascii="Arial" w:cs="Arial" w:eastAsia="Arial" w:hAnsi="Arial"/>
          <w:sz w:val="17"/>
          <w:szCs w:val="17"/>
          <w:color w:val="auto"/>
        </w:rPr>
      </w:pPr>
    </w:p>
    <w:p>
      <w:pPr>
        <w:ind w:left="1200" w:hanging="601"/>
        <w:spacing w:after="0" w:line="255" w:lineRule="auto"/>
        <w:tabs>
          <w:tab w:leader="none" w:pos="12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Retain an Independent Compensation Advisor</w:t>
      </w:r>
      <w:r>
        <w:rPr>
          <w:rFonts w:ascii="Arial" w:cs="Arial" w:eastAsia="Arial" w:hAnsi="Arial"/>
          <w:sz w:val="17"/>
          <w:szCs w:val="17"/>
          <w:color w:val="auto"/>
        </w:rPr>
        <w:t>. Our compensation committee has engaged its own compensation consultant to provide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analysis, and other advice on executive compensation independent of management. This consultant performed no other consulting or other services for us in 2018.</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02" w:right="239" w:bottom="1440" w:gutter="0" w:footer="0" w:header="0"/>
        </w:sectPr>
      </w:pPr>
    </w:p>
    <w:bookmarkStart w:id="26" w:name="page27"/>
    <w:bookmarkEnd w:id="26"/>
    <w:p>
      <w:pPr>
        <w:ind w:left="1200" w:hanging="601"/>
        <w:spacing w:after="0" w:line="251" w:lineRule="auto"/>
        <w:tabs>
          <w:tab w:leader="none" w:pos="12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Annual Executive Compensation Review</w:t>
      </w:r>
      <w:r>
        <w:rPr>
          <w:rFonts w:ascii="Arial" w:cs="Arial" w:eastAsia="Arial" w:hAnsi="Arial"/>
          <w:sz w:val="17"/>
          <w:szCs w:val="17"/>
          <w:color w:val="auto"/>
        </w:rPr>
        <w:t>. Our compensation committee conducts an annual review and approval of our compensation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30" w:lineRule="exact"/>
        <w:rPr>
          <w:rFonts w:ascii="Arial" w:cs="Arial" w:eastAsia="Arial" w:hAnsi="Arial"/>
          <w:sz w:val="17"/>
          <w:szCs w:val="17"/>
          <w:color w:val="auto"/>
        </w:rPr>
      </w:pPr>
    </w:p>
    <w:p>
      <w:pPr>
        <w:ind w:left="1200" w:right="440" w:hanging="601"/>
        <w:spacing w:after="0" w:line="312" w:lineRule="auto"/>
        <w:tabs>
          <w:tab w:leader="none" w:pos="1200" w:val="left"/>
        </w:tabs>
        <w:numPr>
          <w:ilvl w:val="0"/>
          <w:numId w:val="28"/>
        </w:numPr>
        <w:rPr>
          <w:rFonts w:ascii="Arial" w:cs="Arial" w:eastAsia="Arial" w:hAnsi="Arial"/>
          <w:sz w:val="15"/>
          <w:szCs w:val="15"/>
          <w:color w:val="auto"/>
        </w:rPr>
      </w:pPr>
      <w:r>
        <w:rPr>
          <w:rFonts w:ascii="Arial" w:cs="Arial" w:eastAsia="Arial" w:hAnsi="Arial"/>
          <w:sz w:val="15"/>
          <w:szCs w:val="15"/>
          <w:b w:val="1"/>
          <w:bCs w:val="1"/>
          <w:i w:val="1"/>
          <w:iCs w:val="1"/>
          <w:color w:val="auto"/>
        </w:rPr>
        <w:t>Compensation At-Risk</w:t>
      </w:r>
      <w:r>
        <w:rPr>
          <w:rFonts w:ascii="Arial" w:cs="Arial" w:eastAsia="Arial" w:hAnsi="Arial"/>
          <w:sz w:val="15"/>
          <w:szCs w:val="15"/>
          <w:color w:val="auto"/>
        </w:rPr>
        <w:t>. Our executive compensation program is designed so that a significant portion of each of our Named Executive Officer’s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is “at-risk” based on corporate performance, as well as equity-based, to align the interests of our executive officers and stockholders.</w:t>
      </w:r>
    </w:p>
    <w:p>
      <w:pPr>
        <w:ind w:left="1200" w:right="200" w:hanging="601"/>
        <w:spacing w:after="0" w:line="300" w:lineRule="auto"/>
        <w:tabs>
          <w:tab w:leader="none" w:pos="1200" w:val="left"/>
        </w:tabs>
        <w:numPr>
          <w:ilvl w:val="0"/>
          <w:numId w:val="28"/>
        </w:numPr>
        <w:rPr>
          <w:rFonts w:ascii="Arial" w:cs="Arial" w:eastAsia="Arial" w:hAnsi="Arial"/>
          <w:sz w:val="15"/>
          <w:szCs w:val="15"/>
          <w:color w:val="auto"/>
        </w:rPr>
      </w:pPr>
      <w:r>
        <w:rPr>
          <w:rFonts w:ascii="Arial" w:cs="Arial" w:eastAsia="Arial" w:hAnsi="Arial"/>
          <w:sz w:val="15"/>
          <w:szCs w:val="15"/>
          <w:b w:val="1"/>
          <w:bCs w:val="1"/>
          <w:i w:val="1"/>
          <w:iCs w:val="1"/>
          <w:color w:val="auto"/>
        </w:rPr>
        <w:t>Use a “Pay-for-Performance” Philosophy</w:t>
      </w:r>
      <w:r>
        <w:rPr>
          <w:rFonts w:ascii="Arial" w:cs="Arial" w:eastAsia="Arial" w:hAnsi="Arial"/>
          <w:sz w:val="15"/>
          <w:szCs w:val="15"/>
          <w:color w:val="auto"/>
        </w:rPr>
        <w:t>. The majority of our Named Executive Officers’ compensation is directly linked to corporate performance;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spacing w:after="0" w:line="1" w:lineRule="exact"/>
        <w:rPr>
          <w:rFonts w:ascii="Arial" w:cs="Arial" w:eastAsia="Arial" w:hAnsi="Arial"/>
          <w:sz w:val="15"/>
          <w:szCs w:val="15"/>
          <w:color w:val="auto"/>
        </w:rPr>
      </w:pPr>
    </w:p>
    <w:p>
      <w:pPr>
        <w:ind w:left="1200" w:right="580" w:hanging="601"/>
        <w:spacing w:after="0" w:line="265" w:lineRule="auto"/>
        <w:tabs>
          <w:tab w:leader="none" w:pos="12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Succession Planning</w:t>
      </w:r>
      <w:r>
        <w:rPr>
          <w:rFonts w:ascii="Arial" w:cs="Arial" w:eastAsia="Arial" w:hAnsi="Arial"/>
          <w:sz w:val="17"/>
          <w:szCs w:val="17"/>
          <w:color w:val="auto"/>
        </w:rPr>
        <w:t>. On an as-needed basis, we review the risks associated with our key Named Executive Officer positions to ensure adequate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succession plans are in place.</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7"/>
          <w:szCs w:val="17"/>
          <w:u w:val="single" w:color="auto"/>
          <w:color w:val="auto"/>
        </w:rPr>
        <w:t>What We Do Not Do</w:t>
      </w:r>
    </w:p>
    <w:p>
      <w:pPr>
        <w:spacing w:after="0" w:line="204" w:lineRule="exact"/>
        <w:rPr>
          <w:sz w:val="20"/>
          <w:szCs w:val="20"/>
          <w:color w:val="auto"/>
        </w:rPr>
      </w:pPr>
    </w:p>
    <w:p>
      <w:pPr>
        <w:ind w:left="1200" w:hanging="601"/>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No Guaranteed Bonuses</w:t>
      </w:r>
      <w:r>
        <w:rPr>
          <w:rFonts w:ascii="Arial" w:cs="Arial" w:eastAsia="Arial" w:hAnsi="Arial"/>
          <w:sz w:val="17"/>
          <w:szCs w:val="17"/>
          <w:color w:val="auto"/>
        </w:rPr>
        <w:t>. We do not provide guaranteed bonuses to our Named Executive Officers.</w:t>
      </w:r>
    </w:p>
    <w:p>
      <w:pPr>
        <w:spacing w:after="0" w:line="54" w:lineRule="exact"/>
        <w:rPr>
          <w:rFonts w:ascii="Arial" w:cs="Arial" w:eastAsia="Arial" w:hAnsi="Arial"/>
          <w:sz w:val="17"/>
          <w:szCs w:val="17"/>
          <w:color w:val="auto"/>
        </w:rPr>
      </w:pPr>
    </w:p>
    <w:p>
      <w:pPr>
        <w:ind w:left="1200" w:right="780" w:hanging="601"/>
        <w:spacing w:after="0" w:line="312" w:lineRule="auto"/>
        <w:tabs>
          <w:tab w:leader="none" w:pos="1200" w:val="left"/>
        </w:tabs>
        <w:numPr>
          <w:ilvl w:val="0"/>
          <w:numId w:val="29"/>
        </w:numPr>
        <w:rPr>
          <w:rFonts w:ascii="Arial" w:cs="Arial" w:eastAsia="Arial" w:hAnsi="Arial"/>
          <w:sz w:val="15"/>
          <w:szCs w:val="15"/>
          <w:color w:val="auto"/>
        </w:rPr>
      </w:pPr>
      <w:r>
        <w:rPr>
          <w:rFonts w:ascii="Arial" w:cs="Arial" w:eastAsia="Arial" w:hAnsi="Arial"/>
          <w:sz w:val="15"/>
          <w:szCs w:val="15"/>
          <w:b w:val="1"/>
          <w:bCs w:val="1"/>
          <w:i w:val="1"/>
          <w:iCs w:val="1"/>
          <w:color w:val="auto"/>
        </w:rPr>
        <w:t>No Executive Retirement Plans</w:t>
      </w:r>
      <w:r>
        <w:rPr>
          <w:rFonts w:ascii="Arial" w:cs="Arial" w:eastAsia="Arial" w:hAnsi="Arial"/>
          <w:sz w:val="15"/>
          <w:szCs w:val="15"/>
          <w:color w:val="auto"/>
        </w:rPr>
        <w:t>. We do not currently offer defined benefit pension plans or any non-qualified deferred compensation plans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arrangements to our Named Executive Officers other than the plans and arrangements that are available to employees generally.</w:t>
      </w:r>
    </w:p>
    <w:p>
      <w:pPr>
        <w:ind w:left="1200" w:right="600" w:hanging="601"/>
        <w:spacing w:after="0" w:line="265"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No Hedging or Pledging</w:t>
      </w:r>
      <w:r>
        <w:rPr>
          <w:rFonts w:ascii="Arial" w:cs="Arial" w:eastAsia="Arial" w:hAnsi="Arial"/>
          <w:sz w:val="17"/>
          <w:szCs w:val="17"/>
          <w:color w:val="auto"/>
        </w:rPr>
        <w:t>. We prohibit our employees (including our Named Executive Officers) and the non-employee members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from hedging or pledging our securities.</w:t>
      </w:r>
    </w:p>
    <w:p>
      <w:pPr>
        <w:spacing w:after="0" w:line="17" w:lineRule="exact"/>
        <w:rPr>
          <w:rFonts w:ascii="Arial" w:cs="Arial" w:eastAsia="Arial" w:hAnsi="Arial"/>
          <w:sz w:val="17"/>
          <w:szCs w:val="17"/>
          <w:color w:val="auto"/>
        </w:rPr>
      </w:pPr>
    </w:p>
    <w:p>
      <w:pPr>
        <w:ind w:left="1200" w:right="180" w:hanging="601"/>
        <w:spacing w:after="0" w:line="265"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No Gross-Ups on Executive Perquisites</w:t>
      </w:r>
      <w:r>
        <w:rPr>
          <w:rFonts w:ascii="Arial" w:cs="Arial" w:eastAsia="Arial" w:hAnsi="Arial"/>
          <w:sz w:val="17"/>
          <w:szCs w:val="17"/>
          <w:color w:val="auto"/>
        </w:rPr>
        <w:t>. We do not provide any tax reimbursement payments (including “gross-ups”) to Named Executive Officers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perquisites or other personal benefits.</w:t>
      </w:r>
    </w:p>
    <w:p>
      <w:pPr>
        <w:spacing w:after="0" w:line="17" w:lineRule="exact"/>
        <w:rPr>
          <w:rFonts w:ascii="Arial" w:cs="Arial" w:eastAsia="Arial" w:hAnsi="Arial"/>
          <w:sz w:val="17"/>
          <w:szCs w:val="17"/>
          <w:color w:val="auto"/>
        </w:rPr>
      </w:pPr>
    </w:p>
    <w:p>
      <w:pPr>
        <w:ind w:left="1200" w:right="420" w:hanging="601"/>
        <w:spacing w:after="0" w:line="265"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No Excise Tax Gross-Ups</w:t>
      </w:r>
      <w:r>
        <w:rPr>
          <w:rFonts w:ascii="Arial" w:cs="Arial" w:eastAsia="Arial" w:hAnsi="Arial"/>
          <w:sz w:val="17"/>
          <w:szCs w:val="17"/>
          <w:color w:val="auto"/>
        </w:rPr>
        <w:t>. We do not provide any contractual rights to excise tax reimbursement payments (including “gross-ups”) on payments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contingent upon a change in control of the Company.</w:t>
      </w:r>
    </w:p>
    <w:p>
      <w:pPr>
        <w:spacing w:after="0" w:line="17" w:lineRule="exact"/>
        <w:rPr>
          <w:rFonts w:ascii="Arial" w:cs="Arial" w:eastAsia="Arial" w:hAnsi="Arial"/>
          <w:sz w:val="17"/>
          <w:szCs w:val="17"/>
          <w:color w:val="auto"/>
        </w:rPr>
      </w:pPr>
    </w:p>
    <w:p>
      <w:pPr>
        <w:ind w:left="1200" w:right="500" w:hanging="601"/>
        <w:spacing w:after="0" w:line="265"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No Special Welfare or Health Benefits</w:t>
      </w:r>
      <w:r>
        <w:rPr>
          <w:rFonts w:ascii="Arial" w:cs="Arial" w:eastAsia="Arial" w:hAnsi="Arial"/>
          <w:sz w:val="17"/>
          <w:szCs w:val="17"/>
          <w:color w:val="auto"/>
        </w:rPr>
        <w:t>. We do not provide our Named Executive Officers with any welfare or health benefit programs, other than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participation in our broad-based employee programs.</w:t>
      </w:r>
    </w:p>
    <w:p>
      <w:pPr>
        <w:spacing w:after="0" w:line="217"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b w:val="1"/>
          <w:bCs w:val="1"/>
          <w:i w:val="1"/>
          <w:iCs w:val="1"/>
          <w:color w:val="auto"/>
        </w:rPr>
        <w:t>Stockholder Advisory Vote to Approve Named Executive Officer Compensation (“Say-on-Pay”) and Stockholder Advisory Vote on Frequency of Future Say-on-Pay Votes</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are no longer an “emerging growth company” as defined in the Jumpstart Our Business Startups Act of 2012 and therefore are subject to enhanced disclosure and governance regulations under the Dodd-Frank Act. Accordingly, we will be holding our first non-binding stockholder advisory vote on the compensation of our Named Executive Officers (a “Say-on-Pay” vote). In addition, we will be holding a non-binding stockholder advisory vote enabling our stockholders to indicate how frequently they believe we should seek a “Say-on-Pay” vote in the future (a “Say-When-on-Pay” vote). We value the opinions of our stockholders and our compensation committee will consider the outcome of future stockholder advisory votes, including the vote which will take place at the Annual Meeting, when we make compensation decisions for the Named Executive Officers. For additional information about the Say-on-Pay vote and the Say-When-on-Pay vote, see “</w:t>
      </w:r>
      <w:r>
        <w:rPr>
          <w:rFonts w:ascii="Arial" w:cs="Arial" w:eastAsia="Arial" w:hAnsi="Arial"/>
          <w:sz w:val="17"/>
          <w:szCs w:val="17"/>
          <w:i w:val="1"/>
          <w:iCs w:val="1"/>
          <w:color w:val="auto"/>
        </w:rPr>
        <w:t>Proposal 3 and Proposal 4</w:t>
      </w:r>
      <w:r>
        <w:rPr>
          <w:rFonts w:ascii="Arial" w:cs="Arial" w:eastAsia="Arial" w:hAnsi="Arial"/>
          <w:sz w:val="17"/>
          <w:szCs w:val="17"/>
          <w:color w:val="auto"/>
        </w:rPr>
        <w:t>,” respectively, above.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Objectives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objectives of our executive compensation program, policies, and practices are to:</w:t>
      </w:r>
    </w:p>
    <w:p>
      <w:pPr>
        <w:spacing w:after="0" w:line="204" w:lineRule="exact"/>
        <w:rPr>
          <w:sz w:val="20"/>
          <w:szCs w:val="20"/>
          <w:color w:val="auto"/>
        </w:rPr>
      </w:pPr>
    </w:p>
    <w:p>
      <w:pPr>
        <w:ind w:left="1200" w:hanging="601"/>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offer competitive compensation which enables us to attract and retain high-caliber executives;</w:t>
      </w:r>
    </w:p>
    <w:p>
      <w:pPr>
        <w:spacing w:after="0" w:line="54" w:lineRule="exact"/>
        <w:rPr>
          <w:rFonts w:ascii="Arial" w:cs="Arial" w:eastAsia="Arial" w:hAnsi="Arial"/>
          <w:sz w:val="17"/>
          <w:szCs w:val="17"/>
          <w:color w:val="auto"/>
        </w:rPr>
      </w:pPr>
    </w:p>
    <w:p>
      <w:pPr>
        <w:ind w:left="1200" w:hanging="601"/>
        <w:spacing w:after="0"/>
        <w:tabs>
          <w:tab w:leader="none" w:pos="12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reward the achievement of our business objectives by directly linking rewards to the achievement of objectives that build long-term stockholder value;</w:t>
      </w:r>
    </w:p>
    <w:p>
      <w:pPr>
        <w:spacing w:after="0" w:line="77" w:lineRule="exact"/>
        <w:rPr>
          <w:rFonts w:ascii="Arial" w:cs="Arial" w:eastAsia="Arial" w:hAnsi="Arial"/>
          <w:sz w:val="15"/>
          <w:szCs w:val="15"/>
          <w:color w:val="auto"/>
        </w:rPr>
      </w:pPr>
    </w:p>
    <w:p>
      <w:pPr>
        <w:ind w:left="1200" w:right="300" w:hanging="601"/>
        <w:spacing w:after="0" w:line="265"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recognize both corporate and individual performance by providing opportunities for career advancement and above-median short-term and long-term compensation based on measurable corporate and individual performance; and</w:t>
      </w:r>
    </w:p>
    <w:p>
      <w:pPr>
        <w:spacing w:after="0" w:line="17" w:lineRule="exact"/>
        <w:rPr>
          <w:rFonts w:ascii="Arial" w:cs="Arial" w:eastAsia="Arial" w:hAnsi="Arial"/>
          <w:sz w:val="17"/>
          <w:szCs w:val="17"/>
          <w:color w:val="auto"/>
        </w:rPr>
      </w:pPr>
    </w:p>
    <w:p>
      <w:pPr>
        <w:ind w:left="1200" w:hanging="601"/>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aligning the interests of our executives with those of our stockholders by incentivizing and rewarding the creation of stockholder value.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352" w:right="239" w:bottom="1440" w:gutter="0" w:footer="0" w:header="0"/>
        </w:sectPr>
      </w:pPr>
    </w:p>
    <w:bookmarkStart w:id="27" w:name="page28"/>
    <w:bookmarkEnd w:id="27"/>
    <w:p>
      <w:pPr>
        <w:ind w:right="80"/>
        <w:spacing w:after="0" w:line="249" w:lineRule="auto"/>
        <w:rPr>
          <w:sz w:val="20"/>
          <w:szCs w:val="20"/>
          <w:color w:val="auto"/>
        </w:rPr>
      </w:pPr>
      <w:r>
        <w:rPr>
          <w:rFonts w:ascii="Arial" w:cs="Arial" w:eastAsia="Arial" w:hAnsi="Arial"/>
          <w:sz w:val="17"/>
          <w:szCs w:val="17"/>
          <w:color w:val="auto"/>
        </w:rPr>
        <w:t>Our executive compensation program has reflected, and we expect that it will continue to reflect, our industry and life-cycle stage, including the fact that we are a biotechnology company whose product candidates are in pre-clinical and clinical development and remain subject to regulatory approval. As a result, our revenues have been and will continue to be limited, and we expect to continue to incur net losses for at least the next several years. In an effort to preserve cash resources,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spacing w:after="0" w:line="18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addition to long-term incentive compensation, we have also implemented an annual cash bonus plan for our Named Executive Officers. Payments under this cash bonus plan are based on our level of achievement of pre-established corporate performance goals. All of the performance goals of our Named Executive Officers are tied to corporate objectives to reflect the fact that they make the key strategic decisions influencing our Company as a whole.</w:t>
      </w:r>
    </w:p>
    <w:p>
      <w:pPr>
        <w:spacing w:after="0" w:line="159"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Compensation-Setting Process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Compensation Committee</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Our compensation committee has overall responsibility for overseeing our compensation and benefits policies generally, and overseeing and evaluating the compensation plans, policies and practices applicable to our CEO and other Named Executive Officers.</w:t>
      </w:r>
    </w:p>
    <w:p>
      <w:pPr>
        <w:spacing w:after="0" w:line="67"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In carrying out its responsibilities, our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spacing w:after="0" w:line="4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compensation committee’s authority, duties, and responsibilities are further described in its charter, which is reviewed annually and revised and updated as warranted. The charter is available on our company website. Our compensation committee also retains a compensation consultant (as described below) to provide support in its review and assessment of our executive compensation program.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Setting Target Total Direct Compensation</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compensation committee reviews the base salary levels, annual cash bonus opportunities, and long-term incentive compensation opportunities of our Named Executive Officers and all related performance criteria at the beginning of each year, or more frequently as it deems appropriate. Adjustments are generally effective at the beginning of the fiscal year.</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compensation committee does not establish a specific target or benchmark relative to peer data for formulating the target total direct compensation opportunities of our Named Executive Officers. Rather, in making decisions about the compensation of our Named Executive Officers, the members of our compensation committee take a holistic approach that considers a number of factors, including:</w:t>
      </w:r>
    </w:p>
    <w:p>
      <w:pPr>
        <w:spacing w:after="0" w:line="83" w:lineRule="exact"/>
        <w:rPr>
          <w:sz w:val="20"/>
          <w:szCs w:val="20"/>
          <w:color w:val="auto"/>
        </w:rPr>
      </w:pPr>
    </w:p>
    <w:p>
      <w:pPr>
        <w:ind w:left="1200" w:hanging="601"/>
        <w:spacing w:after="0"/>
        <w:tabs>
          <w:tab w:leader="none" w:pos="12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performance against the financial, operational, and strategic objectives established by our compensation committee and our board of directors;</w:t>
      </w:r>
    </w:p>
    <w:p>
      <w:pPr>
        <w:spacing w:after="0" w:line="77" w:lineRule="exact"/>
        <w:rPr>
          <w:rFonts w:ascii="Arial" w:cs="Arial" w:eastAsia="Arial" w:hAnsi="Arial"/>
          <w:sz w:val="15"/>
          <w:szCs w:val="15"/>
          <w:color w:val="auto"/>
        </w:rPr>
      </w:pPr>
    </w:p>
    <w:p>
      <w:pPr>
        <w:ind w:left="1200" w:hanging="601"/>
        <w:spacing w:after="0" w:line="265" w:lineRule="auto"/>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individual executive’s knowledge, skills, experience, qualifications, and tenure relative to other similarly-situated executives at the companies in our compensation peer group;</w:t>
      </w:r>
    </w:p>
    <w:p>
      <w:pPr>
        <w:spacing w:after="0" w:line="17" w:lineRule="exact"/>
        <w:rPr>
          <w:rFonts w:ascii="Arial" w:cs="Arial" w:eastAsia="Arial" w:hAnsi="Arial"/>
          <w:sz w:val="17"/>
          <w:szCs w:val="17"/>
          <w:color w:val="auto"/>
        </w:rPr>
      </w:pPr>
    </w:p>
    <w:p>
      <w:pPr>
        <w:ind w:left="1200" w:hanging="601"/>
        <w:spacing w:after="0"/>
        <w:tabs>
          <w:tab w:leader="none" w:pos="12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scope of each executive’s role and responsibilities compared to other similarly-situated executives at the companies in our compensation peer group;</w:t>
      </w:r>
    </w:p>
    <w:p>
      <w:pPr>
        <w:spacing w:after="0" w:line="77" w:lineRule="exact"/>
        <w:rPr>
          <w:rFonts w:ascii="Arial" w:cs="Arial" w:eastAsia="Arial" w:hAnsi="Arial"/>
          <w:sz w:val="15"/>
          <w:szCs w:val="15"/>
          <w:color w:val="auto"/>
        </w:rPr>
      </w:pPr>
    </w:p>
    <w:p>
      <w:pPr>
        <w:ind w:left="1200" w:right="300" w:hanging="601"/>
        <w:spacing w:after="0" w:line="265" w:lineRule="auto"/>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prior performance of each individual executive, based on a subjective assessment of his or her contributions to our overall performance, ability to lead his or her business unit or function, and work as part of a team, all of which reflect our core values;</w:t>
      </w:r>
    </w:p>
    <w:p>
      <w:pPr>
        <w:spacing w:after="0" w:line="17" w:lineRule="exact"/>
        <w:rPr>
          <w:rFonts w:ascii="Arial" w:cs="Arial" w:eastAsia="Arial" w:hAnsi="Arial"/>
          <w:sz w:val="17"/>
          <w:szCs w:val="17"/>
          <w:color w:val="auto"/>
        </w:rPr>
      </w:pPr>
    </w:p>
    <w:p>
      <w:pPr>
        <w:ind w:left="1200" w:hanging="601"/>
        <w:spacing w:after="0"/>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potential of each individual executive to contribute to our long-term financial, operational, and strategic objectives;</w:t>
      </w:r>
    </w:p>
    <w:p>
      <w:pPr>
        <w:spacing w:after="0" w:line="54" w:lineRule="exact"/>
        <w:rPr>
          <w:rFonts w:ascii="Arial" w:cs="Arial" w:eastAsia="Arial" w:hAnsi="Arial"/>
          <w:sz w:val="17"/>
          <w:szCs w:val="17"/>
          <w:color w:val="auto"/>
        </w:rPr>
      </w:pPr>
    </w:p>
    <w:p>
      <w:pPr>
        <w:ind w:left="1200" w:hanging="601"/>
        <w:spacing w:after="0"/>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CEO’s compensation relative to that of our executives, and compensation parity among our executives;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352" w:right="239" w:bottom="1440" w:gutter="0" w:footer="0" w:header="0"/>
        </w:sectPr>
      </w:pPr>
    </w:p>
    <w:bookmarkStart w:id="28" w:name="page29"/>
    <w:bookmarkEnd w:id="28"/>
    <w:p>
      <w:pPr>
        <w:ind w:left="1200" w:hanging="601"/>
        <w:spacing w:after="0"/>
        <w:tabs>
          <w:tab w:leader="none" w:pos="1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operational performance relative to our compensation and performance peers;</w:t>
      </w:r>
    </w:p>
    <w:p>
      <w:pPr>
        <w:spacing w:after="0" w:line="54" w:lineRule="exact"/>
        <w:rPr>
          <w:rFonts w:ascii="Arial" w:cs="Arial" w:eastAsia="Arial" w:hAnsi="Arial"/>
          <w:sz w:val="17"/>
          <w:szCs w:val="17"/>
          <w:color w:val="auto"/>
        </w:rPr>
      </w:pPr>
    </w:p>
    <w:p>
      <w:pPr>
        <w:ind w:left="1200" w:right="640" w:hanging="601"/>
        <w:spacing w:after="0" w:line="265" w:lineRule="auto"/>
        <w:tabs>
          <w:tab w:leader="none" w:pos="1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compensation practices of our compensation peer group and the positioning of each executive’s compensation in a ranking of peer company compensation levels based on an analysis of competitive market data; and</w:t>
      </w:r>
    </w:p>
    <w:p>
      <w:pPr>
        <w:spacing w:after="0" w:line="17" w:lineRule="exact"/>
        <w:rPr>
          <w:rFonts w:ascii="Arial" w:cs="Arial" w:eastAsia="Arial" w:hAnsi="Arial"/>
          <w:sz w:val="17"/>
          <w:szCs w:val="17"/>
          <w:color w:val="auto"/>
        </w:rPr>
      </w:pPr>
    </w:p>
    <w:p>
      <w:pPr>
        <w:ind w:left="1200" w:hanging="601"/>
        <w:spacing w:after="0"/>
        <w:tabs>
          <w:tab w:leader="none" w:pos="1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recommendations of our CEO with respect to the compensation of our other executives.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These factors provide the framework for compensation decision-making and final decisions regarding the compensation opportunity for each Named Executive Officer.</w:t>
      </w:r>
    </w:p>
    <w:p>
      <w:pPr>
        <w:spacing w:after="0" w:line="327"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color w:val="auto"/>
        </w:rPr>
        <w:t>The members of our compensation committee consider all of this information, without placing any particular weighting on any single factor, in light of their individual experience, knowledge of the Company, knowledge of the competitive market, knowledge of each Named Executive Officer, and business judgment in making their decisions.</w:t>
      </w:r>
    </w:p>
    <w:p>
      <w:pPr>
        <w:spacing w:after="0" w:line="275" w:lineRule="exact"/>
        <w:rPr>
          <w:sz w:val="20"/>
          <w:szCs w:val="20"/>
          <w:color w:val="auto"/>
        </w:rPr>
      </w:pPr>
    </w:p>
    <w:p>
      <w:pPr>
        <w:spacing w:after="0" w:line="333" w:lineRule="auto"/>
        <w:rPr>
          <w:sz w:val="20"/>
          <w:szCs w:val="20"/>
          <w:color w:val="auto"/>
        </w:rPr>
      </w:pPr>
      <w:r>
        <w:rPr>
          <w:rFonts w:ascii="Arial" w:cs="Arial" w:eastAsia="Arial" w:hAnsi="Arial"/>
          <w:sz w:val="15"/>
          <w:szCs w:val="15"/>
          <w:color w:val="auto"/>
        </w:rPr>
        <w:t>Our compensation committee also considers the potential risks in our business when designing and administering our executive compensation program, and we believe our balanced approach to performance measurement and pay delivery works to avoid misaligned incentives for individuals to undertake excessive or inappropriate risk.</w:t>
      </w:r>
    </w:p>
    <w:p>
      <w:pPr>
        <w:spacing w:after="0" w:line="220" w:lineRule="exact"/>
        <w:rPr>
          <w:sz w:val="20"/>
          <w:szCs w:val="20"/>
          <w:color w:val="auto"/>
        </w:rPr>
      </w:pPr>
    </w:p>
    <w:p>
      <w:pPr>
        <w:jc w:val="both"/>
        <w:ind w:right="180"/>
        <w:spacing w:after="0" w:line="255" w:lineRule="auto"/>
        <w:rPr>
          <w:sz w:val="20"/>
          <w:szCs w:val="20"/>
          <w:color w:val="auto"/>
        </w:rPr>
      </w:pPr>
      <w:r>
        <w:rPr>
          <w:rFonts w:ascii="Arial" w:cs="Arial" w:eastAsia="Arial" w:hAnsi="Arial"/>
          <w:sz w:val="17"/>
          <w:szCs w:val="17"/>
          <w:color w:val="auto"/>
        </w:rPr>
        <w:t>In making its determinations, our compensation committee reviews information summarizing the compensation paid at a representative group of peer companies, to the extent that the executive positions at these companies are considered comparable to our positions and informative of the competitive environment and more broad-based compensation surveys to gain a general understanding of market compensation levels.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Management</w:t>
      </w:r>
    </w:p>
    <w:p>
      <w:pPr>
        <w:spacing w:after="0" w:line="204"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color w:val="auto"/>
        </w:rPr>
        <w:t>In discharging its responsibilities, our compensation committee considers input from our management team, including our CEO. Our management team assists our compensation committee by providing information based their direct knowledge of corporate and individual performance, competitive market data reports, and input on compensation policies and programs or talent needs that might require increased attention by our compensation committee. Our compensation committee solicits and reviews our CEO’s proposals with respect to program structures, as well as his recommendations for adjustments to annual cash compensation, long-term incentive compensation opportunities and other compensation-related matters for our Named Executive Officers (except with respect to his own compensation) based on his evaluation of their performance for the prior year.</w:t>
      </w:r>
    </w:p>
    <w:p>
      <w:pPr>
        <w:spacing w:after="0" w:line="169"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At the beginning of each year, our CEO reviews the performance of our other Named Executive Officers based on such individual’s level of success in accomplishing the business objectives established for him or her for the prior year and his or her overall performance during that year, and then shares these evaluations with, and makes recommendations to, our compensation committee for each element of compensation as described above. The annual business objectives for each of such Named Executive Officers are developed through mutual discussion and agreement between our CEO and the Named Executive Officers and are reviewed with our compensation committee.</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Our compensation committee reviews and discusses with our CEO his proposals and recommendations and considers them as one factor in determining and approving the compensation of our other Named Executive Officers. Our CEO also attends meetings of our board of directors and compensation committee at which executive compensation matters are addressed, except with respect to discussions involving his own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Compensation Consultant</w:t>
      </w:r>
    </w:p>
    <w:p>
      <w:pPr>
        <w:spacing w:after="0" w:line="204"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Our compensation committee engages an external compensation consultant to assist it by providing information, analysis, and other advice relating to our executive compensation program and the decisions resulting from its annual executive compensation review. The compensation consultant reports directly to our compensation committee and its chair, and serves at the discretion of our compensation committee, which reviews the engagement annually.</w:t>
      </w:r>
    </w:p>
    <w:p>
      <w:pPr>
        <w:spacing w:after="0" w:line="159"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For 2018, our compensation committee retained Compensia to serve as its compensation advisor to advise on executive compensation matters, including competitive market pay practices for our executive officers, and with the data analysis and selection of the compensation peer group.</w:t>
      </w:r>
    </w:p>
    <w:p>
      <w:pPr>
        <w:spacing w:after="0" w:line="167"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During 2018, Compensia attended the meetings of our compensation committee (both with and without management present) as requested and provided the following services: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352" w:right="259" w:bottom="1440" w:gutter="0" w:footer="0" w:header="0"/>
        </w:sectPr>
      </w:pPr>
    </w:p>
    <w:bookmarkStart w:id="29" w:name="page30"/>
    <w:bookmarkEnd w:id="29"/>
    <w:p>
      <w:pPr>
        <w:ind w:left="1200" w:hanging="601"/>
        <w:spacing w:after="0"/>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consulting with our compensation committee chair and other members between compensation committee meetings;</w:t>
      </w:r>
    </w:p>
    <w:p>
      <w:pPr>
        <w:spacing w:after="0" w:line="54" w:lineRule="exact"/>
        <w:rPr>
          <w:rFonts w:ascii="Arial" w:cs="Arial" w:eastAsia="Arial" w:hAnsi="Arial"/>
          <w:sz w:val="17"/>
          <w:szCs w:val="17"/>
          <w:color w:val="auto"/>
        </w:rPr>
      </w:pPr>
    </w:p>
    <w:p>
      <w:pPr>
        <w:ind w:left="1200" w:right="140" w:hanging="601"/>
        <w:spacing w:after="0" w:line="312" w:lineRule="auto"/>
        <w:tabs>
          <w:tab w:leader="none" w:pos="12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providing competitive market data based on the compensation peer group for our executive positions and evaluating how the compensation we pay our executives compares both to our performance and to how the companies in our compensation peer group compensate their executives;</w:t>
      </w:r>
    </w:p>
    <w:p>
      <w:pPr>
        <w:ind w:left="1200" w:right="700" w:hanging="601"/>
        <w:spacing w:after="0" w:line="265"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 and analysis of the base salary levels, annual incentive bonus opportunities, and long-term incentive compensation opportunities of our executives;</w:t>
      </w:r>
    </w:p>
    <w:p>
      <w:pPr>
        <w:spacing w:after="0" w:line="17" w:lineRule="exact"/>
        <w:rPr>
          <w:rFonts w:ascii="Arial" w:cs="Arial" w:eastAsia="Arial" w:hAnsi="Arial"/>
          <w:sz w:val="17"/>
          <w:szCs w:val="17"/>
          <w:color w:val="auto"/>
        </w:rPr>
      </w:pPr>
    </w:p>
    <w:p>
      <w:pPr>
        <w:ind w:left="1200" w:hanging="601"/>
        <w:spacing w:after="0"/>
        <w:tabs>
          <w:tab w:leader="none" w:pos="12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assessment of executive compensation trends within our industry, and updating on corporate governance and regulatory issues and developments; and</w:t>
      </w:r>
    </w:p>
    <w:p>
      <w:pPr>
        <w:spacing w:after="0" w:line="77" w:lineRule="exact"/>
        <w:rPr>
          <w:rFonts w:ascii="Arial" w:cs="Arial" w:eastAsia="Arial" w:hAnsi="Arial"/>
          <w:sz w:val="15"/>
          <w:szCs w:val="15"/>
          <w:color w:val="auto"/>
        </w:rPr>
      </w:pPr>
    </w:p>
    <w:p>
      <w:pPr>
        <w:ind w:left="1200" w:hanging="601"/>
        <w:spacing w:after="0"/>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support on other </w:t>
      </w:r>
      <w:r>
        <w:rPr>
          <w:rFonts w:ascii="Arial" w:cs="Arial" w:eastAsia="Arial" w:hAnsi="Arial"/>
          <w:sz w:val="17"/>
          <w:szCs w:val="17"/>
          <w:i w:val="1"/>
          <w:iCs w:val="1"/>
          <w:color w:val="auto"/>
        </w:rPr>
        <w:t>ad hoc</w:t>
      </w:r>
      <w:r>
        <w:rPr>
          <w:rFonts w:ascii="Arial" w:cs="Arial" w:eastAsia="Arial" w:hAnsi="Arial"/>
          <w:sz w:val="17"/>
          <w:szCs w:val="17"/>
          <w:color w:val="auto"/>
        </w:rPr>
        <w:t xml:space="preserve"> matters throughout the year.</w:t>
      </w:r>
    </w:p>
    <w:p>
      <w:pPr>
        <w:spacing w:after="0" w:line="254" w:lineRule="exact"/>
        <w:rPr>
          <w:sz w:val="20"/>
          <w:szCs w:val="20"/>
          <w:color w:val="auto"/>
        </w:rPr>
      </w:pPr>
    </w:p>
    <w:p>
      <w:pPr>
        <w:jc w:val="both"/>
        <w:ind w:right="420"/>
        <w:spacing w:after="0" w:line="255" w:lineRule="auto"/>
        <w:rPr>
          <w:sz w:val="20"/>
          <w:szCs w:val="20"/>
          <w:color w:val="auto"/>
        </w:rPr>
      </w:pPr>
      <w:r>
        <w:rPr>
          <w:rFonts w:ascii="Arial" w:cs="Arial" w:eastAsia="Arial" w:hAnsi="Arial"/>
          <w:sz w:val="17"/>
          <w:szCs w:val="17"/>
          <w:color w:val="auto"/>
        </w:rPr>
        <w:t>The terms of Compensia’s engagement includes reporting directly to our compensation committee chair. Compensia also coordinated with our management for data collection and job matching for our Named Executive Officers. In 2018, Compensia did not provide any other services to us other than the consulting services to our compensation committee.</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Our compensation committee regularly reviews the objectivity and independence of the advice provided by its compensation consultant on executive compensation matters. Based on the six factors for assessing independence and identifying potential conflicts of interest that are set forth in Exchange Act Rule 10C-1(b)(4), Rule 5605(d)(3)(D) of the NASDAQ Marketplace Rules, and such other factors as were deemed relevant under the circumstances, our compensation committee determined that its relationship with Compensia and the work of Compensia on behalf of our compensation committee did not raise any conflict of interest.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Competitive Positioning</w:t>
      </w:r>
    </w:p>
    <w:p>
      <w:pPr>
        <w:spacing w:after="0" w:line="204"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For purposes of assessing our executive compensation against the competitive market, our compensation committee reviews and considers the compensation levels and practices of a select group of peer companies. The competitive data drawn from this compensation peer group is only one of several factors that our compensation committee considers, however, in making its decisions with respect to the compensation of our Named Executive Officers.</w:t>
      </w:r>
    </w:p>
    <w:p>
      <w:pPr>
        <w:spacing w:after="0" w:line="141"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companies in the compensation peer group for 2018 were approved in October 2017, as determined using the following criteria: (i) biotechnology and pharmaceutical companies with therapeutic similarity in inflammation, immune-oncology and other antibody-based therapies; (ii) with lead drugs in phase I, II or III; (iii) 50 - 150 employees; and (iv) a market capitalization of 0.5x to 2.0x our market capitalization of approximately $1.4 billion. Our compensation peer group for 2018 was as follows:</w:t>
      </w:r>
    </w:p>
    <w:p>
      <w:pPr>
        <w:spacing w:after="0" w:line="278" w:lineRule="exact"/>
        <w:rPr>
          <w:sz w:val="20"/>
          <w:szCs w:val="20"/>
          <w:color w:val="auto"/>
        </w:rPr>
      </w:pPr>
    </w:p>
    <w:tbl>
      <w:tblPr>
        <w:tblLayout w:type="fixed"/>
        <w:tblInd w:w="520" w:type="dxa"/>
        <w:tblCellMar>
          <w:top w:w="0" w:type="dxa"/>
          <w:left w:w="0" w:type="dxa"/>
          <w:bottom w:w="0" w:type="dxa"/>
          <w:right w:w="0" w:type="dxa"/>
        </w:tblCellMar>
      </w:tblPr>
      <w:tr>
        <w:trPr>
          <w:trHeight w:val="250"/>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Acceleron Pharma</w:t>
            </w:r>
          </w:p>
        </w:tc>
        <w:tc>
          <w:tcPr>
            <w:tcW w:w="3560" w:type="dxa"/>
            <w:vAlign w:val="bottom"/>
            <w:shd w:val="clear" w:color="auto" w:fill="CCEEFF"/>
          </w:tcPr>
          <w:p>
            <w:pPr>
              <w:ind w:left="940"/>
              <w:spacing w:after="0"/>
              <w:rPr>
                <w:sz w:val="20"/>
                <w:szCs w:val="20"/>
                <w:color w:val="auto"/>
              </w:rPr>
            </w:pPr>
            <w:r>
              <w:rPr>
                <w:rFonts w:ascii="Arial" w:cs="Arial" w:eastAsia="Arial" w:hAnsi="Arial"/>
                <w:sz w:val="17"/>
                <w:szCs w:val="17"/>
                <w:color w:val="auto"/>
              </w:rPr>
              <w:t>Epizyme</w:t>
            </w:r>
          </w:p>
        </w:tc>
        <w:tc>
          <w:tcPr>
            <w:tcW w:w="42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MacroGenics</w:t>
            </w:r>
          </w:p>
        </w:tc>
      </w:tr>
      <w:tr>
        <w:trPr>
          <w:trHeight w:val="225"/>
        </w:trPr>
        <w:tc>
          <w:tcPr>
            <w:tcW w:w="2620" w:type="dxa"/>
            <w:vAlign w:val="bottom"/>
          </w:tcPr>
          <w:p>
            <w:pPr>
              <w:ind w:left="20"/>
              <w:spacing w:after="0"/>
              <w:rPr>
                <w:sz w:val="20"/>
                <w:szCs w:val="20"/>
                <w:color w:val="auto"/>
              </w:rPr>
            </w:pPr>
            <w:r>
              <w:rPr>
                <w:rFonts w:ascii="Arial" w:cs="Arial" w:eastAsia="Arial" w:hAnsi="Arial"/>
                <w:sz w:val="17"/>
                <w:szCs w:val="17"/>
                <w:color w:val="auto"/>
              </w:rPr>
              <w:t>Aimmune Therapeutics</w:t>
            </w:r>
          </w:p>
        </w:tc>
        <w:tc>
          <w:tcPr>
            <w:tcW w:w="3560" w:type="dxa"/>
            <w:vAlign w:val="bottom"/>
          </w:tcPr>
          <w:p>
            <w:pPr>
              <w:ind w:left="940"/>
              <w:spacing w:after="0"/>
              <w:rPr>
                <w:sz w:val="20"/>
                <w:szCs w:val="20"/>
                <w:color w:val="auto"/>
              </w:rPr>
            </w:pPr>
            <w:r>
              <w:rPr>
                <w:rFonts w:ascii="Arial" w:cs="Arial" w:eastAsia="Arial" w:hAnsi="Arial"/>
                <w:sz w:val="17"/>
                <w:szCs w:val="17"/>
                <w:color w:val="auto"/>
              </w:rPr>
              <w:t>Esperion Therapeutics</w:t>
            </w:r>
          </w:p>
        </w:tc>
        <w:tc>
          <w:tcPr>
            <w:tcW w:w="4220" w:type="dxa"/>
            <w:vAlign w:val="bottom"/>
          </w:tcPr>
          <w:p>
            <w:pPr>
              <w:ind w:left="820"/>
              <w:spacing w:after="0"/>
              <w:rPr>
                <w:sz w:val="20"/>
                <w:szCs w:val="20"/>
                <w:color w:val="auto"/>
              </w:rPr>
            </w:pPr>
            <w:r>
              <w:rPr>
                <w:rFonts w:ascii="Arial" w:cs="Arial" w:eastAsia="Arial" w:hAnsi="Arial"/>
                <w:sz w:val="17"/>
                <w:szCs w:val="17"/>
                <w:color w:val="auto"/>
              </w:rPr>
              <w:t>MyoKardia</w:t>
            </w:r>
          </w:p>
        </w:tc>
      </w:tr>
      <w:tr>
        <w:trPr>
          <w:trHeight w:val="25"/>
        </w:trPr>
        <w:tc>
          <w:tcPr>
            <w:tcW w:w="2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Audentes Therapeutics</w:t>
            </w:r>
          </w:p>
        </w:tc>
        <w:tc>
          <w:tcPr>
            <w:tcW w:w="35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7"/>
                <w:szCs w:val="17"/>
                <w:color w:val="auto"/>
              </w:rPr>
              <w:t>Five Prime Therapeutics</w:t>
            </w:r>
          </w:p>
        </w:tc>
        <w:tc>
          <w:tcPr>
            <w:tcW w:w="4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7"/>
                <w:szCs w:val="17"/>
                <w:color w:val="auto"/>
              </w:rPr>
              <w:t>REGENXBIO</w:t>
            </w:r>
          </w:p>
        </w:tc>
      </w:tr>
      <w:tr>
        <w:trPr>
          <w:trHeight w:val="225"/>
        </w:trPr>
        <w:tc>
          <w:tcPr>
            <w:tcW w:w="2620" w:type="dxa"/>
            <w:vAlign w:val="bottom"/>
          </w:tcPr>
          <w:p>
            <w:pPr>
              <w:ind w:left="20"/>
              <w:spacing w:after="0"/>
              <w:rPr>
                <w:sz w:val="20"/>
                <w:szCs w:val="20"/>
                <w:color w:val="auto"/>
              </w:rPr>
            </w:pPr>
            <w:r>
              <w:rPr>
                <w:rFonts w:ascii="Arial" w:cs="Arial" w:eastAsia="Arial" w:hAnsi="Arial"/>
                <w:sz w:val="17"/>
                <w:szCs w:val="17"/>
                <w:color w:val="auto"/>
              </w:rPr>
              <w:t>Biohaven Pharmaceutica</w:t>
            </w:r>
          </w:p>
        </w:tc>
        <w:tc>
          <w:tcPr>
            <w:tcW w:w="3560" w:type="dxa"/>
            <w:vAlign w:val="bottom"/>
          </w:tcPr>
          <w:p>
            <w:pPr>
              <w:ind w:left="940"/>
              <w:spacing w:after="0"/>
              <w:rPr>
                <w:sz w:val="20"/>
                <w:szCs w:val="20"/>
                <w:color w:val="auto"/>
              </w:rPr>
            </w:pPr>
            <w:r>
              <w:rPr>
                <w:rFonts w:ascii="Arial" w:cs="Arial" w:eastAsia="Arial" w:hAnsi="Arial"/>
                <w:sz w:val="17"/>
                <w:szCs w:val="17"/>
                <w:color w:val="auto"/>
              </w:rPr>
              <w:t>Global Blood Therapeutics</w:t>
            </w:r>
          </w:p>
        </w:tc>
        <w:tc>
          <w:tcPr>
            <w:tcW w:w="4220" w:type="dxa"/>
            <w:vAlign w:val="bottom"/>
          </w:tcPr>
          <w:p>
            <w:pPr>
              <w:ind w:left="820"/>
              <w:spacing w:after="0"/>
              <w:rPr>
                <w:sz w:val="20"/>
                <w:szCs w:val="20"/>
                <w:color w:val="auto"/>
              </w:rPr>
            </w:pPr>
            <w:r>
              <w:rPr>
                <w:rFonts w:ascii="Arial" w:cs="Arial" w:eastAsia="Arial" w:hAnsi="Arial"/>
                <w:sz w:val="17"/>
                <w:szCs w:val="17"/>
                <w:color w:val="auto"/>
              </w:rPr>
              <w:t>Sage Therapeutics</w:t>
            </w:r>
          </w:p>
        </w:tc>
      </w:tr>
      <w:tr>
        <w:trPr>
          <w:trHeight w:val="25"/>
        </w:trPr>
        <w:tc>
          <w:tcPr>
            <w:tcW w:w="2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Blueprint Medicines</w:t>
            </w:r>
          </w:p>
        </w:tc>
        <w:tc>
          <w:tcPr>
            <w:tcW w:w="35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7"/>
                <w:szCs w:val="17"/>
                <w:color w:val="auto"/>
              </w:rPr>
              <w:t>Ignyta</w:t>
            </w:r>
          </w:p>
        </w:tc>
        <w:tc>
          <w:tcPr>
            <w:tcW w:w="4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7"/>
                <w:szCs w:val="17"/>
                <w:color w:val="auto"/>
              </w:rPr>
              <w:t>Sangamo Therapeutics</w:t>
            </w:r>
          </w:p>
        </w:tc>
      </w:tr>
      <w:tr>
        <w:trPr>
          <w:trHeight w:val="225"/>
        </w:trPr>
        <w:tc>
          <w:tcPr>
            <w:tcW w:w="2620" w:type="dxa"/>
            <w:vAlign w:val="bottom"/>
          </w:tcPr>
          <w:p>
            <w:pPr>
              <w:ind w:left="20"/>
              <w:spacing w:after="0"/>
              <w:rPr>
                <w:sz w:val="20"/>
                <w:szCs w:val="20"/>
                <w:color w:val="auto"/>
              </w:rPr>
            </w:pPr>
            <w:r>
              <w:rPr>
                <w:rFonts w:ascii="Arial" w:cs="Arial" w:eastAsia="Arial" w:hAnsi="Arial"/>
                <w:sz w:val="17"/>
                <w:szCs w:val="17"/>
                <w:color w:val="auto"/>
              </w:rPr>
              <w:t>Cytokinetics</w:t>
            </w:r>
          </w:p>
        </w:tc>
        <w:tc>
          <w:tcPr>
            <w:tcW w:w="3560" w:type="dxa"/>
            <w:vAlign w:val="bottom"/>
          </w:tcPr>
          <w:p>
            <w:pPr>
              <w:ind w:left="940"/>
              <w:spacing w:after="0"/>
              <w:rPr>
                <w:sz w:val="20"/>
                <w:szCs w:val="20"/>
                <w:color w:val="auto"/>
              </w:rPr>
            </w:pPr>
            <w:r>
              <w:rPr>
                <w:rFonts w:ascii="Arial" w:cs="Arial" w:eastAsia="Arial" w:hAnsi="Arial"/>
                <w:sz w:val="17"/>
                <w:szCs w:val="17"/>
                <w:color w:val="auto"/>
              </w:rPr>
              <w:t>Immunomedics</w:t>
            </w:r>
          </w:p>
        </w:tc>
        <w:tc>
          <w:tcPr>
            <w:tcW w:w="4220" w:type="dxa"/>
            <w:vAlign w:val="bottom"/>
          </w:tcPr>
          <w:p>
            <w:pPr>
              <w:ind w:left="820"/>
              <w:spacing w:after="0"/>
              <w:rPr>
                <w:sz w:val="20"/>
                <w:szCs w:val="20"/>
                <w:color w:val="auto"/>
              </w:rPr>
            </w:pPr>
            <w:r>
              <w:rPr>
                <w:rFonts w:ascii="Arial" w:cs="Arial" w:eastAsia="Arial" w:hAnsi="Arial"/>
                <w:sz w:val="17"/>
                <w:szCs w:val="17"/>
                <w:color w:val="auto"/>
              </w:rPr>
              <w:t>Xencor</w:t>
            </w:r>
          </w:p>
        </w:tc>
      </w:tr>
    </w:tbl>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compensation practices of the compensation peer group were the primary guide used by our compensation committee in 2018 to compare the competitiveness of each compensation element and overall compensation levels (base salary, target annual cash bonus opportunities, and long-term incentive compensation) for purposes of decisions relating to 2018 compensation.</w:t>
      </w:r>
    </w:p>
    <w:p>
      <w:pPr>
        <w:spacing w:after="0" w:line="175"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Our compensation committee reviews our compensation peer group each year (unless there have been significant changes to either our business model or market capitalization) and makes adjustments to its composition if warranted, taking into account changes in both our business and the businesses of the companies in the peer group.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Elements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 2018, the principal elements of our executive compensation program, and the objective for each element, were as follows: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80"/>
          </w:cols>
          <w:pgMar w:left="240" w:top="352"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3120" w:type="dxa"/>
            <w:vAlign w:val="bottom"/>
          </w:tcPr>
          <w:p>
            <w:pPr>
              <w:ind w:left="20"/>
              <w:spacing w:after="0"/>
              <w:rPr>
                <w:sz w:val="20"/>
                <w:szCs w:val="20"/>
                <w:color w:val="auto"/>
              </w:rPr>
            </w:pPr>
            <w:r>
              <w:rPr>
                <w:rFonts w:ascii="Arial" w:cs="Arial" w:eastAsia="Arial" w:hAnsi="Arial"/>
                <w:sz w:val="17"/>
                <w:szCs w:val="17"/>
                <w:b w:val="1"/>
                <w:bCs w:val="1"/>
                <w:color w:val="auto"/>
              </w:rPr>
              <w:t>Element</w:t>
            </w:r>
          </w:p>
        </w:tc>
        <w:tc>
          <w:tcPr>
            <w:tcW w:w="1700" w:type="dxa"/>
            <w:vAlign w:val="bottom"/>
          </w:tcPr>
          <w:p>
            <w:pPr>
              <w:ind w:left="680"/>
              <w:spacing w:after="0"/>
              <w:rPr>
                <w:sz w:val="20"/>
                <w:szCs w:val="20"/>
                <w:color w:val="auto"/>
              </w:rPr>
            </w:pPr>
            <w:r>
              <w:rPr>
                <w:rFonts w:ascii="Arial" w:cs="Arial" w:eastAsia="Arial" w:hAnsi="Arial"/>
                <w:sz w:val="17"/>
                <w:szCs w:val="17"/>
                <w:b w:val="1"/>
                <w:bCs w:val="1"/>
                <w:color w:val="auto"/>
              </w:rPr>
              <w:t>Type</w:t>
            </w:r>
          </w:p>
        </w:tc>
        <w:tc>
          <w:tcPr>
            <w:tcW w:w="6600" w:type="dxa"/>
            <w:vAlign w:val="bottom"/>
          </w:tcPr>
          <w:p>
            <w:pPr>
              <w:ind w:left="460"/>
              <w:spacing w:after="0"/>
              <w:rPr>
                <w:sz w:val="20"/>
                <w:szCs w:val="20"/>
                <w:color w:val="auto"/>
              </w:rPr>
            </w:pPr>
            <w:r>
              <w:rPr>
                <w:rFonts w:ascii="Arial" w:cs="Arial" w:eastAsia="Arial" w:hAnsi="Arial"/>
                <w:sz w:val="17"/>
                <w:szCs w:val="17"/>
                <w:b w:val="1"/>
                <w:bCs w:val="1"/>
                <w:color w:val="auto"/>
              </w:rPr>
              <w:t>Objective</w:t>
            </w:r>
          </w:p>
        </w:tc>
      </w:tr>
      <w:tr>
        <w:trPr>
          <w:trHeight w:val="25"/>
        </w:trPr>
        <w:tc>
          <w:tcPr>
            <w:tcW w:w="3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05"/>
        </w:trPr>
        <w:tc>
          <w:tcPr>
            <w:tcW w:w="3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66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Provide a secure, fixed compensation amount that reflects executive’s scope of</w:t>
            </w:r>
          </w:p>
        </w:tc>
      </w:tr>
      <w:tr>
        <w:trPr>
          <w:trHeight w:val="21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Base Salary</w:t>
            </w:r>
          </w:p>
        </w:tc>
        <w:tc>
          <w:tcPr>
            <w:tcW w:w="1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Fixed</w:t>
            </w:r>
          </w:p>
        </w:tc>
        <w:tc>
          <w:tcPr>
            <w:tcW w:w="6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responsibility, skill-level and performance and is competitive with the market.</w:t>
            </w:r>
          </w:p>
        </w:tc>
      </w:tr>
      <w:tr>
        <w:trPr>
          <w:trHeight w:val="212"/>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0" w:type="dxa"/>
            <w:vAlign w:val="bottom"/>
          </w:tcPr>
          <w:p>
            <w:pPr>
              <w:ind w:left="460"/>
              <w:spacing w:after="0"/>
              <w:rPr>
                <w:sz w:val="20"/>
                <w:szCs w:val="20"/>
                <w:color w:val="auto"/>
              </w:rPr>
            </w:pPr>
            <w:r>
              <w:rPr>
                <w:rFonts w:ascii="Arial" w:cs="Arial" w:eastAsia="Arial" w:hAnsi="Arial"/>
                <w:sz w:val="17"/>
                <w:szCs w:val="17"/>
                <w:color w:val="auto"/>
                <w:w w:val="93"/>
              </w:rPr>
              <w:t>Designed to motivate our executives to achieve annual business objectives and provide</w:t>
            </w:r>
          </w:p>
        </w:tc>
      </w:tr>
      <w:tr>
        <w:trPr>
          <w:trHeight w:val="212"/>
        </w:trPr>
        <w:tc>
          <w:tcPr>
            <w:tcW w:w="3120" w:type="dxa"/>
            <w:vAlign w:val="bottom"/>
          </w:tcPr>
          <w:p>
            <w:pPr>
              <w:ind w:left="20"/>
              <w:spacing w:after="0"/>
              <w:rPr>
                <w:sz w:val="20"/>
                <w:szCs w:val="20"/>
                <w:color w:val="auto"/>
              </w:rPr>
            </w:pPr>
            <w:r>
              <w:rPr>
                <w:rFonts w:ascii="Arial" w:cs="Arial" w:eastAsia="Arial" w:hAnsi="Arial"/>
                <w:sz w:val="17"/>
                <w:szCs w:val="17"/>
                <w:color w:val="auto"/>
              </w:rPr>
              <w:t>Annual Cash Bonus Awards</w:t>
            </w:r>
          </w:p>
        </w:tc>
        <w:tc>
          <w:tcPr>
            <w:tcW w:w="1700" w:type="dxa"/>
            <w:vAlign w:val="bottom"/>
          </w:tcPr>
          <w:p>
            <w:pPr>
              <w:ind w:left="680"/>
              <w:spacing w:after="0"/>
              <w:rPr>
                <w:sz w:val="20"/>
                <w:szCs w:val="20"/>
                <w:color w:val="auto"/>
              </w:rPr>
            </w:pPr>
            <w:r>
              <w:rPr>
                <w:rFonts w:ascii="Arial" w:cs="Arial" w:eastAsia="Arial" w:hAnsi="Arial"/>
                <w:sz w:val="17"/>
                <w:szCs w:val="17"/>
                <w:color w:val="auto"/>
              </w:rPr>
              <w:t>Variable</w:t>
            </w:r>
          </w:p>
        </w:tc>
        <w:tc>
          <w:tcPr>
            <w:tcW w:w="6600" w:type="dxa"/>
            <w:vAlign w:val="bottom"/>
          </w:tcPr>
          <w:p>
            <w:pPr>
              <w:ind w:left="460"/>
              <w:spacing w:after="0"/>
              <w:rPr>
                <w:sz w:val="20"/>
                <w:szCs w:val="20"/>
                <w:color w:val="auto"/>
              </w:rPr>
            </w:pPr>
            <w:r>
              <w:rPr>
                <w:rFonts w:ascii="Arial" w:cs="Arial" w:eastAsia="Arial" w:hAnsi="Arial"/>
                <w:sz w:val="17"/>
                <w:szCs w:val="17"/>
                <w:color w:val="auto"/>
              </w:rPr>
              <w:t>financial incentives when we meet or exceed these annual objectives.</w:t>
            </w:r>
          </w:p>
        </w:tc>
      </w:tr>
      <w:tr>
        <w:trPr>
          <w:trHeight w:val="25"/>
        </w:trPr>
        <w:tc>
          <w:tcPr>
            <w:tcW w:w="3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w:t>
            </w:r>
            <w:r>
              <w:rPr>
                <w:rFonts w:ascii="Arial" w:cs="Arial" w:eastAsia="Arial" w:hAnsi="Arial"/>
                <w:sz w:val="17"/>
                <w:szCs w:val="17"/>
                <w:b w:val="1"/>
                <w:bCs w:val="1"/>
                <w:color w:val="auto"/>
              </w:rPr>
              <w:t>-</w:t>
            </w:r>
            <w:r>
              <w:rPr>
                <w:rFonts w:ascii="Arial" w:cs="Arial" w:eastAsia="Arial" w:hAnsi="Arial"/>
                <w:sz w:val="17"/>
                <w:szCs w:val="17"/>
                <w:color w:val="auto"/>
              </w:rPr>
              <w:t>Term Incentive Compensation</w:t>
            </w:r>
          </w:p>
        </w:tc>
        <w:tc>
          <w:tcPr>
            <w:tcW w:w="1700" w:type="dxa"/>
            <w:vAlign w:val="bottom"/>
            <w:shd w:val="clear" w:color="auto" w:fill="CCEEFF"/>
          </w:tcPr>
          <w:p>
            <w:pPr>
              <w:spacing w:after="0"/>
              <w:rPr>
                <w:sz w:val="18"/>
                <w:szCs w:val="18"/>
                <w:color w:val="auto"/>
              </w:rPr>
            </w:pPr>
          </w:p>
        </w:tc>
        <w:tc>
          <w:tcPr>
            <w:tcW w:w="660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9"/>
              </w:rPr>
              <w:t>Designed to align the interests of our executives with those of our stockholders by</w:t>
            </w:r>
          </w:p>
        </w:tc>
      </w:tr>
      <w:tr>
        <w:trPr>
          <w:trHeight w:val="212"/>
        </w:trPr>
        <w:tc>
          <w:tcPr>
            <w:tcW w:w="3120" w:type="dxa"/>
            <w:vAlign w:val="bottom"/>
            <w:shd w:val="clear" w:color="auto" w:fill="CCEEFF"/>
          </w:tcPr>
          <w:p>
            <w:pPr>
              <w:spacing w:after="0"/>
              <w:rPr>
                <w:sz w:val="18"/>
                <w:szCs w:val="18"/>
                <w:color w:val="auto"/>
              </w:rPr>
            </w:pPr>
          </w:p>
        </w:tc>
        <w:tc>
          <w:tcPr>
            <w:tcW w:w="17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Variable</w:t>
            </w:r>
          </w:p>
        </w:tc>
        <w:tc>
          <w:tcPr>
            <w:tcW w:w="66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motivating them to create sustainable long-term stockholder value.</w:t>
            </w:r>
          </w:p>
        </w:tc>
      </w:tr>
      <w:tr>
        <w:trPr>
          <w:trHeight w:val="25"/>
        </w:trPr>
        <w:tc>
          <w:tcPr>
            <w:tcW w:w="3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6600" w:type="dxa"/>
            <w:vAlign w:val="bottom"/>
            <w:shd w:val="clear" w:color="auto" w:fill="CCEEFF"/>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Salary</w:t>
      </w:r>
    </w:p>
    <w:p>
      <w:pPr>
        <w:spacing w:after="0" w:line="204" w:lineRule="exact"/>
        <w:rPr>
          <w:sz w:val="20"/>
          <w:szCs w:val="20"/>
          <w:color w:val="auto"/>
        </w:rPr>
      </w:pPr>
    </w:p>
    <w:p>
      <w:pPr>
        <w:ind w:right="180"/>
        <w:spacing w:after="0" w:line="333" w:lineRule="auto"/>
        <w:rPr>
          <w:sz w:val="20"/>
          <w:szCs w:val="20"/>
          <w:color w:val="auto"/>
        </w:rPr>
      </w:pPr>
      <w:r>
        <w:rPr>
          <w:rFonts w:ascii="Arial" w:cs="Arial" w:eastAsia="Arial" w:hAnsi="Arial"/>
          <w:sz w:val="15"/>
          <w:szCs w:val="15"/>
          <w:color w:val="auto"/>
        </w:rPr>
        <w:t>Base salary represents the fixed portion of the compensation of our Named Executive Officers and is an important element of compensation intended to attract and retain highly-talented individuals by providing an amount of fixed pay that compensates executives for their scope of responsibility, skill-level and performance.</w:t>
      </w:r>
    </w:p>
    <w:p>
      <w:pPr>
        <w:spacing w:after="0" w:line="12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Generally, we establish the initial base salaries of our Named Executive Officers through arm’s-length negotiation at the time we hire the individual, taking into account his or her position, qualifications, experience, prior salary level, and the base salaries of our other Named Executive Officers. Thereafter, our compensation committee reviews the base salaries of our Named Executive Officers each year as part of its annual compensation review and makes adjustments as it determines to be reasonable and necessary to reflect the scope of a Named Executive Officer’s performance, individual contributions and responsibilities, position in the case of a promotion, and market conditions.</w:t>
      </w:r>
    </w:p>
    <w:p>
      <w:pPr>
        <w:spacing w:after="0" w:line="180"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In January 2018, our compensation committee reviewed the base salaries of our executive officers (including our Named Executive Officers), taking into consideration a competitive market analysis and the other factors described in “—</w:t>
      </w:r>
      <w:r>
        <w:rPr>
          <w:rFonts w:ascii="Arial" w:cs="Arial" w:eastAsia="Arial" w:hAnsi="Arial"/>
          <w:sz w:val="17"/>
          <w:szCs w:val="17"/>
          <w:i w:val="1"/>
          <w:iCs w:val="1"/>
          <w:color w:val="auto"/>
        </w:rPr>
        <w:t>Compensation-Setting Process - Setting Target Total Direct Compensation</w:t>
      </w:r>
      <w:r>
        <w:rPr>
          <w:rFonts w:ascii="Arial" w:cs="Arial" w:eastAsia="Arial" w:hAnsi="Arial"/>
          <w:sz w:val="17"/>
          <w:szCs w:val="17"/>
          <w:color w:val="auto"/>
        </w:rPr>
        <w:t>” above. Following this review, our compensation committee approved base salary increases for each of our Named Executive Officers (other than Mr. Loumeau), effective January 1, 2018, to bring their base salaries to levels that were comparable to those of similarly-situated executives at the companies in our compensation peer group. The base salaries of our Named Executive Officers for 2018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3300" w:type="dxa"/>
            <w:vAlign w:val="bottom"/>
          </w:tcPr>
          <w:p>
            <w:pPr>
              <w:jc w:val="center"/>
              <w:ind w:left="897"/>
              <w:spacing w:after="0"/>
              <w:rPr>
                <w:sz w:val="20"/>
                <w:szCs w:val="20"/>
                <w:color w:val="auto"/>
              </w:rPr>
            </w:pPr>
            <w:r>
              <w:rPr>
                <w:rFonts w:ascii="Arial" w:cs="Arial" w:eastAsia="Arial" w:hAnsi="Arial"/>
                <w:sz w:val="17"/>
                <w:szCs w:val="17"/>
                <w:b w:val="1"/>
                <w:bCs w:val="1"/>
                <w:color w:val="auto"/>
                <w:w w:val="87"/>
              </w:rPr>
              <w:t>2017 Base Salary ($)</w:t>
            </w:r>
          </w:p>
        </w:tc>
        <w:tc>
          <w:tcPr>
            <w:tcW w:w="2520" w:type="dxa"/>
            <w:vAlign w:val="bottom"/>
          </w:tcPr>
          <w:p>
            <w:pPr>
              <w:jc w:val="center"/>
              <w:ind w:right="77"/>
              <w:spacing w:after="0"/>
              <w:rPr>
                <w:sz w:val="20"/>
                <w:szCs w:val="20"/>
                <w:color w:val="auto"/>
              </w:rPr>
            </w:pPr>
            <w:r>
              <w:rPr>
                <w:rFonts w:ascii="Arial" w:cs="Arial" w:eastAsia="Arial" w:hAnsi="Arial"/>
                <w:sz w:val="17"/>
                <w:szCs w:val="17"/>
                <w:b w:val="1"/>
                <w:bCs w:val="1"/>
                <w:color w:val="auto"/>
                <w:w w:val="87"/>
              </w:rPr>
              <w:t>2018 Base Salary ($)</w:t>
            </w:r>
          </w:p>
        </w:tc>
        <w:tc>
          <w:tcPr>
            <w:tcW w:w="2760" w:type="dxa"/>
            <w:vAlign w:val="bottom"/>
          </w:tcPr>
          <w:p>
            <w:pPr>
              <w:jc w:val="center"/>
              <w:ind w:right="17"/>
              <w:spacing w:after="0"/>
              <w:rPr>
                <w:sz w:val="20"/>
                <w:szCs w:val="20"/>
                <w:color w:val="auto"/>
              </w:rPr>
            </w:pPr>
            <w:r>
              <w:rPr>
                <w:rFonts w:ascii="Arial" w:cs="Arial" w:eastAsia="Arial" w:hAnsi="Arial"/>
                <w:sz w:val="17"/>
                <w:szCs w:val="17"/>
                <w:b w:val="1"/>
                <w:bCs w:val="1"/>
                <w:color w:val="auto"/>
                <w:w w:val="85"/>
              </w:rPr>
              <w:t>Percentage Increase</w:t>
            </w:r>
          </w:p>
        </w:tc>
        <w:tc>
          <w:tcPr>
            <w:tcW w:w="0" w:type="dxa"/>
            <w:vAlign w:val="bottom"/>
          </w:tcPr>
          <w:p>
            <w:pPr>
              <w:spacing w:after="0"/>
              <w:rPr>
                <w:sz w:val="1"/>
                <w:szCs w:val="1"/>
                <w:color w:val="auto"/>
              </w:rPr>
            </w:pPr>
          </w:p>
        </w:tc>
      </w:tr>
      <w:tr>
        <w:trPr>
          <w:trHeight w:val="25"/>
        </w:trPr>
        <w:tc>
          <w:tcPr>
            <w:tcW w:w="28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Hamza Suria</w:t>
            </w:r>
          </w:p>
        </w:tc>
        <w:tc>
          <w:tcPr>
            <w:tcW w:w="3300" w:type="dxa"/>
            <w:vAlign w:val="bottom"/>
            <w:tcBorders>
              <w:bottom w:val="single" w:sz="8" w:color="CCEEFF"/>
            </w:tcBorders>
            <w:shd w:val="clear" w:color="auto" w:fill="CCEEFF"/>
          </w:tcPr>
          <w:p>
            <w:pPr>
              <w:jc w:val="center"/>
              <w:ind w:left="877"/>
              <w:spacing w:after="0"/>
              <w:rPr>
                <w:sz w:val="20"/>
                <w:szCs w:val="20"/>
                <w:color w:val="auto"/>
              </w:rPr>
            </w:pPr>
            <w:r>
              <w:rPr>
                <w:rFonts w:ascii="Arial" w:cs="Arial" w:eastAsia="Arial" w:hAnsi="Arial"/>
                <w:sz w:val="17"/>
                <w:szCs w:val="17"/>
                <w:color w:val="auto"/>
                <w:w w:val="87"/>
              </w:rPr>
              <w:t>465,000</w:t>
            </w:r>
          </w:p>
        </w:tc>
        <w:tc>
          <w:tcPr>
            <w:tcW w:w="2520" w:type="dxa"/>
            <w:vAlign w:val="bottom"/>
            <w:tcBorders>
              <w:bottom w:val="single" w:sz="8" w:color="CCEEFF"/>
            </w:tcBorders>
            <w:shd w:val="clear" w:color="auto" w:fill="CCEEFF"/>
          </w:tcPr>
          <w:p>
            <w:pPr>
              <w:jc w:val="center"/>
              <w:ind w:right="97"/>
              <w:spacing w:after="0"/>
              <w:rPr>
                <w:sz w:val="20"/>
                <w:szCs w:val="20"/>
                <w:color w:val="auto"/>
              </w:rPr>
            </w:pPr>
            <w:r>
              <w:rPr>
                <w:rFonts w:ascii="Arial" w:cs="Arial" w:eastAsia="Arial" w:hAnsi="Arial"/>
                <w:sz w:val="17"/>
                <w:szCs w:val="17"/>
                <w:color w:val="auto"/>
                <w:w w:val="87"/>
              </w:rPr>
              <w:t>547,000</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17.6%</w:t>
            </w:r>
          </w:p>
        </w:tc>
        <w:tc>
          <w:tcPr>
            <w:tcW w:w="0" w:type="dxa"/>
            <w:vAlign w:val="bottom"/>
          </w:tcPr>
          <w:p>
            <w:pPr>
              <w:spacing w:after="0"/>
              <w:rPr>
                <w:sz w:val="1"/>
                <w:szCs w:val="1"/>
                <w:color w:val="auto"/>
              </w:rPr>
            </w:pPr>
          </w:p>
        </w:tc>
      </w:tr>
      <w:tr>
        <w:trPr>
          <w:trHeight w:val="225"/>
        </w:trPr>
        <w:tc>
          <w:tcPr>
            <w:tcW w:w="2840" w:type="dxa"/>
            <w:vAlign w:val="bottom"/>
          </w:tcPr>
          <w:p>
            <w:pPr>
              <w:ind w:left="20"/>
              <w:spacing w:after="0"/>
              <w:rPr>
                <w:sz w:val="20"/>
                <w:szCs w:val="20"/>
                <w:color w:val="auto"/>
              </w:rPr>
            </w:pPr>
            <w:r>
              <w:rPr>
                <w:rFonts w:ascii="Arial" w:cs="Arial" w:eastAsia="Arial" w:hAnsi="Arial"/>
                <w:sz w:val="17"/>
                <w:szCs w:val="17"/>
                <w:color w:val="auto"/>
              </w:rPr>
              <w:t>Marco Londei, M.D.</w:t>
            </w:r>
          </w:p>
        </w:tc>
        <w:tc>
          <w:tcPr>
            <w:tcW w:w="3300" w:type="dxa"/>
            <w:vAlign w:val="bottom"/>
          </w:tcPr>
          <w:p>
            <w:pPr>
              <w:jc w:val="center"/>
              <w:ind w:left="877"/>
              <w:spacing w:after="0"/>
              <w:rPr>
                <w:sz w:val="20"/>
                <w:szCs w:val="20"/>
                <w:color w:val="auto"/>
              </w:rPr>
            </w:pPr>
            <w:r>
              <w:rPr>
                <w:rFonts w:ascii="Arial" w:cs="Arial" w:eastAsia="Arial" w:hAnsi="Arial"/>
                <w:sz w:val="17"/>
                <w:szCs w:val="17"/>
                <w:color w:val="auto"/>
                <w:w w:val="87"/>
              </w:rPr>
              <w:t>395,250</w:t>
            </w:r>
          </w:p>
        </w:tc>
        <w:tc>
          <w:tcPr>
            <w:tcW w:w="2520" w:type="dxa"/>
            <w:vAlign w:val="bottom"/>
          </w:tcPr>
          <w:p>
            <w:pPr>
              <w:jc w:val="center"/>
              <w:ind w:right="97"/>
              <w:spacing w:after="0"/>
              <w:rPr>
                <w:sz w:val="20"/>
                <w:szCs w:val="20"/>
                <w:color w:val="auto"/>
              </w:rPr>
            </w:pPr>
            <w:r>
              <w:rPr>
                <w:rFonts w:ascii="Arial" w:cs="Arial" w:eastAsia="Arial" w:hAnsi="Arial"/>
                <w:sz w:val="17"/>
                <w:szCs w:val="17"/>
                <w:color w:val="auto"/>
                <w:w w:val="87"/>
              </w:rPr>
              <w:t>436,000</w:t>
            </w:r>
          </w:p>
        </w:tc>
        <w:tc>
          <w:tcPr>
            <w:tcW w:w="2760" w:type="dxa"/>
            <w:vAlign w:val="bottom"/>
          </w:tcPr>
          <w:p>
            <w:pPr>
              <w:jc w:val="center"/>
              <w:spacing w:after="0"/>
              <w:rPr>
                <w:sz w:val="20"/>
                <w:szCs w:val="20"/>
                <w:color w:val="auto"/>
              </w:rPr>
            </w:pPr>
            <w:r>
              <w:rPr>
                <w:rFonts w:ascii="Arial" w:cs="Arial" w:eastAsia="Arial" w:hAnsi="Arial"/>
                <w:sz w:val="17"/>
                <w:szCs w:val="17"/>
                <w:color w:val="auto"/>
                <w:w w:val="91"/>
              </w:rPr>
              <w:t>10.3%</w:t>
            </w: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Dominic Piscitelli</w:t>
            </w:r>
          </w:p>
        </w:tc>
        <w:tc>
          <w:tcPr>
            <w:tcW w:w="3300" w:type="dxa"/>
            <w:vAlign w:val="bottom"/>
            <w:tcBorders>
              <w:bottom w:val="single" w:sz="8" w:color="CCEEFF"/>
            </w:tcBorders>
            <w:shd w:val="clear" w:color="auto" w:fill="CCEEFF"/>
          </w:tcPr>
          <w:p>
            <w:pPr>
              <w:jc w:val="center"/>
              <w:ind w:left="877"/>
              <w:spacing w:after="0"/>
              <w:rPr>
                <w:sz w:val="20"/>
                <w:szCs w:val="20"/>
                <w:color w:val="auto"/>
              </w:rPr>
            </w:pPr>
            <w:r>
              <w:rPr>
                <w:rFonts w:ascii="Arial" w:cs="Arial" w:eastAsia="Arial" w:hAnsi="Arial"/>
                <w:sz w:val="17"/>
                <w:szCs w:val="17"/>
                <w:color w:val="auto"/>
                <w:w w:val="87"/>
              </w:rPr>
              <w:t>365,000</w:t>
            </w:r>
          </w:p>
        </w:tc>
        <w:tc>
          <w:tcPr>
            <w:tcW w:w="2520" w:type="dxa"/>
            <w:vAlign w:val="bottom"/>
            <w:tcBorders>
              <w:bottom w:val="single" w:sz="8" w:color="CCEEFF"/>
            </w:tcBorders>
            <w:shd w:val="clear" w:color="auto" w:fill="CCEEFF"/>
          </w:tcPr>
          <w:p>
            <w:pPr>
              <w:jc w:val="center"/>
              <w:ind w:right="97"/>
              <w:spacing w:after="0"/>
              <w:rPr>
                <w:sz w:val="20"/>
                <w:szCs w:val="20"/>
                <w:color w:val="auto"/>
              </w:rPr>
            </w:pPr>
            <w:r>
              <w:rPr>
                <w:rFonts w:ascii="Arial" w:cs="Arial" w:eastAsia="Arial" w:hAnsi="Arial"/>
                <w:sz w:val="17"/>
                <w:szCs w:val="17"/>
                <w:color w:val="auto"/>
                <w:w w:val="87"/>
              </w:rPr>
              <w:t>397,000</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8.8%</w:t>
            </w:r>
          </w:p>
        </w:tc>
        <w:tc>
          <w:tcPr>
            <w:tcW w:w="0" w:type="dxa"/>
            <w:vAlign w:val="bottom"/>
          </w:tcPr>
          <w:p>
            <w:pPr>
              <w:spacing w:after="0"/>
              <w:rPr>
                <w:sz w:val="1"/>
                <w:szCs w:val="1"/>
                <w:color w:val="auto"/>
              </w:rPr>
            </w:pPr>
          </w:p>
        </w:tc>
      </w:tr>
      <w:tr>
        <w:trPr>
          <w:trHeight w:val="314"/>
        </w:trPr>
        <w:tc>
          <w:tcPr>
            <w:tcW w:w="2840" w:type="dxa"/>
            <w:vAlign w:val="bottom"/>
          </w:tcPr>
          <w:p>
            <w:pPr>
              <w:ind w:left="20"/>
              <w:spacing w:after="0"/>
              <w:rPr>
                <w:sz w:val="20"/>
                <w:szCs w:val="20"/>
                <w:color w:val="auto"/>
              </w:rPr>
            </w:pPr>
            <w:r>
              <w:rPr>
                <w:rFonts w:ascii="Arial" w:cs="Arial" w:eastAsia="Arial" w:hAnsi="Arial"/>
                <w:sz w:val="17"/>
                <w:szCs w:val="17"/>
                <w:color w:val="auto"/>
              </w:rPr>
              <w:t>Eric Loumeau</w:t>
            </w:r>
            <w:r>
              <w:rPr>
                <w:rFonts w:ascii="Arial" w:cs="Arial" w:eastAsia="Arial" w:hAnsi="Arial"/>
                <w:sz w:val="23"/>
                <w:szCs w:val="23"/>
                <w:color w:val="auto"/>
                <w:vertAlign w:val="superscript"/>
              </w:rPr>
              <w:t>(1)</w:t>
            </w:r>
          </w:p>
        </w:tc>
        <w:tc>
          <w:tcPr>
            <w:tcW w:w="3300" w:type="dxa"/>
            <w:vAlign w:val="bottom"/>
            <w:vMerge w:val="restart"/>
          </w:tcPr>
          <w:p>
            <w:pPr>
              <w:jc w:val="center"/>
              <w:ind w:left="897"/>
              <w:spacing w:after="0"/>
              <w:rPr>
                <w:sz w:val="20"/>
                <w:szCs w:val="20"/>
                <w:color w:val="auto"/>
              </w:rPr>
            </w:pPr>
            <w:r>
              <w:rPr>
                <w:rFonts w:ascii="Arial" w:cs="Arial" w:eastAsia="Arial" w:hAnsi="Arial"/>
                <w:sz w:val="17"/>
                <w:szCs w:val="17"/>
                <w:color w:val="auto"/>
                <w:w w:val="84"/>
              </w:rPr>
              <w:t>n/a</w:t>
            </w:r>
          </w:p>
        </w:tc>
        <w:tc>
          <w:tcPr>
            <w:tcW w:w="2520" w:type="dxa"/>
            <w:vAlign w:val="bottom"/>
          </w:tcPr>
          <w:p>
            <w:pPr>
              <w:jc w:val="center"/>
              <w:ind w:right="97"/>
              <w:spacing w:after="0"/>
              <w:rPr>
                <w:sz w:val="20"/>
                <w:szCs w:val="20"/>
                <w:color w:val="auto"/>
              </w:rPr>
            </w:pPr>
            <w:r>
              <w:rPr>
                <w:rFonts w:ascii="Arial" w:cs="Arial" w:eastAsia="Arial" w:hAnsi="Arial"/>
                <w:sz w:val="17"/>
                <w:szCs w:val="17"/>
                <w:color w:val="auto"/>
                <w:w w:val="87"/>
              </w:rPr>
              <w:t>365,000</w:t>
            </w:r>
          </w:p>
        </w:tc>
        <w:tc>
          <w:tcPr>
            <w:tcW w:w="2760" w:type="dxa"/>
            <w:vAlign w:val="bottom"/>
            <w:vMerge w:val="restart"/>
          </w:tcPr>
          <w:p>
            <w:pPr>
              <w:jc w:val="center"/>
              <w:spacing w:after="0"/>
              <w:rPr>
                <w:sz w:val="20"/>
                <w:szCs w:val="20"/>
                <w:color w:val="auto"/>
              </w:rPr>
            </w:pPr>
            <w:r>
              <w:rPr>
                <w:rFonts w:ascii="Arial" w:cs="Arial" w:eastAsia="Arial" w:hAnsi="Arial"/>
                <w:sz w:val="17"/>
                <w:szCs w:val="17"/>
                <w:color w:val="auto"/>
                <w:w w:val="84"/>
              </w:rPr>
              <w:t>n/a</w:t>
            </w: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00" w:right="680" w:hanging="301"/>
        <w:spacing w:after="0" w:line="265"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connection with his appointment as our General Counsel in August 2018, our compensation committee approved the initial annual base salary for Mr. Loumeau, effective August 6,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base salaries paid to our Named Executive Officers during 2018 are set forth in the “—</w:t>
      </w:r>
      <w:r>
        <w:rPr>
          <w:rFonts w:ascii="Arial" w:cs="Arial" w:eastAsia="Arial" w:hAnsi="Arial"/>
          <w:sz w:val="17"/>
          <w:szCs w:val="17"/>
          <w:i w:val="1"/>
          <w:iCs w:val="1"/>
          <w:color w:val="auto"/>
        </w:rPr>
        <w:t>2018 Summary Compensation Table</w:t>
      </w:r>
      <w:r>
        <w:rPr>
          <w:rFonts w:ascii="Arial" w:cs="Arial" w:eastAsia="Arial" w:hAnsi="Arial"/>
          <w:sz w:val="17"/>
          <w:szCs w:val="17"/>
          <w:color w:val="auto"/>
        </w:rPr>
        <w:t>” below.</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Cash Bonuses</w:t>
      </w:r>
    </w:p>
    <w:p>
      <w:pPr>
        <w:spacing w:after="0" w:line="204"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We use an annual cash bonus plan to motivate our employees, including our Named Executive Officers, to achieve our key annual business objectives. In January 2018, our compensation committee adopted an annual cash bonus plan for 2018 (the “2018 Cash Bonus Plan”) to provide financial incentives related to the achievement of principal goals set forth in our 2018 annual operating plan. The 2018 Cash Bonus Plan provided for bonus payments to be funded based on our level of achievement with respect to both corporate performance goals and individual performance goals (as described below).</w:t>
      </w:r>
    </w:p>
    <w:p>
      <w:pPr>
        <w:spacing w:after="0" w:line="164"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For purposes of the 2018 Cash Bonus Plan, cash bonus payments were based upon a specific percentage of each participant’s base salary. In January 2018, our compensation committee reviewed the target annual cash bonus opportunities of our Named Executive Officers (other than Mr. Loumeau), taking into consideration the factors described in “Compensation-Setting Process - Setting Target Total Direct Compensation” above and approved increases in the target annual cash bonus opportunities for each of the Named Executive Officers to the percentages reflected in the table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9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The table below shows the 2018 target annual cash bonus opportunities for our Named Executive Officers, expressed as a percentage of base salary: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6760" w:type="dxa"/>
            <w:vAlign w:val="bottom"/>
          </w:tcPr>
          <w:p>
            <w:pPr>
              <w:jc w:val="center"/>
              <w:ind w:left="977"/>
              <w:spacing w:after="0"/>
              <w:rPr>
                <w:sz w:val="20"/>
                <w:szCs w:val="20"/>
                <w:color w:val="auto"/>
              </w:rPr>
            </w:pPr>
            <w:r>
              <w:rPr>
                <w:rFonts w:ascii="Arial" w:cs="Arial" w:eastAsia="Arial" w:hAnsi="Arial"/>
                <w:sz w:val="17"/>
                <w:szCs w:val="17"/>
                <w:b w:val="1"/>
                <w:bCs w:val="1"/>
                <w:color w:val="auto"/>
                <w:w w:val="88"/>
              </w:rPr>
              <w:t>2018 Target Bonus</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Hamza Suria</w:t>
            </w:r>
          </w:p>
        </w:tc>
        <w:tc>
          <w:tcPr>
            <w:tcW w:w="6760" w:type="dxa"/>
            <w:vAlign w:val="bottom"/>
            <w:tcBorders>
              <w:bottom w:val="single" w:sz="8" w:color="CCEEFF"/>
            </w:tcBorders>
            <w:shd w:val="clear" w:color="auto" w:fill="CCEEFF"/>
          </w:tcPr>
          <w:p>
            <w:pPr>
              <w:jc w:val="center"/>
              <w:ind w:left="977"/>
              <w:spacing w:after="0"/>
              <w:rPr>
                <w:sz w:val="20"/>
                <w:szCs w:val="20"/>
                <w:color w:val="auto"/>
              </w:rPr>
            </w:pPr>
            <w:r>
              <w:rPr>
                <w:rFonts w:ascii="Arial" w:cs="Arial" w:eastAsia="Arial" w:hAnsi="Arial"/>
                <w:sz w:val="17"/>
                <w:szCs w:val="17"/>
                <w:color w:val="auto"/>
                <w:w w:val="88"/>
              </w:rPr>
              <w:t>55%</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7"/>
                <w:szCs w:val="17"/>
                <w:color w:val="auto"/>
              </w:rPr>
              <w:t>Marco Londei, M.D.</w:t>
            </w:r>
          </w:p>
        </w:tc>
        <w:tc>
          <w:tcPr>
            <w:tcW w:w="6760" w:type="dxa"/>
            <w:vAlign w:val="bottom"/>
          </w:tcPr>
          <w:p>
            <w:pPr>
              <w:jc w:val="center"/>
              <w:ind w:left="977"/>
              <w:spacing w:after="0"/>
              <w:rPr>
                <w:sz w:val="20"/>
                <w:szCs w:val="20"/>
                <w:color w:val="auto"/>
              </w:rPr>
            </w:pPr>
            <w:r>
              <w:rPr>
                <w:rFonts w:ascii="Arial" w:cs="Arial" w:eastAsia="Arial" w:hAnsi="Arial"/>
                <w:sz w:val="17"/>
                <w:szCs w:val="17"/>
                <w:color w:val="auto"/>
                <w:w w:val="88"/>
              </w:rPr>
              <w:t>40%</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Dominic Piscitelli</w:t>
            </w:r>
          </w:p>
        </w:tc>
        <w:tc>
          <w:tcPr>
            <w:tcW w:w="6760" w:type="dxa"/>
            <w:vAlign w:val="bottom"/>
            <w:tcBorders>
              <w:bottom w:val="single" w:sz="8" w:color="CCEEFF"/>
            </w:tcBorders>
            <w:shd w:val="clear" w:color="auto" w:fill="CCEEFF"/>
          </w:tcPr>
          <w:p>
            <w:pPr>
              <w:jc w:val="center"/>
              <w:ind w:left="977"/>
              <w:spacing w:after="0"/>
              <w:rPr>
                <w:sz w:val="20"/>
                <w:szCs w:val="20"/>
                <w:color w:val="auto"/>
              </w:rPr>
            </w:pPr>
            <w:r>
              <w:rPr>
                <w:rFonts w:ascii="Arial" w:cs="Arial" w:eastAsia="Arial" w:hAnsi="Arial"/>
                <w:sz w:val="17"/>
                <w:szCs w:val="17"/>
                <w:color w:val="auto"/>
                <w:w w:val="88"/>
              </w:rPr>
              <w:t>40%</w:t>
            </w:r>
          </w:p>
        </w:tc>
        <w:tc>
          <w:tcPr>
            <w:tcW w:w="0" w:type="dxa"/>
            <w:vAlign w:val="bottom"/>
          </w:tcPr>
          <w:p>
            <w:pPr>
              <w:spacing w:after="0"/>
              <w:rPr>
                <w:sz w:val="1"/>
                <w:szCs w:val="1"/>
                <w:color w:val="auto"/>
              </w:rPr>
            </w:pPr>
          </w:p>
        </w:tc>
      </w:tr>
      <w:tr>
        <w:trPr>
          <w:trHeight w:val="314"/>
        </w:trPr>
        <w:tc>
          <w:tcPr>
            <w:tcW w:w="4660" w:type="dxa"/>
            <w:vAlign w:val="bottom"/>
          </w:tcPr>
          <w:p>
            <w:pPr>
              <w:ind w:left="20"/>
              <w:spacing w:after="0"/>
              <w:rPr>
                <w:sz w:val="20"/>
                <w:szCs w:val="20"/>
                <w:color w:val="auto"/>
              </w:rPr>
            </w:pPr>
            <w:r>
              <w:rPr>
                <w:rFonts w:ascii="Arial" w:cs="Arial" w:eastAsia="Arial" w:hAnsi="Arial"/>
                <w:sz w:val="17"/>
                <w:szCs w:val="17"/>
                <w:color w:val="auto"/>
              </w:rPr>
              <w:t>Eric Loumeau</w:t>
            </w:r>
            <w:r>
              <w:rPr>
                <w:rFonts w:ascii="Arial" w:cs="Arial" w:eastAsia="Arial" w:hAnsi="Arial"/>
                <w:sz w:val="23"/>
                <w:szCs w:val="23"/>
                <w:color w:val="auto"/>
                <w:vertAlign w:val="superscript"/>
              </w:rPr>
              <w:t>(1)</w:t>
            </w:r>
          </w:p>
        </w:tc>
        <w:tc>
          <w:tcPr>
            <w:tcW w:w="6760" w:type="dxa"/>
            <w:vAlign w:val="bottom"/>
            <w:vMerge w:val="restart"/>
          </w:tcPr>
          <w:p>
            <w:pPr>
              <w:jc w:val="center"/>
              <w:ind w:left="977"/>
              <w:spacing w:after="0"/>
              <w:rPr>
                <w:sz w:val="20"/>
                <w:szCs w:val="20"/>
                <w:color w:val="auto"/>
              </w:rPr>
            </w:pPr>
            <w:r>
              <w:rPr>
                <w:rFonts w:ascii="Arial" w:cs="Arial" w:eastAsia="Arial" w:hAnsi="Arial"/>
                <w:sz w:val="17"/>
                <w:szCs w:val="17"/>
                <w:color w:val="auto"/>
                <w:w w:val="88"/>
              </w:rPr>
              <w:t>40%</w:t>
            </w:r>
          </w:p>
        </w:tc>
        <w:tc>
          <w:tcPr>
            <w:tcW w:w="0" w:type="dxa"/>
            <w:vAlign w:val="bottom"/>
          </w:tcPr>
          <w:p>
            <w:pPr>
              <w:spacing w:after="0"/>
              <w:rPr>
                <w:sz w:val="1"/>
                <w:szCs w:val="1"/>
                <w:color w:val="auto"/>
              </w:rPr>
            </w:pPr>
          </w:p>
        </w:tc>
      </w:tr>
      <w:tr>
        <w:trPr>
          <w:trHeight w:val="110"/>
        </w:trPr>
        <w:tc>
          <w:tcPr>
            <w:tcW w:w="4660" w:type="dxa"/>
            <w:vAlign w:val="bottom"/>
          </w:tcPr>
          <w:p>
            <w:pPr>
              <w:spacing w:after="0"/>
              <w:rPr>
                <w:sz w:val="9"/>
                <w:szCs w:val="9"/>
                <w:color w:val="auto"/>
              </w:rPr>
            </w:pPr>
          </w:p>
        </w:tc>
        <w:tc>
          <w:tcPr>
            <w:tcW w:w="6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00" w:hanging="301"/>
        <w:spacing w:after="0" w:line="265"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connection with his appointment as our General Counsel in August 2018, our compensation committee approved a target annual cash bonus opportunity for Mr. Loumeau equal to 40% of his annual base salary.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Performance Goals</w:t>
      </w:r>
    </w:p>
    <w:p>
      <w:pPr>
        <w:spacing w:after="0" w:line="204"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Participants in the 2018 Cash Bonus Plan were eligible to receive a bonus payment based upon the attainment of one or more corporate performance goals that were selected and approved by our compensation committee and which related to financial and operational metrics that were important to us. The corporate performance component of the 2018 Cash Bonus Plan was to be funded based on our actual results for the year as evaluated against these performance goals and account for 100% of the CEO’s total bonus opportunity and 75% of the total bonus opportunity for our other Named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In January 2018, our compensation committee approved corporate performance goals in each of the following categories for purposes of the 2018 Cash Bonus Plan:</w:t>
      </w:r>
    </w:p>
    <w:p>
      <w:pPr>
        <w:spacing w:after="0" w:line="227" w:lineRule="exact"/>
        <w:rPr>
          <w:sz w:val="20"/>
          <w:szCs w:val="20"/>
          <w:color w:val="auto"/>
        </w:rPr>
      </w:pPr>
    </w:p>
    <w:p>
      <w:pPr>
        <w:ind w:left="1200" w:right="340" w:hanging="601"/>
        <w:spacing w:after="0" w:line="300" w:lineRule="auto"/>
        <w:tabs>
          <w:tab w:leader="none" w:pos="1200" w:val="left"/>
        </w:tabs>
        <w:numPr>
          <w:ilvl w:val="0"/>
          <w:numId w:val="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Anti-IL-33 (Etokimab) Program </w:t>
      </w:r>
      <w:r>
        <w:rPr>
          <w:rFonts w:ascii="Arial" w:cs="Arial" w:eastAsia="Arial" w:hAnsi="Arial"/>
          <w:sz w:val="15"/>
          <w:szCs w:val="15"/>
          <w:color w:val="auto"/>
        </w:rPr>
        <w:t>- the successful advancement of our clinical development program, including announcing top-line Phase 2a data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peanut allergy, announcing top-line Phase 2 data in eosinophilic asthma, initiating a clinical trial in one new indication, achieving goals relating to progress of our atopic dermatitis Phase 2b trial, and engaging with the FDA regarding the etokimab program (weighted 40%);</w:t>
      </w:r>
    </w:p>
    <w:p>
      <w:pPr>
        <w:spacing w:after="0" w:line="1" w:lineRule="exact"/>
        <w:rPr>
          <w:rFonts w:ascii="Arial" w:cs="Arial" w:eastAsia="Arial" w:hAnsi="Arial"/>
          <w:sz w:val="15"/>
          <w:szCs w:val="15"/>
          <w:color w:val="auto"/>
        </w:rPr>
      </w:pPr>
    </w:p>
    <w:p>
      <w:pPr>
        <w:ind w:left="1200" w:right="180" w:hanging="601"/>
        <w:spacing w:after="0" w:line="292" w:lineRule="auto"/>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Anti-IL-36R (ANB019) Program </w:t>
      </w:r>
      <w:r>
        <w:rPr>
          <w:rFonts w:ascii="Arial" w:cs="Arial" w:eastAsia="Arial" w:hAnsi="Arial"/>
          <w:sz w:val="16"/>
          <w:szCs w:val="16"/>
          <w:color w:val="auto"/>
        </w:rPr>
        <w:t>- the successful advancement of our clinical development program, including making progress in our Phase 2 trial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GPP, initiating a Phase 2 trial in PPP, and engaging with the FDA regarding the ANB019 program (weighted 35%);</w:t>
      </w:r>
    </w:p>
    <w:p>
      <w:pPr>
        <w:spacing w:after="0" w:line="1" w:lineRule="exact"/>
        <w:rPr>
          <w:rFonts w:ascii="Arial" w:cs="Arial" w:eastAsia="Arial" w:hAnsi="Arial"/>
          <w:sz w:val="16"/>
          <w:szCs w:val="16"/>
          <w:color w:val="auto"/>
        </w:rPr>
      </w:pPr>
    </w:p>
    <w:p>
      <w:pPr>
        <w:ind w:left="1200" w:hanging="601"/>
        <w:spacing w:after="0"/>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Discovery </w:t>
      </w:r>
      <w:r>
        <w:rPr>
          <w:rFonts w:ascii="Arial" w:cs="Arial" w:eastAsia="Arial" w:hAnsi="Arial"/>
          <w:sz w:val="17"/>
          <w:szCs w:val="17"/>
          <w:color w:val="auto"/>
        </w:rPr>
        <w:t>- the expansion of our product pipeline (weighted 5%);</w:t>
      </w:r>
    </w:p>
    <w:p>
      <w:pPr>
        <w:spacing w:after="0" w:line="54" w:lineRule="exact"/>
        <w:rPr>
          <w:rFonts w:ascii="Arial" w:cs="Arial" w:eastAsia="Arial" w:hAnsi="Arial"/>
          <w:sz w:val="17"/>
          <w:szCs w:val="17"/>
          <w:color w:val="auto"/>
        </w:rPr>
      </w:pPr>
    </w:p>
    <w:p>
      <w:pPr>
        <w:ind w:left="1200" w:hanging="601"/>
        <w:spacing w:after="0"/>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Finance </w:t>
      </w:r>
      <w:r>
        <w:rPr>
          <w:rFonts w:ascii="Arial" w:cs="Arial" w:eastAsia="Arial" w:hAnsi="Arial"/>
          <w:sz w:val="16"/>
          <w:szCs w:val="16"/>
          <w:color w:val="auto"/>
        </w:rPr>
        <w:t>- managing our operating expenses within the approved budget and achieving other financial operating priorities (weighted 5%);</w:t>
      </w:r>
    </w:p>
    <w:p>
      <w:pPr>
        <w:spacing w:after="0" w:line="65" w:lineRule="exact"/>
        <w:rPr>
          <w:rFonts w:ascii="Arial" w:cs="Arial" w:eastAsia="Arial" w:hAnsi="Arial"/>
          <w:sz w:val="16"/>
          <w:szCs w:val="16"/>
          <w:color w:val="auto"/>
        </w:rPr>
      </w:pPr>
    </w:p>
    <w:p>
      <w:pPr>
        <w:ind w:left="1200" w:hanging="601"/>
        <w:spacing w:after="0"/>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Corporate Development </w:t>
      </w:r>
      <w:r>
        <w:rPr>
          <w:rFonts w:ascii="Arial" w:cs="Arial" w:eastAsia="Arial" w:hAnsi="Arial"/>
          <w:sz w:val="17"/>
          <w:szCs w:val="17"/>
          <w:color w:val="auto"/>
        </w:rPr>
        <w:t>- engaging effectively on our corporate development and commercial planning activities (weighted 5%); and</w:t>
      </w:r>
    </w:p>
    <w:p>
      <w:pPr>
        <w:spacing w:after="0" w:line="54" w:lineRule="exact"/>
        <w:rPr>
          <w:rFonts w:ascii="Arial" w:cs="Arial" w:eastAsia="Arial" w:hAnsi="Arial"/>
          <w:sz w:val="17"/>
          <w:szCs w:val="17"/>
          <w:color w:val="auto"/>
        </w:rPr>
      </w:pPr>
    </w:p>
    <w:p>
      <w:pPr>
        <w:ind w:left="1200" w:hanging="601"/>
        <w:spacing w:after="0" w:line="265" w:lineRule="auto"/>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Organizational Talent </w:t>
      </w:r>
      <w:r>
        <w:rPr>
          <w:rFonts w:ascii="Arial" w:cs="Arial" w:eastAsia="Arial" w:hAnsi="Arial"/>
          <w:sz w:val="17"/>
          <w:szCs w:val="17"/>
          <w:color w:val="auto"/>
        </w:rPr>
        <w:t>- expansion of organizational talent through recruitment and leadership development to support future growth and enhancement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culture consistent with vision and mission (weighted 10%).</w:t>
      </w:r>
    </w:p>
    <w:p>
      <w:pPr>
        <w:spacing w:after="0" w:line="167"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Each corporate performance goal was evaluated and selected according to our compensation committee’s assessment of its relative importance to the execution of our annual business plan. Our primary focus was on our development and discovery programs, as they are key drivers of our business, and accordingly accounted for 80% of the total bonus opportunity. We allocated the remainder of the bonus opportunity to managing operations such as finance, corporate development and recruitment, which are also necessary for the execution of our business plan.</w:t>
      </w:r>
    </w:p>
    <w:p>
      <w:pPr>
        <w:spacing w:after="0" w:line="18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For purposes of the 2018 Cash Bonus Plan, our compensation committee reserved the discretion to consider the level of achievement of a particular performance goal, or other corporate achievements during 2018 when determining the actual funding level for this component of the plan. This discretion enables our executive officers to focus on the pre-established corporate goals, while also providing flexibility for our executive officers to be nimble in responding to new developments and setbacks, which is necessary for the execution of our business plan.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Individual Performance Goals</w:t>
      </w:r>
    </w:p>
    <w:p>
      <w:pPr>
        <w:spacing w:after="0" w:line="204"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In addition, at the beginning of each year, our CEO, in consultation with each of the other Named Executive Officers, establishes individual performance goals for each of our other Named Executive Officers. The individual performance goals are generally designed to align the goals of our Named Executive Officers and his or her department with the corporate goals. Our compensation committee weights annual cash bonuses for each of our Named Executive Officers between the achievement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352" w:right="239" w:bottom="1440" w:gutter="0" w:footer="0" w:header="0"/>
        </w:sectPr>
      </w:pPr>
    </w:p>
    <w:bookmarkStart w:id="32" w:name="page33"/>
    <w:bookmarkEnd w:id="32"/>
    <w:p>
      <w:pPr>
        <w:ind w:right="40"/>
        <w:spacing w:after="0" w:line="255" w:lineRule="auto"/>
        <w:rPr>
          <w:sz w:val="20"/>
          <w:szCs w:val="20"/>
          <w:color w:val="auto"/>
        </w:rPr>
      </w:pPr>
      <w:r>
        <w:rPr>
          <w:rFonts w:ascii="Arial" w:cs="Arial" w:eastAsia="Arial" w:hAnsi="Arial"/>
          <w:sz w:val="17"/>
          <w:szCs w:val="17"/>
          <w:color w:val="auto"/>
        </w:rPr>
        <w:t>corporate and individual goals. This weighting is the same for each of our Named Executive Officers who are at the same level. Our CEO does not have individual goals and his annual cash bonus is based 100% on achievement of our corporate goals in recognition of his overall responsibility for our corporate performance. Individual goals for our other Named Executive Officers are weighted as 25% of the total bonus opportunity.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Annual Cash Bonus Decisions</w:t>
      </w:r>
    </w:p>
    <w:p>
      <w:pPr>
        <w:spacing w:after="0" w:line="20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January 2019, our compensation committee reviewed our performance with respect to each of the corporate performance goals and determined the extent to which each goal had been achieved during the year. Our compensation committee determined that we met or exceeded our goals with respect to our etokimab program, our discovery effort, our financial operating expenses and corporate financing needs, our organizational talent build, and corporate development. Our compensation committee also determined that we partially achieved our goals with respect to our ANB019 program. Based on the significant advances we made on our 2018 goals (including the overachievement on some goals balanced against the underachievement on others), as well as other important achievements throughout the course of 2018, including our successful underwritten public offering of common stock where we received net proceeds of $227.5 million, where each of these accomplishments helped the Company to make progress in 2019 and we believe positioned the Company for continued execution in subsequent years, and led our compensation committee to determine that we had achieved the corporate performance goals at a 90% achievement level.</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Our compensation committee then reviewed the individual performance of each of our Named Executive Officers based on an evaluation conducted by our CEO of their performance against their individual performance goals. Based on the recommendations of our CEO (except with respect to his own performance), our compensation committee then assigned each Named Executive Officers, an individual performance achievement percentage.</w:t>
      </w:r>
    </w:p>
    <w:p>
      <w:pPr>
        <w:spacing w:after="0" w:line="175" w:lineRule="exact"/>
        <w:rPr>
          <w:sz w:val="20"/>
          <w:szCs w:val="20"/>
          <w:color w:val="auto"/>
        </w:rPr>
      </w:pPr>
    </w:p>
    <w:p>
      <w:pPr>
        <w:jc w:val="both"/>
        <w:ind w:right="60"/>
        <w:spacing w:after="0" w:line="255" w:lineRule="auto"/>
        <w:rPr>
          <w:sz w:val="20"/>
          <w:szCs w:val="20"/>
          <w:color w:val="auto"/>
        </w:rPr>
      </w:pPr>
      <w:r>
        <w:rPr>
          <w:rFonts w:ascii="Arial" w:cs="Arial" w:eastAsia="Arial" w:hAnsi="Arial"/>
          <w:sz w:val="17"/>
          <w:szCs w:val="17"/>
          <w:color w:val="auto"/>
        </w:rPr>
        <w:t>Based on these determinations, our compensation committee determined that our CEO receive an annual cash bonus payment equal to 90% of his target annual cash bonus opportunity. In addition, our compensation committee determined to make annual cash bonus payments to our other Named Executive Officers in amounts equal to 92.5% of their target annual cash bonus opportunities.</w:t>
      </w:r>
    </w:p>
    <w:p>
      <w:pPr>
        <w:spacing w:after="0" w:line="175"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 following table sets forth the target annual cash bonus opportunities, the relative weighting of corporate and individual performance, the actual achievement level for corporate and individual performance, and the actual cash bonus payments made to our Named Executive Officers for 2018:</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w w:val="93"/>
              </w:rPr>
              <w:t>Actual 2018 Bonus Earned</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3000" w:type="dxa"/>
            <w:vAlign w:val="bottom"/>
          </w:tcPr>
          <w:p>
            <w:pPr>
              <w:jc w:val="center"/>
              <w:ind w:left="1057"/>
              <w:spacing w:after="0"/>
              <w:rPr>
                <w:sz w:val="20"/>
                <w:szCs w:val="20"/>
                <w:color w:val="auto"/>
              </w:rPr>
            </w:pPr>
            <w:r>
              <w:rPr>
                <w:rFonts w:ascii="Arial" w:cs="Arial" w:eastAsia="Arial" w:hAnsi="Arial"/>
                <w:sz w:val="17"/>
                <w:szCs w:val="17"/>
                <w:b w:val="1"/>
                <w:bCs w:val="1"/>
                <w:color w:val="auto"/>
                <w:w w:val="89"/>
              </w:rPr>
              <w:t>Corporate Performance</w:t>
            </w:r>
          </w:p>
        </w:tc>
        <w:tc>
          <w:tcPr>
            <w:tcW w:w="1860" w:type="dxa"/>
            <w:vAlign w:val="bottom"/>
          </w:tcPr>
          <w:p>
            <w:pPr>
              <w:ind w:left="60"/>
              <w:spacing w:after="0"/>
              <w:rPr>
                <w:sz w:val="20"/>
                <w:szCs w:val="20"/>
                <w:color w:val="auto"/>
              </w:rPr>
            </w:pPr>
            <w:r>
              <w:rPr>
                <w:rFonts w:ascii="Arial" w:cs="Arial" w:eastAsia="Arial" w:hAnsi="Arial"/>
                <w:sz w:val="17"/>
                <w:szCs w:val="17"/>
                <w:b w:val="1"/>
                <w:bCs w:val="1"/>
                <w:color w:val="auto"/>
                <w:w w:val="94"/>
              </w:rPr>
              <w:t>Individual Performance</w:t>
            </w:r>
          </w:p>
        </w:tc>
        <w:tc>
          <w:tcPr>
            <w:tcW w:w="1860" w:type="dxa"/>
            <w:vAlign w:val="bottom"/>
          </w:tcPr>
          <w:p>
            <w:pPr>
              <w:ind w:left="120"/>
              <w:spacing w:after="0"/>
              <w:rPr>
                <w:sz w:val="20"/>
                <w:szCs w:val="20"/>
                <w:color w:val="auto"/>
              </w:rPr>
            </w:pPr>
            <w:r>
              <w:rPr>
                <w:rFonts w:ascii="Arial" w:cs="Arial" w:eastAsia="Arial" w:hAnsi="Arial"/>
                <w:sz w:val="17"/>
                <w:szCs w:val="17"/>
                <w:b w:val="1"/>
                <w:bCs w:val="1"/>
                <w:color w:val="auto"/>
                <w:w w:val="91"/>
              </w:rPr>
              <w:t>Weighted Achievement</w:t>
            </w:r>
          </w:p>
        </w:tc>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0" w:type="dxa"/>
            <w:vAlign w:val="bottom"/>
          </w:tcPr>
          <w:p>
            <w:pPr>
              <w:spacing w:after="0"/>
              <w:rPr>
                <w:sz w:val="1"/>
                <w:szCs w:val="1"/>
                <w:color w:val="auto"/>
              </w:rPr>
            </w:pPr>
          </w:p>
        </w:tc>
      </w:tr>
      <w:tr>
        <w:trPr>
          <w:trHeight w:val="25"/>
        </w:trPr>
        <w:tc>
          <w:tcPr>
            <w:tcW w:w="26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Hamza Suria</w:t>
            </w:r>
          </w:p>
        </w:tc>
        <w:tc>
          <w:tcPr>
            <w:tcW w:w="3000" w:type="dxa"/>
            <w:vAlign w:val="bottom"/>
            <w:tcBorders>
              <w:bottom w:val="single" w:sz="8" w:color="CCEEFF"/>
            </w:tcBorders>
            <w:shd w:val="clear" w:color="auto" w:fill="CCEEFF"/>
          </w:tcPr>
          <w:p>
            <w:pPr>
              <w:jc w:val="center"/>
              <w:ind w:left="1057"/>
              <w:spacing w:after="0"/>
              <w:rPr>
                <w:sz w:val="20"/>
                <w:szCs w:val="20"/>
                <w:color w:val="auto"/>
              </w:rPr>
            </w:pPr>
            <w:r>
              <w:rPr>
                <w:rFonts w:ascii="Arial" w:cs="Arial" w:eastAsia="Arial" w:hAnsi="Arial"/>
                <w:sz w:val="17"/>
                <w:szCs w:val="17"/>
                <w:color w:val="auto"/>
                <w:w w:val="88"/>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90%</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270,765</w:t>
            </w: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7"/>
                <w:szCs w:val="17"/>
                <w:color w:val="auto"/>
              </w:rPr>
              <w:t>Marco Londei, M.D.</w:t>
            </w:r>
          </w:p>
        </w:tc>
        <w:tc>
          <w:tcPr>
            <w:tcW w:w="3000" w:type="dxa"/>
            <w:vAlign w:val="bottom"/>
          </w:tcPr>
          <w:p>
            <w:pPr>
              <w:jc w:val="center"/>
              <w:ind w:left="1057"/>
              <w:spacing w:after="0"/>
              <w:rPr>
                <w:sz w:val="20"/>
                <w:szCs w:val="20"/>
                <w:color w:val="auto"/>
              </w:rPr>
            </w:pPr>
            <w:r>
              <w:rPr>
                <w:rFonts w:ascii="Arial" w:cs="Arial" w:eastAsia="Arial" w:hAnsi="Arial"/>
                <w:sz w:val="17"/>
                <w:szCs w:val="17"/>
                <w:color w:val="auto"/>
                <w:w w:val="88"/>
              </w:rPr>
              <w:t>90%</w:t>
            </w:r>
          </w:p>
        </w:tc>
        <w:tc>
          <w:tcPr>
            <w:tcW w:w="1860" w:type="dxa"/>
            <w:vAlign w:val="bottom"/>
          </w:tcPr>
          <w:p>
            <w:pPr>
              <w:jc w:val="center"/>
              <w:spacing w:after="0"/>
              <w:rPr>
                <w:sz w:val="20"/>
                <w:szCs w:val="20"/>
                <w:color w:val="auto"/>
              </w:rPr>
            </w:pPr>
            <w:r>
              <w:rPr>
                <w:rFonts w:ascii="Arial" w:cs="Arial" w:eastAsia="Arial" w:hAnsi="Arial"/>
                <w:sz w:val="17"/>
                <w:szCs w:val="17"/>
                <w:color w:val="auto"/>
                <w:w w:val="87"/>
              </w:rPr>
              <w:t>100%</w:t>
            </w:r>
          </w:p>
        </w:tc>
        <w:tc>
          <w:tcPr>
            <w:tcW w:w="1860" w:type="dxa"/>
            <w:vAlign w:val="bottom"/>
          </w:tcPr>
          <w:p>
            <w:pPr>
              <w:jc w:val="center"/>
              <w:spacing w:after="0"/>
              <w:rPr>
                <w:sz w:val="20"/>
                <w:szCs w:val="20"/>
                <w:color w:val="auto"/>
              </w:rPr>
            </w:pPr>
            <w:r>
              <w:rPr>
                <w:rFonts w:ascii="Arial" w:cs="Arial" w:eastAsia="Arial" w:hAnsi="Arial"/>
                <w:sz w:val="17"/>
                <w:szCs w:val="17"/>
                <w:color w:val="auto"/>
                <w:w w:val="87"/>
              </w:rPr>
              <w:t>92.5%</w:t>
            </w:r>
          </w:p>
        </w:tc>
        <w:tc>
          <w:tcPr>
            <w:tcW w:w="2080" w:type="dxa"/>
            <w:vAlign w:val="bottom"/>
          </w:tcPr>
          <w:p>
            <w:pPr>
              <w:jc w:val="center"/>
              <w:spacing w:after="0"/>
              <w:rPr>
                <w:sz w:val="20"/>
                <w:szCs w:val="20"/>
                <w:color w:val="auto"/>
              </w:rPr>
            </w:pPr>
            <w:r>
              <w:rPr>
                <w:rFonts w:ascii="Arial" w:cs="Arial" w:eastAsia="Arial" w:hAnsi="Arial"/>
                <w:sz w:val="17"/>
                <w:szCs w:val="17"/>
                <w:color w:val="auto"/>
                <w:w w:val="87"/>
              </w:rPr>
              <w:t>161,320</w:t>
            </w: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Dominic Piscitelli</w:t>
            </w:r>
          </w:p>
        </w:tc>
        <w:tc>
          <w:tcPr>
            <w:tcW w:w="3000" w:type="dxa"/>
            <w:vAlign w:val="bottom"/>
            <w:tcBorders>
              <w:bottom w:val="single" w:sz="8" w:color="CCEEFF"/>
            </w:tcBorders>
            <w:shd w:val="clear" w:color="auto" w:fill="CCEEFF"/>
          </w:tcPr>
          <w:p>
            <w:pPr>
              <w:jc w:val="center"/>
              <w:ind w:left="1057"/>
              <w:spacing w:after="0"/>
              <w:rPr>
                <w:sz w:val="20"/>
                <w:szCs w:val="20"/>
                <w:color w:val="auto"/>
              </w:rPr>
            </w:pPr>
            <w:r>
              <w:rPr>
                <w:rFonts w:ascii="Arial" w:cs="Arial" w:eastAsia="Arial" w:hAnsi="Arial"/>
                <w:sz w:val="17"/>
                <w:szCs w:val="17"/>
                <w:color w:val="auto"/>
                <w:w w:val="88"/>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92.5%</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146,890</w:t>
            </w:r>
          </w:p>
        </w:tc>
        <w:tc>
          <w:tcPr>
            <w:tcW w:w="0" w:type="dxa"/>
            <w:vAlign w:val="bottom"/>
          </w:tcPr>
          <w:p>
            <w:pPr>
              <w:spacing w:after="0"/>
              <w:rPr>
                <w:sz w:val="1"/>
                <w:szCs w:val="1"/>
                <w:color w:val="auto"/>
              </w:rPr>
            </w:pPr>
          </w:p>
        </w:tc>
      </w:tr>
      <w:tr>
        <w:trPr>
          <w:trHeight w:val="314"/>
        </w:trPr>
        <w:tc>
          <w:tcPr>
            <w:tcW w:w="2620" w:type="dxa"/>
            <w:vAlign w:val="bottom"/>
            <w:vMerge w:val="restart"/>
          </w:tcPr>
          <w:p>
            <w:pPr>
              <w:ind w:left="20"/>
              <w:spacing w:after="0"/>
              <w:rPr>
                <w:sz w:val="20"/>
                <w:szCs w:val="20"/>
                <w:color w:val="auto"/>
              </w:rPr>
            </w:pPr>
            <w:r>
              <w:rPr>
                <w:rFonts w:ascii="Arial" w:cs="Arial" w:eastAsia="Arial" w:hAnsi="Arial"/>
                <w:sz w:val="17"/>
                <w:szCs w:val="17"/>
                <w:color w:val="auto"/>
              </w:rPr>
              <w:t>Eric Loumeau</w:t>
            </w:r>
          </w:p>
        </w:tc>
        <w:tc>
          <w:tcPr>
            <w:tcW w:w="3000" w:type="dxa"/>
            <w:vAlign w:val="bottom"/>
            <w:vMerge w:val="restart"/>
          </w:tcPr>
          <w:p>
            <w:pPr>
              <w:jc w:val="center"/>
              <w:ind w:left="1057"/>
              <w:spacing w:after="0"/>
              <w:rPr>
                <w:sz w:val="20"/>
                <w:szCs w:val="20"/>
                <w:color w:val="auto"/>
              </w:rPr>
            </w:pPr>
            <w:r>
              <w:rPr>
                <w:rFonts w:ascii="Arial" w:cs="Arial" w:eastAsia="Arial" w:hAnsi="Arial"/>
                <w:sz w:val="17"/>
                <w:szCs w:val="17"/>
                <w:color w:val="auto"/>
                <w:w w:val="88"/>
              </w:rPr>
              <w:t>90%</w:t>
            </w:r>
          </w:p>
        </w:tc>
        <w:tc>
          <w:tcPr>
            <w:tcW w:w="1860" w:type="dxa"/>
            <w:vAlign w:val="bottom"/>
            <w:vMerge w:val="restart"/>
          </w:tcPr>
          <w:p>
            <w:pPr>
              <w:jc w:val="center"/>
              <w:spacing w:after="0"/>
              <w:rPr>
                <w:sz w:val="20"/>
                <w:szCs w:val="20"/>
                <w:color w:val="auto"/>
              </w:rPr>
            </w:pPr>
            <w:r>
              <w:rPr>
                <w:rFonts w:ascii="Arial" w:cs="Arial" w:eastAsia="Arial" w:hAnsi="Arial"/>
                <w:sz w:val="17"/>
                <w:szCs w:val="17"/>
                <w:color w:val="auto"/>
                <w:w w:val="87"/>
              </w:rPr>
              <w:t>100%</w:t>
            </w:r>
          </w:p>
        </w:tc>
        <w:tc>
          <w:tcPr>
            <w:tcW w:w="1860" w:type="dxa"/>
            <w:vAlign w:val="bottom"/>
            <w:vMerge w:val="restart"/>
          </w:tcPr>
          <w:p>
            <w:pPr>
              <w:jc w:val="center"/>
              <w:spacing w:after="0"/>
              <w:rPr>
                <w:sz w:val="20"/>
                <w:szCs w:val="20"/>
                <w:color w:val="auto"/>
              </w:rPr>
            </w:pPr>
            <w:r>
              <w:rPr>
                <w:rFonts w:ascii="Arial" w:cs="Arial" w:eastAsia="Arial" w:hAnsi="Arial"/>
                <w:sz w:val="17"/>
                <w:szCs w:val="17"/>
                <w:color w:val="auto"/>
                <w:w w:val="87"/>
              </w:rPr>
              <w:t>92.5%</w:t>
            </w:r>
          </w:p>
        </w:tc>
        <w:tc>
          <w:tcPr>
            <w:tcW w:w="2080" w:type="dxa"/>
            <w:vAlign w:val="bottom"/>
          </w:tcPr>
          <w:p>
            <w:pPr>
              <w:jc w:val="right"/>
              <w:ind w:right="557"/>
              <w:spacing w:after="0"/>
              <w:rPr>
                <w:sz w:val="20"/>
                <w:szCs w:val="20"/>
                <w:color w:val="auto"/>
              </w:rPr>
            </w:pPr>
            <w:r>
              <w:rPr>
                <w:rFonts w:ascii="Arial" w:cs="Arial" w:eastAsia="Arial" w:hAnsi="Arial"/>
                <w:sz w:val="17"/>
                <w:szCs w:val="17"/>
                <w:color w:val="auto"/>
              </w:rPr>
              <w:t>54,763</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10"/>
        </w:trPr>
        <w:tc>
          <w:tcPr>
            <w:tcW w:w="2620" w:type="dxa"/>
            <w:vAlign w:val="bottom"/>
            <w:vMerge w:val="continue"/>
          </w:tcPr>
          <w:p>
            <w:pPr>
              <w:spacing w:after="0"/>
              <w:rPr>
                <w:sz w:val="9"/>
                <w:szCs w:val="9"/>
                <w:color w:val="auto"/>
              </w:rPr>
            </w:pPr>
          </w:p>
        </w:tc>
        <w:tc>
          <w:tcPr>
            <w:tcW w:w="30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Mr. Loumeau’s annual cash bonus payment was pro-rated for his partial year of employment.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annual cash bonus payments made to our Named Executive Officers for 2018 are set forth in the “</w:t>
      </w:r>
      <w:r>
        <w:rPr>
          <w:rFonts w:ascii="Arial" w:cs="Arial" w:eastAsia="Arial" w:hAnsi="Arial"/>
          <w:sz w:val="17"/>
          <w:szCs w:val="17"/>
          <w:i w:val="1"/>
          <w:iCs w:val="1"/>
          <w:color w:val="auto"/>
        </w:rPr>
        <w:t>2018 Summary Compensation Table</w:t>
      </w:r>
      <w:r>
        <w:rPr>
          <w:rFonts w:ascii="Arial" w:cs="Arial" w:eastAsia="Arial" w:hAnsi="Arial"/>
          <w:sz w:val="17"/>
          <w:szCs w:val="17"/>
          <w:color w:val="auto"/>
        </w:rPr>
        <w:t>” below.</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Incentive Compensation</w:t>
      </w:r>
    </w:p>
    <w:p>
      <w:pPr>
        <w:spacing w:after="0" w:line="204"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We view long-term incentive compensation in the form of equity awards as a critical element of our executive compensation program. We use equity awards to incentivize and reward our Named Executive Officers for long-term corporate performance based on the value of our common stock and, thereby, to align the interests of our Named Executive Officers with those of our stockholders. Typically, these equity awards are granted in the form of options to purchase shares of our common stock. We believe that stock options, which are granted with exercise prices equal to the fair market value of our common stock on the date of grant and vest over a four-year period, provide an appropriate long-term incentive for our Named Executive Officers, since the stock options reward them only to the extent that our stock price increases.</w:t>
      </w:r>
    </w:p>
    <w:p>
      <w:pPr>
        <w:spacing w:after="0" w:line="152"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Typically, we have granted options to purchase shares of our common stock to our Named Executive Officers as part of our compensation committee’s annual review of executive compensation. To date, our compensation committee has not applied 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352" w:right="239" w:bottom="1440" w:gutter="0" w:footer="0" w:header="0"/>
        </w:sectPr>
      </w:pPr>
    </w:p>
    <w:bookmarkStart w:id="33" w:name="page34"/>
    <w:bookmarkEnd w:id="33"/>
    <w:p>
      <w:pPr>
        <w:ind w:right="180"/>
        <w:spacing w:after="0" w:line="250" w:lineRule="auto"/>
        <w:rPr>
          <w:sz w:val="20"/>
          <w:szCs w:val="20"/>
          <w:color w:val="auto"/>
        </w:rPr>
      </w:pPr>
      <w:r>
        <w:rPr>
          <w:rFonts w:ascii="Arial" w:cs="Arial" w:eastAsia="Arial" w:hAnsi="Arial"/>
          <w:sz w:val="17"/>
          <w:szCs w:val="17"/>
          <w:color w:val="auto"/>
        </w:rPr>
        <w:t>rigid formula in determining the size of these equity awards. Instead, our compensation committee determines the amount of the equity award for each Named Executive Officer after taking into consideration a compensation analysis performed by its compensation consultant, the equity award recommendations of our CEO (except with respect to his own award), the amount of equity compensation held by the Named Executive Officer (including the current economic value of his or her unvested equity and the ability of these unvested holdings to satisfy our retention objectives), and the factors described in “Compensation Setting Process - Setting Target Total Direct Compensation” above.</w:t>
      </w:r>
    </w:p>
    <w:p>
      <w:pPr>
        <w:spacing w:after="0" w:line="180" w:lineRule="exact"/>
        <w:rPr>
          <w:sz w:val="20"/>
          <w:szCs w:val="20"/>
          <w:color w:val="auto"/>
        </w:rPr>
      </w:pPr>
    </w:p>
    <w:p>
      <w:pPr>
        <w:ind w:right="440"/>
        <w:spacing w:after="0" w:line="296" w:lineRule="auto"/>
        <w:rPr>
          <w:sz w:val="20"/>
          <w:szCs w:val="20"/>
          <w:color w:val="auto"/>
        </w:rPr>
      </w:pPr>
      <w:r>
        <w:rPr>
          <w:rFonts w:ascii="Arial" w:cs="Arial" w:eastAsia="Arial" w:hAnsi="Arial"/>
          <w:sz w:val="15"/>
          <w:szCs w:val="15"/>
          <w:color w:val="auto"/>
        </w:rPr>
        <w:t>In January 2018, after considering an equity analysis prepared by its compensation consultant, as well as the factors described in “—</w:t>
      </w:r>
      <w:r>
        <w:rPr>
          <w:rFonts w:ascii="Arial" w:cs="Arial" w:eastAsia="Arial" w:hAnsi="Arial"/>
          <w:sz w:val="15"/>
          <w:szCs w:val="15"/>
          <w:i w:val="1"/>
          <w:iCs w:val="1"/>
          <w:color w:val="auto"/>
        </w:rPr>
        <w:t>Compensation Setting Process -</w:t>
      </w:r>
      <w:r>
        <w:rPr>
          <w:rFonts w:ascii="Arial" w:cs="Arial" w:eastAsia="Arial" w:hAnsi="Arial"/>
          <w:sz w:val="15"/>
          <w:szCs w:val="15"/>
          <w:color w:val="auto"/>
        </w:rPr>
        <w:t xml:space="preserve"> </w:t>
      </w:r>
      <w:r>
        <w:rPr>
          <w:rFonts w:ascii="Arial" w:cs="Arial" w:eastAsia="Arial" w:hAnsi="Arial"/>
          <w:sz w:val="15"/>
          <w:szCs w:val="15"/>
          <w:i w:val="1"/>
          <w:iCs w:val="1"/>
          <w:color w:val="auto"/>
        </w:rPr>
        <w:t>Setting Target Total Direct Compensation</w:t>
      </w:r>
      <w:r>
        <w:rPr>
          <w:rFonts w:ascii="Arial" w:cs="Arial" w:eastAsia="Arial" w:hAnsi="Arial"/>
          <w:sz w:val="15"/>
          <w:szCs w:val="15"/>
          <w:color w:val="auto"/>
        </w:rPr>
        <w:t>” above, our compensation committee determined to grant options to purchase shares of our common stock to our Named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in amounts that it considered to be consistent with our compensation philosophy and its desired market positioning and which also recognized the performance of each of our Named Executive Officers. The stock options granted to our Named Executive Officers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3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Name</w:t>
            </w:r>
          </w:p>
        </w:tc>
        <w:tc>
          <w:tcPr>
            <w:tcW w:w="5660" w:type="dxa"/>
            <w:vAlign w:val="bottom"/>
          </w:tcPr>
          <w:p>
            <w:pPr>
              <w:jc w:val="center"/>
              <w:ind w:left="1357"/>
              <w:spacing w:after="0"/>
              <w:rPr>
                <w:sz w:val="20"/>
                <w:szCs w:val="20"/>
                <w:color w:val="auto"/>
              </w:rPr>
            </w:pPr>
            <w:r>
              <w:rPr>
                <w:rFonts w:ascii="Arial" w:cs="Arial" w:eastAsia="Arial" w:hAnsi="Arial"/>
                <w:sz w:val="17"/>
                <w:szCs w:val="17"/>
                <w:b w:val="1"/>
                <w:bCs w:val="1"/>
                <w:color w:val="auto"/>
                <w:w w:val="87"/>
              </w:rPr>
              <w:t>Number of Shares Underlying Stock Options</w:t>
            </w:r>
            <w:r>
              <w:rPr>
                <w:rFonts w:ascii="Arial" w:cs="Arial" w:eastAsia="Arial" w:hAnsi="Arial"/>
                <w:sz w:val="23"/>
                <w:szCs w:val="23"/>
                <w:b w:val="1"/>
                <w:bCs w:val="1"/>
                <w:color w:val="auto"/>
                <w:w w:val="87"/>
                <w:vertAlign w:val="superscript"/>
              </w:rPr>
              <w:t>(1)</w:t>
            </w:r>
            <w:r>
              <w:rPr>
                <w:rFonts w:ascii="Arial" w:cs="Arial" w:eastAsia="Arial" w:hAnsi="Arial"/>
                <w:sz w:val="17"/>
                <w:szCs w:val="17"/>
                <w:b w:val="1"/>
                <w:bCs w:val="1"/>
                <w:color w:val="auto"/>
                <w:w w:val="87"/>
              </w:rPr>
              <w:t xml:space="preserve"> (#)</w:t>
            </w:r>
          </w:p>
        </w:tc>
        <w:tc>
          <w:tcPr>
            <w:tcW w:w="25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Grant Date Fair Value ($)</w:t>
            </w:r>
          </w:p>
        </w:tc>
        <w:tc>
          <w:tcPr>
            <w:tcW w:w="0" w:type="dxa"/>
            <w:vAlign w:val="bottom"/>
          </w:tcPr>
          <w:p>
            <w:pPr>
              <w:spacing w:after="0"/>
              <w:rPr>
                <w:sz w:val="1"/>
                <w:szCs w:val="1"/>
                <w:color w:val="auto"/>
              </w:rPr>
            </w:pPr>
          </w:p>
        </w:tc>
      </w:tr>
      <w:tr>
        <w:trPr>
          <w:trHeight w:val="110"/>
        </w:trPr>
        <w:tc>
          <w:tcPr>
            <w:tcW w:w="320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Hamza Suria</w:t>
            </w:r>
          </w:p>
        </w:tc>
        <w:tc>
          <w:tcPr>
            <w:tcW w:w="5660" w:type="dxa"/>
            <w:vAlign w:val="bottom"/>
            <w:tcBorders>
              <w:bottom w:val="single" w:sz="8" w:color="CCEEFF"/>
            </w:tcBorders>
            <w:shd w:val="clear" w:color="auto" w:fill="CCEEFF"/>
          </w:tcPr>
          <w:p>
            <w:pPr>
              <w:jc w:val="center"/>
              <w:ind w:left="1357"/>
              <w:spacing w:after="0"/>
              <w:rPr>
                <w:sz w:val="20"/>
                <w:szCs w:val="20"/>
                <w:color w:val="auto"/>
              </w:rPr>
            </w:pPr>
            <w:r>
              <w:rPr>
                <w:rFonts w:ascii="Arial" w:cs="Arial" w:eastAsia="Arial" w:hAnsi="Arial"/>
                <w:sz w:val="17"/>
                <w:szCs w:val="17"/>
                <w:color w:val="auto"/>
                <w:w w:val="88"/>
              </w:rPr>
              <w:t>63,000</w:t>
            </w:r>
          </w:p>
        </w:tc>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4,303,927</w:t>
            </w: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Arial" w:cs="Arial" w:eastAsia="Arial" w:hAnsi="Arial"/>
                <w:sz w:val="17"/>
                <w:szCs w:val="17"/>
                <w:color w:val="auto"/>
              </w:rPr>
              <w:t>Dominic Piscitelli</w:t>
            </w:r>
          </w:p>
        </w:tc>
        <w:tc>
          <w:tcPr>
            <w:tcW w:w="5660" w:type="dxa"/>
            <w:vAlign w:val="bottom"/>
          </w:tcPr>
          <w:p>
            <w:pPr>
              <w:jc w:val="center"/>
              <w:ind w:left="1357"/>
              <w:spacing w:after="0"/>
              <w:rPr>
                <w:sz w:val="20"/>
                <w:szCs w:val="20"/>
                <w:color w:val="auto"/>
              </w:rPr>
            </w:pPr>
            <w:r>
              <w:rPr>
                <w:rFonts w:ascii="Arial" w:cs="Arial" w:eastAsia="Arial" w:hAnsi="Arial"/>
                <w:sz w:val="17"/>
                <w:szCs w:val="17"/>
                <w:color w:val="auto"/>
                <w:w w:val="88"/>
              </w:rPr>
              <w:t>23,000</w:t>
            </w:r>
          </w:p>
        </w:tc>
        <w:tc>
          <w:tcPr>
            <w:tcW w:w="2560" w:type="dxa"/>
            <w:vAlign w:val="bottom"/>
          </w:tcPr>
          <w:p>
            <w:pPr>
              <w:jc w:val="center"/>
              <w:spacing w:after="0"/>
              <w:rPr>
                <w:sz w:val="20"/>
                <w:szCs w:val="20"/>
                <w:color w:val="auto"/>
              </w:rPr>
            </w:pPr>
            <w:r>
              <w:rPr>
                <w:rFonts w:ascii="Arial" w:cs="Arial" w:eastAsia="Arial" w:hAnsi="Arial"/>
                <w:sz w:val="17"/>
                <w:szCs w:val="17"/>
                <w:color w:val="auto"/>
                <w:w w:val="89"/>
              </w:rPr>
              <w:t>1,571,275</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Marco Londei, M.D.</w:t>
            </w:r>
          </w:p>
        </w:tc>
        <w:tc>
          <w:tcPr>
            <w:tcW w:w="5660" w:type="dxa"/>
            <w:vAlign w:val="bottom"/>
            <w:tcBorders>
              <w:bottom w:val="single" w:sz="8" w:color="CCEEFF"/>
            </w:tcBorders>
            <w:shd w:val="clear" w:color="auto" w:fill="CCEEFF"/>
          </w:tcPr>
          <w:p>
            <w:pPr>
              <w:jc w:val="center"/>
              <w:ind w:left="1357"/>
              <w:spacing w:after="0"/>
              <w:rPr>
                <w:sz w:val="20"/>
                <w:szCs w:val="20"/>
                <w:color w:val="auto"/>
              </w:rPr>
            </w:pPr>
            <w:r>
              <w:rPr>
                <w:rFonts w:ascii="Arial" w:cs="Arial" w:eastAsia="Arial" w:hAnsi="Arial"/>
                <w:sz w:val="17"/>
                <w:szCs w:val="17"/>
                <w:color w:val="auto"/>
                <w:w w:val="88"/>
              </w:rPr>
              <w:t>28,000</w:t>
            </w:r>
          </w:p>
        </w:tc>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1,912,856</w:t>
            </w:r>
          </w:p>
        </w:tc>
        <w:tc>
          <w:tcPr>
            <w:tcW w:w="0" w:type="dxa"/>
            <w:vAlign w:val="bottom"/>
          </w:tcPr>
          <w:p>
            <w:pPr>
              <w:spacing w:after="0"/>
              <w:rPr>
                <w:sz w:val="1"/>
                <w:szCs w:val="1"/>
                <w:color w:val="auto"/>
              </w:rPr>
            </w:pPr>
          </w:p>
        </w:tc>
      </w:tr>
      <w:tr>
        <w:trPr>
          <w:trHeight w:val="274"/>
        </w:trPr>
        <w:tc>
          <w:tcPr>
            <w:tcW w:w="3200" w:type="dxa"/>
            <w:vAlign w:val="bottom"/>
          </w:tcPr>
          <w:p>
            <w:pPr>
              <w:ind w:left="20"/>
              <w:spacing w:after="0"/>
              <w:rPr>
                <w:sz w:val="20"/>
                <w:szCs w:val="20"/>
                <w:color w:val="auto"/>
              </w:rPr>
            </w:pPr>
            <w:r>
              <w:rPr>
                <w:rFonts w:ascii="Arial" w:cs="Arial" w:eastAsia="Arial" w:hAnsi="Arial"/>
                <w:sz w:val="17"/>
                <w:szCs w:val="17"/>
                <w:color w:val="auto"/>
              </w:rPr>
              <w:t>Eric Loumeau</w:t>
            </w:r>
            <w:r>
              <w:rPr>
                <w:rFonts w:ascii="Arial" w:cs="Arial" w:eastAsia="Arial" w:hAnsi="Arial"/>
                <w:sz w:val="23"/>
                <w:szCs w:val="23"/>
                <w:color w:val="auto"/>
                <w:vertAlign w:val="superscript"/>
              </w:rPr>
              <w:t>(2)</w:t>
            </w:r>
          </w:p>
        </w:tc>
        <w:tc>
          <w:tcPr>
            <w:tcW w:w="5660" w:type="dxa"/>
            <w:vAlign w:val="bottom"/>
            <w:vMerge w:val="restart"/>
          </w:tcPr>
          <w:p>
            <w:pPr>
              <w:jc w:val="center"/>
              <w:ind w:left="1357"/>
              <w:spacing w:after="0"/>
              <w:rPr>
                <w:sz w:val="20"/>
                <w:szCs w:val="20"/>
                <w:color w:val="auto"/>
              </w:rPr>
            </w:pPr>
            <w:r>
              <w:rPr>
                <w:rFonts w:ascii="Arial" w:cs="Arial" w:eastAsia="Arial" w:hAnsi="Arial"/>
                <w:sz w:val="17"/>
                <w:szCs w:val="17"/>
                <w:color w:val="auto"/>
                <w:w w:val="88"/>
              </w:rPr>
              <w:t>40,000</w:t>
            </w:r>
          </w:p>
        </w:tc>
        <w:tc>
          <w:tcPr>
            <w:tcW w:w="2560" w:type="dxa"/>
            <w:vAlign w:val="bottom"/>
            <w:vMerge w:val="restart"/>
          </w:tcPr>
          <w:p>
            <w:pPr>
              <w:jc w:val="center"/>
              <w:spacing w:after="0"/>
              <w:rPr>
                <w:sz w:val="20"/>
                <w:szCs w:val="20"/>
                <w:color w:val="auto"/>
              </w:rPr>
            </w:pPr>
            <w:r>
              <w:rPr>
                <w:rFonts w:ascii="Arial" w:cs="Arial" w:eastAsia="Arial" w:hAnsi="Arial"/>
                <w:sz w:val="17"/>
                <w:szCs w:val="17"/>
                <w:color w:val="auto"/>
                <w:w w:val="89"/>
              </w:rPr>
              <w:t>1,961,388</w:t>
            </w:r>
          </w:p>
        </w:tc>
        <w:tc>
          <w:tcPr>
            <w:tcW w:w="0" w:type="dxa"/>
            <w:vAlign w:val="bottom"/>
          </w:tcPr>
          <w:p>
            <w:pPr>
              <w:spacing w:after="0"/>
              <w:rPr>
                <w:sz w:val="1"/>
                <w:szCs w:val="1"/>
                <w:color w:val="auto"/>
              </w:rPr>
            </w:pPr>
          </w:p>
        </w:tc>
      </w:tr>
      <w:tr>
        <w:trPr>
          <w:trHeight w:val="50"/>
        </w:trPr>
        <w:tc>
          <w:tcPr>
            <w:tcW w:w="3200" w:type="dxa"/>
            <w:vAlign w:val="bottom"/>
          </w:tcPr>
          <w:p>
            <w:pPr>
              <w:spacing w:after="0"/>
              <w:rPr>
                <w:sz w:val="4"/>
                <w:szCs w:val="4"/>
                <w:color w:val="auto"/>
              </w:rPr>
            </w:pPr>
          </w:p>
        </w:tc>
        <w:tc>
          <w:tcPr>
            <w:tcW w:w="566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600" w:right="40" w:hanging="301"/>
        <w:spacing w:after="0" w:line="236"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options to purchase shares of our common stock vest and become exercisable over a four-year period, with 25% of the shares of our common stock subject to the options vesting on January 26, 2019 and 1/48</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the shares of our common stock subject to the options vesting in equal monthly installments thereafter, contingent upon the Named Executive Officer remaining continuously employed by us through each applicable vesting date.</w:t>
      </w:r>
    </w:p>
    <w:p>
      <w:pPr>
        <w:spacing w:after="0" w:line="38" w:lineRule="exact"/>
        <w:rPr>
          <w:rFonts w:ascii="Arial" w:cs="Arial" w:eastAsia="Arial" w:hAnsi="Arial"/>
          <w:sz w:val="16"/>
          <w:szCs w:val="16"/>
          <w:color w:val="auto"/>
        </w:rPr>
      </w:pPr>
    </w:p>
    <w:p>
      <w:pPr>
        <w:ind w:left="600" w:right="300" w:hanging="301"/>
        <w:spacing w:after="0" w:line="269"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connection with his appointment as our General Counsel in August 2018, our compensation committee granted Mr. Loumeau an option to purchase 40,000 shares of our common stock with an exercise price equal to the fair market value of our common stock on the date of grant. This option vests (and becomes exercisable) over a four-year period, with 25% of the shares of our common stock subject to the option vesting on the first anniversary of the date of grant and 1/48th of the shares of our common stock subject to the option vesting in equal monthly installments thereafter, contingent upon Mr. Loumeau remaining continuously employed by us through each applicable vesting date.</w:t>
      </w:r>
    </w:p>
    <w:p>
      <w:pPr>
        <w:spacing w:after="0" w:line="167"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The equity awards granted to our Named Executive Officers during 2018 are set forth in the “—</w:t>
      </w:r>
      <w:r>
        <w:rPr>
          <w:rFonts w:ascii="Arial" w:cs="Arial" w:eastAsia="Arial" w:hAnsi="Arial"/>
          <w:sz w:val="17"/>
          <w:szCs w:val="17"/>
          <w:i w:val="1"/>
          <w:iCs w:val="1"/>
          <w:color w:val="auto"/>
        </w:rPr>
        <w:t>2018 Summary Compensation Table</w:t>
      </w:r>
      <w:r>
        <w:rPr>
          <w:rFonts w:ascii="Arial" w:cs="Arial" w:eastAsia="Arial" w:hAnsi="Arial"/>
          <w:sz w:val="17"/>
          <w:szCs w:val="17"/>
          <w:color w:val="auto"/>
        </w:rPr>
        <w:t>” and the “—</w:t>
      </w:r>
      <w:r>
        <w:rPr>
          <w:rFonts w:ascii="Arial" w:cs="Arial" w:eastAsia="Arial" w:hAnsi="Arial"/>
          <w:sz w:val="17"/>
          <w:szCs w:val="17"/>
          <w:i w:val="1"/>
          <w:iCs w:val="1"/>
          <w:color w:val="auto"/>
        </w:rPr>
        <w:t>2018 Grants of Plan-Based Awards Table</w:t>
      </w:r>
      <w:r>
        <w:rPr>
          <w:rFonts w:ascii="Arial" w:cs="Arial" w:eastAsia="Arial" w:hAnsi="Arial"/>
          <w:sz w:val="17"/>
          <w:szCs w:val="17"/>
          <w:color w:val="auto"/>
        </w:rPr>
        <w:t>” below.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Welfare and Health Benefits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Our Named Executive Officers participate in our company-sponsored benefit programs on generally the same basis as other salaried employees, including with respect to our 401(k) plan and health and welfare benefits.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Perquisites and Other Personal Benefits</w:t>
      </w:r>
    </w:p>
    <w:p>
      <w:pPr>
        <w:spacing w:after="0" w:line="204"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2018, none of our Named Executive Officers received perquisites or other personal benefits that were, in the aggregate, $10,000 or more for each individual.</w:t>
      </w:r>
    </w:p>
    <w:p>
      <w:pPr>
        <w:spacing w:after="0" w:line="14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our compensation committee.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52"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Employment Agreements</w:t>
      </w:r>
    </w:p>
    <w:p>
      <w:pPr>
        <w:spacing w:after="0" w:line="208" w:lineRule="exact"/>
        <w:rPr>
          <w:sz w:val="20"/>
          <w:szCs w:val="20"/>
          <w:color w:val="auto"/>
        </w:rPr>
      </w:pPr>
    </w:p>
    <w:p>
      <w:pPr>
        <w:ind w:right="40"/>
        <w:spacing w:after="0" w:line="310" w:lineRule="auto"/>
        <w:rPr>
          <w:sz w:val="20"/>
          <w:szCs w:val="20"/>
          <w:color w:val="auto"/>
        </w:rPr>
      </w:pPr>
      <w:r>
        <w:rPr>
          <w:rFonts w:ascii="Arial" w:cs="Arial" w:eastAsia="Arial" w:hAnsi="Arial"/>
          <w:sz w:val="14"/>
          <w:szCs w:val="14"/>
          <w:color w:val="auto"/>
        </w:rPr>
        <w:t>We have entered into written employment agreements with our CEO and each of our other Named Executive Officers. Each of these arrangements was approved on our behalf by our board of directors at the recommendation of our compensation committee. Each of our employment agreements provides for “at-will” employment (meaning that either we or the Named Executive Officer may terminate the employment relationship at any time without cause) and sets forth the initial compensation arrangements for the Named Executive Officer, including an initial base salary, eligibility for a discretionary bonus in an amount up to a specified percentage of the Named Executive Officer’s base salary, participation in our employee benefit programs, eligibility for future equity awards pursuant to our equity incentive plans, and, in some cases, reimbursement or payment of relocation expenses. These employment agreements also contain standard confidential information and invention assignment terms. In addition, these employment agreements include certain post-employment arrangements that are discussed below under “Severance and Change in Control Arrangements.”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and Change in Control Arrangements</w:t>
      </w:r>
    </w:p>
    <w:p>
      <w:pPr>
        <w:spacing w:after="0" w:line="20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believe that reasonable and competitive post-employment compensation arrangements are essential to attracting and retaining highly-qualified executives. We further believe that when recruiting executive talent these arrangements are necessary to offer compensation packages that are competitive.</w:t>
      </w:r>
    </w:p>
    <w:p>
      <w:pPr>
        <w:spacing w:after="0" w:line="14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employment agreements of our Named Executive Officers contain certain protections in the event of certain qualifying terminations of employment, including a qualifying termination of employment in connection with a change in control of the Company. These arrangements are designed to provide reasonable compensation to our Named Executive Officers if their employment is terminated under certain circumstances to facilitate their transition to new employment. We also believe that these arrangements help maintain our Named Executive Officers’ continued focus and dedication to their assigned duties to maximize stockholder value if there is a potential transaction that could involve a change in control of the Company. None of our Named Executive Officers is entitled to any tax gross-ups to cover excise taxes under Section 4999 in connection with a change in control of the Company.</w:t>
      </w:r>
    </w:p>
    <w:p>
      <w:pPr>
        <w:spacing w:after="0" w:line="169" w:lineRule="exact"/>
        <w:rPr>
          <w:sz w:val="20"/>
          <w:szCs w:val="20"/>
          <w:color w:val="auto"/>
        </w:rPr>
      </w:pPr>
    </w:p>
    <w:p>
      <w:pPr>
        <w:ind w:right="320"/>
        <w:spacing w:after="0" w:line="333" w:lineRule="auto"/>
        <w:rPr>
          <w:sz w:val="20"/>
          <w:szCs w:val="20"/>
          <w:color w:val="auto"/>
        </w:rPr>
      </w:pPr>
      <w:r>
        <w:rPr>
          <w:rFonts w:ascii="Arial" w:cs="Arial" w:eastAsia="Arial" w:hAnsi="Arial"/>
          <w:sz w:val="15"/>
          <w:szCs w:val="15"/>
          <w:color w:val="auto"/>
        </w:rPr>
        <w:t>In January 2018, our compensation committee reviewed the post-employment compensation arrangements of our Named Executive Officers, including as compared to those of the companies in the compensation peer group, and approved certain amendments to the employment agreements of our Named Executive Officers to:</w:t>
      </w:r>
    </w:p>
    <w:p>
      <w:pPr>
        <w:spacing w:after="0" w:line="120" w:lineRule="exact"/>
        <w:rPr>
          <w:sz w:val="20"/>
          <w:szCs w:val="20"/>
          <w:color w:val="auto"/>
        </w:rPr>
      </w:pPr>
    </w:p>
    <w:p>
      <w:pPr>
        <w:ind w:left="1200" w:hanging="601"/>
        <w:spacing w:after="0" w:line="265" w:lineRule="auto"/>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increase the payments and benefits to be received by our Named Executive Officers in the event of a qualifying termination of employment in connection with a change in control of the Company; and</w:t>
      </w:r>
    </w:p>
    <w:p>
      <w:pPr>
        <w:spacing w:after="0" w:line="17" w:lineRule="exact"/>
        <w:rPr>
          <w:rFonts w:ascii="Arial" w:cs="Arial" w:eastAsia="Arial" w:hAnsi="Arial"/>
          <w:sz w:val="17"/>
          <w:szCs w:val="17"/>
          <w:color w:val="auto"/>
        </w:rPr>
      </w:pPr>
    </w:p>
    <w:p>
      <w:pPr>
        <w:ind w:left="1200" w:hanging="601"/>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revise the definition of a “good reason” resignation by an executive officer as a qualifying termination of employment.</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believe these arrangements align the interests of our Named Executive Officers and our stockholders when considering the long-term future. The primary purpose of these arrangements in the case of a change in control of the Company is to keep our most senior executives focused on pursuing all corporate transaction activity in the best interests of our stockholders regardless of whether those transactions may result in their own job loss. Reasonable post-acquisition payments and benefits should serve the interests of both the executive and our stockholders.</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determining payment and benefit levels under the various circumstances triggering post-employment compensation provisions under the employment agreements of our Named Executive Officers, our compensation committee has drawn a distinction between (i) voluntary terminations of employment without good reason or terminations of employment for cause and (ii) terminations of employment without cause or voluntary terminations of employment for good reason. Payment in the latter circumstances has been deemed appropriate in light of the benefits described in the prior paragraph, as well as the likelihood that the Named Executive Officer’s departure is due, at least in part, to circumstances not within his or her control. In contrast, we believe that payments are not appropriate in the event of a termination of employment for cause or a voluntary resignation without good reason because such events often reflect either performance challenges or an affirmative decision by the executive to end his or her relationship without fault by the Company.</w:t>
      </w:r>
    </w:p>
    <w:p>
      <w:pPr>
        <w:spacing w:after="0" w:line="17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All payments and benefits in the event of a change in control of the Company are payable only if there is a subsequent loss of employment by a Named Executive Officer (a so-called “double-trigger” arrangement). In the case of the acceleration of vesting of outstanding equity awards, we use this double-trigger arrangement to protect against the loss of retention value following a change in control of the Company and to avoid potential windfalls, both of which could occur if vesting of either equity or cash-based awards accelerated automatically as a result of the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348" w:right="239" w:bottom="1440" w:gutter="0" w:footer="0" w:header="0"/>
        </w:sectPr>
      </w:pPr>
    </w:p>
    <w:bookmarkStart w:id="35" w:name="page36"/>
    <w:bookmarkEnd w:id="35"/>
    <w:p>
      <w:pPr>
        <w:ind w:right="120"/>
        <w:spacing w:after="0" w:line="278" w:lineRule="auto"/>
        <w:rPr>
          <w:sz w:val="20"/>
          <w:szCs w:val="20"/>
          <w:color w:val="auto"/>
        </w:rPr>
      </w:pPr>
      <w:r>
        <w:rPr>
          <w:rFonts w:ascii="Arial" w:cs="Arial" w:eastAsia="Arial" w:hAnsi="Arial"/>
          <w:sz w:val="16"/>
          <w:szCs w:val="16"/>
          <w:color w:val="auto"/>
        </w:rPr>
        <w:t>For a summary of the material terms and conditions of the post-employment compensation arrangements we maintained with our Named Executive Officers during 2018, as well as an estimate of the potential payments and benefits that they would have been eligible to receive if a hypothetical change in control or other trigger event had occurred on December 31, 2018, see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below.</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 Policies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Award Grant Policy</w:t>
      </w:r>
    </w:p>
    <w:p>
      <w:pPr>
        <w:spacing w:after="0" w:line="204"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Our general policy is to grant stock options on regular, fixed dates determined in advance. Grants of equity awards in connection with the hiring of new employees or the promotion of existing employees may be made by our Equity Award Committee, consisting of our CEO and Chief Financial Officer. However, all equity grants to executive officers must be made by our compensation committee and grants to non-employee members of our board of directors may only be made by the full board of directors. The exercise price of all stock options rights must be equal to or greater than the closing price of our common stock as reported on the Nasdaq Global Select Market on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Hedging and Pledging Prohibitions</w:t>
      </w:r>
    </w:p>
    <w:p>
      <w:pPr>
        <w:spacing w:after="0" w:line="204" w:lineRule="exact"/>
        <w:rPr>
          <w:sz w:val="20"/>
          <w:szCs w:val="20"/>
          <w:color w:val="auto"/>
        </w:rPr>
      </w:pPr>
    </w:p>
    <w:p>
      <w:pPr>
        <w:ind w:right="220"/>
        <w:spacing w:after="0" w:line="296" w:lineRule="auto"/>
        <w:rPr>
          <w:sz w:val="20"/>
          <w:szCs w:val="20"/>
          <w:color w:val="auto"/>
        </w:rPr>
      </w:pPr>
      <w:r>
        <w:rPr>
          <w:rFonts w:ascii="Arial" w:cs="Arial" w:eastAsia="Arial" w:hAnsi="Arial"/>
          <w:sz w:val="15"/>
          <w:szCs w:val="15"/>
          <w:color w:val="auto"/>
        </w:rPr>
        <w:t>Under our Insider Trading Policy, our employees, executive officers, and members of our board of directors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such as zero-cost collars and forward sale contracts; or (iii) purchasing our securities on margin, borrowing against any account in which our securities are held, or pledging our securities as collateral for a loan.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and Accounting Considerations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take the applicable tax and accounting requirements into consideration in designing and operating our executive compensation program.</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Deductibility of Executive Compensation</w:t>
      </w:r>
    </w:p>
    <w:p>
      <w:pPr>
        <w:spacing w:after="0" w:line="204"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Section 162(m) of the Internal Revenue Code of 1986, as amended, generally disallows the deductibility by any publicly held corporation of individual compensation expenses in excess of $1 million paid to certain executive officers within a taxable year. Recent changes to Section 162(m) in connection with the passage of the Tax Cuts and Jobs Act repealed exceptions to the deductibility limit that were previously available for “qualified performance-based compensation,” including stock option grants, effective for taxable years after December 31, 2017. As a result, all cash and equity compensation paid to certain of our executive officers in excess of $1 million will be non-deductible unless it qualifies for transition relief afforded to certain binding arrangements in effect on November 2, 2017 or special rules applicable to newly public companies. Because of uncertainties in the interpretation and implementation of the changes to Section 162(m) in the Tax Cuts and Jobs Act, including the scope of the transition relief, we can offer no assurance of such deductibility. Our compensation committee seeks to balance the cost and benefit of tax deductibility with our executive compensation goals designed to promote long-term stockholder interests, and continues to reserve discretion to approve new compensation or modify existing compensation arrangements that result in a loss of deductibility when it believes that such payments are appropriate to attract and retain executive talent.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Stock-Based Compensation</w:t>
      </w:r>
    </w:p>
    <w:p>
      <w:pPr>
        <w:spacing w:after="0" w:line="204"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Our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352"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Compensation Risk Assessment</w:t>
      </w:r>
    </w:p>
    <w:p>
      <w:pPr>
        <w:spacing w:after="0" w:line="20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Our compensation committee, with the support of management and its compensation consultant have reviewed the compensation policies and practices for all employees as they relate to risk management and, based upon these reviews, believes that any risks arising from such policies and practices are not reasonably likely to have a material adverse effect on us. Our compensation committee monitors our compensation programs on an annual basis and expects to make modifications as necessary to address any changes in our business or risk profile.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 TABLES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0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 following table presents summary information regarding the total compensation that was awarded to, earned by or paid to our Named Executive Officers for services rendered during the years ended December 31, 2018, 2017 and 2016.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1"/>
              </w:rPr>
              <w:t>Option</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Non-Equity</w:t>
            </w:r>
          </w:p>
        </w:tc>
        <w:tc>
          <w:tcPr>
            <w:tcW w:w="1460" w:type="dxa"/>
            <w:vAlign w:val="bottom"/>
          </w:tcPr>
          <w:p>
            <w:pPr>
              <w:jc w:val="center"/>
              <w:ind w:right="22"/>
              <w:spacing w:after="0"/>
              <w:rPr>
                <w:sz w:val="20"/>
                <w:szCs w:val="20"/>
                <w:color w:val="auto"/>
              </w:rPr>
            </w:pPr>
            <w:r>
              <w:rPr>
                <w:rFonts w:ascii="Arial" w:cs="Arial" w:eastAsia="Arial" w:hAnsi="Arial"/>
                <w:sz w:val="17"/>
                <w:szCs w:val="17"/>
                <w:b w:val="1"/>
                <w:bCs w:val="1"/>
                <w:color w:val="auto"/>
                <w:w w:val="94"/>
              </w:rPr>
              <w:t>All Other</w:t>
            </w:r>
          </w:p>
        </w:tc>
        <w:tc>
          <w:tcPr>
            <w:tcW w:w="1200" w:type="dxa"/>
            <w:vAlign w:val="bottom"/>
          </w:tcPr>
          <w:p>
            <w:pPr>
              <w:spacing w:after="0"/>
              <w:rPr>
                <w:sz w:val="17"/>
                <w:szCs w:val="17"/>
                <w:color w:val="auto"/>
              </w:rPr>
            </w:pPr>
          </w:p>
        </w:tc>
      </w:tr>
      <w:tr>
        <w:trPr>
          <w:trHeight w:val="200"/>
        </w:trPr>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jc w:val="right"/>
              <w:ind w:right="277"/>
              <w:spacing w:after="0"/>
              <w:rPr>
                <w:sz w:val="20"/>
                <w:szCs w:val="20"/>
                <w:color w:val="auto"/>
              </w:rPr>
            </w:pPr>
            <w:r>
              <w:rPr>
                <w:rFonts w:ascii="Arial" w:cs="Arial" w:eastAsia="Arial" w:hAnsi="Arial"/>
                <w:sz w:val="17"/>
                <w:szCs w:val="17"/>
                <w:b w:val="1"/>
                <w:bCs w:val="1"/>
                <w:color w:val="auto"/>
              </w:rPr>
              <w:t>Salary</w:t>
            </w:r>
          </w:p>
        </w:tc>
        <w:tc>
          <w:tcPr>
            <w:tcW w:w="1080" w:type="dxa"/>
            <w:vAlign w:val="bottom"/>
          </w:tcPr>
          <w:p>
            <w:pPr>
              <w:ind w:left="220"/>
              <w:spacing w:after="0" w:line="200" w:lineRule="exact"/>
              <w:rPr>
                <w:sz w:val="20"/>
                <w:szCs w:val="20"/>
                <w:color w:val="auto"/>
              </w:rPr>
            </w:pPr>
            <w:r>
              <w:rPr>
                <w:rFonts w:ascii="Arial" w:cs="Arial" w:eastAsia="Arial" w:hAnsi="Arial"/>
                <w:sz w:val="17"/>
                <w:szCs w:val="17"/>
                <w:b w:val="1"/>
                <w:bCs w:val="1"/>
                <w:color w:val="auto"/>
              </w:rPr>
              <w:t>Bonus</w:t>
            </w:r>
            <w:r>
              <w:rPr>
                <w:rFonts w:ascii="Arial" w:cs="Arial" w:eastAsia="Arial" w:hAnsi="Arial"/>
                <w:sz w:val="23"/>
                <w:szCs w:val="23"/>
                <w:b w:val="1"/>
                <w:bCs w:val="1"/>
                <w:color w:val="auto"/>
                <w:vertAlign w:val="superscript"/>
              </w:rPr>
              <w:t>(1)</w:t>
            </w:r>
          </w:p>
        </w:tc>
        <w:tc>
          <w:tcPr>
            <w:tcW w:w="1080" w:type="dxa"/>
            <w:vAlign w:val="bottom"/>
          </w:tcPr>
          <w:p>
            <w:pPr>
              <w:jc w:val="center"/>
              <w:spacing w:after="0" w:line="200" w:lineRule="exact"/>
              <w:rPr>
                <w:sz w:val="20"/>
                <w:szCs w:val="20"/>
                <w:color w:val="auto"/>
              </w:rPr>
            </w:pPr>
            <w:r>
              <w:rPr>
                <w:rFonts w:ascii="Arial" w:cs="Arial" w:eastAsia="Arial" w:hAnsi="Arial"/>
                <w:sz w:val="17"/>
                <w:szCs w:val="17"/>
                <w:b w:val="1"/>
                <w:bCs w:val="1"/>
                <w:color w:val="auto"/>
                <w:w w:val="84"/>
              </w:rPr>
              <w:t>Award</w:t>
            </w:r>
            <w:r>
              <w:rPr>
                <w:rFonts w:ascii="Arial" w:cs="Arial" w:eastAsia="Arial" w:hAnsi="Arial"/>
                <w:sz w:val="23"/>
                <w:szCs w:val="23"/>
                <w:b w:val="1"/>
                <w:bCs w:val="1"/>
                <w:color w:val="auto"/>
                <w:w w:val="84"/>
                <w:vertAlign w:val="superscript"/>
              </w:rPr>
              <w:t>(2)</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 Plan</w:t>
            </w:r>
          </w:p>
        </w:tc>
        <w:tc>
          <w:tcPr>
            <w:tcW w:w="1460" w:type="dxa"/>
            <w:vAlign w:val="bottom"/>
          </w:tcPr>
          <w:p>
            <w:pPr>
              <w:jc w:val="center"/>
              <w:ind w:right="22"/>
              <w:spacing w:after="0"/>
              <w:rPr>
                <w:sz w:val="20"/>
                <w:szCs w:val="20"/>
                <w:color w:val="auto"/>
              </w:rPr>
            </w:pPr>
            <w:r>
              <w:rPr>
                <w:rFonts w:ascii="Arial" w:cs="Arial" w:eastAsia="Arial" w:hAnsi="Arial"/>
                <w:sz w:val="17"/>
                <w:szCs w:val="17"/>
                <w:b w:val="1"/>
                <w:bCs w:val="1"/>
                <w:color w:val="auto"/>
                <w:w w:val="88"/>
              </w:rPr>
              <w:t>Compensation</w:t>
            </w:r>
          </w:p>
        </w:tc>
        <w:tc>
          <w:tcPr>
            <w:tcW w:w="1200" w:type="dxa"/>
            <w:vAlign w:val="bottom"/>
          </w:tcPr>
          <w:p>
            <w:pPr>
              <w:ind w:left="400"/>
              <w:spacing w:after="0"/>
              <w:rPr>
                <w:sz w:val="20"/>
                <w:szCs w:val="20"/>
                <w:color w:val="auto"/>
              </w:rPr>
            </w:pPr>
            <w:r>
              <w:rPr>
                <w:rFonts w:ascii="Arial" w:cs="Arial" w:eastAsia="Arial" w:hAnsi="Arial"/>
                <w:sz w:val="17"/>
                <w:szCs w:val="17"/>
                <w:b w:val="1"/>
                <w:bCs w:val="1"/>
                <w:color w:val="auto"/>
              </w:rPr>
              <w:t>Total</w:t>
            </w:r>
          </w:p>
        </w:tc>
      </w:tr>
      <w:tr>
        <w:trPr>
          <w:trHeight w:val="216"/>
        </w:trPr>
        <w:tc>
          <w:tcPr>
            <w:tcW w:w="3020" w:type="dxa"/>
            <w:vAlign w:val="bottom"/>
          </w:tcPr>
          <w:p>
            <w:pPr>
              <w:ind w:left="20"/>
              <w:spacing w:after="0"/>
              <w:rPr>
                <w:sz w:val="20"/>
                <w:szCs w:val="20"/>
                <w:color w:val="auto"/>
              </w:rPr>
            </w:pPr>
            <w:r>
              <w:rPr>
                <w:rFonts w:ascii="Arial" w:cs="Arial" w:eastAsia="Arial" w:hAnsi="Arial"/>
                <w:sz w:val="17"/>
                <w:szCs w:val="17"/>
                <w:b w:val="1"/>
                <w:bCs w:val="1"/>
                <w:color w:val="auto"/>
              </w:rPr>
              <w:t>Name and Principal Position</w:t>
            </w:r>
          </w:p>
        </w:tc>
        <w:tc>
          <w:tcPr>
            <w:tcW w:w="1120" w:type="dxa"/>
            <w:vAlign w:val="bottom"/>
          </w:tcPr>
          <w:p>
            <w:pPr>
              <w:ind w:left="420"/>
              <w:spacing w:after="0"/>
              <w:rPr>
                <w:sz w:val="20"/>
                <w:szCs w:val="20"/>
                <w:color w:val="auto"/>
              </w:rPr>
            </w:pPr>
            <w:r>
              <w:rPr>
                <w:rFonts w:ascii="Arial" w:cs="Arial" w:eastAsia="Arial" w:hAnsi="Arial"/>
                <w:sz w:val="17"/>
                <w:szCs w:val="17"/>
                <w:b w:val="1"/>
                <w:bCs w:val="1"/>
                <w:color w:val="auto"/>
              </w:rPr>
              <w:t>Year</w:t>
            </w:r>
          </w:p>
        </w:tc>
        <w:tc>
          <w:tcPr>
            <w:tcW w:w="1100" w:type="dxa"/>
            <w:vAlign w:val="bottom"/>
          </w:tcPr>
          <w:p>
            <w:pPr>
              <w:jc w:val="right"/>
              <w:ind w:right="397"/>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6"/>
              </w:rPr>
              <w:t>($)</w:t>
            </w:r>
          </w:p>
        </w:tc>
        <w:tc>
          <w:tcPr>
            <w:tcW w:w="1460" w:type="dxa"/>
            <w:vAlign w:val="bottom"/>
          </w:tcPr>
          <w:p>
            <w:pPr>
              <w:jc w:val="center"/>
              <w:ind w:right="22"/>
              <w:spacing w:after="0"/>
              <w:rPr>
                <w:sz w:val="20"/>
                <w:szCs w:val="20"/>
                <w:color w:val="auto"/>
              </w:rPr>
            </w:pPr>
            <w:r>
              <w:rPr>
                <w:rFonts w:ascii="Arial" w:cs="Arial" w:eastAsia="Arial" w:hAnsi="Arial"/>
                <w:sz w:val="17"/>
                <w:szCs w:val="17"/>
                <w:b w:val="1"/>
                <w:bCs w:val="1"/>
                <w:color w:val="auto"/>
                <w:w w:val="96"/>
              </w:rPr>
              <w:t>($)</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r>
      <w:tr>
        <w:trPr>
          <w:trHeight w:val="25"/>
        </w:trPr>
        <w:tc>
          <w:tcPr>
            <w:tcW w:w="3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7"/>
        </w:trPr>
        <w:tc>
          <w:tcPr>
            <w:tcW w:w="3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Hamza Suria, M.B.A.</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2018</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547,000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4,303,927</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270,765</w:t>
            </w:r>
          </w:p>
        </w:tc>
        <w:tc>
          <w:tcPr>
            <w:tcW w:w="1460" w:type="dxa"/>
            <w:vAlign w:val="bottom"/>
            <w:shd w:val="clear" w:color="auto" w:fill="CCEEFF"/>
          </w:tcPr>
          <w:p>
            <w:pPr>
              <w:jc w:val="center"/>
              <w:ind w:right="2"/>
              <w:spacing w:after="0"/>
              <w:rPr>
                <w:sz w:val="20"/>
                <w:szCs w:val="20"/>
                <w:color w:val="auto"/>
              </w:rPr>
            </w:pPr>
            <w:r>
              <w:rPr>
                <w:rFonts w:ascii="Arial" w:cs="Arial" w:eastAsia="Arial" w:hAnsi="Arial"/>
                <w:sz w:val="17"/>
                <w:szCs w:val="17"/>
                <w:color w:val="auto"/>
                <w:w w:val="80"/>
              </w:rPr>
              <w:t>540</w:t>
            </w:r>
            <w:r>
              <w:rPr>
                <w:rFonts w:ascii="Arial" w:cs="Arial" w:eastAsia="Arial" w:hAnsi="Arial"/>
                <w:sz w:val="23"/>
                <w:szCs w:val="23"/>
                <w:color w:val="auto"/>
                <w:w w:val="80"/>
                <w:vertAlign w:val="superscript"/>
              </w:rPr>
              <w:t>(3)</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5,122,232</w:t>
            </w:r>
          </w:p>
        </w:tc>
      </w:tr>
      <w:tr>
        <w:trPr>
          <w:trHeight w:val="212"/>
        </w:trPr>
        <w:tc>
          <w:tcPr>
            <w:tcW w:w="3020" w:type="dxa"/>
            <w:vAlign w:val="bottom"/>
          </w:tcPr>
          <w:p>
            <w:pPr>
              <w:ind w:left="140"/>
              <w:spacing w:after="0"/>
              <w:rPr>
                <w:sz w:val="20"/>
                <w:szCs w:val="20"/>
                <w:color w:val="auto"/>
              </w:rPr>
            </w:pPr>
            <w:r>
              <w:rPr>
                <w:rFonts w:ascii="Arial" w:cs="Arial" w:eastAsia="Arial" w:hAnsi="Arial"/>
                <w:sz w:val="17"/>
                <w:szCs w:val="17"/>
                <w:i w:val="1"/>
                <w:iCs w:val="1"/>
                <w:color w:val="auto"/>
                <w:w w:val="99"/>
              </w:rPr>
              <w:t>President, Chief Executive Officer and</w:t>
            </w: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3020" w:type="dxa"/>
            <w:vAlign w:val="bottom"/>
          </w:tcPr>
          <w:p>
            <w:pPr>
              <w:ind w:left="140"/>
              <w:spacing w:after="0"/>
              <w:rPr>
                <w:sz w:val="20"/>
                <w:szCs w:val="20"/>
                <w:color w:val="auto"/>
              </w:rPr>
            </w:pPr>
            <w:r>
              <w:rPr>
                <w:rFonts w:ascii="Arial" w:cs="Arial" w:eastAsia="Arial" w:hAnsi="Arial"/>
                <w:sz w:val="17"/>
                <w:szCs w:val="17"/>
                <w:i w:val="1"/>
                <w:iCs w:val="1"/>
                <w:color w:val="auto"/>
              </w:rPr>
              <w:t>Director</w:t>
            </w:r>
          </w:p>
        </w:tc>
        <w:tc>
          <w:tcPr>
            <w:tcW w:w="1120" w:type="dxa"/>
            <w:vAlign w:val="bottom"/>
          </w:tcPr>
          <w:p>
            <w:pPr>
              <w:jc w:val="right"/>
              <w:ind w:right="277"/>
              <w:spacing w:after="0"/>
              <w:rPr>
                <w:sz w:val="20"/>
                <w:szCs w:val="20"/>
                <w:color w:val="auto"/>
              </w:rPr>
            </w:pPr>
            <w:r>
              <w:rPr>
                <w:rFonts w:ascii="Arial" w:cs="Arial" w:eastAsia="Arial" w:hAnsi="Arial"/>
                <w:sz w:val="17"/>
                <w:szCs w:val="17"/>
                <w:color w:val="auto"/>
              </w:rPr>
              <w:t>2017</w:t>
            </w:r>
          </w:p>
        </w:tc>
        <w:tc>
          <w:tcPr>
            <w:tcW w:w="1100" w:type="dxa"/>
            <w:vAlign w:val="bottom"/>
          </w:tcPr>
          <w:p>
            <w:pPr>
              <w:jc w:val="right"/>
              <w:ind w:right="97"/>
              <w:spacing w:after="0"/>
              <w:rPr>
                <w:sz w:val="20"/>
                <w:szCs w:val="20"/>
                <w:color w:val="auto"/>
              </w:rPr>
            </w:pPr>
            <w:r>
              <w:rPr>
                <w:rFonts w:ascii="Arial" w:cs="Arial" w:eastAsia="Arial" w:hAnsi="Arial"/>
                <w:sz w:val="17"/>
                <w:szCs w:val="17"/>
                <w:color w:val="auto"/>
              </w:rPr>
              <w:t>465,000</w:t>
            </w:r>
          </w:p>
        </w:tc>
        <w:tc>
          <w:tcPr>
            <w:tcW w:w="1080" w:type="dxa"/>
            <w:vAlign w:val="bottom"/>
          </w:tcPr>
          <w:p>
            <w:pPr>
              <w:jc w:val="center"/>
              <w:spacing w:after="0"/>
              <w:rPr>
                <w:sz w:val="20"/>
                <w:szCs w:val="20"/>
                <w:color w:val="auto"/>
              </w:rPr>
            </w:pPr>
            <w:r>
              <w:rPr>
                <w:rFonts w:ascii="Arial" w:cs="Arial" w:eastAsia="Arial" w:hAnsi="Arial"/>
                <w:sz w:val="17"/>
                <w:szCs w:val="17"/>
                <w:color w:val="auto"/>
              </w:rPr>
              <w:t>—</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3,341,588</w:t>
            </w: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209,250</w:t>
            </w:r>
          </w:p>
        </w:tc>
        <w:tc>
          <w:tcPr>
            <w:tcW w:w="1460" w:type="dxa"/>
            <w:vAlign w:val="bottom"/>
          </w:tcPr>
          <w:p>
            <w:pPr>
              <w:jc w:val="center"/>
              <w:ind w:right="2"/>
              <w:spacing w:after="0" w:line="249" w:lineRule="exact"/>
              <w:rPr>
                <w:sz w:val="20"/>
                <w:szCs w:val="20"/>
                <w:color w:val="auto"/>
              </w:rPr>
            </w:pPr>
            <w:r>
              <w:rPr>
                <w:rFonts w:ascii="Arial" w:cs="Arial" w:eastAsia="Arial" w:hAnsi="Arial"/>
                <w:sz w:val="28"/>
                <w:szCs w:val="28"/>
                <w:color w:val="auto"/>
                <w:w w:val="85"/>
                <w:vertAlign w:val="subscript"/>
              </w:rPr>
              <w:t>600</w:t>
            </w:r>
            <w:r>
              <w:rPr>
                <w:rFonts w:ascii="Arial" w:cs="Arial" w:eastAsia="Arial" w:hAnsi="Arial"/>
                <w:sz w:val="11"/>
                <w:szCs w:val="11"/>
                <w:color w:val="auto"/>
                <w:w w:val="85"/>
              </w:rPr>
              <w:t>(3)</w:t>
            </w:r>
          </w:p>
        </w:tc>
        <w:tc>
          <w:tcPr>
            <w:tcW w:w="1200" w:type="dxa"/>
            <w:vAlign w:val="bottom"/>
          </w:tcPr>
          <w:p>
            <w:pPr>
              <w:jc w:val="center"/>
              <w:spacing w:after="0"/>
              <w:rPr>
                <w:sz w:val="20"/>
                <w:szCs w:val="20"/>
                <w:color w:val="auto"/>
              </w:rPr>
            </w:pPr>
            <w:r>
              <w:rPr>
                <w:rFonts w:ascii="Arial" w:cs="Arial" w:eastAsia="Arial" w:hAnsi="Arial"/>
                <w:sz w:val="17"/>
                <w:szCs w:val="17"/>
                <w:color w:val="auto"/>
                <w:w w:val="87"/>
              </w:rPr>
              <w:t>4,016,438</w:t>
            </w:r>
          </w:p>
        </w:tc>
      </w:tr>
      <w:tr>
        <w:trPr>
          <w:trHeight w:val="250"/>
        </w:trPr>
        <w:tc>
          <w:tcPr>
            <w:tcW w:w="30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2016</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425,000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153,000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460" w:type="dxa"/>
            <w:vAlign w:val="bottom"/>
            <w:shd w:val="clear" w:color="auto" w:fill="CCEEFF"/>
          </w:tcPr>
          <w:p>
            <w:pPr>
              <w:jc w:val="center"/>
              <w:ind w:right="2"/>
              <w:spacing w:after="0" w:line="250" w:lineRule="exact"/>
              <w:rPr>
                <w:sz w:val="20"/>
                <w:szCs w:val="20"/>
                <w:color w:val="auto"/>
              </w:rPr>
            </w:pPr>
            <w:r>
              <w:rPr>
                <w:rFonts w:ascii="Arial" w:cs="Arial" w:eastAsia="Arial" w:hAnsi="Arial"/>
                <w:sz w:val="17"/>
                <w:szCs w:val="17"/>
                <w:color w:val="auto"/>
                <w:w w:val="80"/>
              </w:rPr>
              <w:t>600</w:t>
            </w:r>
            <w:r>
              <w:rPr>
                <w:rFonts w:ascii="Arial" w:cs="Arial" w:eastAsia="Arial" w:hAnsi="Arial"/>
                <w:sz w:val="23"/>
                <w:szCs w:val="23"/>
                <w:color w:val="auto"/>
                <w:w w:val="80"/>
                <w:vertAlign w:val="superscript"/>
              </w:rPr>
              <w:t>(3)</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578,600</w:t>
            </w:r>
          </w:p>
        </w:tc>
      </w:tr>
      <w:tr>
        <w:trPr>
          <w:trHeight w:val="274"/>
        </w:trPr>
        <w:tc>
          <w:tcPr>
            <w:tcW w:w="3020" w:type="dxa"/>
            <w:vAlign w:val="bottom"/>
          </w:tcPr>
          <w:p>
            <w:pPr>
              <w:ind w:left="20"/>
              <w:spacing w:after="0"/>
              <w:rPr>
                <w:sz w:val="20"/>
                <w:szCs w:val="20"/>
                <w:color w:val="auto"/>
              </w:rPr>
            </w:pPr>
            <w:r>
              <w:rPr>
                <w:rFonts w:ascii="Arial" w:cs="Arial" w:eastAsia="Arial" w:hAnsi="Arial"/>
                <w:sz w:val="17"/>
                <w:szCs w:val="17"/>
                <w:color w:val="auto"/>
              </w:rPr>
              <w:t>Dominic Piscitelli, M.B.A., C.P.A.</w:t>
            </w:r>
          </w:p>
        </w:tc>
        <w:tc>
          <w:tcPr>
            <w:tcW w:w="1120" w:type="dxa"/>
            <w:vAlign w:val="bottom"/>
          </w:tcPr>
          <w:p>
            <w:pPr>
              <w:jc w:val="right"/>
              <w:ind w:right="277"/>
              <w:spacing w:after="0"/>
              <w:rPr>
                <w:sz w:val="20"/>
                <w:szCs w:val="20"/>
                <w:color w:val="auto"/>
              </w:rPr>
            </w:pPr>
            <w:r>
              <w:rPr>
                <w:rFonts w:ascii="Arial" w:cs="Arial" w:eastAsia="Arial" w:hAnsi="Arial"/>
                <w:sz w:val="17"/>
                <w:szCs w:val="17"/>
                <w:color w:val="auto"/>
              </w:rPr>
              <w:t>2018</w:t>
            </w:r>
          </w:p>
        </w:tc>
        <w:tc>
          <w:tcPr>
            <w:tcW w:w="1100" w:type="dxa"/>
            <w:vAlign w:val="bottom"/>
          </w:tcPr>
          <w:p>
            <w:pPr>
              <w:jc w:val="right"/>
              <w:ind w:right="97"/>
              <w:spacing w:after="0"/>
              <w:rPr>
                <w:sz w:val="20"/>
                <w:szCs w:val="20"/>
                <w:color w:val="auto"/>
              </w:rPr>
            </w:pPr>
            <w:r>
              <w:rPr>
                <w:rFonts w:ascii="Arial" w:cs="Arial" w:eastAsia="Arial" w:hAnsi="Arial"/>
                <w:sz w:val="17"/>
                <w:szCs w:val="17"/>
                <w:color w:val="auto"/>
              </w:rPr>
              <w:t>397,000</w:t>
            </w:r>
          </w:p>
        </w:tc>
        <w:tc>
          <w:tcPr>
            <w:tcW w:w="1080" w:type="dxa"/>
            <w:vAlign w:val="bottom"/>
          </w:tcPr>
          <w:p>
            <w:pPr>
              <w:jc w:val="center"/>
              <w:spacing w:after="0"/>
              <w:rPr>
                <w:sz w:val="20"/>
                <w:szCs w:val="20"/>
                <w:color w:val="auto"/>
              </w:rPr>
            </w:pPr>
            <w:r>
              <w:rPr>
                <w:rFonts w:ascii="Arial" w:cs="Arial" w:eastAsia="Arial" w:hAnsi="Arial"/>
                <w:sz w:val="17"/>
                <w:szCs w:val="17"/>
                <w:color w:val="auto"/>
              </w:rPr>
              <w:t>—</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1,571,275</w:t>
            </w: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146,890</w:t>
            </w:r>
          </w:p>
        </w:tc>
        <w:tc>
          <w:tcPr>
            <w:tcW w:w="1460" w:type="dxa"/>
            <w:vAlign w:val="bottom"/>
          </w:tcPr>
          <w:p>
            <w:pPr>
              <w:jc w:val="center"/>
              <w:ind w:right="2"/>
              <w:spacing w:after="0"/>
              <w:rPr>
                <w:sz w:val="20"/>
                <w:szCs w:val="20"/>
                <w:color w:val="auto"/>
              </w:rPr>
            </w:pPr>
            <w:r>
              <w:rPr>
                <w:rFonts w:ascii="Arial" w:cs="Arial" w:eastAsia="Arial" w:hAnsi="Arial"/>
                <w:sz w:val="17"/>
                <w:szCs w:val="17"/>
                <w:color w:val="auto"/>
                <w:w w:val="80"/>
              </w:rPr>
              <w:t>540</w:t>
            </w:r>
            <w:r>
              <w:rPr>
                <w:rFonts w:ascii="Arial" w:cs="Arial" w:eastAsia="Arial" w:hAnsi="Arial"/>
                <w:sz w:val="23"/>
                <w:szCs w:val="23"/>
                <w:color w:val="auto"/>
                <w:w w:val="80"/>
                <w:vertAlign w:val="superscript"/>
              </w:rPr>
              <w:t>(4)</w:t>
            </w:r>
          </w:p>
        </w:tc>
        <w:tc>
          <w:tcPr>
            <w:tcW w:w="1200" w:type="dxa"/>
            <w:vAlign w:val="bottom"/>
          </w:tcPr>
          <w:p>
            <w:pPr>
              <w:jc w:val="center"/>
              <w:spacing w:after="0"/>
              <w:rPr>
                <w:sz w:val="20"/>
                <w:szCs w:val="20"/>
                <w:color w:val="auto"/>
              </w:rPr>
            </w:pPr>
            <w:r>
              <w:rPr>
                <w:rFonts w:ascii="Arial" w:cs="Arial" w:eastAsia="Arial" w:hAnsi="Arial"/>
                <w:sz w:val="17"/>
                <w:szCs w:val="17"/>
                <w:color w:val="auto"/>
                <w:w w:val="87"/>
              </w:rPr>
              <w:t>2,115,705</w:t>
            </w:r>
          </w:p>
        </w:tc>
      </w:tr>
      <w:tr>
        <w:trPr>
          <w:trHeight w:val="274"/>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Chief Financial Officer</w:t>
            </w:r>
          </w:p>
        </w:tc>
        <w:tc>
          <w:tcPr>
            <w:tcW w:w="1120" w:type="dxa"/>
            <w:vAlign w:val="bottom"/>
            <w:shd w:val="clear" w:color="auto" w:fill="CCEEFF"/>
          </w:tcPr>
          <w:p>
            <w:pPr>
              <w:jc w:val="center"/>
              <w:ind w:right="197"/>
              <w:spacing w:after="0"/>
              <w:rPr>
                <w:sz w:val="20"/>
                <w:szCs w:val="20"/>
                <w:color w:val="auto"/>
              </w:rPr>
            </w:pPr>
            <w:r>
              <w:rPr>
                <w:rFonts w:ascii="Arial" w:cs="Arial" w:eastAsia="Arial" w:hAnsi="Arial"/>
                <w:sz w:val="17"/>
                <w:szCs w:val="17"/>
                <w:color w:val="auto"/>
              </w:rPr>
              <w:t>2017</w:t>
            </w:r>
            <w:r>
              <w:rPr>
                <w:rFonts w:ascii="Arial" w:cs="Arial" w:eastAsia="Arial" w:hAnsi="Arial"/>
                <w:sz w:val="23"/>
                <w:szCs w:val="23"/>
                <w:color w:val="auto"/>
                <w:vertAlign w:val="superscript"/>
              </w:rPr>
              <w:t>(5)</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356,811</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2"/>
              </w:rPr>
              <w:t>100,000</w:t>
            </w:r>
            <w:r>
              <w:rPr>
                <w:rFonts w:ascii="Arial" w:cs="Arial" w:eastAsia="Arial" w:hAnsi="Arial"/>
                <w:sz w:val="23"/>
                <w:szCs w:val="23"/>
                <w:color w:val="auto"/>
                <w:w w:val="82"/>
                <w:vertAlign w:val="superscript"/>
              </w:rPr>
              <w:t>(6)</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2,290,041</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111,143</w:t>
            </w:r>
          </w:p>
        </w:tc>
        <w:tc>
          <w:tcPr>
            <w:tcW w:w="1460" w:type="dxa"/>
            <w:vAlign w:val="bottom"/>
            <w:shd w:val="clear" w:color="auto" w:fill="CCEEFF"/>
          </w:tcPr>
          <w:p>
            <w:pPr>
              <w:jc w:val="center"/>
              <w:ind w:right="22"/>
              <w:spacing w:after="0"/>
              <w:rPr>
                <w:sz w:val="20"/>
                <w:szCs w:val="20"/>
                <w:color w:val="auto"/>
              </w:rPr>
            </w:pPr>
            <w:r>
              <w:rPr>
                <w:rFonts w:ascii="Arial" w:cs="Arial" w:eastAsia="Arial" w:hAnsi="Arial"/>
                <w:sz w:val="17"/>
                <w:szCs w:val="17"/>
                <w:color w:val="auto"/>
                <w:w w:val="84"/>
              </w:rPr>
              <w:t>13,253</w:t>
            </w:r>
            <w:r>
              <w:rPr>
                <w:rFonts w:ascii="Arial" w:cs="Arial" w:eastAsia="Arial" w:hAnsi="Arial"/>
                <w:sz w:val="23"/>
                <w:szCs w:val="23"/>
                <w:color w:val="auto"/>
                <w:w w:val="84"/>
                <w:vertAlign w:val="superscript"/>
              </w:rPr>
              <w:t>(7)</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2,871,248</w:t>
            </w:r>
          </w:p>
        </w:tc>
      </w:tr>
      <w:tr>
        <w:trPr>
          <w:trHeight w:val="274"/>
        </w:trPr>
        <w:tc>
          <w:tcPr>
            <w:tcW w:w="3020" w:type="dxa"/>
            <w:vAlign w:val="bottom"/>
          </w:tcPr>
          <w:p>
            <w:pPr>
              <w:ind w:left="20"/>
              <w:spacing w:after="0"/>
              <w:rPr>
                <w:sz w:val="20"/>
                <w:szCs w:val="20"/>
                <w:color w:val="auto"/>
              </w:rPr>
            </w:pPr>
            <w:r>
              <w:rPr>
                <w:rFonts w:ascii="Arial" w:cs="Arial" w:eastAsia="Arial" w:hAnsi="Arial"/>
                <w:sz w:val="17"/>
                <w:szCs w:val="17"/>
                <w:color w:val="auto"/>
              </w:rPr>
              <w:t>Marco Londei, M.D.</w:t>
            </w:r>
          </w:p>
        </w:tc>
        <w:tc>
          <w:tcPr>
            <w:tcW w:w="1120" w:type="dxa"/>
            <w:vAlign w:val="bottom"/>
          </w:tcPr>
          <w:p>
            <w:pPr>
              <w:jc w:val="right"/>
              <w:ind w:right="277"/>
              <w:spacing w:after="0"/>
              <w:rPr>
                <w:sz w:val="20"/>
                <w:szCs w:val="20"/>
                <w:color w:val="auto"/>
              </w:rPr>
            </w:pPr>
            <w:r>
              <w:rPr>
                <w:rFonts w:ascii="Arial" w:cs="Arial" w:eastAsia="Arial" w:hAnsi="Arial"/>
                <w:sz w:val="17"/>
                <w:szCs w:val="17"/>
                <w:color w:val="auto"/>
              </w:rPr>
              <w:t>2018</w:t>
            </w:r>
          </w:p>
        </w:tc>
        <w:tc>
          <w:tcPr>
            <w:tcW w:w="1100" w:type="dxa"/>
            <w:vAlign w:val="bottom"/>
          </w:tcPr>
          <w:p>
            <w:pPr>
              <w:jc w:val="right"/>
              <w:ind w:right="97"/>
              <w:spacing w:after="0"/>
              <w:rPr>
                <w:sz w:val="20"/>
                <w:szCs w:val="20"/>
                <w:color w:val="auto"/>
              </w:rPr>
            </w:pPr>
            <w:r>
              <w:rPr>
                <w:rFonts w:ascii="Arial" w:cs="Arial" w:eastAsia="Arial" w:hAnsi="Arial"/>
                <w:sz w:val="17"/>
                <w:szCs w:val="17"/>
                <w:color w:val="auto"/>
              </w:rPr>
              <w:t>436,000</w:t>
            </w:r>
          </w:p>
        </w:tc>
        <w:tc>
          <w:tcPr>
            <w:tcW w:w="1080" w:type="dxa"/>
            <w:vAlign w:val="bottom"/>
          </w:tcPr>
          <w:p>
            <w:pPr>
              <w:jc w:val="center"/>
              <w:spacing w:after="0"/>
              <w:rPr>
                <w:sz w:val="20"/>
                <w:szCs w:val="20"/>
                <w:color w:val="auto"/>
              </w:rPr>
            </w:pPr>
            <w:r>
              <w:rPr>
                <w:rFonts w:ascii="Arial" w:cs="Arial" w:eastAsia="Arial" w:hAnsi="Arial"/>
                <w:sz w:val="17"/>
                <w:szCs w:val="17"/>
                <w:color w:val="auto"/>
              </w:rPr>
              <w:t>—</w:t>
            </w:r>
          </w:p>
        </w:tc>
        <w:tc>
          <w:tcPr>
            <w:tcW w:w="1080" w:type="dxa"/>
            <w:vAlign w:val="bottom"/>
          </w:tcPr>
          <w:p>
            <w:pPr>
              <w:jc w:val="center"/>
              <w:spacing w:after="0"/>
              <w:rPr>
                <w:sz w:val="20"/>
                <w:szCs w:val="20"/>
                <w:color w:val="auto"/>
              </w:rPr>
            </w:pPr>
            <w:r>
              <w:rPr>
                <w:rFonts w:ascii="Arial" w:cs="Arial" w:eastAsia="Arial" w:hAnsi="Arial"/>
                <w:sz w:val="17"/>
                <w:szCs w:val="17"/>
                <w:color w:val="auto"/>
                <w:w w:val="87"/>
              </w:rPr>
              <w:t>1,912,856</w:t>
            </w: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161,320</w:t>
            </w:r>
          </w:p>
        </w:tc>
        <w:tc>
          <w:tcPr>
            <w:tcW w:w="1460" w:type="dxa"/>
            <w:vAlign w:val="bottom"/>
          </w:tcPr>
          <w:p>
            <w:pPr>
              <w:jc w:val="center"/>
              <w:ind w:right="22"/>
              <w:spacing w:after="0"/>
              <w:rPr>
                <w:sz w:val="20"/>
                <w:szCs w:val="20"/>
                <w:color w:val="auto"/>
              </w:rPr>
            </w:pPr>
            <w:r>
              <w:rPr>
                <w:rFonts w:ascii="Arial" w:cs="Arial" w:eastAsia="Arial" w:hAnsi="Arial"/>
                <w:sz w:val="17"/>
                <w:szCs w:val="17"/>
                <w:color w:val="auto"/>
                <w:w w:val="84"/>
              </w:rPr>
              <w:t>3,564</w:t>
            </w:r>
            <w:r>
              <w:rPr>
                <w:rFonts w:ascii="Arial" w:cs="Arial" w:eastAsia="Arial" w:hAnsi="Arial"/>
                <w:sz w:val="23"/>
                <w:szCs w:val="23"/>
                <w:color w:val="auto"/>
                <w:w w:val="84"/>
                <w:vertAlign w:val="superscript"/>
              </w:rPr>
              <w:t>(8)</w:t>
            </w:r>
          </w:p>
        </w:tc>
        <w:tc>
          <w:tcPr>
            <w:tcW w:w="1200" w:type="dxa"/>
            <w:vAlign w:val="bottom"/>
          </w:tcPr>
          <w:p>
            <w:pPr>
              <w:jc w:val="center"/>
              <w:spacing w:after="0"/>
              <w:rPr>
                <w:sz w:val="20"/>
                <w:szCs w:val="20"/>
                <w:color w:val="auto"/>
              </w:rPr>
            </w:pPr>
            <w:r>
              <w:rPr>
                <w:rFonts w:ascii="Arial" w:cs="Arial" w:eastAsia="Arial" w:hAnsi="Arial"/>
                <w:sz w:val="17"/>
                <w:szCs w:val="17"/>
                <w:color w:val="auto"/>
                <w:w w:val="87"/>
              </w:rPr>
              <w:t>2,513,740</w:t>
            </w:r>
          </w:p>
        </w:tc>
      </w:tr>
      <w:tr>
        <w:trPr>
          <w:trHeight w:val="262"/>
        </w:trPr>
        <w:tc>
          <w:tcPr>
            <w:tcW w:w="3020" w:type="dxa"/>
            <w:vAlign w:val="bottom"/>
            <w:shd w:val="clear" w:color="auto" w:fill="CCEEFF"/>
          </w:tcPr>
          <w:p>
            <w:pPr>
              <w:ind w:left="140"/>
              <w:spacing w:after="0"/>
              <w:rPr>
                <w:sz w:val="20"/>
                <w:szCs w:val="20"/>
                <w:color w:val="auto"/>
              </w:rPr>
            </w:pPr>
            <w:r>
              <w:rPr>
                <w:rFonts w:ascii="Arial" w:cs="Arial" w:eastAsia="Arial" w:hAnsi="Arial"/>
                <w:sz w:val="17"/>
                <w:szCs w:val="17"/>
                <w:i w:val="1"/>
                <w:iCs w:val="1"/>
                <w:color w:val="auto"/>
              </w:rPr>
              <w:t>Chief Medical Officer</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2017</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395,250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1,633,665</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117,982</w:t>
            </w:r>
          </w:p>
        </w:tc>
        <w:tc>
          <w:tcPr>
            <w:tcW w:w="1460" w:type="dxa"/>
            <w:vAlign w:val="bottom"/>
            <w:shd w:val="clear" w:color="auto" w:fill="CCEEFF"/>
          </w:tcPr>
          <w:p>
            <w:pPr>
              <w:jc w:val="center"/>
              <w:ind w:right="22"/>
              <w:spacing w:after="0" w:line="262" w:lineRule="exact"/>
              <w:rPr>
                <w:sz w:val="20"/>
                <w:szCs w:val="20"/>
                <w:color w:val="auto"/>
              </w:rPr>
            </w:pPr>
            <w:r>
              <w:rPr>
                <w:rFonts w:ascii="Arial" w:cs="Arial" w:eastAsia="Arial" w:hAnsi="Arial"/>
                <w:sz w:val="17"/>
                <w:szCs w:val="17"/>
                <w:color w:val="auto"/>
                <w:w w:val="84"/>
              </w:rPr>
              <w:t>3,960</w:t>
            </w:r>
            <w:r>
              <w:rPr>
                <w:rFonts w:ascii="Arial" w:cs="Arial" w:eastAsia="Arial" w:hAnsi="Arial"/>
                <w:sz w:val="23"/>
                <w:szCs w:val="23"/>
                <w:color w:val="auto"/>
                <w:w w:val="84"/>
                <w:vertAlign w:val="superscript"/>
              </w:rPr>
              <w:t>(8)</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2,150,857</w:t>
            </w:r>
          </w:p>
        </w:tc>
      </w:tr>
      <w:tr>
        <w:trPr>
          <w:trHeight w:val="250"/>
        </w:trPr>
        <w:tc>
          <w:tcPr>
            <w:tcW w:w="3020" w:type="dxa"/>
            <w:vAlign w:val="bottom"/>
          </w:tcPr>
          <w:p>
            <w:pPr>
              <w:spacing w:after="0"/>
              <w:rPr>
                <w:sz w:val="21"/>
                <w:szCs w:val="21"/>
                <w:color w:val="auto"/>
              </w:rPr>
            </w:pPr>
          </w:p>
        </w:tc>
        <w:tc>
          <w:tcPr>
            <w:tcW w:w="1120" w:type="dxa"/>
            <w:vAlign w:val="bottom"/>
          </w:tcPr>
          <w:p>
            <w:pPr>
              <w:jc w:val="right"/>
              <w:ind w:right="277"/>
              <w:spacing w:after="0"/>
              <w:rPr>
                <w:sz w:val="20"/>
                <w:szCs w:val="20"/>
                <w:color w:val="auto"/>
              </w:rPr>
            </w:pPr>
            <w:r>
              <w:rPr>
                <w:rFonts w:ascii="Arial" w:cs="Arial" w:eastAsia="Arial" w:hAnsi="Arial"/>
                <w:sz w:val="17"/>
                <w:szCs w:val="17"/>
                <w:color w:val="auto"/>
              </w:rPr>
              <w:t>2016</w:t>
            </w:r>
          </w:p>
        </w:tc>
        <w:tc>
          <w:tcPr>
            <w:tcW w:w="1100" w:type="dxa"/>
            <w:vAlign w:val="bottom"/>
          </w:tcPr>
          <w:p>
            <w:pPr>
              <w:jc w:val="right"/>
              <w:ind w:right="97"/>
              <w:spacing w:after="0"/>
              <w:rPr>
                <w:sz w:val="20"/>
                <w:szCs w:val="20"/>
                <w:color w:val="auto"/>
              </w:rPr>
            </w:pPr>
            <w:r>
              <w:rPr>
                <w:rFonts w:ascii="Arial" w:cs="Arial" w:eastAsia="Arial" w:hAnsi="Arial"/>
                <w:sz w:val="17"/>
                <w:szCs w:val="17"/>
                <w:color w:val="auto"/>
              </w:rPr>
              <w:t>380,000</w:t>
            </w:r>
          </w:p>
        </w:tc>
        <w:tc>
          <w:tcPr>
            <w:tcW w:w="1080" w:type="dxa"/>
            <w:vAlign w:val="bottom"/>
          </w:tcPr>
          <w:p>
            <w:pPr>
              <w:jc w:val="center"/>
              <w:spacing w:after="0"/>
              <w:rPr>
                <w:sz w:val="20"/>
                <w:szCs w:val="20"/>
                <w:color w:val="auto"/>
              </w:rPr>
            </w:pPr>
            <w:r>
              <w:rPr>
                <w:rFonts w:ascii="Arial" w:cs="Arial" w:eastAsia="Arial" w:hAnsi="Arial"/>
                <w:sz w:val="17"/>
                <w:szCs w:val="17"/>
                <w:color w:val="auto"/>
                <w:w w:val="88"/>
              </w:rPr>
              <w:t>92,340</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460" w:type="dxa"/>
            <w:vAlign w:val="bottom"/>
          </w:tcPr>
          <w:p>
            <w:pPr>
              <w:jc w:val="center"/>
              <w:ind w:right="2"/>
              <w:spacing w:after="0" w:line="250" w:lineRule="exact"/>
              <w:rPr>
                <w:sz w:val="20"/>
                <w:szCs w:val="20"/>
                <w:color w:val="auto"/>
              </w:rPr>
            </w:pPr>
            <w:r>
              <w:rPr>
                <w:rFonts w:ascii="Arial" w:cs="Arial" w:eastAsia="Arial" w:hAnsi="Arial"/>
                <w:sz w:val="17"/>
                <w:szCs w:val="17"/>
                <w:color w:val="auto"/>
                <w:w w:val="81"/>
              </w:rPr>
              <w:t>11,944</w:t>
            </w:r>
            <w:r>
              <w:rPr>
                <w:rFonts w:ascii="Arial" w:cs="Arial" w:eastAsia="Arial" w:hAnsi="Arial"/>
                <w:sz w:val="23"/>
                <w:szCs w:val="23"/>
                <w:color w:val="auto"/>
                <w:w w:val="81"/>
                <w:vertAlign w:val="superscript"/>
              </w:rPr>
              <w:t>(9)</w:t>
            </w:r>
          </w:p>
        </w:tc>
        <w:tc>
          <w:tcPr>
            <w:tcW w:w="1200" w:type="dxa"/>
            <w:vAlign w:val="bottom"/>
          </w:tcPr>
          <w:p>
            <w:pPr>
              <w:jc w:val="center"/>
              <w:spacing w:after="0"/>
              <w:rPr>
                <w:sz w:val="20"/>
                <w:szCs w:val="20"/>
                <w:color w:val="auto"/>
              </w:rPr>
            </w:pPr>
            <w:r>
              <w:rPr>
                <w:rFonts w:ascii="Arial" w:cs="Arial" w:eastAsia="Arial" w:hAnsi="Arial"/>
                <w:sz w:val="17"/>
                <w:szCs w:val="17"/>
                <w:color w:val="auto"/>
                <w:w w:val="87"/>
              </w:rPr>
              <w:t>484,284</w:t>
            </w:r>
          </w:p>
        </w:tc>
      </w:tr>
      <w:tr>
        <w:trPr>
          <w:trHeight w:val="274"/>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Eric Loumeau, J.D.</w:t>
            </w:r>
          </w:p>
        </w:tc>
        <w:tc>
          <w:tcPr>
            <w:tcW w:w="1120" w:type="dxa"/>
            <w:vAlign w:val="bottom"/>
            <w:shd w:val="clear" w:color="auto" w:fill="CCEEFF"/>
          </w:tcPr>
          <w:p>
            <w:pPr>
              <w:jc w:val="center"/>
              <w:ind w:right="157"/>
              <w:spacing w:after="0"/>
              <w:rPr>
                <w:sz w:val="20"/>
                <w:szCs w:val="20"/>
                <w:color w:val="auto"/>
              </w:rPr>
            </w:pPr>
            <w:r>
              <w:rPr>
                <w:rFonts w:ascii="Arial" w:cs="Arial" w:eastAsia="Arial" w:hAnsi="Arial"/>
                <w:sz w:val="17"/>
                <w:szCs w:val="17"/>
                <w:color w:val="auto"/>
              </w:rPr>
              <w:t>2018</w:t>
            </w:r>
            <w:r>
              <w:rPr>
                <w:rFonts w:ascii="Arial" w:cs="Arial" w:eastAsia="Arial" w:hAnsi="Arial"/>
                <w:sz w:val="23"/>
                <w:szCs w:val="23"/>
                <w:color w:val="auto"/>
                <w:vertAlign w:val="superscript"/>
              </w:rPr>
              <w:t>(10)</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148,106</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1,961,388</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54,763</w:t>
            </w:r>
          </w:p>
        </w:tc>
        <w:tc>
          <w:tcPr>
            <w:tcW w:w="1460" w:type="dxa"/>
            <w:vAlign w:val="bottom"/>
            <w:shd w:val="clear" w:color="auto" w:fill="CCEEFF"/>
          </w:tcPr>
          <w:p>
            <w:pPr>
              <w:jc w:val="center"/>
              <w:ind w:right="22"/>
              <w:spacing w:after="0" w:line="274" w:lineRule="exact"/>
              <w:rPr>
                <w:sz w:val="20"/>
                <w:szCs w:val="20"/>
                <w:color w:val="auto"/>
              </w:rPr>
            </w:pPr>
            <w:r>
              <w:rPr>
                <w:rFonts w:ascii="Arial" w:cs="Arial" w:eastAsia="Arial" w:hAnsi="Arial"/>
                <w:sz w:val="31"/>
                <w:szCs w:val="31"/>
                <w:color w:val="auto"/>
                <w:w w:val="81"/>
                <w:vertAlign w:val="subscript"/>
              </w:rPr>
              <w:t>774</w:t>
            </w:r>
            <w:r>
              <w:rPr>
                <w:rFonts w:ascii="Arial" w:cs="Arial" w:eastAsia="Arial" w:hAnsi="Arial"/>
                <w:sz w:val="11"/>
                <w:szCs w:val="11"/>
                <w:color w:val="auto"/>
                <w:w w:val="81"/>
              </w:rPr>
              <w:t>(11)</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2,165,031</w:t>
            </w:r>
          </w:p>
        </w:tc>
      </w:tr>
      <w:tr>
        <w:trPr>
          <w:trHeight w:val="237"/>
        </w:trPr>
        <w:tc>
          <w:tcPr>
            <w:tcW w:w="3020" w:type="dxa"/>
            <w:vAlign w:val="bottom"/>
          </w:tcPr>
          <w:p>
            <w:pPr>
              <w:ind w:left="140"/>
              <w:spacing w:after="0"/>
              <w:rPr>
                <w:sz w:val="20"/>
                <w:szCs w:val="20"/>
                <w:color w:val="auto"/>
              </w:rPr>
            </w:pPr>
            <w:r>
              <w:rPr>
                <w:rFonts w:ascii="Arial" w:cs="Arial" w:eastAsia="Arial" w:hAnsi="Arial"/>
                <w:sz w:val="17"/>
                <w:szCs w:val="17"/>
                <w:i w:val="1"/>
                <w:iCs w:val="1"/>
                <w:color w:val="auto"/>
              </w:rPr>
              <w:t>General Counsel</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24" w:lineRule="exact"/>
        <w:rPr>
          <w:sz w:val="20"/>
          <w:szCs w:val="20"/>
          <w:color w:val="auto"/>
        </w:rPr>
      </w:pPr>
    </w:p>
    <w:p>
      <w:pPr>
        <w:ind w:left="360" w:hanging="360"/>
        <w:spacing w:after="0"/>
        <w:tabs>
          <w:tab w:leader="none" w:pos="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reported in this column represent bonuses awarded at the discretion of our board of directors.</w:t>
      </w:r>
    </w:p>
    <w:p>
      <w:pPr>
        <w:spacing w:after="0" w:line="54" w:lineRule="exact"/>
        <w:rPr>
          <w:rFonts w:ascii="Arial" w:cs="Arial" w:eastAsia="Arial" w:hAnsi="Arial"/>
          <w:sz w:val="17"/>
          <w:szCs w:val="17"/>
          <w:color w:val="auto"/>
        </w:rPr>
      </w:pPr>
    </w:p>
    <w:p>
      <w:pPr>
        <w:ind w:left="360" w:right="60" w:hanging="360"/>
        <w:spacing w:after="0" w:line="249" w:lineRule="auto"/>
        <w:tabs>
          <w:tab w:leader="none" w:pos="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reported in the Option Awards column represent the grant date fair value of the stock options granted to the Named Executive Officers during the years ended December 31, 2018, 2017, and 2016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2018. Note that the amounts reported in this column reflect the accounting cost for these stock options, and do not correspond to the actual economic value that may be received by our Named Executive Officers from the options.</w:t>
      </w:r>
    </w:p>
    <w:p>
      <w:pPr>
        <w:spacing w:after="0" w:line="30" w:lineRule="exact"/>
        <w:rPr>
          <w:rFonts w:ascii="Arial" w:cs="Arial" w:eastAsia="Arial" w:hAnsi="Arial"/>
          <w:sz w:val="17"/>
          <w:szCs w:val="17"/>
          <w:color w:val="auto"/>
        </w:rPr>
      </w:pPr>
    </w:p>
    <w:p>
      <w:pPr>
        <w:ind w:left="380" w:hanging="368"/>
        <w:spacing w:after="0"/>
        <w:tabs>
          <w:tab w:leader="none" w:pos="3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group term life insurance premiums paid by us on behalf of Mr. Suria.</w:t>
      </w:r>
    </w:p>
    <w:p>
      <w:pPr>
        <w:spacing w:after="0" w:line="54" w:lineRule="exact"/>
        <w:rPr>
          <w:rFonts w:ascii="Arial" w:cs="Arial" w:eastAsia="Arial" w:hAnsi="Arial"/>
          <w:sz w:val="17"/>
          <w:szCs w:val="17"/>
          <w:color w:val="auto"/>
        </w:rPr>
      </w:pPr>
    </w:p>
    <w:p>
      <w:pPr>
        <w:ind w:left="380" w:hanging="368"/>
        <w:spacing w:after="0"/>
        <w:tabs>
          <w:tab w:leader="none" w:pos="3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group term life insurance premiums paid by us on behalf of Mr. Piscitelli.</w:t>
      </w:r>
    </w:p>
    <w:p>
      <w:pPr>
        <w:spacing w:after="0" w:line="54" w:lineRule="exact"/>
        <w:rPr>
          <w:rFonts w:ascii="Arial" w:cs="Arial" w:eastAsia="Arial" w:hAnsi="Arial"/>
          <w:sz w:val="17"/>
          <w:szCs w:val="17"/>
          <w:color w:val="auto"/>
        </w:rPr>
      </w:pPr>
    </w:p>
    <w:p>
      <w:pPr>
        <w:ind w:left="380" w:hanging="368"/>
        <w:spacing w:after="0"/>
        <w:tabs>
          <w:tab w:leader="none" w:pos="3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Mr. Piscitelli’s salary and bonus from the commencement of his employment on January 11, 2017 through December 31, 2017.</w:t>
      </w:r>
    </w:p>
    <w:p>
      <w:pPr>
        <w:spacing w:after="0" w:line="54" w:lineRule="exact"/>
        <w:rPr>
          <w:rFonts w:ascii="Arial" w:cs="Arial" w:eastAsia="Arial" w:hAnsi="Arial"/>
          <w:sz w:val="17"/>
          <w:szCs w:val="17"/>
          <w:color w:val="auto"/>
        </w:rPr>
      </w:pPr>
    </w:p>
    <w:p>
      <w:pPr>
        <w:ind w:left="380" w:hanging="368"/>
        <w:spacing w:after="0"/>
        <w:tabs>
          <w:tab w:leader="none" w:pos="3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a sign-on bonus of $100,000 paid to Mr. Piscitelli upon joining the company.</w:t>
      </w:r>
    </w:p>
    <w:p>
      <w:pPr>
        <w:spacing w:after="0" w:line="54" w:lineRule="exact"/>
        <w:rPr>
          <w:rFonts w:ascii="Arial" w:cs="Arial" w:eastAsia="Arial" w:hAnsi="Arial"/>
          <w:sz w:val="17"/>
          <w:szCs w:val="17"/>
          <w:color w:val="auto"/>
        </w:rPr>
      </w:pPr>
    </w:p>
    <w:p>
      <w:pPr>
        <w:ind w:left="380" w:right="300" w:hanging="368"/>
        <w:spacing w:after="0" w:line="265" w:lineRule="auto"/>
        <w:tabs>
          <w:tab w:leader="none" w:pos="3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reimbursements paid to, or on behalf of Mr. Piscitelli during the year ended December 31, 2017 consisting of $12,703 for moving expenses and $550 for group term life insurance premiums paid.</w:t>
      </w:r>
    </w:p>
    <w:p>
      <w:pPr>
        <w:spacing w:after="0" w:line="17" w:lineRule="exact"/>
        <w:rPr>
          <w:rFonts w:ascii="Arial" w:cs="Arial" w:eastAsia="Arial" w:hAnsi="Arial"/>
          <w:sz w:val="17"/>
          <w:szCs w:val="17"/>
          <w:color w:val="auto"/>
        </w:rPr>
      </w:pPr>
    </w:p>
    <w:p>
      <w:pPr>
        <w:ind w:left="380" w:hanging="368"/>
        <w:spacing w:after="0"/>
        <w:tabs>
          <w:tab w:leader="none" w:pos="3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group term life insurance premiums paid by us on behalf of Dr. Londei.</w:t>
      </w:r>
    </w:p>
    <w:p>
      <w:pPr>
        <w:spacing w:after="0" w:line="54" w:lineRule="exact"/>
        <w:rPr>
          <w:rFonts w:ascii="Arial" w:cs="Arial" w:eastAsia="Arial" w:hAnsi="Arial"/>
          <w:sz w:val="17"/>
          <w:szCs w:val="17"/>
          <w:color w:val="auto"/>
        </w:rPr>
      </w:pPr>
    </w:p>
    <w:p>
      <w:pPr>
        <w:ind w:left="380" w:right="360" w:hanging="368"/>
        <w:spacing w:after="0" w:line="265" w:lineRule="auto"/>
        <w:tabs>
          <w:tab w:leader="none" w:pos="3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reimbursements paid to, or on behalf of Dr. Londei during the year ended December 31, 2016, consisting of $7,984 for moving expenses and $3,960 for group term life insurance premiums paid by us on behalf of Dr. Londei.</w:t>
      </w:r>
    </w:p>
    <w:p>
      <w:pPr>
        <w:spacing w:after="0" w:line="17" w:lineRule="exact"/>
        <w:rPr>
          <w:rFonts w:ascii="Arial" w:cs="Arial" w:eastAsia="Arial" w:hAnsi="Arial"/>
          <w:sz w:val="17"/>
          <w:szCs w:val="17"/>
          <w:color w:val="auto"/>
        </w:rPr>
      </w:pPr>
    </w:p>
    <w:p>
      <w:pPr>
        <w:ind w:left="380" w:hanging="368"/>
        <w:spacing w:after="0"/>
        <w:tabs>
          <w:tab w:leader="none" w:pos="3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Mr. Loumeau’s salary and bonus from the commencement of his employment on August 6, 2018 through December 31, 2018.</w:t>
      </w:r>
    </w:p>
    <w:p>
      <w:pPr>
        <w:spacing w:after="0" w:line="54" w:lineRule="exact"/>
        <w:rPr>
          <w:rFonts w:ascii="Arial" w:cs="Arial" w:eastAsia="Arial" w:hAnsi="Arial"/>
          <w:sz w:val="17"/>
          <w:szCs w:val="17"/>
          <w:color w:val="auto"/>
        </w:rPr>
      </w:pPr>
    </w:p>
    <w:p>
      <w:pPr>
        <w:ind w:left="380" w:hanging="368"/>
        <w:spacing w:after="0"/>
        <w:tabs>
          <w:tab w:leader="none" w:pos="3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Reflects group term life insurance premiums paid by us on behalf of Mr. Loumeau.</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348"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Grant of Plan-Based Awards</w:t>
      </w:r>
    </w:p>
    <w:p>
      <w:pPr>
        <w:spacing w:after="0" w:line="308"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following table provides information with regard to potential cash bonuses paid or payable in 2018 under our performance-based, non-equity incentive plan, and with regard to each equity award granted to each named executive officer during fiscal 2018.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3"/>
          </w:tcPr>
          <w:p>
            <w:pPr>
              <w:jc w:val="right"/>
              <w:spacing w:after="0"/>
              <w:rPr>
                <w:sz w:val="20"/>
                <w:szCs w:val="20"/>
                <w:color w:val="auto"/>
              </w:rPr>
            </w:pPr>
            <w:r>
              <w:rPr>
                <w:rFonts w:ascii="Arial" w:cs="Arial" w:eastAsia="Arial" w:hAnsi="Arial"/>
                <w:sz w:val="15"/>
                <w:szCs w:val="15"/>
                <w:b w:val="1"/>
                <w:bCs w:val="1"/>
                <w:color w:val="auto"/>
                <w:w w:val="91"/>
              </w:rPr>
              <w:t>Estimated Future Payouts Under Non-Equity</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Number of</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3"/>
          </w:tcPr>
          <w:p>
            <w:pPr>
              <w:ind w:left="700"/>
              <w:spacing w:after="0" w:line="187" w:lineRule="exact"/>
              <w:rPr>
                <w:sz w:val="20"/>
                <w:szCs w:val="20"/>
                <w:color w:val="auto"/>
              </w:rPr>
            </w:pPr>
            <w:r>
              <w:rPr>
                <w:rFonts w:ascii="Arial" w:cs="Arial" w:eastAsia="Arial" w:hAnsi="Arial"/>
                <w:sz w:val="15"/>
                <w:szCs w:val="15"/>
                <w:b w:val="1"/>
                <w:bCs w:val="1"/>
                <w:color w:val="auto"/>
              </w:rPr>
              <w:t>Incentive Plan Awards</w:t>
            </w:r>
            <w:r>
              <w:rPr>
                <w:rFonts w:ascii="Arial" w:cs="Arial" w:eastAsia="Arial" w:hAnsi="Arial"/>
                <w:sz w:val="19"/>
                <w:szCs w:val="19"/>
                <w:b w:val="1"/>
                <w:bCs w:val="1"/>
                <w:color w:val="auto"/>
                <w:vertAlign w:val="superscript"/>
              </w:rPr>
              <w:t>(1)</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Securities</w:t>
            </w: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Exercise or</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6"/>
              </w:rPr>
              <w:t>Grant Date</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5"/>
                <w:szCs w:val="15"/>
                <w:b w:val="1"/>
                <w:bCs w:val="1"/>
                <w:color w:val="auto"/>
                <w:w w:val="91"/>
              </w:rPr>
              <w:t>Underlying</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88"/>
              </w:rPr>
              <w:t>Base Price</w:t>
            </w:r>
          </w:p>
        </w:tc>
        <w:tc>
          <w:tcPr>
            <w:tcW w:w="13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Fair Value of Stock</w:t>
            </w:r>
          </w:p>
        </w:tc>
        <w:tc>
          <w:tcPr>
            <w:tcW w:w="0" w:type="dxa"/>
            <w:vAlign w:val="bottom"/>
          </w:tcPr>
          <w:p>
            <w:pPr>
              <w:spacing w:after="0"/>
              <w:rPr>
                <w:sz w:val="1"/>
                <w:szCs w:val="1"/>
                <w:color w:val="auto"/>
              </w:rPr>
            </w:pPr>
          </w:p>
        </w:tc>
      </w:tr>
      <w:tr>
        <w:trPr>
          <w:trHeight w:val="80"/>
        </w:trPr>
        <w:tc>
          <w:tcPr>
            <w:tcW w:w="3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ind w:left="180"/>
              <w:spacing w:after="0"/>
              <w:rPr>
                <w:sz w:val="20"/>
                <w:szCs w:val="20"/>
                <w:color w:val="auto"/>
              </w:rPr>
            </w:pPr>
            <w:r>
              <w:rPr>
                <w:rFonts w:ascii="Arial" w:cs="Arial" w:eastAsia="Arial" w:hAnsi="Arial"/>
                <w:sz w:val="15"/>
                <w:szCs w:val="15"/>
                <w:b w:val="1"/>
                <w:bCs w:val="1"/>
                <w:color w:val="auto"/>
              </w:rPr>
              <w:t>Threshold</w:t>
            </w:r>
          </w:p>
        </w:tc>
        <w:tc>
          <w:tcPr>
            <w:tcW w:w="820" w:type="dxa"/>
            <w:vAlign w:val="bottom"/>
          </w:tcPr>
          <w:p>
            <w:pPr>
              <w:jc w:val="right"/>
              <w:ind w:right="200"/>
              <w:spacing w:after="0"/>
              <w:rPr>
                <w:sz w:val="20"/>
                <w:szCs w:val="20"/>
                <w:color w:val="auto"/>
              </w:rPr>
            </w:pPr>
            <w:r>
              <w:rPr>
                <w:rFonts w:ascii="Arial" w:cs="Arial" w:eastAsia="Arial" w:hAnsi="Arial"/>
                <w:sz w:val="15"/>
                <w:szCs w:val="15"/>
                <w:b w:val="1"/>
                <w:bCs w:val="1"/>
                <w:color w:val="auto"/>
              </w:rPr>
              <w:t>Target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Options</w:t>
            </w:r>
          </w:p>
        </w:tc>
        <w:tc>
          <w:tcPr>
            <w:tcW w:w="13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of Option Awards</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1"/>
              </w:rPr>
              <w:t>and Option Awards</w:t>
            </w:r>
          </w:p>
        </w:tc>
        <w:tc>
          <w:tcPr>
            <w:tcW w:w="0" w:type="dxa"/>
            <w:vAlign w:val="bottom"/>
          </w:tcPr>
          <w:p>
            <w:pPr>
              <w:spacing w:after="0"/>
              <w:rPr>
                <w:sz w:val="1"/>
                <w:szCs w:val="1"/>
                <w:color w:val="auto"/>
              </w:rPr>
            </w:pPr>
          </w:p>
        </w:tc>
      </w:tr>
      <w:tr>
        <w:trPr>
          <w:trHeight w:val="224"/>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b w:val="1"/>
                <w:bCs w:val="1"/>
                <w:color w:val="auto"/>
              </w:rPr>
              <w:t>Grant Date</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Maximum ($)</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2"/>
              </w:rPr>
              <w:t>(#)</w:t>
            </w:r>
            <w:r>
              <w:rPr>
                <w:rFonts w:ascii="Arial" w:cs="Arial" w:eastAsia="Arial" w:hAnsi="Arial"/>
                <w:sz w:val="19"/>
                <w:szCs w:val="19"/>
                <w:b w:val="1"/>
                <w:bCs w:val="1"/>
                <w:color w:val="auto"/>
                <w:w w:val="82"/>
                <w:vertAlign w:val="superscript"/>
              </w:rPr>
              <w:t>(2)</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w:t>
            </w:r>
            <w:r>
              <w:rPr>
                <w:rFonts w:ascii="Arial" w:cs="Arial" w:eastAsia="Arial" w:hAnsi="Arial"/>
                <w:sz w:val="19"/>
                <w:szCs w:val="19"/>
                <w:b w:val="1"/>
                <w:bCs w:val="1"/>
                <w:color w:val="auto"/>
                <w:w w:val="88"/>
                <w:vertAlign w:val="superscript"/>
              </w:rPr>
              <w:t>(2)</w:t>
            </w:r>
          </w:p>
        </w:tc>
        <w:tc>
          <w:tcPr>
            <w:tcW w:w="0" w:type="dxa"/>
            <w:vAlign w:val="bottom"/>
          </w:tcPr>
          <w:p>
            <w:pPr>
              <w:spacing w:after="0"/>
              <w:rPr>
                <w:sz w:val="1"/>
                <w:szCs w:val="1"/>
                <w:color w:val="auto"/>
              </w:rPr>
            </w:pPr>
          </w:p>
        </w:tc>
      </w:tr>
      <w:tr>
        <w:trPr>
          <w:trHeight w:val="222"/>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Hamza Suria, M.B.A.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1/26/2018</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N/A</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300,850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63,000</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106.84</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4,303,927</w:t>
            </w:r>
          </w:p>
        </w:tc>
        <w:tc>
          <w:tcPr>
            <w:tcW w:w="0" w:type="dxa"/>
            <w:vAlign w:val="bottom"/>
          </w:tcPr>
          <w:p>
            <w:pPr>
              <w:spacing w:after="0"/>
              <w:rPr>
                <w:sz w:val="1"/>
                <w:szCs w:val="1"/>
                <w:color w:val="auto"/>
              </w:rPr>
            </w:pPr>
          </w:p>
        </w:tc>
      </w:tr>
      <w:tr>
        <w:trPr>
          <w:trHeight w:val="225"/>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Dominic Piscitelli, M.B.A., C.P.A.</w:t>
            </w:r>
          </w:p>
        </w:tc>
        <w:tc>
          <w:tcPr>
            <w:tcW w:w="1020" w:type="dxa"/>
            <w:vAlign w:val="bottom"/>
          </w:tcPr>
          <w:p>
            <w:pPr>
              <w:jc w:val="right"/>
              <w:spacing w:after="0"/>
              <w:rPr>
                <w:sz w:val="20"/>
                <w:szCs w:val="20"/>
                <w:color w:val="auto"/>
              </w:rPr>
            </w:pPr>
            <w:r>
              <w:rPr>
                <w:rFonts w:ascii="Arial" w:cs="Arial" w:eastAsia="Arial" w:hAnsi="Arial"/>
                <w:sz w:val="17"/>
                <w:szCs w:val="17"/>
                <w:color w:val="auto"/>
              </w:rPr>
              <w:t>1/26/2018</w:t>
            </w:r>
          </w:p>
        </w:tc>
        <w:tc>
          <w:tcPr>
            <w:tcW w:w="120" w:type="dxa"/>
            <w:vAlign w:val="bottom"/>
          </w:tcPr>
          <w:p>
            <w:pPr>
              <w:spacing w:after="0"/>
              <w:rPr>
                <w:sz w:val="19"/>
                <w:szCs w:val="19"/>
                <w:color w:val="auto"/>
              </w:rPr>
            </w:pPr>
          </w:p>
        </w:tc>
        <w:tc>
          <w:tcPr>
            <w:tcW w:w="1140" w:type="dxa"/>
            <w:vAlign w:val="bottom"/>
          </w:tcPr>
          <w:p>
            <w:pPr>
              <w:ind w:left="720"/>
              <w:spacing w:after="0"/>
              <w:rPr>
                <w:sz w:val="20"/>
                <w:szCs w:val="20"/>
                <w:color w:val="auto"/>
              </w:rPr>
            </w:pPr>
            <w:r>
              <w:rPr>
                <w:rFonts w:ascii="Arial" w:cs="Arial" w:eastAsia="Arial" w:hAnsi="Arial"/>
                <w:sz w:val="17"/>
                <w:szCs w:val="17"/>
                <w:color w:val="auto"/>
              </w:rPr>
              <w:t>N/A</w:t>
            </w:r>
          </w:p>
        </w:tc>
        <w:tc>
          <w:tcPr>
            <w:tcW w:w="820" w:type="dxa"/>
            <w:vAlign w:val="bottom"/>
          </w:tcPr>
          <w:p>
            <w:pPr>
              <w:jc w:val="right"/>
              <w:spacing w:after="0"/>
              <w:rPr>
                <w:sz w:val="20"/>
                <w:szCs w:val="20"/>
                <w:color w:val="auto"/>
              </w:rPr>
            </w:pPr>
            <w:r>
              <w:rPr>
                <w:rFonts w:ascii="Arial" w:cs="Arial" w:eastAsia="Arial" w:hAnsi="Arial"/>
                <w:sz w:val="17"/>
                <w:szCs w:val="17"/>
                <w:color w:val="auto"/>
              </w:rPr>
              <w:t>158,800</w:t>
            </w:r>
          </w:p>
        </w:tc>
        <w:tc>
          <w:tcPr>
            <w:tcW w:w="1000" w:type="dxa"/>
            <w:vAlign w:val="bottom"/>
          </w:tcPr>
          <w:p>
            <w:pPr>
              <w:jc w:val="right"/>
              <w:spacing w:after="0"/>
              <w:rPr>
                <w:sz w:val="20"/>
                <w:szCs w:val="20"/>
                <w:color w:val="auto"/>
              </w:rPr>
            </w:pPr>
            <w:r>
              <w:rPr>
                <w:rFonts w:ascii="Arial" w:cs="Arial" w:eastAsia="Arial" w:hAnsi="Arial"/>
                <w:sz w:val="17"/>
                <w:szCs w:val="17"/>
                <w:color w:val="auto"/>
              </w:rPr>
              <w:t>N/A</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23,000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106.84</w:t>
            </w:r>
          </w:p>
        </w:tc>
        <w:tc>
          <w:tcPr>
            <w:tcW w:w="10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17"/>
                <w:szCs w:val="17"/>
                <w:color w:val="auto"/>
              </w:rPr>
              <w:t>1,571,275</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Marco Londei, M.D.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1/26/2018</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N/A</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174,400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28,000</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106.84</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1,912,856</w:t>
            </w:r>
          </w:p>
        </w:tc>
        <w:tc>
          <w:tcPr>
            <w:tcW w:w="0" w:type="dxa"/>
            <w:vAlign w:val="bottom"/>
          </w:tcPr>
          <w:p>
            <w:pPr>
              <w:spacing w:after="0"/>
              <w:rPr>
                <w:sz w:val="1"/>
                <w:szCs w:val="1"/>
                <w:color w:val="auto"/>
              </w:rPr>
            </w:pPr>
          </w:p>
        </w:tc>
      </w:tr>
      <w:tr>
        <w:trPr>
          <w:trHeight w:val="225"/>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Eric Loumeau, J.D.</w:t>
            </w:r>
          </w:p>
        </w:tc>
        <w:tc>
          <w:tcPr>
            <w:tcW w:w="1020" w:type="dxa"/>
            <w:vAlign w:val="bottom"/>
          </w:tcPr>
          <w:p>
            <w:pPr>
              <w:jc w:val="right"/>
              <w:spacing w:after="0"/>
              <w:rPr>
                <w:sz w:val="20"/>
                <w:szCs w:val="20"/>
                <w:color w:val="auto"/>
              </w:rPr>
            </w:pPr>
            <w:r>
              <w:rPr>
                <w:rFonts w:ascii="Arial" w:cs="Arial" w:eastAsia="Arial" w:hAnsi="Arial"/>
                <w:sz w:val="17"/>
                <w:szCs w:val="17"/>
                <w:color w:val="auto"/>
              </w:rPr>
              <w:t>8/6/2018</w:t>
            </w:r>
          </w:p>
        </w:tc>
        <w:tc>
          <w:tcPr>
            <w:tcW w:w="120" w:type="dxa"/>
            <w:vAlign w:val="bottom"/>
          </w:tcPr>
          <w:p>
            <w:pPr>
              <w:spacing w:after="0"/>
              <w:rPr>
                <w:sz w:val="19"/>
                <w:szCs w:val="19"/>
                <w:color w:val="auto"/>
              </w:rPr>
            </w:pPr>
          </w:p>
        </w:tc>
        <w:tc>
          <w:tcPr>
            <w:tcW w:w="1140" w:type="dxa"/>
            <w:vAlign w:val="bottom"/>
          </w:tcPr>
          <w:p>
            <w:pPr>
              <w:ind w:left="720"/>
              <w:spacing w:after="0"/>
              <w:rPr>
                <w:sz w:val="20"/>
                <w:szCs w:val="20"/>
                <w:color w:val="auto"/>
              </w:rPr>
            </w:pPr>
            <w:r>
              <w:rPr>
                <w:rFonts w:ascii="Arial" w:cs="Arial" w:eastAsia="Arial" w:hAnsi="Arial"/>
                <w:sz w:val="17"/>
                <w:szCs w:val="17"/>
                <w:color w:val="auto"/>
              </w:rPr>
              <w:t>N/A</w:t>
            </w:r>
          </w:p>
        </w:tc>
        <w:tc>
          <w:tcPr>
            <w:tcW w:w="820" w:type="dxa"/>
            <w:vAlign w:val="bottom"/>
          </w:tcPr>
          <w:p>
            <w:pPr>
              <w:jc w:val="right"/>
              <w:spacing w:after="0"/>
              <w:rPr>
                <w:sz w:val="20"/>
                <w:szCs w:val="20"/>
                <w:color w:val="auto"/>
              </w:rPr>
            </w:pPr>
            <w:r>
              <w:rPr>
                <w:rFonts w:ascii="Arial" w:cs="Arial" w:eastAsia="Arial" w:hAnsi="Arial"/>
                <w:sz w:val="17"/>
                <w:szCs w:val="17"/>
                <w:color w:val="auto"/>
              </w:rPr>
              <w:t>146,000</w:t>
            </w:r>
          </w:p>
        </w:tc>
        <w:tc>
          <w:tcPr>
            <w:tcW w:w="1000" w:type="dxa"/>
            <w:vAlign w:val="bottom"/>
          </w:tcPr>
          <w:p>
            <w:pPr>
              <w:jc w:val="right"/>
              <w:spacing w:after="0"/>
              <w:rPr>
                <w:sz w:val="20"/>
                <w:szCs w:val="20"/>
                <w:color w:val="auto"/>
              </w:rPr>
            </w:pPr>
            <w:r>
              <w:rPr>
                <w:rFonts w:ascii="Arial" w:cs="Arial" w:eastAsia="Arial" w:hAnsi="Arial"/>
                <w:sz w:val="17"/>
                <w:szCs w:val="17"/>
                <w:color w:val="auto"/>
              </w:rPr>
              <w:t>N/A</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40,000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78.18</w:t>
            </w:r>
          </w:p>
        </w:tc>
        <w:tc>
          <w:tcPr>
            <w:tcW w:w="10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17"/>
                <w:szCs w:val="17"/>
                <w:color w:val="auto"/>
              </w:rPr>
              <w:t>1,961,388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00" w:right="20" w:hanging="300"/>
        <w:spacing w:after="0" w:line="251" w:lineRule="auto"/>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amounts consist of the cash award levels set in 2018 under the company’s executive incentive cash bonus plan. The amount actually earned by each named executive officer is included in the Non-Equity Incentive Plan Compensation column in the 2018 Summary Compensation Table. For more information about the 2018 executive bonus plan compensation for our named executive officers, see “</w:t>
      </w:r>
      <w:r>
        <w:rPr>
          <w:rFonts w:ascii="Arial" w:cs="Arial" w:eastAsia="Arial" w:hAnsi="Arial"/>
          <w:sz w:val="17"/>
          <w:szCs w:val="17"/>
          <w:i w:val="1"/>
          <w:iCs w:val="1"/>
          <w:color w:val="auto"/>
        </w:rPr>
        <w:t>Executive Compensation - Annual Cash Bonuses</w:t>
      </w:r>
      <w:r>
        <w:rPr>
          <w:rFonts w:ascii="Arial" w:cs="Arial" w:eastAsia="Arial" w:hAnsi="Arial"/>
          <w:sz w:val="17"/>
          <w:szCs w:val="17"/>
          <w:color w:val="auto"/>
        </w:rPr>
        <w:t>” under the Compensation Discussion and Analysis section above.</w:t>
      </w:r>
    </w:p>
    <w:p>
      <w:pPr>
        <w:spacing w:after="0" w:line="180" w:lineRule="exact"/>
        <w:rPr>
          <w:rFonts w:ascii="Arial" w:cs="Arial" w:eastAsia="Arial" w:hAnsi="Arial"/>
          <w:sz w:val="17"/>
          <w:szCs w:val="17"/>
          <w:color w:val="auto"/>
        </w:rPr>
      </w:pPr>
    </w:p>
    <w:p>
      <w:pPr>
        <w:ind w:left="300" w:hanging="300"/>
        <w:spacing w:after="0" w:line="266" w:lineRule="auto"/>
        <w:tabs>
          <w:tab w:leader="none" w:pos="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awards of options were granted under our 2017 Equity Incentive Plan. The options vest as to one-fourth of the shares subject to the options on the first anniversary of the date of grant, with the remainder vesting monthly thereafter over the following three years. The amounts reported in the Option Awards column represent the grant date fair value of the stock options granted during the year ended December 31, 2018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2018. Note that the amounts reported in this column reflect the accounting cost for these stock options, and do not correspond to the actual economic value that may be received by our Named Executive Officers from the options.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7"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presents, for each of the Named Executive Officers, information regarding outstanding stock options held as of December 31, 2018.</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Number of</w:t>
            </w: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Number of</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3"/>
              </w:rPr>
              <w:t>Securities</w:t>
            </w: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3"/>
              </w:rPr>
              <w:t>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Underlying</w:t>
            </w: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Underlying</w:t>
            </w:r>
          </w:p>
        </w:tc>
        <w:tc>
          <w:tcPr>
            <w:tcW w:w="14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Option</w:t>
            </w:r>
          </w:p>
        </w:tc>
        <w:tc>
          <w:tcPr>
            <w:tcW w:w="1480" w:type="dxa"/>
            <w:vAlign w:val="bottom"/>
          </w:tcPr>
          <w:p>
            <w:pPr>
              <w:spacing w:after="0"/>
              <w:rPr>
                <w:sz w:val="18"/>
                <w:szCs w:val="18"/>
                <w:color w:val="auto"/>
              </w:rPr>
            </w:pP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6"/>
              </w:rPr>
              <w:t>Unexercised</w:t>
            </w:r>
          </w:p>
        </w:tc>
        <w:tc>
          <w:tcPr>
            <w:tcW w:w="16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5"/>
              </w:rPr>
              <w:t>Unexercised</w:t>
            </w:r>
          </w:p>
        </w:tc>
        <w:tc>
          <w:tcPr>
            <w:tcW w:w="14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2"/>
              </w:rPr>
              <w:t>Exercise</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1"/>
              </w:rPr>
              <w:t>Option</w:t>
            </w:r>
          </w:p>
        </w:tc>
      </w:tr>
      <w:tr>
        <w:trPr>
          <w:trHeight w:val="212"/>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Options (#)</w:t>
            </w:r>
          </w:p>
        </w:tc>
        <w:tc>
          <w:tcPr>
            <w:tcW w:w="16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Options (#)</w:t>
            </w:r>
          </w:p>
        </w:tc>
        <w:tc>
          <w:tcPr>
            <w:tcW w:w="14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Price</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3"/>
              </w:rPr>
              <w:t>Expiration</w:t>
            </w:r>
          </w:p>
        </w:tc>
      </w:tr>
      <w:tr>
        <w:trPr>
          <w:trHeight w:val="241"/>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center"/>
              <w:spacing w:after="0" w:line="241" w:lineRule="exact"/>
              <w:rPr>
                <w:sz w:val="20"/>
                <w:szCs w:val="20"/>
                <w:color w:val="auto"/>
              </w:rPr>
            </w:pPr>
            <w:r>
              <w:rPr>
                <w:rFonts w:ascii="Arial" w:cs="Arial" w:eastAsia="Arial" w:hAnsi="Arial"/>
                <w:sz w:val="17"/>
                <w:szCs w:val="17"/>
                <w:b w:val="1"/>
                <w:bCs w:val="1"/>
                <w:color w:val="auto"/>
                <w:w w:val="90"/>
              </w:rPr>
              <w:t>Grant Date</w:t>
            </w:r>
            <w:r>
              <w:rPr>
                <w:rFonts w:ascii="Arial" w:cs="Arial" w:eastAsia="Arial" w:hAnsi="Arial"/>
                <w:sz w:val="23"/>
                <w:szCs w:val="23"/>
                <w:b w:val="1"/>
                <w:bCs w:val="1"/>
                <w:color w:val="auto"/>
                <w:w w:val="90"/>
                <w:vertAlign w:val="superscript"/>
              </w:rPr>
              <w:t>(1)</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Exercisable</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Unexercisable</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r>
      <w:tr>
        <w:trPr>
          <w:trHeight w:val="254"/>
        </w:trPr>
        <w:tc>
          <w:tcPr>
            <w:tcW w:w="3660" w:type="dxa"/>
            <w:vAlign w:val="bottom"/>
            <w:gridSpan w:val="2"/>
          </w:tcPr>
          <w:p>
            <w:pPr>
              <w:ind w:left="20"/>
              <w:spacing w:after="0" w:line="254" w:lineRule="exact"/>
              <w:rPr>
                <w:sz w:val="20"/>
                <w:szCs w:val="20"/>
                <w:color w:val="auto"/>
              </w:rPr>
            </w:pPr>
            <w:r>
              <w:rPr>
                <w:rFonts w:ascii="Arial" w:cs="Arial" w:eastAsia="Arial" w:hAnsi="Arial"/>
                <w:sz w:val="17"/>
                <w:szCs w:val="17"/>
                <w:color w:val="auto"/>
              </w:rPr>
              <w:t>Hamza Suria, M.B.A.</w:t>
            </w:r>
            <w:r>
              <w:rPr>
                <w:rFonts w:ascii="Arial" w:cs="Arial" w:eastAsia="Arial" w:hAnsi="Arial"/>
                <w:sz w:val="23"/>
                <w:szCs w:val="23"/>
                <w:color w:val="auto"/>
                <w:vertAlign w:val="superscript"/>
              </w:rPr>
              <w:t>(2)</w:t>
            </w: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Dec. 9, 2011</w:t>
            </w: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80,361</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1.12</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Dec. 8, 2021</w:t>
            </w:r>
          </w:p>
        </w:tc>
      </w:tr>
      <w:tr>
        <w:trPr>
          <w:trHeight w:val="230"/>
        </w:trPr>
        <w:tc>
          <w:tcPr>
            <w:tcW w:w="3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Feb. 1, 2012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55,993</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Jan. 31, 2022</w:t>
            </w:r>
          </w:p>
        </w:tc>
      </w:tr>
      <w:tr>
        <w:trPr>
          <w:trHeight w:val="225"/>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Feb. 1, 2012</w:t>
            </w: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73,291</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1.12</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7"/>
              </w:rPr>
              <w:t>Jan. 31, 2022</w:t>
            </w:r>
          </w:p>
        </w:tc>
      </w:tr>
      <w:tr>
        <w:trPr>
          <w:trHeight w:val="25"/>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6"/>
              </w:rPr>
              <w:t>Dec. 17, 2012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19,425</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Dec. 16, 2022</w:t>
            </w:r>
          </w:p>
        </w:tc>
      </w:tr>
      <w:tr>
        <w:trPr>
          <w:trHeight w:val="225"/>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Sep. 16, 2014</w:t>
            </w: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51,840</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0.70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4"/>
              </w:rPr>
              <w:t>Sep. 16, 2024</w:t>
            </w:r>
          </w:p>
        </w:tc>
      </w:tr>
      <w:tr>
        <w:trPr>
          <w:trHeight w:val="25"/>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Aug. 14, 2015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221,605</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44,323</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6.93</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Aug. 14, 2025</w:t>
            </w:r>
          </w:p>
        </w:tc>
      </w:tr>
      <w:tr>
        <w:trPr>
          <w:trHeight w:val="225"/>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Feb. 24, 2017</w:t>
            </w: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103,125</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7"/>
              </w:rPr>
              <w:t>121,875</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24.60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5"/>
              </w:rPr>
              <w:t>Feb. 24, 2027</w:t>
            </w:r>
          </w:p>
        </w:tc>
      </w:tr>
      <w:tr>
        <w:trPr>
          <w:trHeight w:val="25"/>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5"/>
              </w:rPr>
              <w:t>Jan. 26, 2018</w:t>
            </w: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63,000</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106.84</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Jan 26, 2028</w:t>
            </w:r>
          </w:p>
        </w:tc>
      </w:tr>
      <w:tr>
        <w:trPr>
          <w:trHeight w:val="262"/>
        </w:trPr>
        <w:tc>
          <w:tcPr>
            <w:tcW w:w="3660" w:type="dxa"/>
            <w:vAlign w:val="bottom"/>
            <w:gridSpan w:val="2"/>
          </w:tcPr>
          <w:p>
            <w:pPr>
              <w:ind w:left="20"/>
              <w:spacing w:after="0" w:line="262" w:lineRule="exact"/>
              <w:rPr>
                <w:sz w:val="20"/>
                <w:szCs w:val="20"/>
                <w:color w:val="auto"/>
              </w:rPr>
            </w:pPr>
            <w:r>
              <w:rPr>
                <w:rFonts w:ascii="Arial" w:cs="Arial" w:eastAsia="Arial" w:hAnsi="Arial"/>
                <w:sz w:val="17"/>
                <w:szCs w:val="17"/>
                <w:color w:val="auto"/>
              </w:rPr>
              <w:t xml:space="preserve">Dominic Piscitelli, M.B.A., C.P.A. </w:t>
            </w:r>
            <w:r>
              <w:rPr>
                <w:rFonts w:ascii="Arial" w:cs="Arial" w:eastAsia="Arial" w:hAnsi="Arial"/>
                <w:sz w:val="23"/>
                <w:szCs w:val="23"/>
                <w:color w:val="auto"/>
                <w:vertAlign w:val="superscript"/>
              </w:rPr>
              <w:t>(3)</w:t>
            </w: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85"/>
              </w:rPr>
              <w:t>Jan. 9, 2017</w:t>
            </w: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44,566</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8"/>
              </w:rPr>
              <w:t>88,675</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11.34</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5"/>
              </w:rPr>
              <w:t>Jan. 9, 2027</w:t>
            </w:r>
          </w:p>
        </w:tc>
      </w:tr>
      <w:tr>
        <w:trPr>
          <w:trHeight w:val="230"/>
        </w:trPr>
        <w:tc>
          <w:tcPr>
            <w:tcW w:w="3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Feb. 24, 2017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34,375</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40,625</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24.60</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5"/>
              </w:rPr>
              <w:t>Feb. 24, 2027</w:t>
            </w:r>
          </w:p>
        </w:tc>
      </w:tr>
      <w:tr>
        <w:trPr>
          <w:trHeight w:val="225"/>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85"/>
              </w:rPr>
              <w:t>Jan. 26, 2018</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8"/>
              </w:rPr>
              <w:t>23,000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106.84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7"/>
              </w:rPr>
              <w:t>Jan 26, 2028</w:t>
            </w:r>
          </w:p>
        </w:tc>
      </w:tr>
      <w:tr>
        <w:trPr>
          <w:trHeight w:val="25"/>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2"/>
        </w:trPr>
        <w:tc>
          <w:tcPr>
            <w:tcW w:w="3660" w:type="dxa"/>
            <w:vAlign w:val="bottom"/>
            <w:gridSpan w:val="2"/>
            <w:shd w:val="clear" w:color="auto" w:fill="CCEEFF"/>
          </w:tcPr>
          <w:p>
            <w:pPr>
              <w:ind w:left="20"/>
              <w:spacing w:after="0" w:line="262" w:lineRule="exact"/>
              <w:rPr>
                <w:sz w:val="20"/>
                <w:szCs w:val="20"/>
                <w:color w:val="auto"/>
              </w:rPr>
            </w:pPr>
            <w:r>
              <w:rPr>
                <w:rFonts w:ascii="Arial" w:cs="Arial" w:eastAsia="Arial" w:hAnsi="Arial"/>
                <w:sz w:val="17"/>
                <w:szCs w:val="17"/>
                <w:color w:val="auto"/>
              </w:rPr>
              <w:t>Marco Londei, M.D.</w:t>
            </w:r>
            <w:r>
              <w:rPr>
                <w:rFonts w:ascii="Arial" w:cs="Arial" w:eastAsia="Arial" w:hAnsi="Arial"/>
                <w:sz w:val="23"/>
                <w:szCs w:val="23"/>
                <w:color w:val="auto"/>
                <w:vertAlign w:val="superscript"/>
              </w:rPr>
              <w:t>(4)</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Oct. 28, 2014</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10,060</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0.70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Oct. 28, 2024</w:t>
            </w:r>
          </w:p>
        </w:tc>
      </w:tr>
      <w:tr>
        <w:trPr>
          <w:trHeight w:val="225"/>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Aug. 14, 2015</w:t>
            </w: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54,852</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8"/>
              </w:rPr>
              <w:t>15,371</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6.93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8"/>
              </w:rPr>
              <w:t>Aug. 14, 2025</w:t>
            </w:r>
          </w:p>
        </w:tc>
      </w:tr>
      <w:tr>
        <w:trPr>
          <w:trHeight w:val="25"/>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Feb. 24, 2017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50,417</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59,583</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24.60</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5"/>
              </w:rPr>
              <w:t>Feb. 24, 2027</w:t>
            </w:r>
          </w:p>
        </w:tc>
      </w:tr>
      <w:tr>
        <w:trPr>
          <w:trHeight w:val="225"/>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85"/>
              </w:rPr>
              <w:t>Jan. 26, 2018</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8"/>
              </w:rPr>
              <w:t>28,000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106.84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7"/>
              </w:rPr>
              <w:t>Jan 26, 2028</w:t>
            </w:r>
          </w:p>
        </w:tc>
      </w:tr>
      <w:tr>
        <w:trPr>
          <w:trHeight w:val="25"/>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2"/>
        </w:trPr>
        <w:tc>
          <w:tcPr>
            <w:tcW w:w="3660" w:type="dxa"/>
            <w:vAlign w:val="bottom"/>
            <w:gridSpan w:val="2"/>
            <w:shd w:val="clear" w:color="auto" w:fill="CCEEFF"/>
          </w:tcPr>
          <w:p>
            <w:pPr>
              <w:ind w:left="20"/>
              <w:spacing w:after="0" w:line="262" w:lineRule="exact"/>
              <w:rPr>
                <w:sz w:val="20"/>
                <w:szCs w:val="20"/>
                <w:color w:val="auto"/>
              </w:rPr>
            </w:pPr>
            <w:r>
              <w:rPr>
                <w:rFonts w:ascii="Arial" w:cs="Arial" w:eastAsia="Arial" w:hAnsi="Arial"/>
                <w:sz w:val="17"/>
                <w:szCs w:val="17"/>
                <w:color w:val="auto"/>
              </w:rPr>
              <w:t xml:space="preserve">Eric Loumeau, J.D. </w:t>
            </w:r>
            <w:r>
              <w:rPr>
                <w:rFonts w:ascii="Arial" w:cs="Arial" w:eastAsia="Arial" w:hAnsi="Arial"/>
                <w:sz w:val="23"/>
                <w:szCs w:val="23"/>
                <w:color w:val="auto"/>
                <w:vertAlign w:val="superscript"/>
              </w:rPr>
              <w:t>(5)</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Aug. 6, 2018</w:t>
            </w: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40,000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78.18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Aug. 5, 2028</w:t>
            </w:r>
          </w:p>
        </w:tc>
      </w:tr>
    </w:tbl>
    <w:p>
      <w:pPr>
        <w:spacing w:after="0" w:line="87" w:lineRule="exact"/>
        <w:rPr>
          <w:sz w:val="20"/>
          <w:szCs w:val="20"/>
          <w:color w:val="auto"/>
        </w:rPr>
      </w:pPr>
    </w:p>
    <w:p>
      <w:pPr>
        <w:ind w:left="400" w:right="40" w:hanging="380"/>
        <w:spacing w:after="0" w:line="312"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stock-option awards granted prior to our IPO were granted under our Amended and Restated 2006 Equity Incentive Plan, and all stock-option awards granted subsequent to our IPO were granted under our 2017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and “—2017 Equity Incentive Plan” below for descriptions of the plans.</w:t>
      </w:r>
    </w:p>
    <w:p>
      <w:pPr>
        <w:spacing w:after="0" w:line="1" w:lineRule="exact"/>
        <w:rPr>
          <w:rFonts w:ascii="Arial" w:cs="Arial" w:eastAsia="Arial" w:hAnsi="Arial"/>
          <w:sz w:val="14"/>
          <w:szCs w:val="14"/>
          <w:color w:val="auto"/>
        </w:rPr>
      </w:pPr>
    </w:p>
    <w:p>
      <w:pPr>
        <w:ind w:left="400" w:hanging="380"/>
        <w:spacing w:after="0" w:line="306"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options vested as to their underlying shares as follows: (i) the shares underlying the options granted on December 9, 2011, February 1, 2012, December 17, 2012 and September 16, 2014, have fully vested; (ii) of the 265,928 shares underlying the option granted on August 14, 2015, 1/4 vested on August 14, 2016, and 1/48 vest on the fourteenth day of each succeeding calendar month, starting September 14, 2016; (iii) of the 225,000 shares underlying the option granted on February 24, 2017, 1/4 vested on February 24, 2018, and 1/48 vest on the twenty-fourth day of each succeeding calendar month, starting March 24, 2018; and (iv) of the 63,000 shares underlying the option granted on January 26, 2018, 1/4 vested on January 26, 2019, and 1/48 vest on the twenty-sixth day of each succeeding calendar month, starting February 26, 2019. If we experience a change of control and Mr. Suria is terminated without “cause” or resigns for “good reason” (each as defined in the employment agreement) upon the occurrence of, or within 13 months following, such change of control, and provided that Mr. Suria delivers a signed settlement and general release in favor of us and satisfies all conditions to make such release effective, then each of Mr. Suria’s currently outstanding stock options will vest in full.</w:t>
      </w:r>
    </w:p>
    <w:p>
      <w:pPr>
        <w:spacing w:after="0" w:line="4" w:lineRule="exact"/>
        <w:rPr>
          <w:rFonts w:ascii="Arial" w:cs="Arial" w:eastAsia="Arial" w:hAnsi="Arial"/>
          <w:sz w:val="14"/>
          <w:szCs w:val="14"/>
          <w:color w:val="auto"/>
        </w:rPr>
      </w:pPr>
    </w:p>
    <w:p>
      <w:pPr>
        <w:ind w:left="400" w:right="20" w:hanging="380"/>
        <w:spacing w:after="0" w:line="265" w:lineRule="auto"/>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options vest as to their underlying shares as follows: (i) of the 170,241 shares underlying the option granted on January 9, 2017, 1/4 of the shares vested on January 9, 2018, and thereafter, 1/48 vest on the ninth day of each succeeding calendar month, starting February 9, 2018; (ii) of the 75,000 shares underlying the option granted on February 24, 2017, 1/4 vested on February 24, 2018, and 1/48 vest on the twenty-fourth day of each succeeding calendar month, starting March 24, 2018; and (iii) of the 23,000 shares underlying the option granted on January 26, 2018, 1/4 vested on January 26, 2019, and 1/48 vest on the twenty-sixth day of each succeeding calendar month, starting February 26, 2019. If we experience a change in control and Mr. Piscitelli is terminated without “cause” or resigns for “good reason” (each as defined in the Piscitelli Employment Agreement) upon the occurrence of, or within 13 months following, such change of control, and provided that Mr. Piscitelli delivers a signed settlement and general release in favor of us and satisfies all conditions to make such release effective, then each of Mr. Piscitelli’s currently outstanding stock options will vest in full.</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40"/>
          </w:cols>
          <w:pgMar w:left="220" w:top="348" w:right="239" w:bottom="1440" w:gutter="0" w:footer="0" w:header="0"/>
        </w:sectPr>
      </w:pPr>
    </w:p>
    <w:bookmarkStart w:id="39" w:name="page40"/>
    <w:bookmarkEnd w:id="39"/>
    <w:p>
      <w:pPr>
        <w:ind w:left="400" w:right="20" w:hanging="380"/>
        <w:spacing w:after="0" w:line="285" w:lineRule="auto"/>
        <w:tabs>
          <w:tab w:leader="none" w:pos="4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options vest as to their underlying shares as follows: (i) the shares underlying the options granted on October 28, 2014 have fully vested; (ii) of the 92,223 shares underlying the option granted on August 14, 2015, 1/4 vested on August 14, 2016, and 1/48 vest on the fourteenth day of each succeeding calendar month, starting September 14, 2016; (iii) of the 110,000 shares underlying the option granted on February 24, 2017, 1/4 vested on February 24, 2018, and 1/48 vest on the twenty-fourth day of each succeeding calendar month, starting March 24, 2018; and (iv) of the 28,000 shares underlying the option granted on January 26, 2018, 1/4 vested on January 26, 2019, and 1/48 vest on the twenty-sixth day of each succeeding calendar month, starting February 26, 2019. If we experience a change in control and Dr. Londei is terminated without “cause” or resigns for “good reason” (each as defined in the Londei Employment Agreement) upon the occurrence of, or within 13 months following, such change of control, and provided that Dr. Londei delivers a signed settlement and general release in favor of us and satisfies all conditions to make such release effective, then each of Dr. Londei’s currently outstanding stock options will vest in full.</w:t>
      </w:r>
    </w:p>
    <w:p>
      <w:pPr>
        <w:spacing w:after="0" w:line="8" w:lineRule="exact"/>
        <w:rPr>
          <w:rFonts w:ascii="Arial" w:cs="Arial" w:eastAsia="Arial" w:hAnsi="Arial"/>
          <w:sz w:val="15"/>
          <w:szCs w:val="15"/>
          <w:color w:val="auto"/>
        </w:rPr>
      </w:pPr>
    </w:p>
    <w:p>
      <w:pPr>
        <w:ind w:left="400" w:right="60" w:hanging="380"/>
        <w:spacing w:after="0" w:line="269" w:lineRule="auto"/>
        <w:tabs>
          <w:tab w:leader="none" w:pos="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options vest as to their underlying shares as follows: of the 40,000 shares underlying the option granted on August 6, 2018, 1/4 vest on August 6, 2019, and 1/48 vest on the sixth day of each succeeding calendar month, starting September 6, 2019. If we experience a change in control and Mr. Loumeau is terminated without “cause” or resigns for “good reason” (each as defined in the Loumeau Employment Agreement) upon the occurrence of, or within 13 months following, such change of control, and provided that Mr. Loumeau delivers a signed settlement and general release in favor of us and satisfies all conditions to make such release effective, then each of Mr. Loumeau’s currently outstanding stock options will vest in full.</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Option Exercises</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shows stock options exercised by our named executive officers during the fiscal year ended December 31, 2018:</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20" w:type="dxa"/>
            <w:vAlign w:val="bottom"/>
            <w:gridSpan w:val="3"/>
          </w:tcPr>
          <w:p>
            <w:pPr>
              <w:ind w:left="2780"/>
              <w:spacing w:after="0"/>
              <w:rPr>
                <w:sz w:val="20"/>
                <w:szCs w:val="20"/>
                <w:color w:val="auto"/>
              </w:rPr>
            </w:pPr>
            <w:r>
              <w:rPr>
                <w:rFonts w:ascii="Arial" w:cs="Arial" w:eastAsia="Arial" w:hAnsi="Arial"/>
                <w:sz w:val="17"/>
                <w:szCs w:val="17"/>
                <w:b w:val="1"/>
                <w:bCs w:val="1"/>
                <w:color w:val="auto"/>
                <w:w w:val="92"/>
              </w:rPr>
              <w:t>Option Awards</w:t>
            </w:r>
          </w:p>
        </w:tc>
        <w:tc>
          <w:tcPr>
            <w:tcW w:w="2680" w:type="dxa"/>
            <w:vAlign w:val="bottom"/>
          </w:tcPr>
          <w:p>
            <w:pPr>
              <w:spacing w:after="0"/>
              <w:rPr>
                <w:sz w:val="18"/>
                <w:szCs w:val="18"/>
                <w:color w:val="auto"/>
              </w:rPr>
            </w:pPr>
          </w:p>
        </w:tc>
      </w:tr>
      <w:tr>
        <w:trPr>
          <w:trHeight w:val="25"/>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920" w:type="dxa"/>
            <w:vAlign w:val="bottom"/>
            <w:tcBorders>
              <w:bottom w:val="single" w:sz="8" w:color="auto"/>
            </w:tcBorders>
            <w:gridSpan w:val="3"/>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42"/>
        </w:trPr>
        <w:tc>
          <w:tcPr>
            <w:tcW w:w="4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20" w:type="dxa"/>
            <w:vAlign w:val="bottom"/>
            <w:gridSpan w:val="3"/>
          </w:tcPr>
          <w:p>
            <w:pPr>
              <w:ind w:left="540"/>
              <w:spacing w:after="0"/>
              <w:rPr>
                <w:sz w:val="20"/>
                <w:szCs w:val="20"/>
                <w:color w:val="auto"/>
              </w:rPr>
            </w:pPr>
            <w:r>
              <w:rPr>
                <w:rFonts w:ascii="Arial" w:cs="Arial" w:eastAsia="Arial" w:hAnsi="Arial"/>
                <w:sz w:val="17"/>
                <w:szCs w:val="17"/>
                <w:b w:val="1"/>
                <w:bCs w:val="1"/>
                <w:color w:val="auto"/>
              </w:rPr>
              <w:t>Number of Shares Acquired on</w:t>
            </w:r>
          </w:p>
        </w:tc>
        <w:tc>
          <w:tcPr>
            <w:tcW w:w="2680" w:type="dxa"/>
            <w:vAlign w:val="bottom"/>
          </w:tcPr>
          <w:p>
            <w:pPr>
              <w:spacing w:after="0"/>
              <w:rPr>
                <w:sz w:val="21"/>
                <w:szCs w:val="21"/>
                <w:color w:val="auto"/>
              </w:rPr>
            </w:pPr>
          </w:p>
        </w:tc>
      </w:tr>
      <w:tr>
        <w:trPr>
          <w:trHeight w:val="29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360" w:type="dxa"/>
            <w:vAlign w:val="bottom"/>
            <w:tcBorders>
              <w:bottom w:val="single" w:sz="8" w:color="CCEEFF"/>
            </w:tcBorders>
          </w:tcPr>
          <w:p>
            <w:pPr>
              <w:spacing w:after="0"/>
              <w:rPr>
                <w:sz w:val="24"/>
                <w:szCs w:val="24"/>
                <w:color w:val="auto"/>
              </w:rPr>
            </w:pPr>
          </w:p>
        </w:tc>
        <w:tc>
          <w:tcPr>
            <w:tcW w:w="3300" w:type="dxa"/>
            <w:vAlign w:val="bottom"/>
            <w:tcBorders>
              <w:bottom w:val="single" w:sz="8" w:color="auto"/>
            </w:tcBorders>
          </w:tcPr>
          <w:p>
            <w:pPr>
              <w:jc w:val="right"/>
              <w:ind w:right="1157"/>
              <w:spacing w:after="0"/>
              <w:rPr>
                <w:sz w:val="20"/>
                <w:szCs w:val="20"/>
                <w:color w:val="auto"/>
              </w:rPr>
            </w:pPr>
            <w:r>
              <w:rPr>
                <w:rFonts w:ascii="Arial" w:cs="Arial" w:eastAsia="Arial" w:hAnsi="Arial"/>
                <w:sz w:val="17"/>
                <w:szCs w:val="17"/>
                <w:b w:val="1"/>
                <w:bCs w:val="1"/>
                <w:color w:val="auto"/>
              </w:rPr>
              <w:t>Exercise (#)</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88"/>
              </w:rPr>
              <w:t>Value Realized on Exercise ($)</w:t>
            </w:r>
            <w:r>
              <w:rPr>
                <w:rFonts w:ascii="Arial" w:cs="Arial" w:eastAsia="Arial" w:hAnsi="Arial"/>
                <w:sz w:val="23"/>
                <w:szCs w:val="23"/>
                <w:b w:val="1"/>
                <w:bCs w:val="1"/>
                <w:color w:val="auto"/>
                <w:w w:val="88"/>
                <w:vertAlign w:val="superscript"/>
              </w:rPr>
              <w:t>(1)</w:t>
            </w:r>
          </w:p>
        </w:tc>
      </w:tr>
      <w:tr>
        <w:trPr>
          <w:trHeight w:val="222"/>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Hamza Suria, M.B.A.</w:t>
            </w:r>
          </w:p>
        </w:tc>
        <w:tc>
          <w:tcPr>
            <w:tcW w:w="3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132,379</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9,131,107</w:t>
            </w:r>
          </w:p>
        </w:tc>
      </w:tr>
      <w:tr>
        <w:trPr>
          <w:trHeight w:val="225"/>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Dominic Piscitelli, M.B.A., C.P.A.</w:t>
            </w:r>
          </w:p>
        </w:tc>
        <w:tc>
          <w:tcPr>
            <w:tcW w:w="3300" w:type="dxa"/>
            <w:vAlign w:val="bottom"/>
          </w:tcPr>
          <w:p>
            <w:pPr>
              <w:jc w:val="right"/>
              <w:ind w:right="37"/>
              <w:spacing w:after="0"/>
              <w:rPr>
                <w:sz w:val="20"/>
                <w:szCs w:val="20"/>
                <w:color w:val="auto"/>
              </w:rPr>
            </w:pPr>
            <w:r>
              <w:rPr>
                <w:rFonts w:ascii="Arial" w:cs="Arial" w:eastAsia="Arial" w:hAnsi="Arial"/>
                <w:sz w:val="17"/>
                <w:szCs w:val="17"/>
                <w:color w:val="auto"/>
              </w:rPr>
              <w:t>37,000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tcPr>
          <w:p>
            <w:pPr>
              <w:jc w:val="right"/>
              <w:ind w:right="17"/>
              <w:spacing w:after="0"/>
              <w:rPr>
                <w:sz w:val="20"/>
                <w:szCs w:val="20"/>
                <w:color w:val="auto"/>
              </w:rPr>
            </w:pPr>
            <w:r>
              <w:rPr>
                <w:rFonts w:ascii="Arial" w:cs="Arial" w:eastAsia="Arial" w:hAnsi="Arial"/>
                <w:sz w:val="17"/>
                <w:szCs w:val="17"/>
                <w:color w:val="auto"/>
              </w:rPr>
              <w:t>2,253,670</w:t>
            </w:r>
          </w:p>
        </w:tc>
      </w:tr>
      <w:tr>
        <w:trPr>
          <w:trHeight w:val="25"/>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5"/>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Marco Londei, M.D.</w:t>
            </w:r>
          </w:p>
        </w:tc>
        <w:tc>
          <w:tcPr>
            <w:tcW w:w="33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172,905</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14,245,004</w:t>
            </w:r>
          </w:p>
        </w:tc>
      </w:tr>
      <w:tr>
        <w:trPr>
          <w:trHeight w:val="25"/>
        </w:trPr>
        <w:tc>
          <w:tcPr>
            <w:tcW w:w="4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r>
    </w:tbl>
    <w:p>
      <w:pPr>
        <w:spacing w:after="0" w:line="187" w:lineRule="exact"/>
        <w:rPr>
          <w:sz w:val="20"/>
          <w:szCs w:val="20"/>
          <w:color w:val="auto"/>
        </w:rPr>
      </w:pPr>
    </w:p>
    <w:p>
      <w:pPr>
        <w:ind w:left="400" w:right="160" w:hanging="368"/>
        <w:spacing w:after="0" w:line="265" w:lineRule="auto"/>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value realized on exercise is calculated as the difference between the fair market value of our common stock on the date of exercise and the applicable exercise price of those options.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108" w:lineRule="exact"/>
        <w:rPr>
          <w:sz w:val="20"/>
          <w:szCs w:val="20"/>
          <w:color w:val="auto"/>
        </w:rPr>
      </w:pPr>
    </w:p>
    <w:p>
      <w:pPr>
        <w:jc w:val="both"/>
        <w:ind w:left="20" w:right="140"/>
        <w:spacing w:after="0" w:line="278" w:lineRule="auto"/>
        <w:rPr>
          <w:sz w:val="20"/>
          <w:szCs w:val="20"/>
          <w:color w:val="auto"/>
        </w:rPr>
      </w:pPr>
      <w:r>
        <w:rPr>
          <w:rFonts w:ascii="Arial" w:cs="Arial" w:eastAsia="Arial" w:hAnsi="Arial"/>
          <w:sz w:val="16"/>
          <w:szCs w:val="16"/>
          <w:color w:val="auto"/>
        </w:rPr>
        <w:t>The terms and conditions of employment of each of Mr. Suria, Mr. Piscitelli, Dr. Londei and Mr. Loumeau are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Mr. Suria’s Employment Agreement</w:t>
      </w:r>
    </w:p>
    <w:p>
      <w:pPr>
        <w:spacing w:after="0" w:line="108" w:lineRule="exact"/>
        <w:rPr>
          <w:sz w:val="20"/>
          <w:szCs w:val="20"/>
          <w:color w:val="auto"/>
        </w:rPr>
      </w:pPr>
    </w:p>
    <w:p>
      <w:pPr>
        <w:ind w:left="20"/>
        <w:spacing w:after="0" w:line="288" w:lineRule="auto"/>
        <w:rPr>
          <w:sz w:val="20"/>
          <w:szCs w:val="20"/>
          <w:color w:val="auto"/>
        </w:rPr>
      </w:pPr>
      <w:r>
        <w:rPr>
          <w:rFonts w:ascii="Arial" w:cs="Arial" w:eastAsia="Arial" w:hAnsi="Arial"/>
          <w:sz w:val="15"/>
          <w:szCs w:val="15"/>
          <w:color w:val="auto"/>
        </w:rPr>
        <w:t>Pursuant to an employment agreement effective as of January 26, 2018, or the Suria Employment Agreement, Mr. Suria serves as our President and Chief Executive Officer. The Suria Employment Agreement sets forth the principal terms and conditions of his employment, including his current annual base salary of $567,000 and an annual target cash bonus opportunity of up to 55% of his base salary, subject to pro rata adjustment for any partial years worked, which bonus is earned based on our achievement of specified performance goals established by our board of directors, the achievement of which is evaluated by our board of directors. Mr. Suria’s employment is at will and may be terminated at any time, with or without cause. However, pursuant to the terms of the Suria Employment Agreement, Mr. Suria will be entitled to severance benefits upon a qualifying termination of employment as described in “—Potential Payments upon Termination or Change in Control” below.</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Mr. Piscitelli’s Employment Agreement</w:t>
      </w:r>
    </w:p>
    <w:p>
      <w:pPr>
        <w:spacing w:after="0" w:line="108" w:lineRule="exact"/>
        <w:rPr>
          <w:sz w:val="20"/>
          <w:szCs w:val="20"/>
          <w:color w:val="auto"/>
        </w:rPr>
      </w:pPr>
    </w:p>
    <w:p>
      <w:pPr>
        <w:ind w:left="20" w:right="140"/>
        <w:spacing w:after="0" w:line="335" w:lineRule="auto"/>
        <w:rPr>
          <w:sz w:val="20"/>
          <w:szCs w:val="20"/>
          <w:color w:val="auto"/>
        </w:rPr>
      </w:pPr>
      <w:r>
        <w:rPr>
          <w:rFonts w:ascii="Arial" w:cs="Arial" w:eastAsia="Arial" w:hAnsi="Arial"/>
          <w:sz w:val="14"/>
          <w:szCs w:val="14"/>
          <w:color w:val="auto"/>
        </w:rPr>
        <w:t>Pursuant to an employment agreement effective as of January 26, 2018, or the Piscitelli Employment Agreement, Mr. Piscitelli serves as our Chief Financial Officer. The Piscitelli Employment Agreement sets forth the principal terms and conditions of his employment, including his current annual base salary of $413,000 and an annual target cash bonus opportunity of 40% of his base salary, which bonus is earned based on our achievement of performance goals established by our chief executive officer,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40"/>
          </w:cols>
          <w:pgMar w:left="220" w:top="352" w:right="239" w:bottom="1440" w:gutter="0" w:footer="0" w:header="0"/>
        </w:sectPr>
      </w:pPr>
    </w:p>
    <w:bookmarkStart w:id="40" w:name="page41"/>
    <w:bookmarkEnd w:id="40"/>
    <w:p>
      <w:pPr>
        <w:ind w:right="100"/>
        <w:spacing w:after="0" w:line="255" w:lineRule="auto"/>
        <w:rPr>
          <w:sz w:val="20"/>
          <w:szCs w:val="20"/>
          <w:color w:val="auto"/>
        </w:rPr>
      </w:pPr>
      <w:r>
        <w:rPr>
          <w:rFonts w:ascii="Arial" w:cs="Arial" w:eastAsia="Arial" w:hAnsi="Arial"/>
          <w:sz w:val="17"/>
          <w:szCs w:val="17"/>
          <w:color w:val="auto"/>
        </w:rPr>
        <w:t>the achievement of which is evaluated by our chief executive officer and board of directors. Mr. Piscitelli’s employment is at will and may be terminated at any time, with or without cause. However, pursuant to the terms of the Piscitelli Employment Agreement, Mr. Piscitelli will be entitled to severance benefits upon a qualifying termination of employment as described in “—Potential Payments upon Termination or Change in Control” below.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 Londei’s Employment Agreement</w:t>
      </w:r>
    </w:p>
    <w:p>
      <w:pPr>
        <w:spacing w:after="0" w:line="108"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Pursuant to an employment agreement effective as of January 26, 2018, or the Londei Employment Agreement, Dr. Londei serves as our Chief Medical Officer. The Londei Employment Agreement sets forth the principal terms and conditions of his employment, including his current annual base salary of $453,000 and an annual target cash bonus opportunity of up to 40% of his base salary, which bonus is earned based on our achievement of performance goals established by our chief executive officer, the achievement of which is evaluated by our chief executive officer and board of directors. Dr. Londei’s employment is at will and may be terminated at any time, with or without cause. However, pursuant to the terms of the Londei Employment Agreement, Dr. Londei will be entitled to severance benefits upon a qualifying termination of employment as described in “—Potential Payments upon Termination or Change in Control” below.</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Mr. Loumeau’s Employment Agreement</w:t>
      </w:r>
    </w:p>
    <w:p>
      <w:pPr>
        <w:spacing w:after="0" w:line="245" w:lineRule="exact"/>
        <w:rPr>
          <w:sz w:val="20"/>
          <w:szCs w:val="20"/>
          <w:color w:val="auto"/>
        </w:rPr>
      </w:pPr>
    </w:p>
    <w:p>
      <w:pPr>
        <w:ind w:right="260"/>
        <w:spacing w:after="0" w:line="288" w:lineRule="auto"/>
        <w:rPr>
          <w:sz w:val="20"/>
          <w:szCs w:val="20"/>
          <w:color w:val="auto"/>
        </w:rPr>
      </w:pPr>
      <w:r>
        <w:rPr>
          <w:rFonts w:ascii="Arial" w:cs="Arial" w:eastAsia="Arial" w:hAnsi="Arial"/>
          <w:sz w:val="15"/>
          <w:szCs w:val="15"/>
          <w:color w:val="auto"/>
        </w:rPr>
        <w:t>Pursuant to an employment agreement effective as of August 6, 2018, or the Loumeau Employment Agreement, Mr. Loumeau serves as our General Counsel. The Loumeau Employment Agreement sets forth the principal terms and conditions of his employment, including his current annual base salary of $381,000 and an annual target cash bonus opportunity of up to 40% of his base salary, which bonus is earned based on our achievement of performance goals established by our chief executive officer, the achievement of which is evaluated by our chief executive officer and board of directors. Mr. Loumeau’s employment is at will and may be terminated at any time, with or without cause. However, pursuant to the terms of the Loumeau Employment Agreement, Mr. Loumeau will be entitled to severance benefits upon a qualifying termination of employment as described in “—Potential Payments upon Termination or Change in Control” below.</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w:t>
      </w:r>
    </w:p>
    <w:p>
      <w:pPr>
        <w:spacing w:after="0" w:line="108"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Pursuant to the Suria Employment Agreement, the Piscitelli Employment Agreement, the Londei Employment Agreement and the Loumeau Employment Agreement, in the event that Mr. Suria, Mr. Piscitelli, Dr. Londei or Mr. Loumeau is terminated without “cause” or resigns for “good reason” (each as defined in the applicable employment agreement), provided that each delivers a signed settlement and general release in favor of us and satisfies all conditions to make such release effective, (i) in the case of Mr. Suria, he will receive continued severance payments for twelve months, and in the case of Mr. Piscitelli, Dr. Londei and Mr. Loumeau, nine months, and</w:t>
      </w:r>
    </w:p>
    <w:p>
      <w:pPr>
        <w:ind w:right="220"/>
        <w:spacing w:after="0" w:line="296" w:lineRule="auto"/>
        <w:tabs>
          <w:tab w:leader="none" w:pos="245"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and if each elects continuation coverage under the Consolidated Omnibus Budget Reconciliation Act of 1985, or COBRA, we will pay directly to the insurance provider of our group health plans, the monthly premium for such continuation coverage for each officer and his family, for twelve months, in the case of Mr. Suria, and nine months, in the case of Mr. Piscitelli, Dr. Londei and Mr. Loumeau, or such earlier date on which coverage with a new employer is obtained.</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w:t>
      </w:r>
    </w:p>
    <w:p>
      <w:pPr>
        <w:spacing w:after="0" w:line="10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Pursuant to the Suria Employment Agreement and certain of his outstanding stock option agreements, if we experience a change of control and Mr. Suria is terminated without “cause” or resigns for “good reason” (each as defined in the Suria Employment Agreement) upon the occurrence of, or within 13 months following, such change of control, and provided that Mr. Suria delivers a signed settlement and general release in favor of us and satisfies all conditions to make such release effective, (i) Mr. Suria will receive the continued severance payments and COBRA premiums described above for eighteen months and (ii) his currently outstanding stock options will vest in full.</w:t>
      </w:r>
    </w:p>
    <w:p>
      <w:pPr>
        <w:spacing w:after="0" w:line="18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Pursuant to the Piscitelli Employment Agreement, if we experience a change in control and Mr. Piscitelli is terminated without “cause” or resigns for “good reason” (each as defined in the Piscitelli Employment Agreement) upon the occurrence of, or within 13 months following, such change of control, and provided that Mr. Piscitelli delivers a signed settlement and general release in favor of us and satisfies all conditions to make such release effective, (i) Mr. Piscitelli will receive the severance payments and COBRA premiums described above for twelve months and (ii) his currently outstanding stock options will vest in full.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51" w:right="239" w:bottom="1440" w:gutter="0" w:footer="0" w:header="0"/>
        </w:sectPr>
      </w:pPr>
    </w:p>
    <w:bookmarkStart w:id="41" w:name="page42"/>
    <w:bookmarkEnd w:id="41"/>
    <w:p>
      <w:pPr>
        <w:ind w:right="160"/>
        <w:spacing w:after="0" w:line="272" w:lineRule="auto"/>
        <w:rPr>
          <w:sz w:val="20"/>
          <w:szCs w:val="20"/>
          <w:color w:val="auto"/>
        </w:rPr>
      </w:pPr>
      <w:r>
        <w:rPr>
          <w:rFonts w:ascii="Arial" w:cs="Arial" w:eastAsia="Arial" w:hAnsi="Arial"/>
          <w:sz w:val="16"/>
          <w:szCs w:val="16"/>
          <w:color w:val="auto"/>
        </w:rPr>
        <w:t>Pursuant to the Londei Employment Agreement, if we experience a change in control and Dr. Londei is terminated without “cause” or resigns for “good reason” (each as defined in the Londei Employment Agreement) upon the occurrence of, or within 13 months following, such change of control, and provided that Dr. Londei delivers a signed settlement and general release in favor of us and satisfies all conditions to make such release effective, (i) Dr. Londei will receive the severance payments and COBRA premiums described above for twelve months and (ii) his currently outstanding stock options will vest in full.</w:t>
      </w:r>
    </w:p>
    <w:p>
      <w:pPr>
        <w:spacing w:after="0" w:line="6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Pursuant to the Loumeau Employment Agreement, if we experience a change in control and Mr. Loumeau is terminated without “cause” or resigns for “good reason” (each as defined in the Loumeau Employment Agreement) upon the occurrence of, or within 13 months following, such change of control, and provided that Mr. Loumeau delivers a signed settlement and general release in favor of us and satisfies all conditions to make such release effective, (i) Mr. Loumeau will receive the severance payments and COBRA premiums described above for twelve months and (ii) his currently outstanding stock options will vest in full.</w:t>
      </w:r>
    </w:p>
    <w:p>
      <w:pPr>
        <w:spacing w:after="0" w:line="364" w:lineRule="exact"/>
        <w:rPr>
          <w:sz w:val="20"/>
          <w:szCs w:val="20"/>
          <w:color w:val="auto"/>
        </w:rPr>
      </w:pPr>
    </w:p>
    <w:p>
      <w:pPr>
        <w:jc w:val="both"/>
        <w:ind w:right="180"/>
        <w:spacing w:after="0" w:line="251" w:lineRule="auto"/>
        <w:rPr>
          <w:sz w:val="20"/>
          <w:szCs w:val="20"/>
          <w:color w:val="auto"/>
        </w:rPr>
      </w:pPr>
      <w:r>
        <w:rPr>
          <w:rFonts w:ascii="Arial" w:cs="Arial" w:eastAsia="Arial" w:hAnsi="Arial"/>
          <w:sz w:val="17"/>
          <w:szCs w:val="17"/>
          <w:color w:val="auto"/>
        </w:rPr>
        <w:t>Each employment agreement contains a “better after-tax” provision, which provides that if any of the payments to Mr. Suria, Mr. Piscitelli, Dr. Londei or Mr. Loumeau,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Benefits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are eligible to participate in our employee benefit plans on the same basis as our other employees, including our health and welfare plans.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EQUITY COMPENSATION PLAN INFORMATION</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information as of December 31, 2018 with respect to compensation plans under which shares of our common stock may be issued.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 securities</w:t>
            </w: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remaining available</w:t>
            </w: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securities</w:t>
            </w: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1"/>
              </w:rPr>
              <w:t>Weighted-average</w:t>
            </w:r>
          </w:p>
        </w:tc>
        <w:tc>
          <w:tcPr>
            <w:tcW w:w="17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for future issuance under</w:t>
            </w: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to be issued upon</w:t>
            </w:r>
          </w:p>
        </w:tc>
        <w:tc>
          <w:tcPr>
            <w:tcW w:w="1620" w:type="dxa"/>
            <w:vAlign w:val="bottom"/>
            <w:gridSpan w:val="2"/>
            <w:vMerge w:val="continue"/>
          </w:tcPr>
          <w:p>
            <w:pPr>
              <w:spacing w:after="0"/>
              <w:rPr>
                <w:sz w:val="11"/>
                <w:szCs w:val="11"/>
                <w:color w:val="auto"/>
              </w:rPr>
            </w:pPr>
          </w:p>
        </w:tc>
        <w:tc>
          <w:tcPr>
            <w:tcW w:w="17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equity compensation</w:t>
            </w: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exercise</w:t>
            </w:r>
          </w:p>
        </w:tc>
        <w:tc>
          <w:tcPr>
            <w:tcW w:w="16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9"/>
              </w:rPr>
              <w:t>exercise price</w:t>
            </w:r>
          </w:p>
        </w:tc>
        <w:tc>
          <w:tcPr>
            <w:tcW w:w="17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plans</w:t>
            </w: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0"/>
              </w:rPr>
              <w:t>of outstanding</w:t>
            </w:r>
          </w:p>
        </w:tc>
        <w:tc>
          <w:tcPr>
            <w:tcW w:w="16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of outstanding</w:t>
            </w:r>
          </w:p>
        </w:tc>
        <w:tc>
          <w:tcPr>
            <w:tcW w:w="17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(excluding securities</w:t>
            </w:r>
          </w:p>
        </w:tc>
        <w:tc>
          <w:tcPr>
            <w:tcW w:w="0" w:type="dxa"/>
            <w:vAlign w:val="bottom"/>
          </w:tcPr>
          <w:p>
            <w:pPr>
              <w:spacing w:after="0"/>
              <w:rPr>
                <w:sz w:val="1"/>
                <w:szCs w:val="1"/>
                <w:color w:val="auto"/>
              </w:rPr>
            </w:pPr>
          </w:p>
        </w:tc>
      </w:tr>
      <w:tr>
        <w:trPr>
          <w:trHeight w:val="137"/>
        </w:trPr>
        <w:tc>
          <w:tcPr>
            <w:tcW w:w="5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 category</w:t>
            </w:r>
          </w:p>
        </w:tc>
        <w:tc>
          <w:tcPr>
            <w:tcW w:w="120" w:type="dxa"/>
            <w:vAlign w:val="bottom"/>
            <w:vMerge w:val="restart"/>
          </w:tcPr>
          <w:p>
            <w:pPr>
              <w:spacing w:after="0"/>
              <w:rPr>
                <w:sz w:val="11"/>
                <w:szCs w:val="11"/>
                <w:color w:val="auto"/>
              </w:rPr>
            </w:pPr>
          </w:p>
        </w:tc>
        <w:tc>
          <w:tcPr>
            <w:tcW w:w="16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2"/>
              </w:rPr>
              <w:t>options, warrants</w:t>
            </w:r>
          </w:p>
        </w:tc>
        <w:tc>
          <w:tcPr>
            <w:tcW w:w="16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2"/>
              </w:rPr>
              <w:t>options, warrants</w:t>
            </w:r>
          </w:p>
        </w:tc>
        <w:tc>
          <w:tcPr>
            <w:tcW w:w="17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reflected in</w:t>
            </w:r>
          </w:p>
        </w:tc>
        <w:tc>
          <w:tcPr>
            <w:tcW w:w="0" w:type="dxa"/>
            <w:vAlign w:val="bottom"/>
          </w:tcPr>
          <w:p>
            <w:pPr>
              <w:spacing w:after="0"/>
              <w:rPr>
                <w:sz w:val="1"/>
                <w:szCs w:val="1"/>
                <w:color w:val="auto"/>
              </w:rPr>
            </w:pPr>
          </w:p>
        </w:tc>
      </w:tr>
      <w:tr>
        <w:trPr>
          <w:trHeight w:val="177"/>
        </w:trPr>
        <w:tc>
          <w:tcPr>
            <w:tcW w:w="5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and rights(#)</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and rights($)</w:t>
            </w:r>
          </w:p>
        </w:tc>
        <w:tc>
          <w:tcPr>
            <w:tcW w:w="8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column(a)) (#)</w:t>
            </w:r>
          </w:p>
        </w:tc>
        <w:tc>
          <w:tcPr>
            <w:tcW w:w="0" w:type="dxa"/>
            <w:vAlign w:val="bottom"/>
          </w:tcPr>
          <w:p>
            <w:pPr>
              <w:spacing w:after="0"/>
              <w:rPr>
                <w:sz w:val="1"/>
                <w:szCs w:val="1"/>
                <w:color w:val="auto"/>
              </w:rPr>
            </w:pPr>
          </w:p>
        </w:tc>
      </w:tr>
      <w:tr>
        <w:trPr>
          <w:trHeight w:val="242"/>
        </w:trPr>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(b)</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rPr>
              <w:t>(c)</w:t>
            </w:r>
          </w:p>
        </w:tc>
        <w:tc>
          <w:tcPr>
            <w:tcW w:w="0" w:type="dxa"/>
            <w:vAlign w:val="bottom"/>
          </w:tcPr>
          <w:p>
            <w:pPr>
              <w:spacing w:after="0"/>
              <w:rPr>
                <w:sz w:val="1"/>
                <w:szCs w:val="1"/>
                <w:color w:val="auto"/>
              </w:rPr>
            </w:pPr>
          </w:p>
        </w:tc>
      </w:tr>
      <w:tr>
        <w:trPr>
          <w:trHeight w:val="254"/>
        </w:trPr>
        <w:tc>
          <w:tcPr>
            <w:tcW w:w="5900" w:type="dxa"/>
            <w:vAlign w:val="bottom"/>
            <w:gridSpan w:val="2"/>
            <w:shd w:val="clear" w:color="auto" w:fill="CCEEFF"/>
          </w:tcPr>
          <w:p>
            <w:pPr>
              <w:ind w:left="20"/>
              <w:spacing w:after="0" w:line="254" w:lineRule="exact"/>
              <w:rPr>
                <w:sz w:val="20"/>
                <w:szCs w:val="20"/>
                <w:color w:val="auto"/>
              </w:rPr>
            </w:pPr>
            <w:r>
              <w:rPr>
                <w:rFonts w:ascii="Arial" w:cs="Arial" w:eastAsia="Arial" w:hAnsi="Arial"/>
                <w:sz w:val="17"/>
                <w:szCs w:val="17"/>
                <w:color w:val="auto"/>
              </w:rPr>
              <w:t xml:space="preserve">Equity compensation plans approved by security holders </w:t>
            </w:r>
            <w:r>
              <w:rPr>
                <w:rFonts w:ascii="Arial" w:cs="Arial" w:eastAsia="Arial" w:hAnsi="Arial"/>
                <w:sz w:val="23"/>
                <w:szCs w:val="23"/>
                <w:color w:val="auto"/>
                <w:vertAlign w:val="superscript"/>
              </w:rPr>
              <w:t>(1)(2)</w:t>
            </w:r>
          </w:p>
        </w:tc>
        <w:tc>
          <w:tcPr>
            <w:tcW w:w="1540" w:type="dxa"/>
            <w:vAlign w:val="bottom"/>
            <w:shd w:val="clear" w:color="auto" w:fill="CCEEFF"/>
          </w:tcPr>
          <w:p>
            <w:pPr>
              <w:jc w:val="right"/>
              <w:ind w:right="49"/>
              <w:spacing w:after="0"/>
              <w:rPr>
                <w:sz w:val="20"/>
                <w:szCs w:val="20"/>
                <w:color w:val="auto"/>
              </w:rPr>
            </w:pPr>
            <w:r>
              <w:rPr>
                <w:rFonts w:ascii="Arial" w:cs="Arial" w:eastAsia="Arial" w:hAnsi="Arial"/>
                <w:sz w:val="17"/>
                <w:szCs w:val="17"/>
                <w:color w:val="auto"/>
              </w:rPr>
              <w:t>2,152,455</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7"/>
                <w:szCs w:val="17"/>
                <w:color w:val="auto"/>
              </w:rPr>
              <w:t>27.55</w:t>
            </w: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29"/>
              <w:spacing w:after="0"/>
              <w:rPr>
                <w:sz w:val="20"/>
                <w:szCs w:val="20"/>
                <w:color w:val="auto"/>
              </w:rPr>
            </w:pPr>
            <w:r>
              <w:rPr>
                <w:rFonts w:ascii="Arial" w:cs="Arial" w:eastAsia="Arial" w:hAnsi="Arial"/>
                <w:sz w:val="17"/>
                <w:szCs w:val="17"/>
                <w:color w:val="auto"/>
              </w:rPr>
              <w:t>2,476,212</w:t>
            </w:r>
          </w:p>
        </w:tc>
        <w:tc>
          <w:tcPr>
            <w:tcW w:w="0" w:type="dxa"/>
            <w:vAlign w:val="bottom"/>
          </w:tcPr>
          <w:p>
            <w:pPr>
              <w:spacing w:after="0"/>
              <w:rPr>
                <w:sz w:val="1"/>
                <w:szCs w:val="1"/>
                <w:color w:val="auto"/>
              </w:rPr>
            </w:pPr>
          </w:p>
        </w:tc>
      </w:tr>
      <w:tr>
        <w:trPr>
          <w:trHeight w:val="225"/>
        </w:trPr>
        <w:tc>
          <w:tcPr>
            <w:tcW w:w="5900" w:type="dxa"/>
            <w:vAlign w:val="bottom"/>
            <w:gridSpan w:val="2"/>
          </w:tcPr>
          <w:p>
            <w:pPr>
              <w:ind w:left="20"/>
              <w:spacing w:after="0"/>
              <w:rPr>
                <w:sz w:val="20"/>
                <w:szCs w:val="20"/>
                <w:color w:val="auto"/>
              </w:rPr>
            </w:pPr>
            <w:r>
              <w:rPr>
                <w:rFonts w:ascii="Arial" w:cs="Arial" w:eastAsia="Arial" w:hAnsi="Arial"/>
                <w:sz w:val="17"/>
                <w:szCs w:val="17"/>
                <w:color w:val="auto"/>
              </w:rPr>
              <w:t>Equity compensation plans not approved by security holders</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2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40" w:type="dxa"/>
            <w:vAlign w:val="bottom"/>
            <w:shd w:val="clear" w:color="auto" w:fill="CCEEFF"/>
          </w:tcPr>
          <w:p>
            <w:pPr>
              <w:jc w:val="right"/>
              <w:ind w:right="49"/>
              <w:spacing w:after="0"/>
              <w:rPr>
                <w:sz w:val="20"/>
                <w:szCs w:val="20"/>
                <w:color w:val="auto"/>
              </w:rPr>
            </w:pPr>
            <w:r>
              <w:rPr>
                <w:rFonts w:ascii="Arial" w:cs="Arial" w:eastAsia="Arial" w:hAnsi="Arial"/>
                <w:sz w:val="17"/>
                <w:szCs w:val="17"/>
                <w:color w:val="auto"/>
              </w:rPr>
              <w:t>2,152,455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7"/>
                <w:szCs w:val="17"/>
                <w:color w:val="auto"/>
              </w:rPr>
              <w:t>27.55</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9"/>
              <w:spacing w:after="0"/>
              <w:rPr>
                <w:sz w:val="20"/>
                <w:szCs w:val="20"/>
                <w:color w:val="auto"/>
              </w:rPr>
            </w:pPr>
            <w:r>
              <w:rPr>
                <w:rFonts w:ascii="Arial" w:cs="Arial" w:eastAsia="Arial" w:hAnsi="Arial"/>
                <w:sz w:val="17"/>
                <w:szCs w:val="17"/>
                <w:color w:val="auto"/>
              </w:rPr>
              <w:t>2,476,212</w:t>
            </w:r>
          </w:p>
        </w:tc>
        <w:tc>
          <w:tcPr>
            <w:tcW w:w="0" w:type="dxa"/>
            <w:vAlign w:val="bottom"/>
          </w:tcPr>
          <w:p>
            <w:pPr>
              <w:spacing w:after="0"/>
              <w:rPr>
                <w:sz w:val="1"/>
                <w:szCs w:val="1"/>
                <w:color w:val="auto"/>
              </w:rPr>
            </w:pPr>
          </w:p>
        </w:tc>
      </w:tr>
      <w:tr>
        <w:trPr>
          <w:trHeight w:val="25"/>
        </w:trPr>
        <w:tc>
          <w:tcPr>
            <w:tcW w:w="5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80" w:hanging="380"/>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our 2006 Equity Incentive Plan, 2017 Equity Incentive Plan and our 2017 Employee Stock Purchase Plan.</w:t>
      </w:r>
    </w:p>
    <w:p>
      <w:pPr>
        <w:spacing w:after="0" w:line="91" w:lineRule="exact"/>
        <w:rPr>
          <w:rFonts w:ascii="Arial" w:cs="Arial" w:eastAsia="Arial" w:hAnsi="Arial"/>
          <w:sz w:val="17"/>
          <w:szCs w:val="17"/>
          <w:color w:val="auto"/>
        </w:rPr>
      </w:pPr>
    </w:p>
    <w:p>
      <w:pPr>
        <w:ind w:left="380" w:right="100" w:hanging="380"/>
        <w:spacing w:after="0" w:line="264"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have ceased issuing awards under our Amended and Restated 2006 Equity Incentive Plan as of the effective date of our 2017 Equity Incentive Plan. Any shares of common stock that are subject to outstanding awards under the 2006 Equity Incentive Plan that are issuable upon the exercise of stock options that expire or become unexercisable for any reason without having been exercised in full will generally be available for future grant and issuance under our 2017 Equity Incentive Plan. In addition, the number of shares reserved for issuance under our 2017 Equity Incentive Plan increased automatically by 4% on January 1, 2019 and will increase automatically on the first day of January of each of 2020 through 2028 by the number of shares equal to 4% of the total outstanding shares of our common stock as of the immediately preceding December 31 or a lower number approved by our board of directors or compensation committee. There are 455,913 shares of common stock available for issuance under the 2017 Employee Stock Purchase Plan and will increase automatically on the first day of January of each of 2020 through 2028 by the number of shares equal to 1% of the total outstanding shares of our common stock as of the immediately preceding December 31 or a lower number approved by our board of directors or compensation committee. As of the record date, no purchase periods under the 2017 Employee Stock Purchase Plan have been authorized by the board of directors.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551" w:right="25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7"/>
          <w:szCs w:val="17"/>
          <w:b w:val="1"/>
          <w:bCs w:val="1"/>
          <w:color w:val="auto"/>
        </w:rPr>
        <w:t>CERTAIN RELATIONSHIPS AND RELATED-PARTY TRANSACTIONS</w:t>
      </w:r>
    </w:p>
    <w:p>
      <w:pPr>
        <w:spacing w:after="0" w:line="30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From January 1, 2018 to the present, there have been no transactions, and there are currently no proposed transactions, in which the amount involved exceeds $120,000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One” and “Executive Compensation” above.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20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$120,000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40"/>
          </w:cols>
          <w:pgMar w:left="240" w:top="547" w:right="31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7"/>
          <w:szCs w:val="17"/>
          <w:b w:val="1"/>
          <w:bCs w:val="1"/>
          <w:color w:val="auto"/>
        </w:rPr>
        <w:t>ADDITIONAL INFORMATION</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to be presented at Next Annual Meeting</w:t>
      </w:r>
    </w:p>
    <w:p>
      <w:pPr>
        <w:spacing w:after="0" w:line="108" w:lineRule="exact"/>
        <w:rPr>
          <w:sz w:val="20"/>
          <w:szCs w:val="20"/>
          <w:color w:val="auto"/>
        </w:rPr>
      </w:pPr>
    </w:p>
    <w:p>
      <w:pPr>
        <w:jc w:val="both"/>
        <w:ind w:right="160"/>
        <w:spacing w:after="0" w:line="255" w:lineRule="auto"/>
        <w:rPr>
          <w:sz w:val="20"/>
          <w:szCs w:val="20"/>
          <w:color w:val="auto"/>
        </w:rPr>
      </w:pPr>
      <w:r>
        <w:rPr>
          <w:rFonts w:ascii="Arial" w:cs="Arial" w:eastAsia="Arial" w:hAnsi="Arial"/>
          <w:sz w:val="17"/>
          <w:szCs w:val="17"/>
          <w:i w:val="1"/>
          <w:iCs w:val="1"/>
          <w:color w:val="auto"/>
        </w:rPr>
        <w:t xml:space="preserve">Requirements for Stockholder Proposals to be Brought Before an Annual Meeting. </w:t>
      </w:r>
      <w:r>
        <w:rPr>
          <w:rFonts w:ascii="Arial" w:cs="Arial" w:eastAsia="Arial" w:hAnsi="Arial"/>
          <w:sz w:val="17"/>
          <w:szCs w:val="17"/>
          <w:color w:val="auto"/>
        </w:rPr>
        <w:t>Our bylaws provide that for stockholder nominations to our board of directors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proposals to be considered at an annual meeting, the stockholder must give timely notice thereof in writing to the Corporate Secretary at AnaptysBio, Inc., 10421 Pacific Center Court, Suite 200, San Diego, CA 92121.</w:t>
      </w:r>
    </w:p>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To be timely for our company’s 2020 annual meeting of stockholders, a stockholder’s notice must be delivered to or mailed and received by our Corporate Secretary at our principal executive offices not earlier than the close of business on February 26, 2020 and not later than the close of business on March 28, 2020. A stockholder’s notice to the Corporate Secretary must set 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spacing w:after="0" w:line="18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i w:val="1"/>
          <w:iCs w:val="1"/>
          <w:color w:val="auto"/>
        </w:rPr>
        <w:t xml:space="preserve">Requirements for Stockholder Proposals to be Considered for Inclusion in our Proxy Materials. </w:t>
      </w:r>
      <w:r>
        <w:rPr>
          <w:rFonts w:ascii="Arial" w:cs="Arial" w:eastAsia="Arial" w:hAnsi="Arial"/>
          <w:sz w:val="17"/>
          <w:szCs w:val="17"/>
          <w:color w:val="auto"/>
        </w:rPr>
        <w:t>Stockholder proposals submitted pursuant to Rule 14a-8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and intended to be presented at our 2020 annual meeting of stockholders must be received by us not later than December 27, 2019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0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Section 16 of the Exchange Act requires our directors, executive officers and any persons who own more than 10% of our common stock, to file initial reports of ownership and reports of changes in ownership with the SEC. Such persons are required by SEC regulation to furnish us with copies of all Section 16(a) forms that they file. Based solely on our review of the copies of such forms furnished to us and written representations from the directors and executive officers, we believe that all Section 16(a) filing requirements were timely met in 2018.</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will mail without charge, upon written request, a copy of our annual report on Form 10-K for the year ended December 31, 2018, including the financial statements and list of exhibits, and any exhibit specifically requested. Requests should be sent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10421 Pacific Center Court, Suite 200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San Diego, CA 92121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Attn: Corporate Secretary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annual report on Form 10-K is also available at http://ir.anaptysbio.com.</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 – Stockholders Sharing the Same Address</w:t>
      </w:r>
    </w:p>
    <w:p>
      <w:pPr>
        <w:spacing w:after="0" w:line="108" w:lineRule="exact"/>
        <w:rPr>
          <w:sz w:val="20"/>
          <w:szCs w:val="20"/>
          <w:color w:val="auto"/>
        </w:rPr>
      </w:pPr>
    </w:p>
    <w:p>
      <w:pPr>
        <w:jc w:val="both"/>
        <w:ind w:right="180"/>
        <w:spacing w:after="0" w:line="251" w:lineRule="auto"/>
        <w:rPr>
          <w:sz w:val="20"/>
          <w:szCs w:val="20"/>
          <w:color w:val="auto"/>
        </w:rPr>
      </w:pPr>
      <w:r>
        <w:rPr>
          <w:rFonts w:ascii="Arial" w:cs="Arial" w:eastAsia="Arial" w:hAnsi="Arial"/>
          <w:sz w:val="17"/>
          <w:szCs w:val="17"/>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28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You may revoke your consent at any time by contacting your broker.</w:t>
      </w:r>
    </w:p>
    <w:p>
      <w:pPr>
        <w:spacing w:after="0" w:line="167"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Upon written or oral request, we will undertake to promptly deliver a separate copy of the Notice of Internet Availability and, if applicable, annual report on Form 10-K and other proxy materials to any stockholder at a shared address to which a single copy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547" w:right="239" w:bottom="1440" w:gutter="0" w:footer="0" w:header="0"/>
        </w:sectPr>
      </w:pPr>
    </w:p>
    <w:bookmarkStart w:id="44" w:name="page45"/>
    <w:bookmarkEnd w:id="44"/>
    <w:p>
      <w:pPr>
        <w:spacing w:after="0" w:line="297" w:lineRule="auto"/>
        <w:rPr>
          <w:sz w:val="20"/>
          <w:szCs w:val="20"/>
          <w:color w:val="auto"/>
        </w:rPr>
      </w:pPr>
      <w:r>
        <w:rPr>
          <w:rFonts w:ascii="Arial" w:cs="Arial" w:eastAsia="Arial" w:hAnsi="Arial"/>
          <w:sz w:val="16"/>
          <w:szCs w:val="16"/>
          <w:color w:val="auto"/>
        </w:rPr>
        <w:t>of any of those documents was delivered. To receive a separate copy of the Notice of Internet Availability and, if applicable, annual report on Form 10-K and other proxy materials, you may write our Corporate Secretary at 10421 Pacific Center Court, Suite 200, San Diego, CA 92121, or call 1 (858) 362-6348.</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Any stockholders who share the same address and currently receive multiple copies of our Notice of Internet Availability or annual report on Form 10-K and other proxy materials who wish to receive only one copy in the future can contact their bank, broker or other holder of record to request information about “householding” or our Corporate Secretary at the address or telephone number listed above.</w:t>
      </w: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80"/>
          </w:cols>
          <w:pgMar w:left="240" w:top="551" w:right="379" w:bottom="1440" w:gutter="0" w:footer="0" w:header="0"/>
        </w:sectPr>
      </w:pPr>
    </w:p>
    <w:bookmarkStart w:id="45" w:name="page46"/>
    <w:bookmarkEnd w:id="45"/>
    <w:p>
      <w:pPr>
        <w:ind w:left="4980"/>
        <w:spacing w:after="0"/>
        <w:rPr>
          <w:sz w:val="20"/>
          <w:szCs w:val="20"/>
          <w:color w:val="auto"/>
        </w:rPr>
      </w:pPr>
      <w:r>
        <w:rPr>
          <w:rFonts w:ascii="Arial" w:cs="Arial" w:eastAsia="Arial" w:hAnsi="Arial"/>
          <w:sz w:val="17"/>
          <w:szCs w:val="17"/>
          <w:b w:val="1"/>
          <w:bCs w:val="1"/>
          <w:color w:val="auto"/>
        </w:rPr>
        <w:t>OTHER MATTERS</w:t>
      </w:r>
    </w:p>
    <w:p>
      <w:pPr>
        <w:spacing w:after="0" w:line="30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Our board of directors does not presently intend to bring any other business before the meeting and, so far as is known to the board of directors,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pacing w:after="0" w:line="16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920"/>
          </w:cols>
          <w:pgMar w:left="240" w:top="547" w:right="739" w:bottom="1440"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231775</wp:posOffset>
            </wp:positionV>
            <wp:extent cx="7315200" cy="5466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66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231775</wp:posOffset>
            </wp:positionV>
            <wp:extent cx="7315200" cy="5442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42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x"/>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x"/>
      <w:numFmt w:val="bullet"/>
      <w:start w:val="1"/>
    </w:lvl>
  </w:abstractNum>
  <w:abstractNum w:abstractNumId="4">
    <w:nsid w:val="79838CB2"/>
    <w:multiLevelType w:val="hybridMultilevel"/>
    <w:lvl w:ilvl="0">
      <w:lvlJc w:val="left"/>
      <w:lvlText w:val="☐"/>
      <w:numFmt w:val="bullet"/>
      <w:start w:val="1"/>
    </w:lvl>
    <w:lvl w:ilvl="1">
      <w:lvlJc w:val="left"/>
      <w:lvlText w:val="%2)"/>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2"/>
    </w:lvl>
    <w:lvl w:ilvl="1">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2"/>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6"/>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lowerRoman"/>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lvl w:ilvl="1">
      <w:lvlJc w:val="left"/>
      <w:lvlText w:val="(%2)"/>
      <w:numFmt w:val="decimal"/>
      <w:start w:val="3"/>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4"/>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lowerRoman"/>
      <w:start w:val="2"/>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2019-12-03T05:27:13Z</dcterms:created>
  <dcterms:modified xsi:type="dcterms:W3CDTF">2019-12-03T05:27:13Z</dcterms:modified>
</cp:coreProperties>
</file>