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4"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TRANSITION PERIOD FROM</w:t>
            </w:r>
          </w:p>
        </w:tc>
        <w:tc>
          <w:tcPr>
            <w:tcW w:w="360" w:type="dxa"/>
            <w:vAlign w:val="bottom"/>
            <w:tcBorders>
              <w:bottom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w w:val="82"/>
              </w:rPr>
              <w:t>TO</w:t>
            </w:r>
          </w:p>
        </w:tc>
        <w:tc>
          <w:tcPr>
            <w:tcW w:w="360" w:type="dxa"/>
            <w:vAlign w:val="bottom"/>
            <w:tcBorders>
              <w:bottom w:val="single" w:sz="8" w:color="auto"/>
            </w:tcBorders>
          </w:tcPr>
          <w:p>
            <w:pPr>
              <w:spacing w:after="0"/>
              <w:rPr>
                <w:sz w:val="14"/>
                <w:szCs w:val="14"/>
                <w:color w:val="auto"/>
              </w:rPr>
            </w:pPr>
          </w:p>
        </w:tc>
        <w:tc>
          <w:tcPr>
            <w:tcW w:w="3720" w:type="dxa"/>
            <w:vAlign w:val="bottom"/>
          </w:tcPr>
          <w:p>
            <w:pPr>
              <w:spacing w:after="0"/>
              <w:rPr>
                <w:sz w:val="14"/>
                <w:szCs w:val="14"/>
                <w:color w:val="auto"/>
              </w:rPr>
            </w:pPr>
          </w:p>
        </w:tc>
      </w:tr>
      <w:tr>
        <w:trPr>
          <w:trHeight w:val="218"/>
        </w:trPr>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3"/>
              </w:rPr>
              <w:t>Commission File Number: 001-37985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18"/>
                <w:szCs w:val="18"/>
                <w:color w:val="auto"/>
              </w:rPr>
            </w:pPr>
          </w:p>
        </w:tc>
      </w:tr>
      <w:tr>
        <w:trPr>
          <w:trHeight w:val="434"/>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36"/>
                <w:szCs w:val="36"/>
                <w:b w:val="1"/>
                <w:bCs w:val="1"/>
                <w:color w:val="auto"/>
                <w:w w:val="99"/>
              </w:rPr>
              <w:t>ANAPTYSBIO, INC.</w:t>
            </w:r>
          </w:p>
        </w:tc>
      </w:tr>
      <w:tr>
        <w:trPr>
          <w:trHeight w:val="166"/>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420" w:type="dxa"/>
            <w:vAlign w:val="bottom"/>
            <w:gridSpan w:val="6"/>
          </w:tcPr>
          <w:p>
            <w:pPr>
              <w:jc w:val="center"/>
              <w:ind w:right="357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98"/>
        </w:trPr>
        <w:tc>
          <w:tcPr>
            <w:tcW w:w="140" w:type="dxa"/>
            <w:vAlign w:val="bottom"/>
          </w:tcPr>
          <w:p>
            <w:pPr>
              <w:spacing w:after="0"/>
              <w:rPr>
                <w:sz w:val="24"/>
                <w:szCs w:val="24"/>
                <w:color w:val="auto"/>
              </w:rPr>
            </w:pPr>
          </w:p>
        </w:tc>
        <w:tc>
          <w:tcPr>
            <w:tcW w:w="3600" w:type="dxa"/>
            <w:vAlign w:val="bottom"/>
          </w:tcPr>
          <w:p>
            <w:pPr>
              <w:jc w:val="center"/>
              <w:ind w:left="1432"/>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3"/>
          </w:tcPr>
          <w:p>
            <w:pPr>
              <w:jc w:val="center"/>
              <w:ind w:right="933"/>
              <w:spacing w:after="0"/>
              <w:rPr>
                <w:sz w:val="20"/>
                <w:szCs w:val="20"/>
                <w:color w:val="auto"/>
              </w:rPr>
            </w:pPr>
            <w:r>
              <w:rPr>
                <w:rFonts w:ascii="Arial" w:cs="Arial" w:eastAsia="Arial" w:hAnsi="Arial"/>
                <w:sz w:val="14"/>
                <w:szCs w:val="14"/>
                <w:b w:val="1"/>
                <w:bCs w:val="1"/>
                <w:color w:val="auto"/>
                <w:w w:val="90"/>
              </w:rPr>
              <w:t>20-3828755</w:t>
            </w:r>
          </w:p>
        </w:tc>
      </w:tr>
      <w:tr>
        <w:trPr>
          <w:trHeight w:val="134"/>
        </w:trPr>
        <w:tc>
          <w:tcPr>
            <w:tcW w:w="140" w:type="dxa"/>
            <w:vAlign w:val="bottom"/>
          </w:tcPr>
          <w:p>
            <w:pPr>
              <w:spacing w:after="0"/>
              <w:rPr>
                <w:sz w:val="11"/>
                <w:szCs w:val="11"/>
                <w:color w:val="auto"/>
              </w:rPr>
            </w:pPr>
          </w:p>
        </w:tc>
        <w:tc>
          <w:tcPr>
            <w:tcW w:w="3600" w:type="dxa"/>
            <w:vAlign w:val="bottom"/>
          </w:tcPr>
          <w:p>
            <w:pPr>
              <w:jc w:val="center"/>
              <w:ind w:left="1432"/>
              <w:spacing w:after="0" w:line="134" w:lineRule="exact"/>
              <w:rPr>
                <w:sz w:val="20"/>
                <w:szCs w:val="20"/>
                <w:color w:val="auto"/>
              </w:rPr>
            </w:pPr>
            <w:r>
              <w:rPr>
                <w:rFonts w:ascii="Arial" w:cs="Arial" w:eastAsia="Arial" w:hAnsi="Arial"/>
                <w:sz w:val="13"/>
                <w:szCs w:val="13"/>
                <w:b w:val="1"/>
                <w:bCs w:val="1"/>
                <w:color w:val="auto"/>
                <w:w w:val="88"/>
              </w:rPr>
              <w:t>(State or other jurisdiction of</w:t>
            </w:r>
          </w:p>
        </w:tc>
        <w:tc>
          <w:tcPr>
            <w:tcW w:w="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20" w:type="dxa"/>
            <w:vAlign w:val="bottom"/>
          </w:tcPr>
          <w:p>
            <w:pPr>
              <w:jc w:val="center"/>
              <w:ind w:right="1533"/>
              <w:spacing w:after="0" w:line="134"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40" w:type="dxa"/>
            <w:vAlign w:val="bottom"/>
          </w:tcPr>
          <w:p>
            <w:pPr>
              <w:spacing w:after="0"/>
              <w:rPr>
                <w:sz w:val="14"/>
                <w:szCs w:val="14"/>
                <w:color w:val="auto"/>
              </w:rPr>
            </w:pPr>
          </w:p>
        </w:tc>
        <w:tc>
          <w:tcPr>
            <w:tcW w:w="3600" w:type="dxa"/>
            <w:vAlign w:val="bottom"/>
          </w:tcPr>
          <w:p>
            <w:pPr>
              <w:jc w:val="center"/>
              <w:ind w:left="1452"/>
              <w:spacing w:after="0"/>
              <w:rPr>
                <w:sz w:val="20"/>
                <w:szCs w:val="20"/>
                <w:color w:val="auto"/>
              </w:rPr>
            </w:pPr>
            <w:r>
              <w:rPr>
                <w:rFonts w:ascii="Arial" w:cs="Arial" w:eastAsia="Arial" w:hAnsi="Arial"/>
                <w:sz w:val="13"/>
                <w:szCs w:val="13"/>
                <w:b w:val="1"/>
                <w:bCs w:val="1"/>
                <w:color w:val="auto"/>
                <w:w w:val="88"/>
              </w:rPr>
              <w:t>incorporation or organization)</w:t>
            </w:r>
          </w:p>
        </w:tc>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jc w:val="center"/>
              <w:ind w:right="1533"/>
              <w:spacing w:after="0"/>
              <w:rPr>
                <w:sz w:val="20"/>
                <w:szCs w:val="20"/>
                <w:color w:val="auto"/>
              </w:rPr>
            </w:pPr>
            <w:r>
              <w:rPr>
                <w:rFonts w:ascii="Arial" w:cs="Arial" w:eastAsia="Arial" w:hAnsi="Arial"/>
                <w:sz w:val="13"/>
                <w:szCs w:val="13"/>
                <w:b w:val="1"/>
                <w:bCs w:val="1"/>
                <w:color w:val="auto"/>
                <w:w w:val="89"/>
              </w:rPr>
              <w:t>Identification Number)</w:t>
            </w:r>
          </w:p>
        </w:tc>
      </w:tr>
      <w:tr>
        <w:trPr>
          <w:trHeight w:val="488"/>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3"/>
              </w:rPr>
              <w:t>10770 Wateridge Circle, Suite 210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6"/>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w w:val="93"/>
              </w:rPr>
              <w:t>San Diego, CA 92121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4"/>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40" w:type="dxa"/>
            <w:vAlign w:val="bottom"/>
            <w:gridSpan w:val="5"/>
          </w:tcPr>
          <w:p>
            <w:pPr>
              <w:jc w:val="center"/>
              <w:ind w:right="3953"/>
              <w:spacing w:after="0"/>
              <w:rPr>
                <w:sz w:val="20"/>
                <w:szCs w:val="20"/>
                <w:color w:val="auto"/>
              </w:rPr>
            </w:pPr>
            <w:r>
              <w:rPr>
                <w:rFonts w:ascii="Arial" w:cs="Arial" w:eastAsia="Arial" w:hAnsi="Arial"/>
                <w:sz w:val="13"/>
                <w:szCs w:val="13"/>
                <w:b w:val="1"/>
                <w:bCs w:val="1"/>
                <w:color w:val="auto"/>
                <w:w w:val="85"/>
              </w:rPr>
              <w:t>(Address of principal executive offices and zip code)</w:t>
            </w:r>
          </w:p>
        </w:tc>
      </w:tr>
      <w:tr>
        <w:trPr>
          <w:trHeight w:val="254"/>
        </w:trPr>
        <w:tc>
          <w:tcPr>
            <w:tcW w:w="1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74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(858) 362-6295</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148"/>
        </w:trPr>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40" w:type="dxa"/>
            <w:vAlign w:val="bottom"/>
            <w:gridSpan w:val="5"/>
          </w:tcPr>
          <w:p>
            <w:pPr>
              <w:jc w:val="center"/>
              <w:ind w:right="3973"/>
              <w:spacing w:after="0" w:line="149" w:lineRule="exact"/>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31"/>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87"/>
        </w:trPr>
        <w:tc>
          <w:tcPr>
            <w:tcW w:w="140" w:type="dxa"/>
            <w:vAlign w:val="bottom"/>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r>
      <w:tr>
        <w:trPr>
          <w:trHeight w:val="179"/>
        </w:trPr>
        <w:tc>
          <w:tcPr>
            <w:tcW w:w="14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color w:val="auto"/>
                <w:w w:val="92"/>
              </w:rPr>
              <w:t>Title of each class</w:t>
            </w:r>
          </w:p>
        </w:tc>
        <w:tc>
          <w:tcPr>
            <w:tcW w:w="38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color w:val="auto"/>
                <w:w w:val="94"/>
              </w:rPr>
              <w:t>Trading Symbol(s)</w:t>
            </w:r>
          </w:p>
        </w:tc>
        <w:tc>
          <w:tcPr>
            <w:tcW w:w="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jc w:val="center"/>
              <w:ind w:right="333"/>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14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w w:val="93"/>
              </w:rPr>
              <w:t>Common Stock, $0.001 par value</w:t>
            </w:r>
          </w:p>
        </w:tc>
        <w:tc>
          <w:tcPr>
            <w:tcW w:w="38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color w:val="auto"/>
              </w:rPr>
              <w:t>ANAB</w:t>
            </w:r>
          </w:p>
        </w:tc>
        <w:tc>
          <w:tcPr>
            <w:tcW w:w="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jc w:val="center"/>
              <w:ind w:right="333"/>
              <w:spacing w:after="0"/>
              <w:rPr>
                <w:sz w:val="20"/>
                <w:szCs w:val="20"/>
                <w:color w:val="auto"/>
              </w:rPr>
            </w:pPr>
            <w:r>
              <w:rPr>
                <w:rFonts w:ascii="Arial" w:cs="Arial" w:eastAsia="Arial" w:hAnsi="Arial"/>
                <w:sz w:val="14"/>
                <w:szCs w:val="14"/>
                <w:color w:val="auto"/>
                <w:w w:val="94"/>
              </w:rPr>
              <w:t>The Nasdaq Stock Market LLC</w:t>
            </w:r>
          </w:p>
        </w:tc>
      </w:tr>
      <w:tr>
        <w:trPr>
          <w:trHeight w:val="322"/>
        </w:trPr>
        <w:tc>
          <w:tcPr>
            <w:tcW w:w="3740" w:type="dxa"/>
            <w:vAlign w:val="bottom"/>
            <w:gridSpan w:val="2"/>
          </w:tcPr>
          <w:p>
            <w:pPr>
              <w:spacing w:after="0"/>
              <w:rPr>
                <w:sz w:val="20"/>
                <w:szCs w:val="20"/>
                <w:color w:val="auto"/>
              </w:rPr>
            </w:pPr>
            <w:r>
              <w:rPr>
                <w:rFonts w:ascii="Arial" w:cs="Arial" w:eastAsia="Arial" w:hAnsi="Arial"/>
                <w:sz w:val="14"/>
                <w:szCs w:val="14"/>
                <w:color w:val="auto"/>
                <w:w w:val="94"/>
              </w:rPr>
              <w:t xml:space="preserve">Securities registered pursuant to Section 12(g) of the Act: </w:t>
            </w:r>
            <w:r>
              <w:rPr>
                <w:rFonts w:ascii="Arial" w:cs="Arial" w:eastAsia="Arial" w:hAnsi="Arial"/>
                <w:sz w:val="14"/>
                <w:szCs w:val="14"/>
                <w:b w:val="1"/>
                <w:bCs w:val="1"/>
                <w:color w:val="auto"/>
                <w:w w:val="94"/>
              </w:rPr>
              <w:t>None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02"/>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320" w:type="dxa"/>
            <w:vAlign w:val="bottom"/>
            <w:gridSpan w:val="3"/>
          </w:tcPr>
          <w:p>
            <w:pPr>
              <w:ind w:left="60"/>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tc>
      </w:tr>
    </w:tbl>
    <w:p>
      <w:pPr>
        <w:spacing w:after="0" w:line="14" w:lineRule="exact"/>
        <w:rPr>
          <w:sz w:val="24"/>
          <w:szCs w:val="24"/>
          <w:color w:val="auto"/>
        </w:rPr>
      </w:pPr>
    </w:p>
    <w:p>
      <w:pPr>
        <w:spacing w:after="0" w:line="196" w:lineRule="exact"/>
        <w:tabs>
          <w:tab w:leader="none" w:pos="7000" w:val="left"/>
          <w:tab w:leader="none" w:pos="76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16" w:lineRule="exact"/>
        <w:rPr>
          <w:sz w:val="24"/>
          <w:szCs w:val="24"/>
          <w:color w:val="auto"/>
        </w:rPr>
      </w:pPr>
    </w:p>
    <w:p>
      <w:pPr>
        <w:ind w:right="1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43"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ind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1" w:name="page2"/>
    <w:bookmarkEnd w:id="1"/>
    <w:p>
      <w:pPr>
        <w:spacing w:after="0" w:line="196" w:lineRule="exact"/>
        <w:tabs>
          <w:tab w:leader="none" w:pos="666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$489,310,431 as of June 30, 2021.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27,672,428 as of March 3, 2022.</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Portions of the registrant’s Definitive Proxy Statement relating to the 2022 Annual Meeting of Shareholders, scheduled to be held on June 23, 2022, are incorporated by reference into Part III of this Annual Report on Form 10-K to the extent stated herein. The Definitive Proxy Statement will be filed within 120 days of the Registrant’s fiscal year ended December 31, 2021.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20" w:type="dxa"/>
            <w:vAlign w:val="bottom"/>
            <w:gridSpan w:val="11"/>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1"/>
        </w:trPr>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920"/>
              <w:spacing w:after="0"/>
              <w:rPr>
                <w:sz w:val="20"/>
                <w:szCs w:val="20"/>
                <w:color w:val="auto"/>
              </w:rPr>
            </w:pPr>
            <w:r>
              <w:rPr>
                <w:rFonts w:ascii="Arial" w:cs="Arial" w:eastAsia="Arial" w:hAnsi="Arial"/>
                <w:sz w:val="16"/>
                <w:szCs w:val="16"/>
                <w:b w:val="1"/>
                <w:bCs w:val="1"/>
                <w:color w:val="auto"/>
              </w:rPr>
              <w:t>Page</w:t>
            </w:r>
          </w:p>
        </w:tc>
      </w:tr>
      <w:tr>
        <w:trPr>
          <w:trHeight w:val="207"/>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PART I</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w:t>
            </w:r>
          </w:p>
        </w:tc>
        <w:tc>
          <w:tcPr>
            <w:tcW w:w="8200" w:type="dxa"/>
            <w:vAlign w:val="bottom"/>
            <w:gridSpan w:val="22"/>
          </w:tcPr>
          <w:p>
            <w:pPr>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Business</w:t>
              </w:r>
            </w:hyperlink>
          </w:p>
        </w:tc>
        <w:tc>
          <w:tcPr>
            <w:tcW w:w="1460" w:type="dxa"/>
            <w:vAlign w:val="bottom"/>
          </w:tcPr>
          <w:p>
            <w:pPr>
              <w:jc w:val="right"/>
              <w:spacing w:after="0" w:line="181" w:lineRule="exact"/>
              <w:rPr>
                <w:rFonts w:ascii="Arial" w:cs="Arial" w:eastAsia="Arial" w:hAnsi="Arial"/>
                <w:sz w:val="16"/>
                <w:szCs w:val="16"/>
                <w:color w:val="auto"/>
              </w:rPr>
            </w:pPr>
            <w:hyperlink w:anchor="page5">
              <w:r>
                <w:rPr>
                  <w:rFonts w:ascii="Arial" w:cs="Arial" w:eastAsia="Arial" w:hAnsi="Arial"/>
                  <w:sz w:val="16"/>
                  <w:szCs w:val="16"/>
                  <w:color w:val="auto"/>
                </w:rPr>
                <w:t>2</w:t>
              </w:r>
            </w:hyperlink>
          </w:p>
        </w:tc>
        <w:tc>
          <w:tcPr>
            <w:tcW w:w="2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1A.</w:t>
            </w:r>
          </w:p>
        </w:tc>
        <w:tc>
          <w:tcPr>
            <w:tcW w:w="8200" w:type="dxa"/>
            <w:vAlign w:val="bottom"/>
            <w:gridSpan w:val="2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Risk Factors</w:t>
              </w:r>
            </w:hyperlink>
          </w:p>
        </w:tc>
        <w:tc>
          <w:tcPr>
            <w:tcW w:w="146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27</w:t>
              </w:r>
            </w:hyperlink>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62">
              <w:r>
                <w:rPr>
                  <w:rFonts w:ascii="Arial" w:cs="Arial" w:eastAsia="Arial" w:hAnsi="Arial"/>
                  <w:sz w:val="16"/>
                  <w:szCs w:val="16"/>
                  <w:color w:val="0000FF"/>
                  <w:w w:val="90"/>
                </w:rPr>
                <w:t>Unresolved Staff Comments</w:t>
              </w:r>
            </w:hyperlink>
          </w:p>
        </w:tc>
        <w:tc>
          <w:tcPr>
            <w:tcW w:w="6360" w:type="dxa"/>
            <w:vAlign w:val="bottom"/>
            <w:gridSpan w:val="12"/>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2.</w:t>
            </w:r>
          </w:p>
        </w:tc>
        <w:tc>
          <w:tcPr>
            <w:tcW w:w="8200" w:type="dxa"/>
            <w:vAlign w:val="bottom"/>
            <w:gridSpan w:val="22"/>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Properties</w:t>
              </w:r>
            </w:hyperlink>
          </w:p>
        </w:tc>
        <w:tc>
          <w:tcPr>
            <w:tcW w:w="146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0000FF"/>
            </w:tcBorders>
            <w:gridSpan w:val="6"/>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Legal Proceedings</w:t>
              </w:r>
            </w:hyperlink>
          </w:p>
        </w:tc>
        <w:tc>
          <w:tcPr>
            <w:tcW w:w="7000" w:type="dxa"/>
            <w:vAlign w:val="bottom"/>
            <w:gridSpan w:val="16"/>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60</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4.</w:t>
            </w:r>
          </w:p>
        </w:tc>
        <w:tc>
          <w:tcPr>
            <w:tcW w:w="8200" w:type="dxa"/>
            <w:vAlign w:val="bottom"/>
            <w:gridSpan w:val="2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Mine Safety Disclosures</w:t>
              </w:r>
            </w:hyperlink>
          </w:p>
        </w:tc>
        <w:tc>
          <w:tcPr>
            <w:tcW w:w="146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60</w:t>
              </w:r>
            </w:hyperlink>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5.</w:t>
            </w:r>
          </w:p>
        </w:tc>
        <w:tc>
          <w:tcPr>
            <w:tcW w:w="8200" w:type="dxa"/>
            <w:vAlign w:val="bottom"/>
            <w:gridSpan w:val="22"/>
          </w:tcPr>
          <w:p>
            <w:pPr>
              <w:spacing w:after="0" w:line="181" w:lineRule="exact"/>
              <w:rPr>
                <w:rFonts w:ascii="Arial" w:cs="Arial" w:eastAsia="Arial" w:hAnsi="Arial"/>
                <w:sz w:val="16"/>
                <w:szCs w:val="16"/>
                <w:color w:val="0000FF"/>
              </w:rPr>
            </w:pPr>
            <w:hyperlink w:anchor="page64">
              <w:r>
                <w:rPr>
                  <w:rFonts w:ascii="Arial" w:cs="Arial" w:eastAsia="Arial" w:hAnsi="Arial"/>
                  <w:sz w:val="16"/>
                  <w:szCs w:val="16"/>
                  <w:color w:val="0000FF"/>
                </w:rPr>
                <w:t>Market for Registrant’s Common Equity, Related Stockholder Matters and Issuer Purchases of Equity Securities</w:t>
              </w:r>
            </w:hyperlink>
          </w:p>
        </w:tc>
        <w:tc>
          <w:tcPr>
            <w:tcW w:w="1460" w:type="dxa"/>
            <w:vAlign w:val="bottom"/>
          </w:tcPr>
          <w:p>
            <w:pPr>
              <w:jc w:val="right"/>
              <w:spacing w:after="0" w:line="181" w:lineRule="exact"/>
              <w:rPr>
                <w:rFonts w:ascii="Arial" w:cs="Arial" w:eastAsia="Arial" w:hAnsi="Arial"/>
                <w:sz w:val="16"/>
                <w:szCs w:val="16"/>
                <w:color w:val="auto"/>
              </w:rPr>
            </w:pPr>
            <w:hyperlink w:anchor="page64">
              <w:r>
                <w:rPr>
                  <w:rFonts w:ascii="Arial" w:cs="Arial" w:eastAsia="Arial" w:hAnsi="Arial"/>
                  <w:sz w:val="16"/>
                  <w:szCs w:val="16"/>
                  <w:color w:val="auto"/>
                </w:rPr>
                <w:t>61</w:t>
              </w:r>
            </w:hyperlink>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6.</w:t>
            </w:r>
          </w:p>
        </w:tc>
        <w:tc>
          <w:tcPr>
            <w:tcW w:w="6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7"/>
              </w:rPr>
            </w:pPr>
            <w:hyperlink w:anchor="page64">
              <w:r>
                <w:rPr>
                  <w:rFonts w:ascii="Arial" w:cs="Arial" w:eastAsia="Arial" w:hAnsi="Arial"/>
                  <w:sz w:val="16"/>
                  <w:szCs w:val="16"/>
                  <w:color w:val="0000FF"/>
                  <w:w w:val="87"/>
                </w:rPr>
                <w:t>Reserved</w:t>
              </w:r>
            </w:hyperlink>
          </w:p>
        </w:tc>
        <w:tc>
          <w:tcPr>
            <w:tcW w:w="6620" w:type="dxa"/>
            <w:vAlign w:val="bottom"/>
            <w:tcBorders>
              <w:top w:val="single" w:sz="8" w:color="0000FF"/>
            </w:tcBorders>
            <w:gridSpan w:val="19"/>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61</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7.</w:t>
            </w:r>
          </w:p>
        </w:tc>
        <w:tc>
          <w:tcPr>
            <w:tcW w:w="8200" w:type="dxa"/>
            <w:vAlign w:val="bottom"/>
            <w:gridSpan w:val="22"/>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Management’s Discussion and Analysis of Financial Condition and Results of Operations</w:t>
              </w:r>
            </w:hyperlink>
          </w:p>
        </w:tc>
        <w:tc>
          <w:tcPr>
            <w:tcW w:w="146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62</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7A.</w:t>
            </w:r>
          </w:p>
        </w:tc>
        <w:tc>
          <w:tcPr>
            <w:tcW w:w="3920" w:type="dxa"/>
            <w:vAlign w:val="bottom"/>
            <w:tcBorders>
              <w:top w:val="single" w:sz="8" w:color="0000FF"/>
              <w:bottom w:val="single" w:sz="8" w:color="0000FF"/>
            </w:tcBorders>
            <w:gridSpan w:val="15"/>
          </w:tcPr>
          <w:p>
            <w:pPr>
              <w:spacing w:after="0"/>
              <w:rPr>
                <w:rFonts w:ascii="Arial" w:cs="Arial" w:eastAsia="Arial" w:hAnsi="Arial"/>
                <w:sz w:val="16"/>
                <w:szCs w:val="16"/>
                <w:color w:val="0000FF"/>
                <w:w w:val="93"/>
              </w:rPr>
            </w:pPr>
            <w:hyperlink w:anchor="page76">
              <w:r>
                <w:rPr>
                  <w:rFonts w:ascii="Arial" w:cs="Arial" w:eastAsia="Arial" w:hAnsi="Arial"/>
                  <w:sz w:val="16"/>
                  <w:szCs w:val="16"/>
                  <w:color w:val="0000FF"/>
                  <w:w w:val="93"/>
                </w:rPr>
                <w:t>Quantitative and Qualitative Disclosures About Market Risk</w:t>
              </w:r>
            </w:hyperlink>
          </w:p>
        </w:tc>
        <w:tc>
          <w:tcPr>
            <w:tcW w:w="1880" w:type="dxa"/>
            <w:vAlign w:val="bottom"/>
            <w:tcBorders>
              <w:top w:val="single" w:sz="8" w:color="0000FF"/>
            </w:tcBorders>
            <w:gridSpan w:val="3"/>
          </w:tcPr>
          <w:p>
            <w:pPr>
              <w:spacing w:after="0"/>
              <w:rPr>
                <w:sz w:val="17"/>
                <w:szCs w:val="17"/>
                <w:color w:val="auto"/>
              </w:rPr>
            </w:pPr>
          </w:p>
        </w:tc>
        <w:tc>
          <w:tcPr>
            <w:tcW w:w="2400" w:type="dxa"/>
            <w:vAlign w:val="bottom"/>
            <w:gridSpan w:val="4"/>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76">
              <w:r>
                <w:rPr>
                  <w:rFonts w:ascii="Arial" w:cs="Arial" w:eastAsia="Arial" w:hAnsi="Arial"/>
                  <w:sz w:val="16"/>
                  <w:szCs w:val="16"/>
                  <w:color w:val="auto"/>
                </w:rPr>
                <w:t>73</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8.</w:t>
            </w:r>
          </w:p>
        </w:tc>
        <w:tc>
          <w:tcPr>
            <w:tcW w:w="8200" w:type="dxa"/>
            <w:vAlign w:val="bottom"/>
            <w:gridSpan w:val="22"/>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Consolidated Financial Statements and Supplementary Data</w:t>
              </w:r>
            </w:hyperlink>
          </w:p>
        </w:tc>
        <w:tc>
          <w:tcPr>
            <w:tcW w:w="1460" w:type="dxa"/>
            <w:vAlign w:val="bottom"/>
          </w:tcPr>
          <w:p>
            <w:pPr>
              <w:jc w:val="right"/>
              <w:spacing w:after="0"/>
              <w:rPr>
                <w:rFonts w:ascii="Arial" w:cs="Arial" w:eastAsia="Arial" w:hAnsi="Arial"/>
                <w:sz w:val="16"/>
                <w:szCs w:val="16"/>
                <w:color w:val="auto"/>
              </w:rPr>
            </w:pPr>
            <w:hyperlink w:anchor="page77">
              <w:r>
                <w:rPr>
                  <w:rFonts w:ascii="Arial" w:cs="Arial" w:eastAsia="Arial" w:hAnsi="Arial"/>
                  <w:sz w:val="16"/>
                  <w:szCs w:val="16"/>
                  <w:color w:val="auto"/>
                </w:rPr>
                <w:t>75</w:t>
              </w:r>
            </w:hyperlink>
          </w:p>
        </w:tc>
        <w:tc>
          <w:tcPr>
            <w:tcW w:w="2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w:t>
            </w:r>
          </w:p>
        </w:tc>
        <w:tc>
          <w:tcPr>
            <w:tcW w:w="5860" w:type="dxa"/>
            <w:vAlign w:val="bottom"/>
            <w:tcBorders>
              <w:bottom w:val="single" w:sz="8" w:color="0000FF"/>
            </w:tcBorders>
            <w:gridSpan w:val="19"/>
          </w:tcPr>
          <w:p>
            <w:pPr>
              <w:spacing w:after="0"/>
              <w:rPr>
                <w:rFonts w:ascii="Arial" w:cs="Arial" w:eastAsia="Arial" w:hAnsi="Arial"/>
                <w:sz w:val="16"/>
                <w:szCs w:val="16"/>
                <w:color w:val="0000FF"/>
                <w:w w:val="91"/>
              </w:rPr>
            </w:pPr>
            <w:hyperlink w:anchor="page103">
              <w:r>
                <w:rPr>
                  <w:rFonts w:ascii="Arial" w:cs="Arial" w:eastAsia="Arial" w:hAnsi="Arial"/>
                  <w:sz w:val="16"/>
                  <w:szCs w:val="16"/>
                  <w:color w:val="0000FF"/>
                  <w:w w:val="91"/>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101</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9A.</w:t>
            </w:r>
          </w:p>
        </w:tc>
        <w:tc>
          <w:tcPr>
            <w:tcW w:w="8200" w:type="dxa"/>
            <w:vAlign w:val="bottom"/>
            <w:gridSpan w:val="22"/>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Controls and Procedures</w:t>
              </w:r>
            </w:hyperlink>
          </w:p>
        </w:tc>
        <w:tc>
          <w:tcPr>
            <w:tcW w:w="1460" w:type="dxa"/>
            <w:vAlign w:val="bottom"/>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101</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9B.</w:t>
            </w:r>
          </w:p>
        </w:tc>
        <w:tc>
          <w:tcPr>
            <w:tcW w:w="118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3"/>
              </w:rPr>
            </w:pPr>
            <w:hyperlink w:anchor="page104">
              <w:r>
                <w:rPr>
                  <w:rFonts w:ascii="Arial" w:cs="Arial" w:eastAsia="Arial" w:hAnsi="Arial"/>
                  <w:sz w:val="16"/>
                  <w:szCs w:val="16"/>
                  <w:color w:val="0000FF"/>
                  <w:w w:val="93"/>
                </w:rPr>
                <w:t>Other Information</w:t>
              </w:r>
            </w:hyperlink>
          </w:p>
        </w:tc>
        <w:tc>
          <w:tcPr>
            <w:tcW w:w="400" w:type="dxa"/>
            <w:vAlign w:val="bottom"/>
            <w:tcBorders>
              <w:top w:val="single" w:sz="8" w:color="0000FF"/>
            </w:tcBorders>
            <w:gridSpan w:val="3"/>
          </w:tcPr>
          <w:p>
            <w:pPr>
              <w:spacing w:after="0"/>
              <w:rPr>
                <w:sz w:val="17"/>
                <w:szCs w:val="17"/>
                <w:color w:val="auto"/>
              </w:rPr>
            </w:pPr>
          </w:p>
        </w:tc>
        <w:tc>
          <w:tcPr>
            <w:tcW w:w="6620" w:type="dxa"/>
            <w:vAlign w:val="bottom"/>
            <w:gridSpan w:val="14"/>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101</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9C.</w:t>
            </w:r>
          </w:p>
        </w:tc>
        <w:tc>
          <w:tcPr>
            <w:tcW w:w="8200" w:type="dxa"/>
            <w:vAlign w:val="bottom"/>
            <w:gridSpan w:val="22"/>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Disclosure Regarding Foreign Jurisdictions that Prevent Inspections</w:t>
              </w:r>
            </w:hyperlink>
          </w:p>
        </w:tc>
        <w:tc>
          <w:tcPr>
            <w:tcW w:w="146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10.</w:t>
            </w:r>
          </w:p>
        </w:tc>
        <w:tc>
          <w:tcPr>
            <w:tcW w:w="3680" w:type="dxa"/>
            <w:vAlign w:val="bottom"/>
            <w:tcBorders>
              <w:bottom w:val="single" w:sz="8" w:color="0000FF"/>
            </w:tcBorders>
            <w:gridSpan w:val="13"/>
          </w:tcPr>
          <w:p>
            <w:pPr>
              <w:spacing w:after="0" w:line="181" w:lineRule="exact"/>
              <w:rPr>
                <w:rFonts w:ascii="Arial" w:cs="Arial" w:eastAsia="Arial" w:hAnsi="Arial"/>
                <w:sz w:val="16"/>
                <w:szCs w:val="16"/>
                <w:color w:val="0000FF"/>
                <w:w w:val="91"/>
              </w:rPr>
            </w:pPr>
            <w:hyperlink w:anchor="page105">
              <w:r>
                <w:rPr>
                  <w:rFonts w:ascii="Arial" w:cs="Arial" w:eastAsia="Arial" w:hAnsi="Arial"/>
                  <w:sz w:val="16"/>
                  <w:szCs w:val="16"/>
                  <w:color w:val="0000FF"/>
                  <w:w w:val="91"/>
                </w:rPr>
                <w:t>Directors, Executive Officers and Corporate Governance</w:t>
              </w:r>
            </w:hyperlink>
          </w:p>
        </w:tc>
        <w:tc>
          <w:tcPr>
            <w:tcW w:w="4520" w:type="dxa"/>
            <w:vAlign w:val="bottom"/>
            <w:gridSpan w:val="9"/>
          </w:tcPr>
          <w:p>
            <w:pPr>
              <w:spacing w:after="0"/>
              <w:rPr>
                <w:sz w:val="15"/>
                <w:szCs w:val="15"/>
                <w:color w:val="auto"/>
              </w:rPr>
            </w:pPr>
          </w:p>
        </w:tc>
        <w:tc>
          <w:tcPr>
            <w:tcW w:w="1460" w:type="dxa"/>
            <w:vAlign w:val="bottom"/>
          </w:tcPr>
          <w:p>
            <w:pPr>
              <w:jc w:val="right"/>
              <w:spacing w:after="0" w:line="181" w:lineRule="exact"/>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11.</w:t>
            </w:r>
          </w:p>
        </w:tc>
        <w:tc>
          <w:tcPr>
            <w:tcW w:w="1620" w:type="dxa"/>
            <w:vAlign w:val="bottom"/>
            <w:tcBorders>
              <w:bottom w:val="single" w:sz="8" w:color="0000FF"/>
            </w:tcBorders>
            <w:gridSpan w:val="9"/>
          </w:tcPr>
          <w:p>
            <w:pPr>
              <w:spacing w:after="0"/>
              <w:rPr>
                <w:rFonts w:ascii="Arial" w:cs="Arial" w:eastAsia="Arial" w:hAnsi="Arial"/>
                <w:sz w:val="16"/>
                <w:szCs w:val="16"/>
                <w:color w:val="0000FF"/>
                <w:w w:val="90"/>
              </w:rPr>
            </w:pPr>
            <w:hyperlink w:anchor="page105">
              <w:r>
                <w:rPr>
                  <w:rFonts w:ascii="Arial" w:cs="Arial" w:eastAsia="Arial" w:hAnsi="Arial"/>
                  <w:sz w:val="16"/>
                  <w:szCs w:val="16"/>
                  <w:color w:val="0000FF"/>
                  <w:w w:val="90"/>
                </w:rPr>
                <w:t>Executive Compensation</w:t>
              </w:r>
            </w:hyperlink>
          </w:p>
        </w:tc>
        <w:tc>
          <w:tcPr>
            <w:tcW w:w="6580" w:type="dxa"/>
            <w:vAlign w:val="bottom"/>
            <w:gridSpan w:val="13"/>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12.</w:t>
            </w:r>
          </w:p>
        </w:tc>
        <w:tc>
          <w:tcPr>
            <w:tcW w:w="6560" w:type="dxa"/>
            <w:vAlign w:val="bottom"/>
            <w:tcBorders>
              <w:bottom w:val="single" w:sz="8" w:color="0000FF"/>
            </w:tcBorders>
            <w:gridSpan w:val="20"/>
          </w:tcPr>
          <w:p>
            <w:pPr>
              <w:spacing w:after="0"/>
              <w:rPr>
                <w:rFonts w:ascii="Arial" w:cs="Arial" w:eastAsia="Arial" w:hAnsi="Arial"/>
                <w:sz w:val="16"/>
                <w:szCs w:val="16"/>
                <w:color w:val="0000FF"/>
                <w:w w:val="91"/>
              </w:rPr>
            </w:pPr>
            <w:hyperlink w:anchor="page105">
              <w:r>
                <w:rPr>
                  <w:rFonts w:ascii="Arial" w:cs="Arial" w:eastAsia="Arial" w:hAnsi="Arial"/>
                  <w:sz w:val="16"/>
                  <w:szCs w:val="16"/>
                  <w:color w:val="0000FF"/>
                  <w:w w:val="91"/>
                </w:rPr>
                <w:t>Security Ownership of Certain Beneficial Owners and Management and Related Stockholder Matters</w:t>
              </w:r>
            </w:hyperlink>
          </w:p>
        </w:tc>
        <w:tc>
          <w:tcPr>
            <w:tcW w:w="1640" w:type="dxa"/>
            <w:vAlign w:val="bottom"/>
            <w:gridSpan w:val="2"/>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13.</w:t>
            </w:r>
          </w:p>
        </w:tc>
        <w:tc>
          <w:tcPr>
            <w:tcW w:w="4900" w:type="dxa"/>
            <w:vAlign w:val="bottom"/>
            <w:tcBorders>
              <w:bottom w:val="single" w:sz="8" w:color="0000FF"/>
            </w:tcBorders>
            <w:gridSpan w:val="17"/>
          </w:tcPr>
          <w:p>
            <w:pPr>
              <w:spacing w:after="0"/>
              <w:rPr>
                <w:rFonts w:ascii="Arial" w:cs="Arial" w:eastAsia="Arial" w:hAnsi="Arial"/>
                <w:sz w:val="16"/>
                <w:szCs w:val="16"/>
                <w:color w:val="0000FF"/>
                <w:w w:val="90"/>
              </w:rPr>
            </w:pPr>
            <w:hyperlink w:anchor="page105">
              <w:r>
                <w:rPr>
                  <w:rFonts w:ascii="Arial" w:cs="Arial" w:eastAsia="Arial" w:hAnsi="Arial"/>
                  <w:sz w:val="16"/>
                  <w:szCs w:val="16"/>
                  <w:color w:val="0000FF"/>
                  <w:w w:val="90"/>
                </w:rPr>
                <w:t>Certain Relationships and Related Transactions, and Director Independence</w:t>
              </w:r>
            </w:hyperlink>
          </w:p>
        </w:tc>
        <w:tc>
          <w:tcPr>
            <w:tcW w:w="3300" w:type="dxa"/>
            <w:vAlign w:val="bottom"/>
            <w:gridSpan w:val="5"/>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7"/>
                <w:szCs w:val="17"/>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14.</w:t>
            </w:r>
          </w:p>
        </w:tc>
        <w:tc>
          <w:tcPr>
            <w:tcW w:w="8200" w:type="dxa"/>
            <w:vAlign w:val="bottom"/>
            <w:gridSpan w:val="22"/>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Principal Accounting Fees and Services</w:t>
              </w:r>
            </w:hyperlink>
          </w:p>
        </w:tc>
        <w:tc>
          <w:tcPr>
            <w:tcW w:w="146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102</w:t>
              </w:r>
            </w:hyperlink>
          </w:p>
        </w:tc>
        <w:tc>
          <w:tcPr>
            <w:tcW w:w="20" w:type="dxa"/>
            <w:vAlign w:val="bottom"/>
          </w:tcPr>
          <w:p>
            <w:pPr>
              <w:spacing w:after="0"/>
              <w:rPr>
                <w:sz w:val="17"/>
                <w:szCs w:val="17"/>
                <w:color w:val="auto"/>
              </w:rPr>
            </w:pPr>
          </w:p>
        </w:tc>
      </w:tr>
      <w:tr>
        <w:trPr>
          <w:trHeight w:val="447"/>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560" w:type="dxa"/>
            <w:vAlign w:val="bottom"/>
          </w:tcPr>
          <w:p>
            <w:pPr>
              <w:ind w:left="140"/>
              <w:spacing w:after="0" w:line="181" w:lineRule="exact"/>
              <w:rPr>
                <w:sz w:val="20"/>
                <w:szCs w:val="20"/>
                <w:color w:val="auto"/>
              </w:rPr>
            </w:pPr>
            <w:r>
              <w:rPr>
                <w:rFonts w:ascii="Arial" w:cs="Arial" w:eastAsia="Arial" w:hAnsi="Arial"/>
                <w:sz w:val="16"/>
                <w:szCs w:val="16"/>
                <w:color w:val="auto"/>
              </w:rPr>
              <w:t>Item 15.</w:t>
            </w:r>
          </w:p>
        </w:tc>
        <w:tc>
          <w:tcPr>
            <w:tcW w:w="3500" w:type="dxa"/>
            <w:vAlign w:val="bottom"/>
            <w:tcBorders>
              <w:bottom w:val="single" w:sz="8" w:color="0000FF"/>
            </w:tcBorders>
            <w:gridSpan w:val="12"/>
          </w:tcPr>
          <w:p>
            <w:pPr>
              <w:spacing w:after="0" w:line="181" w:lineRule="exact"/>
              <w:rPr>
                <w:rFonts w:ascii="Arial" w:cs="Arial" w:eastAsia="Arial" w:hAnsi="Arial"/>
                <w:sz w:val="16"/>
                <w:szCs w:val="16"/>
                <w:color w:val="0000FF"/>
                <w:w w:val="90"/>
              </w:rPr>
            </w:pPr>
            <w:hyperlink w:anchor="page106">
              <w:r>
                <w:rPr>
                  <w:rFonts w:ascii="Arial" w:cs="Arial" w:eastAsia="Arial" w:hAnsi="Arial"/>
                  <w:sz w:val="16"/>
                  <w:szCs w:val="16"/>
                  <w:color w:val="0000FF"/>
                  <w:w w:val="90"/>
                </w:rPr>
                <w:t>Exhibits, Consolidated Financial Statement Schedules</w:t>
              </w:r>
            </w:hyperlink>
          </w:p>
        </w:tc>
        <w:tc>
          <w:tcPr>
            <w:tcW w:w="4700" w:type="dxa"/>
            <w:vAlign w:val="bottom"/>
            <w:gridSpan w:val="10"/>
          </w:tcPr>
          <w:p>
            <w:pPr>
              <w:spacing w:after="0"/>
              <w:rPr>
                <w:sz w:val="15"/>
                <w:szCs w:val="15"/>
                <w:color w:val="auto"/>
              </w:rPr>
            </w:pPr>
          </w:p>
        </w:tc>
        <w:tc>
          <w:tcPr>
            <w:tcW w:w="1460" w:type="dxa"/>
            <w:vAlign w:val="bottom"/>
          </w:tcPr>
          <w:p>
            <w:pPr>
              <w:jc w:val="right"/>
              <w:spacing w:after="0" w:line="181" w:lineRule="exact"/>
              <w:rPr>
                <w:rFonts w:ascii="Arial" w:cs="Arial" w:eastAsia="Arial" w:hAnsi="Arial"/>
                <w:sz w:val="16"/>
                <w:szCs w:val="16"/>
                <w:color w:val="auto"/>
              </w:rPr>
            </w:pPr>
            <w:hyperlink w:anchor="page106">
              <w:r>
                <w:rPr>
                  <w:rFonts w:ascii="Arial" w:cs="Arial" w:eastAsia="Arial" w:hAnsi="Arial"/>
                  <w:sz w:val="16"/>
                  <w:szCs w:val="16"/>
                  <w:color w:val="auto"/>
                </w:rPr>
                <w:t>103</w:t>
              </w:r>
            </w:hyperlink>
          </w:p>
        </w:tc>
        <w:tc>
          <w:tcPr>
            <w:tcW w:w="20" w:type="dxa"/>
            <w:vAlign w:val="bottom"/>
          </w:tcPr>
          <w:p>
            <w:pPr>
              <w:spacing w:after="0"/>
              <w:rPr>
                <w:sz w:val="15"/>
                <w:szCs w:val="15"/>
                <w:color w:val="auto"/>
              </w:rPr>
            </w:pPr>
          </w:p>
        </w:tc>
      </w:tr>
      <w:tr>
        <w:trPr>
          <w:trHeight w:val="196"/>
        </w:trPr>
        <w:tc>
          <w:tcPr>
            <w:tcW w:w="1560" w:type="dxa"/>
            <w:vAlign w:val="bottom"/>
          </w:tcPr>
          <w:p>
            <w:pPr>
              <w:ind w:left="140"/>
              <w:spacing w:after="0"/>
              <w:rPr>
                <w:sz w:val="20"/>
                <w:szCs w:val="20"/>
                <w:color w:val="auto"/>
              </w:rPr>
            </w:pPr>
            <w:r>
              <w:rPr>
                <w:rFonts w:ascii="Arial" w:cs="Arial" w:eastAsia="Arial" w:hAnsi="Arial"/>
                <w:sz w:val="16"/>
                <w:szCs w:val="16"/>
                <w:color w:val="auto"/>
              </w:rPr>
              <w:t>Item 16.</w:t>
            </w:r>
          </w:p>
        </w:tc>
        <w:tc>
          <w:tcPr>
            <w:tcW w:w="8200" w:type="dxa"/>
            <w:vAlign w:val="bottom"/>
            <w:gridSpan w:val="22"/>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Form 10-K Summary</w:t>
              </w:r>
            </w:hyperlink>
          </w:p>
        </w:tc>
        <w:tc>
          <w:tcPr>
            <w:tcW w:w="146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106</w:t>
              </w:r>
            </w:hyperlink>
          </w:p>
        </w:tc>
        <w:tc>
          <w:tcPr>
            <w:tcW w:w="2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1380" w:type="dxa"/>
            <w:vAlign w:val="bottom"/>
            <w:tcBorders>
              <w:top w:val="single" w:sz="8" w:color="0000FF"/>
            </w:tcBorders>
            <w:gridSpan w:val="7"/>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Signatures</w:t>
              </w:r>
            </w:hyperlink>
          </w:p>
        </w:tc>
        <w:tc>
          <w:tcPr>
            <w:tcW w:w="6820" w:type="dxa"/>
            <w:vAlign w:val="bottom"/>
            <w:gridSpan w:val="15"/>
          </w:tcPr>
          <w:p>
            <w:pPr>
              <w:spacing w:after="0"/>
              <w:rPr>
                <w:sz w:val="17"/>
                <w:szCs w:val="17"/>
                <w:color w:val="auto"/>
              </w:rPr>
            </w:pPr>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107</w:t>
              </w:r>
            </w:hyperlink>
          </w:p>
        </w:tc>
        <w:tc>
          <w:tcPr>
            <w:tcW w:w="20" w:type="dxa"/>
            <w:vAlign w:val="bottom"/>
          </w:tcPr>
          <w:p>
            <w:pPr>
              <w:spacing w:after="0"/>
              <w:rPr>
                <w:sz w:val="17"/>
                <w:szCs w:val="17"/>
                <w:color w:val="auto"/>
              </w:rPr>
            </w:pPr>
          </w:p>
        </w:tc>
      </w:tr>
      <w:tr>
        <w:trPr>
          <w:trHeight w:val="1229"/>
        </w:trPr>
        <w:tc>
          <w:tcPr>
            <w:tcW w:w="15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60" w:firstLine="567"/>
        <w:spacing w:after="0" w:line="279" w:lineRule="auto"/>
        <w:rPr>
          <w:sz w:val="20"/>
          <w:szCs w:val="20"/>
          <w:color w:val="auto"/>
        </w:rPr>
      </w:pPr>
      <w:r>
        <w:rPr>
          <w:rFonts w:ascii="Arial" w:cs="Arial" w:eastAsia="Arial" w:hAnsi="Arial"/>
          <w:sz w:val="17"/>
          <w:szCs w:val="17"/>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skin toxicities associated with treatments with acne and hidradenitis suppurativa;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 and other financing transactions;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56" w:lineRule="exact"/>
        <w:rPr>
          <w:sz w:val="20"/>
          <w:szCs w:val="20"/>
          <w:color w:val="auto"/>
        </w:rPr>
      </w:pPr>
    </w:p>
    <w:p>
      <w:pPr>
        <w:ind w:right="260"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63" w:lineRule="exact"/>
        <w:rPr>
          <w:sz w:val="20"/>
          <w:szCs w:val="20"/>
          <w:color w:val="auto"/>
        </w:rPr>
      </w:pPr>
    </w:p>
    <w:p>
      <w:pPr>
        <w:ind w:right="82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6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180"/>
          </w:cols>
          <w:pgMar w:left="320" w:top="769" w:right="39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96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previously referred to as ANB030, and ANB032, are designed to modulate therapeutic targets that are genetically associated with human inflammatory disorders.</w:t>
      </w:r>
    </w:p>
    <w:p>
      <w:pPr>
        <w:spacing w:after="0" w:line="69"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available for 7 of the 8 patients enrolled, indicated homozygous wild-type IL-36RN, CARD14 and AP1S3 alleles.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63"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We met with the FDA during the second quarter of 2021 for an end-of-Phase 2 meeting to review an orphan disease registration plan for imsidolimab for the treatment of GPP. We initiated our first Phase 3 trial for imsidolimab for GPP, called GEMINI-1, during the third quarter of 2021. GEMINI-1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Generalized Pustular Psoriasis Physician’s Global Assessment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in treatment under GEMINI-1. The objective of GEMINI-2 is to assess the efficacy and safety of imsidolimab after 6 months of monthly dosing.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 w:name="page6"/>
    <w:bookmarkEnd w:id="5"/>
    <w:p>
      <w:pPr>
        <w:ind w:right="120" w:firstLine="567"/>
        <w:spacing w:after="0" w:line="277" w:lineRule="auto"/>
        <w:rPr>
          <w:sz w:val="20"/>
          <w:szCs w:val="20"/>
          <w:color w:val="auto"/>
        </w:rPr>
      </w:pPr>
      <w:r>
        <w:rPr>
          <w:rFonts w:ascii="Arial" w:cs="Arial" w:eastAsia="Arial" w:hAnsi="Arial"/>
          <w:sz w:val="18"/>
          <w:szCs w:val="18"/>
          <w:color w:val="auto"/>
        </w:rPr>
        <w:t>We are conducting a global registry of GPP patients, also referred to as the RADIANCE study, which we anticipate will improve understanding of the patient journey and assist in enrollment of future GPP clinical trials.</w:t>
      </w:r>
    </w:p>
    <w:p>
      <w:pPr>
        <w:spacing w:after="0" w:line="62"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 xml:space="preserve">We are conducting clinical development of imsidolimab in moderate-to-severe acne. Acne is the most common skin disorder in the United States, with approximately 3 million patients diagnosed with moderate-to-severe disease. Moderate-to-severe acne typically presents with painful papules, pustules, nodules, cysts and scarring. A key contributing factor to the pathogenesis of acne is the immune response to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P. </w:t>
      </w:r>
      <w:r>
        <w:rPr>
          <w:rFonts w:ascii="Arial" w:cs="Arial" w:eastAsia="Arial" w:hAnsi="Arial"/>
          <w:sz w:val="18"/>
          <w:szCs w:val="18"/>
          <w:i w:val="1"/>
          <w:iCs w:val="1"/>
          <w:color w:val="auto"/>
        </w:rPr>
        <w:t>acnes</w:t>
      </w:r>
      <w:r>
        <w:rPr>
          <w:rFonts w:ascii="Arial" w:cs="Arial" w:eastAsia="Arial" w:hAnsi="Arial"/>
          <w:sz w:val="18"/>
          <w:szCs w:val="18"/>
          <w:color w:val="auto"/>
        </w:rPr>
        <w:t>,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are conducting a Phase 2 clinical trial of imsidolimab, called ACORN, where 120 patients will be randomized equally between two dose levels of imsidolimab and placebo, for the treatment of moderate-to-severe acne, and we anticipate top-line data during the first half of 2022.</w:t>
      </w:r>
    </w:p>
    <w:p>
      <w:pPr>
        <w:spacing w:after="0" w:line="84" w:lineRule="exact"/>
        <w:rPr>
          <w:sz w:val="20"/>
          <w:szCs w:val="20"/>
          <w:color w:val="auto"/>
        </w:rPr>
      </w:pPr>
    </w:p>
    <w:p>
      <w:pPr>
        <w:ind w:right="100" w:firstLine="567"/>
        <w:spacing w:after="0" w:line="290"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second half of 2022.</w:t>
      </w:r>
    </w:p>
    <w:p>
      <w:pPr>
        <w:spacing w:after="0" w:line="57" w:lineRule="exact"/>
        <w:rPr>
          <w:sz w:val="20"/>
          <w:szCs w:val="20"/>
          <w:color w:val="auto"/>
        </w:rPr>
      </w:pPr>
    </w:p>
    <w:p>
      <w:pPr>
        <w:ind w:firstLine="567"/>
        <w:spacing w:after="0" w:line="267" w:lineRule="auto"/>
        <w:rPr>
          <w:sz w:val="20"/>
          <w:szCs w:val="20"/>
          <w:color w:val="auto"/>
        </w:rPr>
      </w:pPr>
      <w:r>
        <w:rPr>
          <w:rFonts w:ascii="Arial" w:cs="Arial" w:eastAsia="Arial" w:hAnsi="Arial"/>
          <w:sz w:val="17"/>
          <w:szCs w:val="17"/>
          <w:color w:val="auto"/>
        </w:rPr>
        <w:t>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i</w:t>
      </w:r>
      <w:r>
        <w:rPr>
          <w:rFonts w:ascii="Arial" w:cs="Arial" w:eastAsia="Arial" w:hAnsi="Arial"/>
          <w:sz w:val="17"/>
          <w:szCs w:val="17"/>
          <w:i w:val="1"/>
          <w:iCs w:val="1"/>
          <w:color w:val="auto"/>
        </w:rPr>
        <w:t>n vitro</w:t>
      </w:r>
      <w:r>
        <w:rPr>
          <w:rFonts w:ascii="Arial" w:cs="Arial" w:eastAsia="Arial" w:hAnsi="Arial"/>
          <w:sz w:val="17"/>
          <w:szCs w:val="17"/>
          <w:color w:val="auto"/>
        </w:rPr>
        <w:t xml:space="preserve"> activity of rosnilimab in alopecia areata patient samples. 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intravenous doses of rosnilimab ranging between 0.02mg to 600mg or placebo, while multiple ascending dose (MAD) cohorts received four weekly subcutaneous doses of rosnilimab ranging between 60mg and 400mg or placebo. Dose escalation was conducted subsequent to data safety monitoring board review of safety and tolerability parameters following each single and multiple ascending dose level. Rosnilimab was generally well-tolerated and no dose limiting toxicities were observed. The most frequent adverse event reported among SAD cohorts was increased circulating C-reactive protein levels of mild severity in nine (10%) rosnilimab-dosed subjects occurring sporadically in a dose-independent manner and a severe occurrence in one (3.3%) placebo-dosed subject. MAD cohorts reported headache as the most frequent adverse event with mild occurrences in three (12.5%) rosnilimab-dosed subjects and none in placebo subjects. Mild injection site reactions were observed in two subjects (11.1%) administered with multiple subcutaneous rosnilimab doses. Two serious adverse events were reported in single dose cohorts, including obstructive pancreatitis in a placebo-dosed subject and COVID-19 infection in a rosnilimab-dosed subject leading to discontinuation which was deemed unrelated to treatment. No serious adverse events were reported in subjects receiving multiple doses of rosnilimab or placebo.</w:t>
      </w:r>
    </w:p>
    <w:p>
      <w:pPr>
        <w:spacing w:after="0" w:line="83"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Pharmacokinetic analyses demonstrated a favorable profile for rosnilimab with an estimated two-week half-life for subcutaneous and intravenous routes of administration and approximately 80% bioavailability. Low-titer anti-drug antibodies were detected at low single dose levels in 19 (21%) rosnilimab-dosed subjects, but none were detected in high single dose or multiple dose subjects.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 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This effect was maximized on high-PD-1 expressing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 as ex vivo interferon-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t>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in vivo mechanism has the potential to treat T-cell driven human inflammatory diseases. During the fourth quarter of 2021, we initiated AZURE, a randomized placebo-controlled 45-patient Phase 2 trial of rosnilimab in moderate-to-severe alopecia areata patients with at least 50% scalp hair loss for at least 6 months prior to enrollment, where the primary endpoint is change in severity of alopecia tool (SALT) relative to baseline. We continue to assess clinical development opportunities for rosnilimab in additional indications, including vitiligo and rheumatoid arthritis, and will make decisions pending additional data.</w:t>
      </w:r>
    </w:p>
    <w:p>
      <w:pPr>
        <w:spacing w:after="0" w:line="69"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are conducting a healthy volunteer Phase 1 trial of ANB032,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71" w:lineRule="exact"/>
        <w:rPr>
          <w:sz w:val="20"/>
          <w:szCs w:val="20"/>
          <w:color w:val="auto"/>
        </w:rPr>
      </w:pPr>
    </w:p>
    <w:p>
      <w:pPr>
        <w:ind w:right="20" w:firstLine="567"/>
        <w:spacing w:after="0" w:line="233"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$226.9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 A second BLA submitted by GSK was accepted by the FDA during the first quarter of 2021 for JEMPERLI in pan-deficient mismatch repair tumors (“PdMMRT”). We received a $10.0 million cash milestone payment upon the FDA acceptance of GSK’s second FDA BLA for JEMPERLI and received $20.0 million cash milestone payment in September 2021, upon FDA approval of this second FDA BLA of JEMPERLI in August. JEMPERLI is currently in clinical development for various solid tumor indications, including dMMREC, PdMMRT, colorectal cancer, ovarian cancer, non-small cell lung cancer, cervical cancer, rectal cancer, clear cell sarcoma and head-and-neck squamous cell carcinoma. GSK is conducting combination trials of dostarlimab with Zejula, belantamab mafodotin (BCMA ADC), GSK6097608 (anti-CD96) and GSK3745417 (STING agonist). In addition, under GSK’s collaboration with iTeos Therapeutics, dostarlimab is being developed in combination with EOS-448 (anti-TIGIT) and inupadenant (A2A receptor antagonist) in various solid tumor indications, including registration-directed trials combining dostarlimab and EOS-448 for first-line PD-L1 high non-small cell lung cancer (NSCLC) patients, head and neck squamous cell cancer (HNSCC) and a third undisclosed indication. In June 2021, GSK publicly disclosed estimated potential peak annual global JEMPERLI sales on a non-risk adjusted basis of £1-£2 billion, which is currently equal to approximately $1.4 to $2.7 billion based on the GBP to USD exchange rate as of December 31, 2021, for currently approved indications and first-line use in endometrial and ovarian cancer only. 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In October 2021, we signed a royalty monetization agreement (“Royalty Monetization Agreement”) with Sagard Healthcare Royalty Partners (“Sagard”). Pursuant to this transaction, we received a $250.0 million payment upon closing in December 2021, in exchange for JEMPERLI royalties due to us on annual commercial sales below $1.0 billion and certain future milestones starting in October 2021. The aggregate JEMPERLI royalties and milestones to be received by Sagard under the Royalty Monetization Agreement is capped at certain fixed multiples of the upfront payment based upon time. For more information about these collaborations, see “— Collaborations”.</w:t>
      </w:r>
    </w:p>
    <w:p>
      <w:pPr>
        <w:spacing w:after="0" w:line="99"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Following the closing of the Sagard royalty monetization transaction, we ended 2021 with $615.2 million in cash, cash equivalents and investments and intend to continue to operate in a capital-efficient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83185</wp:posOffset>
            </wp:positionV>
            <wp:extent cx="5863590" cy="3857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We are continuing to proactively monitor and assess the COVID-19 global pandemic. The full impact of the COVID-19 pandemic is inherently uncertain. Our ongoing clinical trials have been, and may continue to be, affected by the closure of offices, or country borders, among other measures being put in place around the world.</w:t>
      </w:r>
    </w:p>
    <w:p>
      <w:pPr>
        <w:spacing w:after="0" w:line="76" w:lineRule="exact"/>
        <w:rPr>
          <w:sz w:val="20"/>
          <w:szCs w:val="20"/>
          <w:color w:val="auto"/>
        </w:rPr>
      </w:pPr>
    </w:p>
    <w:p>
      <w:pPr>
        <w:jc w:val="both"/>
        <w:ind w:right="160" w:firstLine="567"/>
        <w:spacing w:after="0" w:line="29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remote work, we continue to monitor developments of the COVID-19 pandemic and we may take further actions as may be required by government authorities or that we determine are in the best interests of our employees, patients, and business partners. We have implemented appropriate safety measures, following guidance from the Center for Disease Control and the Occupational Safety and Health Administration.</w:t>
      </w:r>
    </w:p>
    <w:p>
      <w:pPr>
        <w:spacing w:after="0" w:line="53" w:lineRule="exact"/>
        <w:rPr>
          <w:sz w:val="20"/>
          <w:szCs w:val="20"/>
          <w:color w:val="auto"/>
        </w:rPr>
      </w:pPr>
    </w:p>
    <w:p>
      <w:pPr>
        <w:jc w:val="both"/>
        <w:ind w:right="34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58" w:lineRule="exact"/>
        <w:rPr>
          <w:sz w:val="20"/>
          <w:szCs w:val="20"/>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wholly-owned lead product candidates to clinical milestones. </w:t>
      </w:r>
      <w:r>
        <w:rPr>
          <w:rFonts w:ascii="Arial" w:cs="Arial" w:eastAsia="Arial" w:hAnsi="Arial"/>
          <w:sz w:val="18"/>
          <w:szCs w:val="18"/>
          <w:color w:val="auto"/>
        </w:rPr>
        <w:t>We are working to demonstrate the safety and efficacy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pipeline programs. We are currently developing three wholly-owned programs to key 2022 milestones, including top-line data from our Phase 2 imsidolimab trials in moderate-to-severe acne and hidradenitis suppurativa in the first and second halves of 2022, respectively, and top-line data from our Phase 1 clinical trial of ANB032 in the first half of 2022.</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8" w:name="page9"/>
    <w:bookmarkEnd w:id="8"/>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SHM antibody generation platform, we are able to rapidly develop novel antibodies against biological targets. Our goal is to continue expanding our wholly-owned new therapeutic antibody program pipeline by innovating additional wholly-owned novel pipeline antibodies to potentially first-in-class immune-related targets.</w:t>
      </w:r>
    </w:p>
    <w:p>
      <w:pPr>
        <w:spacing w:after="0" w:line="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initial efficacy assessment.</w:t>
      </w:r>
    </w:p>
    <w:p>
      <w:pPr>
        <w:spacing w:after="0" w:line="59" w:lineRule="exact"/>
        <w:rPr>
          <w:rFonts w:ascii="Arial" w:cs="Arial" w:eastAsia="Arial" w:hAnsi="Arial"/>
          <w:sz w:val="17"/>
          <w:szCs w:val="17"/>
          <w:color w:val="auto"/>
        </w:rPr>
      </w:pPr>
    </w:p>
    <w:p>
      <w:pPr>
        <w:ind w:left="660" w:right="14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inflection points. For certain programs, we plan to seek strategic collaborations that provide us with funding, infrastructure and marketing resources to advance through development and commercialization.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pipeline programs, imsidolimab, rosnilimab and ANB032, are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Imsidolimab is an antibody that inhibits the function of IL-36R, which we are initially developing as a potential first-in-class therapy for multiple inflammation-mediated dermatological patient populations. GPP is a life-threatening, rare systemic inflammatory disorder, with no currently approved therapies. While initial GPP epidemiology studies suggested at least 3,000 patients in the United States, recent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have obtained FDA Orphan Drug Designation for imsidolimab for the treatment of GPP, and plan to seek Orphan Drug Designation for additional indications in the future. We initiated a Phase 3 clinical trial in GPP, called GEMINI-1, during the third quarter of 2021. We are also developing imsidolimab for moderate-to-severe acne which affects approximately 3 million patients in the United States, for which we anticipate top-line data during the first half of 2022, and moderate-to-severe hidradenitis suppurativa affecting approximately 150,000 patients in the United States, for which we anticipate top-line data during the second half of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right="140" w:firstLine="567"/>
        <w:spacing w:after="0" w:line="311" w:lineRule="auto"/>
        <w:rPr>
          <w:sz w:val="20"/>
          <w:szCs w:val="20"/>
          <w:color w:val="auto"/>
        </w:rPr>
      </w:pPr>
      <w:r>
        <w:rPr>
          <w:rFonts w:ascii="Arial" w:cs="Arial" w:eastAsia="Arial" w:hAnsi="Arial"/>
          <w:sz w:val="16"/>
          <w:szCs w:val="16"/>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41"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76"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that we conducted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79"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In addition, studies have demonstrated that humans with genetic mutations that downregulate IL-36 receptor activity are otherwise normal with no specific clinical phenotype.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 w:name="page10"/>
    <w:bookmarkEnd w:id="9"/>
    <w:p>
      <w:pPr>
        <w:jc w:val="both"/>
        <w:ind w:right="40" w:firstLine="567"/>
        <w:spacing w:after="0" w:line="263" w:lineRule="auto"/>
        <w:rPr>
          <w:sz w:val="20"/>
          <w:szCs w:val="20"/>
          <w:color w:val="auto"/>
        </w:rPr>
      </w:pPr>
      <w:r>
        <w:rPr>
          <w:rFonts w:ascii="Arial" w:cs="Arial" w:eastAsia="Arial" w:hAnsi="Arial"/>
          <w:sz w:val="18"/>
          <w:szCs w:val="18"/>
          <w:color w:val="auto"/>
        </w:rPr>
        <w:t>We believe that imsidolimab has the potential to be the first-in-class therapeutic antibody targeting IL-36R, serving as a therapeutic opportunity for patients with IL-36 signaling mediated inflammatory diseases. Translational studies have indicated that IL-36 signaling is upregulated in GPP, hidradenitis suppurativa and acne.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 Non-Clinical Development</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Imsidolimab was generated using our SHM technology platform and has demonstrated high functional potency in blocking human and cynomolgus monkey IL-36 signaling in preclinical studies.</w:t>
      </w:r>
    </w:p>
    <w:p>
      <w:pPr>
        <w:spacing w:after="0" w:line="62" w:lineRule="exact"/>
        <w:rPr>
          <w:sz w:val="20"/>
          <w:szCs w:val="20"/>
          <w:color w:val="auto"/>
        </w:rPr>
      </w:pPr>
    </w:p>
    <w:p>
      <w:pPr>
        <w:ind w:right="280" w:firstLine="567"/>
        <w:spacing w:after="0" w:line="285" w:lineRule="auto"/>
        <w:rPr>
          <w:sz w:val="20"/>
          <w:szCs w:val="20"/>
          <w:color w:val="auto"/>
        </w:rPr>
      </w:pPr>
      <w:r>
        <w:rPr>
          <w:rFonts w:ascii="Arial" w:cs="Arial" w:eastAsia="Arial" w:hAnsi="Arial"/>
          <w:sz w:val="16"/>
          <w:szCs w:val="16"/>
          <w:color w:val="auto"/>
        </w:rPr>
        <w:t xml:space="preserve">Imsidolimab blocks signal transduction through the human IL-36R and cynomolgus monkey IL-36R by inhibiting the interaction between the receptor and IL-36 alpha, IL-36 beta, and IL-36 gamma cytokines. The high potency and functional activity of imsidolimab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equilibrium dissociation constant, or KD, and half-maximal inhibitory concentration values, or IC50. Imsidolimab has demonstrated potent KD values of approximately of 71 pM and 209 pM for human IL-36R and cynomolgus monkey IL-36R, respectively. The antibody exhibits high specificity for IL-36R, displaying no detectable binding to related</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proteins. Functional potency of imsidolimab is at least 100-fold greater than IL-36RA in human systems, which is measured as the IC50 of inhibition of interleukin-8, or IL-8, release from human keratinocytes.</w:t>
      </w:r>
    </w:p>
    <w:p>
      <w:pPr>
        <w:spacing w:after="0" w:line="77" w:lineRule="exact"/>
        <w:rPr>
          <w:sz w:val="20"/>
          <w:szCs w:val="20"/>
          <w:color w:val="auto"/>
        </w:rPr>
      </w:pPr>
    </w:p>
    <w:p>
      <w:pPr>
        <w:ind w:right="60" w:firstLine="567"/>
        <w:spacing w:after="0" w:line="311" w:lineRule="auto"/>
        <w:rPr>
          <w:sz w:val="20"/>
          <w:szCs w:val="20"/>
          <w:color w:val="auto"/>
        </w:rPr>
      </w:pPr>
      <w:r>
        <w:rPr>
          <w:rFonts w:ascii="Arial" w:cs="Arial" w:eastAsia="Arial" w:hAnsi="Arial"/>
          <w:sz w:val="16"/>
          <w:szCs w:val="16"/>
          <w:color w:val="auto"/>
        </w:rPr>
        <w:t>Imsidolimab functional activity has been demonstrated through inhibition of IL-8 secretion from human primary keratinocytes when stimulated by IL-36 gamma of approximately 0.15 nM and 1.2 nM, respectively. Lower KD and IC50 values indicate higher potency and functional activity, respectively. Similar IC50 values were observed in those same preclinical studies when keratinocytes were stimulated with IL-36 alpha or beta.</w:t>
      </w:r>
    </w:p>
    <w:p>
      <w:pPr>
        <w:spacing w:after="0" w:line="41" w:lineRule="exact"/>
        <w:rPr>
          <w:sz w:val="20"/>
          <w:szCs w:val="20"/>
          <w:color w:val="auto"/>
        </w:rPr>
      </w:pPr>
    </w:p>
    <w:p>
      <w:pPr>
        <w:jc w:val="both"/>
        <w:ind w:right="300" w:firstLine="567"/>
        <w:spacing w:after="0" w:line="263" w:lineRule="auto"/>
        <w:rPr>
          <w:sz w:val="20"/>
          <w:szCs w:val="20"/>
          <w:color w:val="auto"/>
        </w:rPr>
      </w:pPr>
      <w:r>
        <w:rPr>
          <w:rFonts w:ascii="Arial" w:cs="Arial" w:eastAsia="Arial" w:hAnsi="Arial"/>
          <w:sz w:val="18"/>
          <w:szCs w:val="18"/>
          <w:color w:val="auto"/>
        </w:rPr>
        <w:t>To date, we have demonstrated that the half-life of imsidolimab in cynomolgus monkeys is more than nine days. Imsidolimab is well-expressed from Chinese hamster ovary cells, or CHO cells, and is readily purified using standard methodologies. In addition, the antibody retained full functional activity when incubated in normal human serum at 37 °C for one week.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 xml:space="preserve">We have completed, under an approved Clinical Trial Notification, or CTN, a Phase 1 clinical trial in healthy volunteers for which we announced positive top-line results from an interim analysis of this clinical trial and subsequently presented completed data from this clinical trial at the 2018 European Academy of Allergy and Clinical Immunology Congress. In the double-blinded, placebo-controlled healthy volunteer Phase 1 clinical trial, 36 subjects were administered a single subcutaneous or intravenous dose of imsidolimab ranging between 10 mg and 750 mg, 18 subjects were administered multiple ascending doses of imsidolimab intravenously ranging between 40 mg and 300 mg weekly for four consecutive weeks and 18 subjects were dosed with placebo. Imsidolimab was well-tolerated by all subjects, and no dose-limiting toxicities were observed. The most frequent treatment-emergent adverse events observed in the single ascending dose cohorts were upper respiratory tract infections in 10 of 36 (28%) subjects dosed with imsidolimab versus six of 12 (50%) subjects dosed with placebo and headache in 10 of 36 (28%) subjects dosed with imsidolimab versus three of 12 (25%) subjects dosed with placebo. In the multiple ascending dose cohorts, the most frequent treatment-emerging adverse events observed were headache in seven of 18 (39%) subjects dosed with imsidolimab versus one of six (17%) subjects dosed with placebo. No serious adverse events were reported among any subjects in the clinical trial.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half-life of imsidolimab was approximately 28 days for both subcutaneous and intravenous routes of administration, with bioavailability of approximately 90 percent. A single dose of imsidolimab at certain dose levels was able to completely suppress IL-36 cytokine function for 85 days, as measured by IL-36 cytokine-mediated release of IL-8 using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The favorable pharmacokinetics and pharmacodynamic properties of imsidolimab and other results demonstrated by this Phase 1 clinical trial supported advancement of imsidolimab into Phase 2 studies.</w:t>
      </w:r>
    </w:p>
    <w:p>
      <w:pPr>
        <w:spacing w:after="0" w:line="7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for patients on average by 29% at week 1, 54% at week 4 and 58% at week 16. Erythema with skin pustules, which clinically defines GPP, decreased by 60% at week 1 and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at week 16. Genotypic testing</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0" w:name="page11"/>
    <w:bookmarkEnd w:id="10"/>
    <w:p>
      <w:pPr>
        <w:ind w:right="20"/>
        <w:spacing w:after="0" w:line="269" w:lineRule="auto"/>
        <w:rPr>
          <w:sz w:val="20"/>
          <w:szCs w:val="20"/>
          <w:color w:val="auto"/>
        </w:rPr>
      </w:pPr>
      <w:r>
        <w:rPr>
          <w:rFonts w:ascii="Arial" w:cs="Arial" w:eastAsia="Arial" w:hAnsi="Arial"/>
          <w:sz w:val="17"/>
          <w:szCs w:val="17"/>
          <w:color w:val="auto"/>
        </w:rPr>
        <w:t xml:space="preserve">indicated homozygous wild-type IL-36RN, CARD14 and AP1S3 alleles for all 8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w:t>
      </w:r>
      <w:r>
        <w:rPr>
          <w:rFonts w:ascii="Arial" w:cs="Arial" w:eastAsia="Arial" w:hAnsi="Arial"/>
          <w:sz w:val="17"/>
          <w:szCs w:val="17"/>
          <w:i w:val="1"/>
          <w:iCs w:val="1"/>
          <w:color w:val="auto"/>
        </w:rPr>
        <w:t>Staphylococcal aureus</w:t>
      </w:r>
      <w:r>
        <w:rPr>
          <w:rFonts w:ascii="Arial" w:cs="Arial" w:eastAsia="Arial" w:hAnsi="Arial"/>
          <w:sz w:val="17"/>
          <w:szCs w:val="17"/>
          <w:color w:val="auto"/>
        </w:rPr>
        <w:t xml:space="preserve">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met with the FDA during the fourth quarter of 2020 to review an orphan disease registration plan for imsidolimab for the treatment of GPP and have initiated a Phase 3 clinical trial during the third quarter of 2021 following completion of protocol alignment and review of 16-week data from the GALLOP clinical trial by the FDA.</w:t>
      </w:r>
    </w:p>
    <w:p>
      <w:pPr>
        <w:spacing w:after="0" w:line="71"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In July 2020, the FDA granted Orphan Drug Designation for imsidolimab for the treatment of patients with GPP. GPP is a chronic, life-threatening, rare disease with no currently approved therapies. GPP is a systemic 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 While initial GPP epidemiology studies suggested at least 3,000 patients in the United States, recent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70"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We have initiated a global registry of GPP patients, also referred to as the RADIANCE study, which we anticipate will improve understanding of the patient journey in these two indications and assist in enrollment of future GPP clinical trials.</w:t>
      </w:r>
    </w:p>
    <w:p>
      <w:pPr>
        <w:spacing w:after="0" w:line="62"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 xml:space="preserve">We are conducting clinical development of imsidolimab in moderate-to-severe acne. Acne is the most common skin disorder in the United States, with approximately 3 million patients diagnosed with moderate-to-severe disease. Moderate-to-severe acne typically presents with painful papules, pustules, nodules, cysts and scarring. A key contributing factor to the pathogenesis of acne is the immune response to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w:t>
      </w:r>
      <w:r>
        <w:rPr>
          <w:rFonts w:ascii="Arial" w:cs="Arial" w:eastAsia="Arial" w:hAnsi="Arial"/>
          <w:sz w:val="18"/>
          <w:szCs w:val="18"/>
          <w:i w:val="1"/>
          <w:iCs w:val="1"/>
          <w:color w:val="auto"/>
        </w:rPr>
        <w:t>p. acnes</w:t>
      </w:r>
      <w:r>
        <w:rPr>
          <w:rFonts w:ascii="Arial" w:cs="Arial" w:eastAsia="Arial" w:hAnsi="Arial"/>
          <w:sz w:val="18"/>
          <w:szCs w:val="18"/>
          <w:color w:val="auto"/>
        </w:rPr>
        <w:t>,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are conducting a Phase 2 clinical trial of imsidolimab, called ACORN, where 120 patients will be randomized equally between two dose levels of imsidolimab and placebo, for the treatment of moderate-to-severe acne, and we anticipate top-line date during the first half of 2022.</w:t>
      </w:r>
    </w:p>
    <w:p>
      <w:pPr>
        <w:spacing w:after="0" w:line="84" w:lineRule="exact"/>
        <w:rPr>
          <w:sz w:val="20"/>
          <w:szCs w:val="20"/>
          <w:color w:val="auto"/>
        </w:rPr>
      </w:pPr>
    </w:p>
    <w:p>
      <w:pPr>
        <w:ind w:right="120" w:firstLine="567"/>
        <w:spacing w:after="0" w:line="290"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second half of 2022.</w:t>
      </w:r>
    </w:p>
    <w:p>
      <w:pPr>
        <w:spacing w:after="0" w:line="57"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Modulator Programs</w:t>
      </w:r>
    </w:p>
    <w:p>
      <w:pPr>
        <w:spacing w:after="0" w:line="121" w:lineRule="exact"/>
        <w:rPr>
          <w:sz w:val="20"/>
          <w:szCs w:val="20"/>
          <w:color w:val="auto"/>
        </w:rPr>
      </w:pPr>
    </w:p>
    <w:p>
      <w:pPr>
        <w:ind w:right="940" w:firstLine="567"/>
        <w:spacing w:after="0" w:line="277" w:lineRule="auto"/>
        <w:rPr>
          <w:sz w:val="20"/>
          <w:szCs w:val="20"/>
          <w:color w:val="auto"/>
        </w:rPr>
      </w:pPr>
      <w:r>
        <w:rPr>
          <w:rFonts w:ascii="Arial" w:cs="Arial" w:eastAsia="Arial" w:hAnsi="Arial"/>
          <w:sz w:val="18"/>
          <w:szCs w:val="18"/>
          <w:color w:val="auto"/>
        </w:rPr>
        <w:t>We are developing anti-inflammatory checkpoint receptor antibodies to PD-1 and BTLA, each of which are genetically associated with inflammatory disease when dysregulated in humans.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firstLine="567"/>
        <w:spacing w:after="0" w:line="287" w:lineRule="auto"/>
        <w:rPr>
          <w:sz w:val="20"/>
          <w:szCs w:val="20"/>
          <w:color w:val="auto"/>
        </w:rPr>
      </w:pPr>
      <w:r>
        <w:rPr>
          <w:rFonts w:ascii="Arial" w:cs="Arial" w:eastAsia="Arial" w:hAnsi="Arial"/>
          <w:sz w:val="16"/>
          <w:szCs w:val="16"/>
          <w:color w:val="auto"/>
        </w:rPr>
        <w:t xml:space="preserve">Rosnilimab is an antibody that binds PD-1 in an agonistic manner, leading to reduced T cell activity and anti-inflammatory effects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PD-1 is a key inhibitory immune checkpoint receptor expressed by activated T cells. PD-1 activity contributes to downregulation of T cell mediated immune responses in healthy individuals. We believe insufficient PD-1 activity may be a key biological defect associated with human inflammatory diseases. According to a 2007 study, genetic mutations in the PD-1 pathway are associated with increased susceptibility to various inflammatory conditions. We hypothesize that augmenting PD-1 signaling by rosnilimab treatment has the potential to broadly suppress human inflammatory diseases. Rosnilimab was developed using our proprietary antibody discovery platform. We believe PD-1 agonist antibodies are challenging to discover due to the unique binding properties required to augment signaling through checkpoint receptors. Rosnilimab has been preclinically tested for key pharmacological properties (including binding potency, functional activity, epitope specificity,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pharmacokinetics) and manufacturability attributes (including expression and stability). Through translational biology, we plan to focus the clinical development of rosnilimab upon certain human autoimmune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of rosnilimab in alopecia areata patient samples.</w:t>
      </w:r>
    </w:p>
    <w:p>
      <w:pPr>
        <w:spacing w:after="0" w:line="64"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intravenous doses of rosnilimab ranging between 0.02mg to 600mg or placebo, while multiple ascending dose (MAD) cohorts received four weekly subcutaneous doses of rosnilimab ranging between 60mg and 400mg or placebo. Dose escalation was conducted subsequent to data safety monitoring board review of safety and tolerability parameters following each single and multiple ascending dose level. Rosnilimab was generally well-tolerated and no dose limiting toxicities were observed. The most frequent adverse event reported among SAD cohorts was increased circulating C-reactive protein levels of mild severity in nine (10%) rosnilimab-dosed subjects occurring sporadically in a dose-independent manner and a severe occurrence in one (3.3%) placebo-dosed subject. MAD cohorts reported headache as the most frequent adverse event with mild occurrences in three</w:t>
      </w:r>
    </w:p>
    <w:p>
      <w:pPr>
        <w:spacing w:after="0" w:line="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(12.5%) rosnilimab-dosed subjects and none in placebo subjects. Mild injection site reactions were observed in two subjects (11.1%) administered with multiple subcutaneous rosnilimab doses. Two serious adverse events were reported in single dose cohorts, including obstructive pancreatitis in a placebo-dosed subject and COVID-19 infection in a rosnilimab-dosed subject leading to discontinuation which was deemed unrelated to treatment. No serious adverse events were reported in subjects receiving multiple doses of rosnilimab or placebo.</w:t>
      </w:r>
    </w:p>
    <w:p>
      <w:pPr>
        <w:spacing w:after="0" w:line="68" w:lineRule="exact"/>
        <w:rPr>
          <w:sz w:val="20"/>
          <w:szCs w:val="20"/>
          <w:color w:val="auto"/>
        </w:rPr>
      </w:pPr>
    </w:p>
    <w:p>
      <w:pPr>
        <w:ind w:right="20" w:firstLine="567"/>
        <w:spacing w:after="0" w:line="285" w:lineRule="auto"/>
        <w:rPr>
          <w:sz w:val="20"/>
          <w:szCs w:val="20"/>
          <w:color w:val="auto"/>
        </w:rPr>
      </w:pPr>
      <w:r>
        <w:rPr>
          <w:rFonts w:ascii="Arial" w:cs="Arial" w:eastAsia="Arial" w:hAnsi="Arial"/>
          <w:sz w:val="16"/>
          <w:szCs w:val="16"/>
          <w:color w:val="auto"/>
        </w:rPr>
        <w:t>Pharmacokinetic analyses demonstrated a favorable profile for rosnilimab with an estimated two-week half-life for subcutaneous and intravenous routes of administration and approximately 80% bioavailability. Low-titer anti-drug antibodies were detected at low single dose levels in 19 (21%) rosnilimab-dosed subjects, but none were detected in high single dose or multiple dose subjects.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 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This effect was maximized on high-PD-1 expressing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 as ex vivo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in vivo mechanism has the potential to treat T-cell driven human inflammatory diseases. During the fourth quarter of 2021, we initiated AZURE, a randomized placebo-controlled 45-patient Phase 2 trial of rosnilimab in moderate-to-severe alopecia areata patients with at least 50% scalp hair loss for at least 6 months prior to enrollment, where the primary endpoint is change in severity of alopecia tool (SALT) relative to baseline. We continue to assess clinical development opportunities for rosnilimab in additional indications, including vitiligo and rheumatoid arthritis, and will make decisions pending additional data.</w:t>
      </w:r>
    </w:p>
    <w:p>
      <w:pPr>
        <w:spacing w:after="0" w:line="6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 xml:space="preserve">ANB032 is an antibody that modulates BTLA in a manner that results in anti-inflammatory effects </w:t>
      </w:r>
      <w:r>
        <w:rPr>
          <w:rFonts w:ascii="Arial" w:cs="Arial" w:eastAsia="Arial" w:hAnsi="Arial"/>
          <w:sz w:val="18"/>
          <w:szCs w:val="18"/>
          <w:i w:val="1"/>
          <w:iCs w:val="1"/>
          <w:color w:val="auto"/>
        </w:rPr>
        <w:t>in vivo</w:t>
      </w:r>
      <w:r>
        <w:rPr>
          <w:rFonts w:ascii="Arial" w:cs="Arial" w:eastAsia="Arial" w:hAnsi="Arial"/>
          <w:sz w:val="18"/>
          <w:szCs w:val="18"/>
          <w:color w:val="auto"/>
        </w:rPr>
        <w:t>. BTLA is broadly expressed upon lymphoid (including T and B) cells and myeloid cells (including dendritic cells) and therefore involved in a spectrum of inflammatory responses. We believe that the binding of BTLA with LIGHT, a receptor also known as TSFSR14, results in pro-inflammatory signaling across various immune cells, and that stabilization of BTLA’s binding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right="60"/>
        <w:spacing w:after="0" w:line="263" w:lineRule="auto"/>
        <w:rPr>
          <w:sz w:val="20"/>
          <w:szCs w:val="20"/>
          <w:color w:val="auto"/>
        </w:rPr>
      </w:pPr>
      <w:r>
        <w:rPr>
          <w:rFonts w:ascii="Arial" w:cs="Arial" w:eastAsia="Arial" w:hAnsi="Arial"/>
          <w:sz w:val="18"/>
          <w:szCs w:val="18"/>
          <w:color w:val="auto"/>
        </w:rPr>
        <w:t xml:space="preserve">HVEM, which is mediated by ANB032 treatment, leads to an anti-inflammatory effect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Genetic studies have demonstrated that dysregulated BTLA signaling, which favors pro-inflammatory activity, is associated with certain human inflammatory diseases (Lin et al. J Biomed Sci. 2006). ANB032 has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in an animal disease model.</w:t>
      </w:r>
    </w:p>
    <w:p>
      <w:pPr>
        <w:spacing w:after="0" w:line="76"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We are conducting a healthy volunteer Phase 1 trial of ANB032,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84"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24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w:t>
      </w:r>
    </w:p>
    <w:p>
      <w:pPr>
        <w:spacing w:after="0" w:line="27" w:lineRule="exact"/>
        <w:rPr>
          <w:rFonts w:ascii="Arial" w:cs="Arial" w:eastAsia="Arial" w:hAnsi="Arial"/>
          <w:sz w:val="18"/>
          <w:szCs w:val="18"/>
          <w:color w:val="auto"/>
        </w:rPr>
      </w:pPr>
    </w:p>
    <w:p>
      <w:pPr>
        <w:ind w:left="660"/>
        <w:spacing w:after="0" w:line="260" w:lineRule="auto"/>
        <w:rPr>
          <w:rFonts w:ascii="Arial" w:cs="Arial" w:eastAsia="Arial" w:hAnsi="Arial"/>
          <w:sz w:val="18"/>
          <w:szCs w:val="18"/>
          <w:color w:val="auto"/>
        </w:rPr>
      </w:pPr>
      <w:r>
        <w:rPr>
          <w:rFonts w:ascii="Arial" w:cs="Arial" w:eastAsia="Arial" w:hAnsi="Arial"/>
          <w:sz w:val="18"/>
          <w:szCs w:val="18"/>
          <w:color w:val="auto"/>
        </w:rPr>
        <w:t>molecules. Full length antibodies tend to exhibit serum half-lives of seven to 24 days in humans, leading to bi-weekly or monthly dosing as typical practice for therapeutic antibodies.</w:t>
      </w:r>
    </w:p>
    <w:p>
      <w:pPr>
        <w:spacing w:after="0" w:line="73" w:lineRule="exact"/>
        <w:rPr>
          <w:rFonts w:ascii="Arial" w:cs="Arial" w:eastAsia="Arial" w:hAnsi="Arial"/>
          <w:sz w:val="18"/>
          <w:szCs w:val="18"/>
          <w:color w:val="auto"/>
        </w:rPr>
      </w:pPr>
    </w:p>
    <w:p>
      <w:pPr>
        <w:ind w:left="660" w:right="80" w:hanging="328"/>
        <w:spacing w:after="0" w:line="347"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59" w:lineRule="exact"/>
        <w:rPr>
          <w:sz w:val="20"/>
          <w:szCs w:val="20"/>
          <w:color w:val="auto"/>
        </w:rPr>
      </w:pPr>
    </w:p>
    <w:p>
      <w:pPr>
        <w:ind w:left="660" w:right="120" w:hanging="328"/>
        <w:spacing w:after="0" w:line="28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49" w:lineRule="exact"/>
        <w:rPr>
          <w:rFonts w:ascii="Arial" w:cs="Arial" w:eastAsia="Arial" w:hAnsi="Arial"/>
          <w:sz w:val="17"/>
          <w:szCs w:val="17"/>
          <w:color w:val="auto"/>
        </w:rPr>
      </w:pPr>
    </w:p>
    <w:p>
      <w:pPr>
        <w:ind w:left="660" w:right="48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7" w:lineRule="exact"/>
        <w:rPr>
          <w:rFonts w:ascii="Arial" w:cs="Arial" w:eastAsia="Arial" w:hAnsi="Arial"/>
          <w:sz w:val="18"/>
          <w:szCs w:val="18"/>
          <w:color w:val="auto"/>
        </w:rPr>
      </w:pPr>
    </w:p>
    <w:p>
      <w:pPr>
        <w:jc w:val="both"/>
        <w:ind w:left="660" w:right="2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ind w:left="660" w:right="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72"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84" w:lineRule="exact"/>
        <w:rPr>
          <w:sz w:val="20"/>
          <w:szCs w:val="20"/>
          <w:color w:val="auto"/>
        </w:rPr>
      </w:pPr>
    </w:p>
    <w:p>
      <w:pPr>
        <w:ind w:firstLine="567"/>
        <w:spacing w:after="0" w:line="260" w:lineRule="auto"/>
        <w:rPr>
          <w:sz w:val="20"/>
          <w:szCs w:val="20"/>
          <w:color w:val="auto"/>
        </w:rPr>
      </w:pPr>
      <w:r>
        <w:rPr>
          <w:rFonts w:ascii="Arial" w:cs="Arial" w:eastAsia="Arial" w:hAnsi="Arial"/>
          <w:sz w:val="17"/>
          <w:szCs w:val="17"/>
          <w:i w:val="1"/>
          <w:iCs w:val="1"/>
          <w:color w:val="auto"/>
        </w:rPr>
        <w:t>Microbial antibody display systems</w:t>
      </w:r>
      <w:r>
        <w:rPr>
          <w:rFonts w:ascii="Arial" w:cs="Arial" w:eastAsia="Arial" w:hAnsi="Arial"/>
          <w:sz w:val="17"/>
          <w:szCs w:val="17"/>
          <w:color w:val="auto"/>
        </w:rPr>
        <w:t>. Microbial antibody display systems require screening of antibodies, typically formatted as antibody fragments,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static library diversity displayed on a bacterial or yeast microbial cell surface. The static nature of these libraries limits the range of antibody specificities to values around 10</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or 10</w:t>
      </w:r>
      <w:r>
        <w:rPr>
          <w:rFonts w:ascii="Arial" w:cs="Arial" w:eastAsia="Arial" w:hAnsi="Arial"/>
          <w:sz w:val="22"/>
          <w:szCs w:val="22"/>
          <w:color w:val="auto"/>
          <w:vertAlign w:val="superscript"/>
        </w:rPr>
        <w:t>10</w:t>
      </w:r>
      <w:r>
        <w:rPr>
          <w:rFonts w:ascii="Arial" w:cs="Arial" w:eastAsia="Arial" w:hAnsi="Arial"/>
          <w:sz w:val="17"/>
          <w:szCs w:val="17"/>
          <w:color w:val="auto"/>
        </w:rPr>
        <w:t>,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80"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i w:val="1"/>
          <w:iCs w:val="1"/>
          <w:color w:val="auto"/>
        </w:rPr>
        <w:t>Human B cell screening methodologies</w:t>
      </w:r>
      <w:r>
        <w:rPr>
          <w:rFonts w:ascii="Arial" w:cs="Arial" w:eastAsia="Arial" w:hAnsi="Arial"/>
          <w:sz w:val="17"/>
          <w:szCs w:val="17"/>
          <w:color w:val="auto"/>
        </w:rPr>
        <w:t>. Human B cell screening methodologies involve the screening and isolation of antibodies from peripheral</w:t>
      </w:r>
      <w:r>
        <w:rPr>
          <w:rFonts w:ascii="Arial" w:cs="Arial" w:eastAsia="Arial" w:hAnsi="Arial"/>
          <w:sz w:val="17"/>
          <w:szCs w:val="17"/>
          <w:i w:val="1"/>
          <w:iCs w:val="1"/>
          <w:color w:val="auto"/>
        </w:rPr>
        <w:t xml:space="preserve"> </w:t>
      </w:r>
      <w:r>
        <w:rPr>
          <w:rFonts w:ascii="Arial" w:cs="Arial" w:eastAsia="Arial" w:hAnsi="Arial"/>
          <w:sz w:val="17"/>
          <w:szCs w:val="17"/>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240" w:firstLine="567"/>
        <w:spacing w:after="0" w:line="296" w:lineRule="auto"/>
        <w:rPr>
          <w:sz w:val="20"/>
          <w:szCs w:val="20"/>
          <w:color w:val="auto"/>
        </w:rPr>
      </w:pPr>
      <w:r>
        <w:rPr>
          <w:rFonts w:ascii="Arial" w:cs="Arial" w:eastAsia="Arial" w:hAnsi="Arial"/>
          <w:sz w:val="16"/>
          <w:szCs w:val="16"/>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6"/>
          <w:szCs w:val="16"/>
          <w:i w:val="1"/>
          <w:iCs w:val="1"/>
          <w:color w:val="auto"/>
        </w:rPr>
        <w:t>in vitro</w:t>
      </w:r>
      <w:r>
        <w:rPr>
          <w:rFonts w:ascii="Arial" w:cs="Arial" w:eastAsia="Arial" w:hAnsi="Arial"/>
          <w:sz w:val="16"/>
          <w:szCs w:val="16"/>
          <w:color w:val="auto"/>
        </w:rPr>
        <w:t>. SHM is a critical, endogenous process that generates the essential antibody diversity required to develop a natural immune response to pathogens. Human genomes encode a limited number of antibody genes, which are insufficient to generate antibodies against the wide variety of foreign pathogens encountered from the external environment. SHM enables the human immune system to expand the limited diversity encoded within human genomes to the billions of antibody specificities required to defend against external pathogens.</w:t>
      </w:r>
    </w:p>
    <w:p>
      <w:pPr>
        <w:spacing w:after="0" w:line="53" w:lineRule="exact"/>
        <w:rPr>
          <w:sz w:val="20"/>
          <w:szCs w:val="20"/>
          <w:color w:val="auto"/>
        </w:rPr>
      </w:pPr>
    </w:p>
    <w:p>
      <w:pPr>
        <w:ind w:right="260" w:firstLine="567"/>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80"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56"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w:t>
      </w:r>
    </w:p>
    <w:p>
      <w:pPr>
        <w:spacing w:after="0" w:line="80"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Each evolving antibody is expressed within the SHM-active mammalian cell to concurrently display the evolved antibody on the cell surface to permit cell sorting selection for potency properties while the same antibody is secreted into the extracellular media at sufficient quantities to permit functional assays to be conducted. In this manner, the evolving antibodies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expressed by each transfected cell are assessed in a high-throughput fashion for the desired functional activity relevant to the therapeutic mechanism.</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13" w:lineRule="exact"/>
        <w:rPr>
          <w:sz w:val="20"/>
          <w:szCs w:val="20"/>
          <w:color w:val="auto"/>
        </w:rPr>
      </w:pPr>
    </w:p>
    <w:p>
      <w:pPr>
        <w:ind w:left="660" w:right="3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67" w:lineRule="exact"/>
        <w:rPr>
          <w:rFonts w:ascii="Arial" w:cs="Arial" w:eastAsia="Arial" w:hAnsi="Arial"/>
          <w:sz w:val="18"/>
          <w:szCs w:val="18"/>
          <w:color w:val="auto"/>
        </w:rPr>
      </w:pPr>
    </w:p>
    <w:p>
      <w:pPr>
        <w:ind w:left="660" w:right="20" w:hanging="328"/>
        <w:spacing w:after="0" w:line="312"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ind w:left="66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67"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67"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GlaxoSmithKline</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We executed an amendment in November 2014 to add an additional dual-reactive antibody product candidate. Under the terms of the GSK Agreement, as amended, we granted GSK an exclusive, royalty-bearing, sub-licensable worldwide license to research, develop, manufacture, market and sell products based on our proprietary technology for the discovery, generation and optimization of certain specified immunotherapy antibodies. We have granted GSK exclusive rights to three monospecific antibody product candidates targeting TIM-3 (TSR-022), LAG-3 (TSR-033) and PD-1 (TSR-042) and a bispecific antibody product candidates targeting PD-1 and LAG-3. Under the GSK Agreement, as amended, we are responsible for performing initial discovery and development of therapeutic antibodies with the goal of generating immunotherapy antibodies for use in the treatment of cancer. GSK is responsible for all subsequent preclinical, clinical, regulatory, manufacturing and other activities necessary to develop and commercialize antibodies selected under each of six development programs, and GSK is obligated to use commercially reasonable efforts to research, develop and commercialize at least one product to each of the four targets. During the term, other than under the collaboration, and except as amended by the October 23, 2020 amendment of the GSK Agreement (described below), both GSK and we are prohibited from developing and commercializing, independently or with a third party, any agents targeting LAG-3, PD-1 or TIM- 3, as single agents or in combination with other therapies. We completed our responsibilities under the terms of the GSK Agreement as of December 31, 2016 to generate and develop antibodies to certain defined stages of preclinical development.</w:t>
      </w:r>
    </w:p>
    <w:p>
      <w:pPr>
        <w:spacing w:after="0" w:line="63"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Under the terms of the GSK Agreement, as amended, GSK made up-front, non-creditable and non-refundable cash payments aggregating $19.0 million to us during 2014. GSK was also required to reimburse us on a quarterly basis for specified costs incurred by us in our initial discovery and development activities covered by the agreement. For each of the targets for which GSK is granted exclusive rights, GSK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GSK will also be required to pay us tiered royalties ranging from 4% to 8%, for each product developed under the agreement, except in the case of dostarlimab where the royalties payable will be 8% to 25% (as explained in more detail below in connection with the October 23, 2020 amendment of the GSK Agreement), on a product- by-product basis, on worldwide annual net sales, and additional commercial milestone payments if specified levels of annual net sales of a product are attained.</w:t>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15" w:name="page16"/>
    <w:bookmarkEnd w:id="15"/>
    <w:p>
      <w:pPr>
        <w:ind w:firstLine="567"/>
        <w:spacing w:after="0" w:line="287" w:lineRule="auto"/>
        <w:rPr>
          <w:sz w:val="20"/>
          <w:szCs w:val="20"/>
          <w:color w:val="auto"/>
        </w:rPr>
      </w:pPr>
      <w:r>
        <w:rPr>
          <w:rFonts w:ascii="Arial" w:cs="Arial" w:eastAsia="Arial" w:hAnsi="Arial"/>
          <w:sz w:val="16"/>
          <w:szCs w:val="16"/>
          <w:color w:val="auto"/>
        </w:rPr>
        <w:t>On October 23, 2020, we again amended the GSK Agreement (the “2020 Amendment”). Under the 2020 Amendment, we agreed to permit GSK to conduct development and commercialization of Zejula in combination with any third-party molecules. Zejula is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has been approved for certain other indications, and is under development for additional cancer indications as well. In addition, under the 2020 Amendment, we were granted increased royalties upon sales of dostarlimab,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 from 12% up to 25% of Net Sales above $1.0 billion. The 2020 Amendment also provided for a one-time non-refundable cash payment of $60.0 million that we received in the fourth quarter of 2020. GSK also agreed, starting January 1, 2021, to pay us a 1% royalty on all GSK Net Sales of Zejula. The $1.1 billion in cash milestone payments due under the GSK Agreement remain unchanged. Additionally, under the terms of the 2020 Amendment, GSK has agreed to certain diligence commitments with respect to the future development of dostarlimab, and the parties have agreed to review such commitments under regular joint review committee meetings going forward.</w:t>
      </w:r>
    </w:p>
    <w:p>
      <w:pPr>
        <w:spacing w:after="0" w:line="60" w:lineRule="exact"/>
        <w:rPr>
          <w:sz w:val="20"/>
          <w:szCs w:val="20"/>
          <w:color w:val="auto"/>
        </w:rPr>
      </w:pPr>
    </w:p>
    <w:p>
      <w:pPr>
        <w:jc w:val="both"/>
        <w:ind w:right="100" w:firstLine="567"/>
        <w:spacing w:after="0" w:line="263" w:lineRule="auto"/>
        <w:rPr>
          <w:sz w:val="20"/>
          <w:szCs w:val="20"/>
          <w:color w:val="auto"/>
        </w:rPr>
      </w:pPr>
      <w:r>
        <w:rPr>
          <w:rFonts w:ascii="Arial" w:cs="Arial" w:eastAsia="Arial" w:hAnsi="Arial"/>
          <w:sz w:val="18"/>
          <w:szCs w:val="18"/>
          <w:color w:val="auto"/>
        </w:rPr>
        <w:t>This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76"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In October 2021, we signed the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The aggregate JEMPERLI royalties and milestones to be received by Sagard under the Royalty Monetization Agreement is capped at certain fixed multiples of the upfront payment based upon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Bristol-Myers Squibb</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December 2011, we entered into a license and collaboration agreement (the “BMS Agreement”) with Celgene, now a part of Bristol-Myers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Squibb (Celgene and Bristol-Myers Squibb are hereinafter referred to, collectively, as “BMS”), to develop therapeutic antibodies against multiple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targets. We completed our responsibilities under the terms of the BMS Agreement to generate antibodies against various mutually agreed biological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2014. On a target-by-target basis, we provided BMS an option to obtain rights to develop and commercialize a defined number of antibodies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each target. We were successful in generating antibodies against multiple targets and BMS has exercised its option with respect to antibodies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three targets. BMS is currently advancing two anti-inflammatory antibodies, of which an anti-PD-1 agonist antibody, also known as CC-90006,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currently in a Phase 1 clinical trial, while the other program is currently in preclinical development.</w:t>
      </w:r>
    </w:p>
    <w:p>
      <w:pPr>
        <w:spacing w:after="0" w:line="103"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Upon execution of the BMS Agreement in 2011, BMS paid us a one-time, non-refundable, non-creditable initial fee of $6.0 million. BMS has reimbursed us for specified research costs in accordance with the research plans. BMS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BMS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10 years after the first commercial sale of the product in such country.</w:t>
      </w:r>
    </w:p>
    <w:p>
      <w:pPr>
        <w:spacing w:after="0" w:line="87"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The BMS Agreement continues until our royalty rights on any BMS product resulting from the collaboration expire, which period will last at least ten years after any such product first goes to market. Either we or BMS may terminate the BMS Agreement in the event of an uncured material breach by the other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UKRI</w:t>
      </w:r>
    </w:p>
    <w:p>
      <w:pPr>
        <w:spacing w:after="0" w:line="121" w:lineRule="exact"/>
        <w:rPr>
          <w:sz w:val="20"/>
          <w:szCs w:val="20"/>
          <w:color w:val="auto"/>
        </w:rPr>
      </w:pPr>
    </w:p>
    <w:p>
      <w:pPr>
        <w:ind w:right="140" w:firstLine="567"/>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which has subsequently been acquired by United Kingdom Research and Innovation, or UKRI, to obtain rights to multiple patents and patent applications relating to fundamental discoveries with respect to SHM and AID by Dr. Michael Neuberger and his colleagues. We since amended this license agreement to include additional subject matter and reflect the change in ownership. Under the terms of the agreement, or the UKRI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purpose of commercializing such methods and products at least as diligently as we research and develop our other products of similar market potential and stages of development.</w:t>
      </w:r>
    </w:p>
    <w:p>
      <w:pPr>
        <w:spacing w:after="0" w:line="62"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are responsible for paying UKRI an annual fee of $55,000. Additionally, for each product developed and commercialized under the UKRI Agreement, we are obligated to pay UKRI up to an additional $175,000 upon the achievement of specified development milestone events and up to an additional $275,000 upon the achievement of specified regulatory milestone events. In addition, we owe UKRI royalties at 0.25% of annual net sales for worldwide sales on a product-by-product at or below $750.0 million and 1% of annual net sales of products worldwide above $750.0 million, payable on a country-by-country basis until the expiration of the last licensed patent covering such product in such country. Under this license agreement, we have rights to 14 patents worldwide as of December 31, 2021.</w:t>
      </w:r>
    </w:p>
    <w:p>
      <w:pPr>
        <w:spacing w:after="0" w:line="84"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Unless earlier terminated, the UKRI Agreement will expire upon expiration of all royalty payment obligations under the UKRI Agreement. Either party may terminate the UKRI Agreement in the event of an uncured material breach by the other party or upon the occurrence of specified bankruptcy events for the other party. We may terminate the UKRI Agreement upon 60 days’ notice to UKRI.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360" w:firstLine="567"/>
        <w:spacing w:after="0" w:line="286" w:lineRule="auto"/>
        <w:rPr>
          <w:sz w:val="20"/>
          <w:szCs w:val="20"/>
          <w:color w:val="auto"/>
        </w:rPr>
      </w:pPr>
      <w:r>
        <w:rPr>
          <w:rFonts w:ascii="Arial" w:cs="Arial" w:eastAsia="Arial" w:hAnsi="Arial"/>
          <w:sz w:val="16"/>
          <w:szCs w:val="16"/>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adjusted annually for inflation using the Consumer Price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Index. Additionally, for each product developed and commercialized under the Millipore Agreement, we are obligated to pay Millipore up to an additional $750,000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47" w:lineRule="exact"/>
        <w:rPr>
          <w:sz w:val="20"/>
          <w:szCs w:val="20"/>
          <w:color w:val="auto"/>
        </w:rPr>
      </w:pPr>
    </w:p>
    <w:p>
      <w:pPr>
        <w:jc w:val="both"/>
        <w:ind w:right="30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etokimab and imsidolimab. By establishing operations in Australia, we are able to access an established network of manufacturing and clinical development support contractors located in Australia and benefit from Australia’s streamlined approval processes for the initiation of first-in human studies. We have few employees with experience advancing product candidates through the Australian regulatory review process and have therefore engaged Australian consultants with expertise in the regulatory requirements and clinical development of therapeutic products in Australia. We are also working with established manufacturing and clinical development support contractors located in Australia, who are familiar with Australian regulatory and product development processes.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UKRI, as well as patents co-owned with GSK consisted of approximately 66 issued patents and 101 pending patent applications as of December 31, 2021.</w:t>
      </w:r>
    </w:p>
    <w:p>
      <w:pPr>
        <w:spacing w:after="0" w:line="49"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internal programs and platform technology are outlined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w:t>
      </w:r>
    </w:p>
    <w:p>
      <w:pPr>
        <w:spacing w:after="0" w:line="121"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As of December 31, 2021, we owned 23 patents and patent applications in various countries directed to the antibody sequence of imsidolimab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July 2041.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Rosnilimab</w:t>
      </w:r>
    </w:p>
    <w:p>
      <w:pPr>
        <w:spacing w:after="0" w:line="121" w:lineRule="exact"/>
        <w:rPr>
          <w:sz w:val="20"/>
          <w:szCs w:val="20"/>
          <w:color w:val="auto"/>
        </w:rPr>
      </w:pPr>
    </w:p>
    <w:p>
      <w:pPr>
        <w:ind w:right="100" w:firstLine="567"/>
        <w:spacing w:after="0" w:line="311" w:lineRule="auto"/>
        <w:rPr>
          <w:sz w:val="20"/>
          <w:szCs w:val="20"/>
          <w:color w:val="auto"/>
        </w:rPr>
      </w:pPr>
      <w:r>
        <w:rPr>
          <w:rFonts w:ascii="Arial" w:cs="Arial" w:eastAsia="Arial" w:hAnsi="Arial"/>
          <w:sz w:val="16"/>
          <w:szCs w:val="16"/>
          <w:color w:val="auto"/>
        </w:rPr>
        <w:t>As of December 31, 2021, we owned 15 patent applications in various countries directed to the antibody sequence of rosnilimab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June 2040.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ANB032</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As of December 31, 2021, we owned one international (PCT) patent application directed to the antibody sequence of ANB032 and its variants, methods of use and related matters. We intend to prosecute this pending application and, perhaps, other patent applications, and pursue patent issuance and protection in key commercial markets where significant product sales may occur. Patents that may issue from our pending application would provide protection until October 2041.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Dostarlimab (GSK4057190)</w:t>
      </w:r>
    </w:p>
    <w:p>
      <w:pPr>
        <w:spacing w:after="0" w:line="121"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As of December 31, 2021, we owned or co-owned 23 patents and patent applications in various countries directed to the antibody sequence of GSK4057190 (dostarlimab), an anti-PD-1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June 2038.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Cobolimab (GSK4069889)</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As of December 31, 2021, we owned or co-owned 20 patents and patent applications in various countries directed to the antibody sequence of GSK4069889 (cobolimab), an anti-TIM-3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November 2037.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GSK4074386</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As of December 31, 2021, we owned or co-owned 36 patents and patent applications in various countries directed to the antibody sequence of GSK4074386, an anti-LAG-3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April 2038.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emanating from our in-licensed portfolio and wholly-owned portfolio, in various jurisdictions.</w:t>
      </w:r>
    </w:p>
    <w:p>
      <w:pPr>
        <w:spacing w:after="0" w:line="62"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Our portfolio includes patents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May 2033.</w:t>
      </w:r>
    </w:p>
    <w:p>
      <w:pPr>
        <w:spacing w:after="0" w:line="41"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87"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from the U.S. Patent and Trademark Office, or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58" w:lineRule="exact"/>
        <w:rPr>
          <w:sz w:val="20"/>
          <w:szCs w:val="20"/>
          <w:color w:val="auto"/>
        </w:rPr>
      </w:pPr>
    </w:p>
    <w:p>
      <w:pPr>
        <w:ind w:right="80" w:firstLine="567"/>
        <w:spacing w:after="0" w:line="275"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68"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must manufacture drug product for clinical trial use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87"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to manufacture cGMP drug substance or filled drug product for use in human clinical trials.</w:t>
      </w:r>
    </w:p>
    <w:p>
      <w:pPr>
        <w:spacing w:after="0" w:line="76"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We rely on third-party manufacturers to generate cGMP-grade cell lines and will rely on them to produce cGMP drug product required for our planned clinical trials, and we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70"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73" w:lineRule="exact"/>
        <w:rPr>
          <w:sz w:val="20"/>
          <w:szCs w:val="20"/>
          <w:color w:val="auto"/>
        </w:rPr>
      </w:pPr>
    </w:p>
    <w:p>
      <w:pPr>
        <w:ind w:right="40" w:firstLine="567"/>
        <w:spacing w:after="0" w:line="296"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53"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product candidates, including major pharmaceutical companies.</w:t>
      </w:r>
    </w:p>
    <w:p>
      <w:pPr>
        <w:spacing w:after="0" w:line="62"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For GPP,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antagonist,an anti-IL-36 receptor antibody called spesolimab or BI-655130 (Boehringer Ingelheim) and an anti-IL-36 receptor antibody called REGN6490 (Regeneron).</w:t>
      </w:r>
    </w:p>
    <w:p>
      <w:pPr>
        <w:spacing w:after="0" w:line="80"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7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62"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For our PD-1 agonist antibody program, our competitors include CC-90006 (BMS), which is an anti-PD-1 agonist antibody developed under our partnership with BMS, a BTLA modulator antibody called LY3361237 being developed by Eli Lilly, a PD-1 agonist antibody called LY3462817 also being developed by Eli Lilly, a PD-1 agonist antibody called JNJ-67484703 (Janssen), two PD-1 agonist antibodies called PT627 and PT001 being developed by Pandion Therapeutics, which has been acquired by Merck and a PD-1 agonist antibody under preclinical development by MiroBio. Our competitors in moderate-to-severe alopecia areata include topical and oral corticosteroids, topical immunotherapy (diphencyprone, dinitrochlorobenzene, squaric acid dibutyl ester), calcineurin inhibitors (tacrolimus, pimecrolimus), prostaglandins and janus kinase inhibitors (tofacitinib, rixolitinib) currently in development. Our BTLA agonist antibody program competitors include LY3361237 (Lilly) which has demonstrated efficacy in treatment of systemic lupus erythematous as measured by the cutaneous lupus erythematosus disease area and severity index (CLASI), and a preclinical antibody under development at MiroBio.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00" w:firstLine="567"/>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ind w:right="20"/>
        <w:spacing w:after="0" w:line="272" w:lineRule="auto"/>
        <w:rPr>
          <w:sz w:val="20"/>
          <w:szCs w:val="20"/>
          <w:color w:val="auto"/>
        </w:rPr>
      </w:pPr>
      <w:r>
        <w:rPr>
          <w:rFonts w:ascii="Arial" w:cs="Arial" w:eastAsia="Arial" w:hAnsi="Arial"/>
          <w:sz w:val="17"/>
          <w:szCs w:val="17"/>
          <w:color w:val="auto"/>
        </w:rPr>
        <w:t>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69"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80"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or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or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80" w:lineRule="exact"/>
        <w:rPr>
          <w:sz w:val="20"/>
          <w:szCs w:val="20"/>
          <w:color w:val="auto"/>
        </w:rPr>
      </w:pPr>
    </w:p>
    <w:p>
      <w:pPr>
        <w:ind w:right="80" w:firstLine="567"/>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60"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right="80"/>
        <w:spacing w:after="0" w:line="254" w:lineRule="auto"/>
        <w:rPr>
          <w:sz w:val="20"/>
          <w:szCs w:val="20"/>
          <w:color w:val="auto"/>
        </w:rPr>
      </w:pPr>
      <w:r>
        <w:rPr>
          <w:rFonts w:ascii="Arial" w:cs="Arial" w:eastAsia="Arial" w:hAnsi="Arial"/>
          <w:sz w:val="18"/>
          <w:szCs w:val="18"/>
          <w:color w:val="auto"/>
        </w:rPr>
        <w:t>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87"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87" w:lineRule="exact"/>
        <w:rPr>
          <w:sz w:val="20"/>
          <w:szCs w:val="20"/>
          <w:color w:val="auto"/>
        </w:rPr>
      </w:pPr>
    </w:p>
    <w:p>
      <w:pPr>
        <w:ind w:right="160" w:firstLine="567"/>
        <w:spacing w:after="0" w:line="283"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or REMS to help ensure that the benefits of the biologic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product. Moreover, product approval may require substantial post-approval testing and surveillance to monitor the product’s safety or efficacy.</w:t>
      </w:r>
    </w:p>
    <w:p>
      <w:pPr>
        <w:spacing w:after="0" w:line="11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7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280" w:firstLine="567"/>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w:t>
      </w:r>
    </w:p>
    <w:p>
      <w:pPr>
        <w:spacing w:after="0" w:line="79" w:lineRule="exact"/>
        <w:rPr>
          <w:sz w:val="20"/>
          <w:szCs w:val="20"/>
          <w:color w:val="auto"/>
        </w:rPr>
      </w:pPr>
    </w:p>
    <w:p>
      <w:pPr>
        <w:ind w:right="100" w:firstLine="567"/>
        <w:spacing w:after="0" w:line="253" w:lineRule="auto"/>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8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Best Pharmaceuticals for Children Act, or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49"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3" w:name="page24"/>
    <w:bookmarkEnd w:id="23"/>
    <w:p>
      <w:pPr>
        <w:spacing w:after="0" w:line="311" w:lineRule="auto"/>
        <w:rPr>
          <w:sz w:val="20"/>
          <w:szCs w:val="20"/>
          <w:color w:val="auto"/>
        </w:rPr>
      </w:pPr>
      <w:r>
        <w:rPr>
          <w:rFonts w:ascii="Arial" w:cs="Arial" w:eastAsia="Arial" w:hAnsi="Arial"/>
          <w:sz w:val="16"/>
          <w:szCs w:val="16"/>
          <w:color w:val="auto"/>
        </w:rPr>
        <w:t>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41"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63" w:lineRule="exact"/>
        <w:rPr>
          <w:sz w:val="20"/>
          <w:szCs w:val="20"/>
          <w:color w:val="auto"/>
        </w:rPr>
      </w:pPr>
    </w:p>
    <w:p>
      <w:pPr>
        <w:ind w:right="160" w:firstLine="567"/>
        <w:spacing w:after="0" w:line="301"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The Biologics Price Competition and Innovation Act of 2009, or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58"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76" w:lineRule="exact"/>
        <w:rPr>
          <w:sz w:val="20"/>
          <w:szCs w:val="20"/>
          <w:color w:val="auto"/>
        </w:rPr>
      </w:pPr>
    </w:p>
    <w:p>
      <w:pPr>
        <w:ind w:right="140" w:firstLine="612"/>
        <w:spacing w:after="0" w:line="301" w:lineRule="auto"/>
        <w:rPr>
          <w:sz w:val="20"/>
          <w:szCs w:val="20"/>
          <w:color w:val="auto"/>
        </w:rPr>
      </w:pPr>
      <w:r>
        <w:rPr>
          <w:rFonts w:ascii="Arial" w:cs="Arial" w:eastAsia="Arial" w:hAnsi="Arial"/>
          <w:sz w:val="16"/>
          <w:szCs w:val="16"/>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49"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line="271" w:lineRule="auto"/>
        <w:rPr>
          <w:sz w:val="20"/>
          <w:szCs w:val="20"/>
          <w:color w:val="auto"/>
        </w:rPr>
      </w:pPr>
      <w:r>
        <w:rPr>
          <w:rFonts w:ascii="Arial" w:cs="Arial" w:eastAsia="Arial" w:hAnsi="Arial"/>
          <w:sz w:val="17"/>
          <w:szCs w:val="17"/>
          <w:color w:val="auto"/>
        </w:rPr>
        <w:t>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160" w:firstLine="567"/>
        <w:spacing w:after="0" w:line="286" w:lineRule="auto"/>
        <w:rPr>
          <w:sz w:val="20"/>
          <w:szCs w:val="20"/>
          <w:color w:val="auto"/>
        </w:rPr>
      </w:pPr>
      <w:r>
        <w:rPr>
          <w:rFonts w:ascii="Arial" w:cs="Arial" w:eastAsia="Arial" w:hAnsi="Arial"/>
          <w:sz w:val="16"/>
          <w:szCs w:val="16"/>
          <w:color w:val="auto"/>
        </w:rPr>
        <w:t xml:space="preserve">If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is essential for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would require us to obtain a premarket approval, or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66"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58"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 care laws and compliance requirements</w:t>
      </w:r>
    </w:p>
    <w:p>
      <w:pPr>
        <w:spacing w:after="0" w:line="121" w:lineRule="exact"/>
        <w:rPr>
          <w:sz w:val="20"/>
          <w:szCs w:val="20"/>
          <w:color w:val="auto"/>
        </w:rPr>
      </w:pPr>
    </w:p>
    <w:p>
      <w:pPr>
        <w:ind w:right="160" w:firstLine="567"/>
        <w:spacing w:after="0" w:line="273"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or HIPAA, and similar state laws, each as amended, as applicable.</w:t>
      </w:r>
    </w:p>
    <w:p>
      <w:pPr>
        <w:spacing w:after="0" w:line="70"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140"/>
        <w:spacing w:after="0" w:line="290" w:lineRule="auto"/>
        <w:rPr>
          <w:sz w:val="20"/>
          <w:szCs w:val="20"/>
          <w:color w:val="auto"/>
        </w:rPr>
      </w:pPr>
      <w:r>
        <w:rPr>
          <w:rFonts w:ascii="Arial" w:cs="Arial" w:eastAsia="Arial" w:hAnsi="Arial"/>
          <w:sz w:val="16"/>
          <w:szCs w:val="16"/>
          <w:color w:val="auto"/>
        </w:rPr>
        <w:t>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57" w:lineRule="exact"/>
        <w:rPr>
          <w:sz w:val="20"/>
          <w:szCs w:val="20"/>
          <w:color w:val="auto"/>
        </w:rPr>
      </w:pPr>
    </w:p>
    <w:p>
      <w:pPr>
        <w:ind w:right="260" w:firstLine="567"/>
        <w:spacing w:after="0" w:line="279"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63"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76"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84"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69" w:lineRule="exact"/>
        <w:rPr>
          <w:sz w:val="20"/>
          <w:szCs w:val="20"/>
          <w:color w:val="auto"/>
        </w:rPr>
      </w:pPr>
    </w:p>
    <w:p>
      <w:pPr>
        <w:jc w:val="both"/>
        <w:ind w:right="180" w:firstLine="567"/>
        <w:spacing w:after="0" w:line="263"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6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ind w:right="160"/>
        <w:spacing w:after="0" w:line="263" w:lineRule="auto"/>
        <w:rPr>
          <w:sz w:val="20"/>
          <w:szCs w:val="20"/>
          <w:color w:val="auto"/>
        </w:rPr>
      </w:pPr>
      <w:r>
        <w:rPr>
          <w:rFonts w:ascii="Arial" w:cs="Arial" w:eastAsia="Arial" w:hAnsi="Arial"/>
          <w:sz w:val="18"/>
          <w:szCs w:val="18"/>
          <w:color w:val="auto"/>
        </w:rPr>
        <w:t>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76"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58"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67"/>
        <w:spacing w:after="0" w:line="283"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w:t>
      </w:r>
    </w:p>
    <w:p>
      <w:pPr>
        <w:spacing w:after="0" w:line="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through their pricing and reimbursement rules and control of national health care systems that fund a large part of the cost of those products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consumers. Some jurisdictions operate positive and negative list systems under which products may only be marketed once a reimbursement price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To obtain reimbursement or pricing approval, some of these countries may require the completion of clinical trials that compare the cost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a particular product candidate to currently available therapies. Other member states allow companies to fix their own prices for medicines,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monitor and control company profits. The downward pressure on health care costs has become intense. As a result, increasingly high barriers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erected to the entry of new products. In addition, in some countries, cross-border imports from low-priced markets exert a commercial pressure on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a country.</w:t>
      </w:r>
    </w:p>
    <w:p>
      <w:pPr>
        <w:spacing w:after="0" w:line="103"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Health care reform</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In March 2010, President Obama enacted the ACA, which has begun to substantially change healthcare financing and delivery by both governmental and private insurers, and has also begun to significantly impact the pharmaceutical and biotechnology industry. The ACA will impact existing government healthcare programs and will result in the development of new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20" w:firstLine="567"/>
        <w:spacing w:after="0" w:line="29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or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60"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ind w:right="4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22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6"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Therapeutic Goods Administration, or the TGA, for quality, safety and efficacy must occur pursuant to either the Clinical Trial Notification, or CTN, or Clinical Trial Exemption, or CTX, process.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CTN process broadly involves: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institution or organization at which the clinical trial will be conducted, referred to as the “Approving Authority” gives the final approval for the conduct of the clinical trial at the site, having due regard to the advice from the HREC;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CTN clinical trials cannot commence until the clinical trial has been notified to the TGA.</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sponsor cannot commence a CTX clinical trial until written advice has been received from the TGA regarding the application and approval for the conduct of the clinical trial has been obtained from an ethics committee and the institution at which the clinical trial will be conducted.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117"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76"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clinical trial is submitted directly to the HREC of each institution at which the clinical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73"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The standards for clinical research in Australia are set by the TGA and the National Health and Medical Research Council, and compliance with GCP is mandatory. Guidelines, such as those promulgated by the International Conference 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Harmonisation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67"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As of December 31, 2021, we had 102 full-time employees. Of these employees, 81 were primarily engaged in research and development activities and 30 have an M.D. or a Ph.D. None of our employees are represented by a labor union or covered by collective bargaining agreements. We have never experienced a work stoppage and believe that we have good employee relations.</w:t>
      </w:r>
    </w:p>
    <w:p>
      <w:pPr>
        <w:spacing w:after="0" w:line="22" w:lineRule="exact"/>
        <w:rPr>
          <w:sz w:val="20"/>
          <w:szCs w:val="20"/>
          <w:color w:val="auto"/>
        </w:rPr>
      </w:pPr>
    </w:p>
    <w:p>
      <w:pPr>
        <w:ind w:right="120" w:firstLine="567"/>
        <w:spacing w:after="0" w:line="290" w:lineRule="auto"/>
        <w:rPr>
          <w:sz w:val="20"/>
          <w:szCs w:val="20"/>
          <w:color w:val="auto"/>
        </w:rPr>
      </w:pPr>
      <w:r>
        <w:rPr>
          <w:rFonts w:ascii="Arial" w:cs="Arial" w:eastAsia="Arial" w:hAnsi="Arial"/>
          <w:sz w:val="16"/>
          <w:szCs w:val="16"/>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best in class benefits that are tailored specifically to the needs and requests of our employees. During 2021, we worked to manage through the effects of the COVID-19 pandemic and entered 2022 stronger than ever. During 2021, all employees were retained at full salary and lab employees’ productivity and safety were a top priority. As appropriate, others were provided the option of working remotely or at our facilities with appropriate safeguards. We uphold our commitment to shareholders by working hard, being thoughtful about how we use resources and doing the right thing for the company at every turn.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240" w:firstLine="567"/>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281" w:lineRule="exact"/>
        <w:rPr>
          <w:sz w:val="20"/>
          <w:szCs w:val="20"/>
          <w:color w:val="auto"/>
        </w:rPr>
      </w:pPr>
    </w:p>
    <w:p>
      <w:pPr>
        <w:ind w:left="900" w:right="60" w:hanging="406"/>
        <w:spacing w:after="0" w:line="259"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120" w:hanging="406"/>
        <w:spacing w:after="0" w:line="342" w:lineRule="auto"/>
        <w:tabs>
          <w:tab w:leader="none" w:pos="8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left="406" w:right="320" w:hanging="406"/>
        <w:spacing w:after="0" w:line="286" w:lineRule="auto"/>
        <w:tabs>
          <w:tab w:leader="none" w:pos="4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406" w:right="160" w:hanging="406"/>
        <w:spacing w:after="0" w:line="342" w:lineRule="auto"/>
        <w:tabs>
          <w:tab w:leader="none" w:pos="4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406" w:right="200" w:hanging="406"/>
        <w:spacing w:after="0" w:line="277"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62" w:lineRule="exact"/>
        <w:rPr>
          <w:rFonts w:ascii="Arial" w:cs="Arial" w:eastAsia="Arial" w:hAnsi="Arial"/>
          <w:sz w:val="18"/>
          <w:szCs w:val="18"/>
          <w:color w:val="auto"/>
        </w:rPr>
      </w:pPr>
    </w:p>
    <w:p>
      <w:pPr>
        <w:jc w:val="both"/>
        <w:ind w:left="406" w:right="100" w:hanging="406"/>
        <w:spacing w:after="0" w:line="342" w:lineRule="auto"/>
        <w:tabs>
          <w:tab w:leader="none" w:pos="4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15" w:lineRule="exact"/>
        <w:rPr>
          <w:rFonts w:ascii="Arial" w:cs="Arial" w:eastAsia="Arial" w:hAnsi="Arial"/>
          <w:sz w:val="16"/>
          <w:szCs w:val="16"/>
          <w:color w:val="auto"/>
        </w:rPr>
      </w:pPr>
    </w:p>
    <w:p>
      <w:pPr>
        <w:ind w:left="406" w:right="200" w:hanging="406"/>
        <w:spacing w:after="0" w:line="277"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406" w:right="120" w:hanging="406"/>
        <w:spacing w:after="0" w:line="277"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406" w:right="180" w:hanging="406"/>
        <w:spacing w:after="0" w:line="342" w:lineRule="auto"/>
        <w:tabs>
          <w:tab w:leader="none" w:pos="4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406" w:right="100" w:hanging="406"/>
        <w:spacing w:after="0" w:line="286" w:lineRule="auto"/>
        <w:tabs>
          <w:tab w:leader="none" w:pos="4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406" w:hanging="406"/>
        <w:spacing w:after="0"/>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406" w:right="660" w:hanging="406"/>
        <w:spacing w:after="0" w:line="277"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406" w:hanging="406"/>
        <w:spacing w:after="0" w:line="308" w:lineRule="auto"/>
        <w:tabs>
          <w:tab w:leader="none" w:pos="4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406" w:hanging="406"/>
        <w:spacing w:after="0"/>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406" w:right="20" w:hanging="406"/>
        <w:spacing w:after="0" w:line="259"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8" w:lineRule="exact"/>
        <w:rPr>
          <w:rFonts w:ascii="Arial" w:cs="Arial" w:eastAsia="Arial" w:hAnsi="Arial"/>
          <w:sz w:val="18"/>
          <w:szCs w:val="18"/>
          <w:color w:val="auto"/>
        </w:rPr>
      </w:pPr>
    </w:p>
    <w:p>
      <w:pPr>
        <w:ind w:left="406" w:right="20" w:hanging="406"/>
        <w:spacing w:after="0" w:line="263"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406" w:right="300" w:hanging="406"/>
        <w:spacing w:after="0" w:line="263"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5" w:lineRule="exact"/>
        <w:rPr>
          <w:rFonts w:ascii="Arial" w:cs="Arial" w:eastAsia="Arial" w:hAnsi="Arial"/>
          <w:sz w:val="18"/>
          <w:szCs w:val="18"/>
          <w:color w:val="auto"/>
        </w:rPr>
      </w:pPr>
    </w:p>
    <w:p>
      <w:pPr>
        <w:ind w:left="406" w:right="340" w:hanging="406"/>
        <w:spacing w:after="0" w:line="277" w:lineRule="auto"/>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406" w:hanging="406"/>
        <w:spacing w:after="0"/>
        <w:tabs>
          <w:tab w:leader="none" w:pos="4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406" w:hanging="406"/>
        <w:spacing w:after="0"/>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406" w:hanging="406"/>
        <w:spacing w:after="0"/>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200" w:lineRule="exact"/>
        <w:rPr>
          <w:sz w:val="20"/>
          <w:szCs w:val="20"/>
          <w:color w:val="auto"/>
        </w:rPr>
      </w:pPr>
    </w:p>
    <w:p>
      <w:pPr>
        <w:spacing w:after="0" w:line="363"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6"/>
          </w:cols>
          <w:pgMar w:left="814" w:top="1003" w:right="359" w:bottom="1440" w:gutter="0" w:footer="0" w:header="0"/>
        </w:sectPr>
      </w:pPr>
    </w:p>
    <w:bookmarkStart w:id="31" w:name="page32"/>
    <w:bookmarkEnd w:id="31"/>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most of partnered product candidates are in the early stages of development, and, for a wide variety of reasons discussed below, may fail in development or suffer delays that adversely affect their commercial viability.</w:t>
      </w:r>
    </w:p>
    <w:p>
      <w:pPr>
        <w:spacing w:after="0" w:line="79"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84"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POPLAR clinical trial of imsidolimab in PPP failed to meet the primary endpoint of the clinical trial of least-squares mean difference PPPASI improvement at week 16 (Day 113) and we do not currently plan to conduct further development of imsidolimab in PPP.</w:t>
      </w:r>
    </w:p>
    <w:p>
      <w:pPr>
        <w:spacing w:after="0" w:line="87" w:lineRule="exact"/>
        <w:rPr>
          <w:sz w:val="20"/>
          <w:szCs w:val="20"/>
          <w:color w:val="auto"/>
        </w:rPr>
      </w:pPr>
    </w:p>
    <w:p>
      <w:pPr>
        <w:ind w:right="640" w:firstLine="567"/>
        <w:spacing w:after="0" w:line="308" w:lineRule="auto"/>
        <w:rPr>
          <w:sz w:val="20"/>
          <w:szCs w:val="20"/>
          <w:color w:val="auto"/>
        </w:rPr>
      </w:pPr>
      <w:r>
        <w:rPr>
          <w:rFonts w:ascii="Arial" w:cs="Arial" w:eastAsia="Arial" w:hAnsi="Arial"/>
          <w:sz w:val="17"/>
          <w:szCs w:val="17"/>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38"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1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ind w:right="60" w:firstLine="567"/>
        <w:spacing w:after="0" w:line="269" w:lineRule="auto"/>
        <w:rPr>
          <w:sz w:val="20"/>
          <w:szCs w:val="20"/>
          <w:color w:val="auto"/>
        </w:rPr>
      </w:pPr>
      <w:r>
        <w:rPr>
          <w:rFonts w:ascii="Arial" w:cs="Arial" w:eastAsia="Arial" w:hAnsi="Arial"/>
          <w:sz w:val="17"/>
          <w:szCs w:val="17"/>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 We recently discontinued imsidolimab clinical development for EGFR-mediated skin toxicities and ichthyosis due, in part, to slower than anticipated enrollment in planned clinical trials.</w:t>
      </w:r>
    </w:p>
    <w:p>
      <w:pPr>
        <w:spacing w:after="0" w:line="181" w:lineRule="exact"/>
        <w:rPr>
          <w:sz w:val="20"/>
          <w:szCs w:val="20"/>
          <w:color w:val="auto"/>
        </w:rPr>
      </w:pPr>
    </w:p>
    <w:p>
      <w:pPr>
        <w:ind w:right="280" w:firstLine="567"/>
        <w:spacing w:after="0" w:line="347" w:lineRule="auto"/>
        <w:rPr>
          <w:sz w:val="20"/>
          <w:szCs w:val="20"/>
          <w:color w:val="auto"/>
        </w:rPr>
      </w:pPr>
      <w:r>
        <w:rPr>
          <w:rFonts w:ascii="Arial" w:cs="Arial" w:eastAsia="Arial" w:hAnsi="Arial"/>
          <w:sz w:val="16"/>
          <w:szCs w:val="16"/>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2" w:lineRule="exact"/>
        <w:rPr>
          <w:sz w:val="20"/>
          <w:szCs w:val="20"/>
          <w:color w:val="auto"/>
        </w:rPr>
      </w:pPr>
    </w:p>
    <w:p>
      <w:pPr>
        <w:jc w:val="both"/>
        <w:ind w:right="80" w:firstLine="567"/>
        <w:spacing w:after="0" w:line="279"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63"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temporarily moving to full remote work, and cancelling physical participation in meetings, events and conferences). As we begin to re-open our offices and continue to monitor developments of the COVID-19 pandemic, we will continue to allow some remote work, and we may take further actions as may be required by government authorities or that we determine are in the best interests of our employees and patients. In response to the COVID-19 pandemic, we initially limited our office to only those employees completing laboratory-based tasks essential to our development efforts, or “essential” employees, and are starting to allow other employees to work in our office with certain precautions in place that we believe will ensure our employees’ safety and wellbeing.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 care medical visits. Additionally, the emergence of new variant strains of COVID-19 in regions that have reopened has necessitated, and may in the future necessitate, renewed government restrictions.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and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59"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73"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The COVID-19 pandemic has and may in the future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or clinical studies.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right="40" w:firstLine="567"/>
        <w:spacing w:after="0" w:line="257" w:lineRule="auto"/>
        <w:rPr>
          <w:sz w:val="20"/>
          <w:szCs w:val="20"/>
          <w:color w:val="auto"/>
        </w:rPr>
      </w:pPr>
      <w:r>
        <w:rPr>
          <w:rFonts w:ascii="Arial" w:cs="Arial" w:eastAsia="Arial" w:hAnsi="Arial"/>
          <w:sz w:val="18"/>
          <w:szCs w:val="18"/>
          <w:color w:val="auto"/>
        </w:rPr>
        <w:t>Both the health and economic aspects of the COVID-19 virus are highly fluid, and depend in part on the emergence and spread of variant strains of the COVID-19 virus which cannot be predicted,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18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4" w:lineRule="exact"/>
        <w:rPr>
          <w:sz w:val="20"/>
          <w:szCs w:val="20"/>
          <w:color w:val="auto"/>
        </w:rPr>
      </w:pPr>
    </w:p>
    <w:p>
      <w:pPr>
        <w:ind w:right="200" w:firstLine="567"/>
        <w:spacing w:after="0" w:line="275"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68"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and other clinical trials with rosnilimab and ANB032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8"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1"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5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right="440"/>
        <w:spacing w:after="0" w:line="277" w:lineRule="auto"/>
        <w:rPr>
          <w:sz w:val="20"/>
          <w:szCs w:val="20"/>
          <w:color w:val="auto"/>
        </w:rPr>
      </w:pPr>
      <w:r>
        <w:rPr>
          <w:rFonts w:ascii="Arial" w:cs="Arial" w:eastAsia="Arial" w:hAnsi="Arial"/>
          <w:sz w:val="18"/>
          <w:szCs w:val="18"/>
          <w:color w:val="auto"/>
        </w:rPr>
        <w:t>We cannot predict whether our product candidates will cause toxicities in humans that would preclude or lead to the revocation of regulatory approval based on preclinical studies or early stage clinical testing.</w:t>
      </w:r>
    </w:p>
    <w:p>
      <w:pPr>
        <w:spacing w:after="0" w:line="16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we have cleared an IND to conduct a clinical trial for rosnilimab in the United States and we have cleared a CTA to conduct a clinical trial for ANB032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60" w:lineRule="exact"/>
        <w:rPr>
          <w:sz w:val="20"/>
          <w:szCs w:val="20"/>
          <w:color w:val="auto"/>
        </w:rPr>
      </w:pPr>
    </w:p>
    <w:p>
      <w:pPr>
        <w:ind w:right="100" w:firstLine="567"/>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spacing w:after="0" w:line="7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8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20" w:hanging="406"/>
        <w:spacing w:after="0" w:line="308" w:lineRule="auto"/>
        <w:tabs>
          <w:tab w:leader="none" w:pos="8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117"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69"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7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spacing w:after="0" w:line="347" w:lineRule="auto"/>
        <w:rPr>
          <w:sz w:val="20"/>
          <w:szCs w:val="20"/>
          <w:color w:val="auto"/>
        </w:rPr>
      </w:pPr>
      <w:r>
        <w:rPr>
          <w:rFonts w:ascii="Arial" w:cs="Arial" w:eastAsia="Arial" w:hAnsi="Arial"/>
          <w:sz w:val="16"/>
          <w:szCs w:val="16"/>
          <w:b w:val="1"/>
          <w:bCs w:val="1"/>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12" w:lineRule="exact"/>
        <w:rPr>
          <w:sz w:val="20"/>
          <w:szCs w:val="20"/>
          <w:color w:val="auto"/>
        </w:rPr>
      </w:pPr>
    </w:p>
    <w:p>
      <w:pPr>
        <w:ind w:right="120" w:firstLine="567"/>
        <w:spacing w:after="0" w:line="271"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70" w:lineRule="exact"/>
        <w:rPr>
          <w:sz w:val="20"/>
          <w:szCs w:val="20"/>
          <w:color w:val="auto"/>
        </w:rPr>
      </w:pPr>
    </w:p>
    <w:p>
      <w:pPr>
        <w:ind w:right="360" w:firstLine="567"/>
        <w:spacing w:after="0" w:line="263"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6" w:lineRule="exact"/>
        <w:rPr>
          <w:sz w:val="20"/>
          <w:szCs w:val="20"/>
          <w:color w:val="auto"/>
        </w:rPr>
      </w:pPr>
    </w:p>
    <w:p>
      <w:pPr>
        <w:ind w:left="900" w:right="580" w:hanging="406"/>
        <w:spacing w:after="0" w:line="261"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40" w:hanging="406"/>
        <w:spacing w:after="0" w:line="261"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60" w:hanging="406"/>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480" w:hanging="406"/>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117"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38" w:lineRule="exact"/>
        <w:rPr>
          <w:sz w:val="20"/>
          <w:szCs w:val="20"/>
          <w:color w:val="auto"/>
        </w:rPr>
      </w:pPr>
    </w:p>
    <w:p>
      <w:pPr>
        <w:ind w:right="320" w:firstLine="567"/>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jc w:val="both"/>
        <w:ind w:right="60" w:firstLine="567"/>
        <w:spacing w:after="0" w:line="263" w:lineRule="auto"/>
        <w:rPr>
          <w:sz w:val="20"/>
          <w:szCs w:val="20"/>
          <w:color w:val="auto"/>
        </w:rPr>
      </w:pPr>
      <w:r>
        <w:rPr>
          <w:rFonts w:ascii="Arial" w:cs="Arial" w:eastAsia="Arial" w:hAnsi="Arial"/>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37" w:name="page38"/>
    <w:bookmarkEnd w:id="37"/>
    <w:p>
      <w:pPr>
        <w:spacing w:after="0" w:line="289" w:lineRule="auto"/>
        <w:rPr>
          <w:sz w:val="20"/>
          <w:szCs w:val="20"/>
          <w:color w:val="auto"/>
        </w:rPr>
      </w:pPr>
      <w:r>
        <w:rPr>
          <w:rFonts w:ascii="Arial" w:cs="Arial" w:eastAsia="Arial" w:hAnsi="Arial"/>
          <w:sz w:val="16"/>
          <w:szCs w:val="16"/>
          <w:color w:val="auto"/>
        </w:rPr>
        <w:t>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53" w:lineRule="exact"/>
        <w:rPr>
          <w:sz w:val="20"/>
          <w:szCs w:val="20"/>
          <w:color w:val="auto"/>
        </w:rPr>
      </w:pPr>
    </w:p>
    <w:p>
      <w:pPr>
        <w:ind w:right="80" w:firstLine="567"/>
        <w:spacing w:after="0" w:line="228" w:lineRule="auto"/>
        <w:rPr>
          <w:sz w:val="20"/>
          <w:szCs w:val="20"/>
          <w:color w:val="auto"/>
        </w:rPr>
      </w:pPr>
      <w:r>
        <w:rPr>
          <w:rFonts w:ascii="Arial" w:cs="Arial" w:eastAsia="Arial" w:hAnsi="Arial"/>
          <w:sz w:val="18"/>
          <w:szCs w:val="18"/>
          <w:color w:val="auto"/>
        </w:rPr>
        <w:t>For GPP,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antagonist,an anti-IL-36 receptor antibody called spesolimab or BI-655130 (Boehringer Ingelheim) and an anti-IL-36 receptor antibody called REGN6490 (Regeneron).</w:t>
      </w:r>
    </w:p>
    <w:p>
      <w:pPr>
        <w:spacing w:after="0" w:line="83"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76"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57" w:lineRule="exact"/>
        <w:rPr>
          <w:sz w:val="20"/>
          <w:szCs w:val="20"/>
          <w:color w:val="auto"/>
        </w:rPr>
      </w:pPr>
    </w:p>
    <w:p>
      <w:pPr>
        <w:ind w:firstLine="567"/>
        <w:spacing w:after="0" w:line="224" w:lineRule="auto"/>
        <w:rPr>
          <w:sz w:val="20"/>
          <w:szCs w:val="20"/>
          <w:color w:val="auto"/>
        </w:rPr>
      </w:pPr>
      <w:r>
        <w:rPr>
          <w:rFonts w:ascii="Arial" w:cs="Arial" w:eastAsia="Arial" w:hAnsi="Arial"/>
          <w:sz w:val="18"/>
          <w:szCs w:val="18"/>
          <w:color w:val="auto"/>
        </w:rPr>
        <w:t>For our PD-1 agonist antibody program, our competitors include CC-90006 (BMS), which is an anti-PD-1 agonist antibody developed under our partnership with BMS, a BTLA modulator antibody called LY3361237 being developed by Eli Lilly, a PD-1 agonist antibody called LY3462817 also being developed by Eli Lilly, a PD-1 agonist antibody called JNJ-67484703 (Janssen), two PD-1 agonist antibodies called PT627 and PT001 being developed by Pandion Therapeutics, which has been acquired by Merck and a PD-1 agonist antibody under preclinical development by MiroBio. Our competitors in moderate-to-severe alopecia areata include topical and oral corticosteroids, topical immunotherapy (diphencyprone, dinitrochlorobenzene, squaric acid dibutyl ester), calcineurin inhibitors (tacrolimus, pimecrolimus), prostaglandins and janus kinase inhibitors (tofacitinib, rixolitinib) currently in development. Our BTLA agonist antibody program competitors include LY3361237 (Lilly) which has demonstrated efficacy in treatment of systemic lupus erythematosus as measured by the cutaneous lupus erythematosus disease area and severity index (CLASI), and a preclinical antibody under development at MiroBio.</w:t>
      </w:r>
    </w:p>
    <w:p>
      <w:pPr>
        <w:spacing w:after="0" w:line="84"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70"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70"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8" w:name="page39"/>
    <w:bookmarkEnd w:id="38"/>
    <w:p>
      <w:pPr>
        <w:ind w:right="460"/>
        <w:spacing w:after="0" w:line="277" w:lineRule="auto"/>
        <w:rPr>
          <w:sz w:val="20"/>
          <w:szCs w:val="20"/>
          <w:color w:val="auto"/>
        </w:rPr>
      </w:pPr>
      <w:r>
        <w:rPr>
          <w:rFonts w:ascii="Arial" w:cs="Arial" w:eastAsia="Arial" w:hAnsi="Arial"/>
          <w:sz w:val="18"/>
          <w:szCs w:val="18"/>
          <w:color w:val="auto"/>
        </w:rPr>
        <w:t>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62"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185"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42"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60" w:hanging="406"/>
        <w:spacing w:after="0" w:line="277"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320" w:hanging="406"/>
        <w:spacing w:after="0" w:line="308" w:lineRule="auto"/>
        <w:tabs>
          <w:tab w:leader="none" w:pos="8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38"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221"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57"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right="8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80" w:lineRule="exact"/>
        <w:rPr>
          <w:sz w:val="20"/>
          <w:szCs w:val="20"/>
          <w:color w:val="auto"/>
        </w:rPr>
      </w:pPr>
    </w:p>
    <w:p>
      <w:pPr>
        <w:ind w:firstLine="567"/>
        <w:spacing w:after="0" w:line="34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For the year ended December 31, 2021, our collaboration revenue was $63.2 million and our net loss was $57.8 million. As of December 31, 2021, we had an accumulated deficit of $321.8 million.</w:t>
      </w:r>
    </w:p>
    <w:p>
      <w:pPr>
        <w:spacing w:after="0" w:line="16"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and our Royalty Monetization Agreement.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5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 product candidates, is approved for commercial sale, we anticipate incurring significant costs associated with the commercial launch of any product candidate.</w:t>
      </w:r>
    </w:p>
    <w:p>
      <w:pPr>
        <w:spacing w:after="0" w:line="80"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120" w:firstLine="567"/>
        <w:spacing w:after="0" w:line="288"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60"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17"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56" w:lineRule="exact"/>
        <w:rPr>
          <w:sz w:val="20"/>
          <w:szCs w:val="20"/>
          <w:color w:val="auto"/>
        </w:rPr>
      </w:pPr>
    </w:p>
    <w:p>
      <w:pPr>
        <w:ind w:left="660" w:right="1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8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JEMPERLI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4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2" w:name="page43"/>
    <w:bookmarkEnd w:id="42"/>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62"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right="508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ind w:firstLine="567"/>
        <w:spacing w:after="0" w:line="287"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64"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6"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right="40"/>
        <w:spacing w:after="0" w:line="286" w:lineRule="auto"/>
        <w:rPr>
          <w:sz w:val="20"/>
          <w:szCs w:val="20"/>
          <w:color w:val="auto"/>
        </w:rPr>
      </w:pPr>
      <w:r>
        <w:rPr>
          <w:rFonts w:ascii="Arial" w:cs="Arial" w:eastAsia="Arial" w:hAnsi="Arial"/>
          <w:sz w:val="17"/>
          <w:szCs w:val="17"/>
          <w:color w:val="auto"/>
        </w:rPr>
        <w:t>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57" w:lineRule="exact"/>
        <w:rPr>
          <w:sz w:val="20"/>
          <w:szCs w:val="20"/>
          <w:color w:val="auto"/>
        </w:rPr>
      </w:pPr>
    </w:p>
    <w:p>
      <w:pPr>
        <w:jc w:val="both"/>
        <w:ind w:right="24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79"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7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84"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84" w:lineRule="exact"/>
        <w:rPr>
          <w:sz w:val="20"/>
          <w:szCs w:val="20"/>
          <w:color w:val="auto"/>
        </w:rPr>
      </w:pPr>
    </w:p>
    <w:p>
      <w:pPr>
        <w:ind w:right="20" w:firstLine="567"/>
        <w:spacing w:after="0" w:line="283"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5"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ind w:right="18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73"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ind w:right="160"/>
        <w:spacing w:after="0" w:line="301" w:lineRule="auto"/>
        <w:rPr>
          <w:sz w:val="20"/>
          <w:szCs w:val="20"/>
          <w:color w:val="auto"/>
        </w:rPr>
      </w:pPr>
      <w:r>
        <w:rPr>
          <w:rFonts w:ascii="Arial" w:cs="Arial" w:eastAsia="Arial" w:hAnsi="Arial"/>
          <w:sz w:val="16"/>
          <w:szCs w:val="16"/>
          <w:color w:val="auto"/>
        </w:rPr>
        <w:t>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49"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41"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567"/>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140" w:lineRule="exact"/>
        <w:rPr>
          <w:sz w:val="20"/>
          <w:szCs w:val="20"/>
          <w:color w:val="auto"/>
        </w:rPr>
      </w:pPr>
    </w:p>
    <w:p>
      <w:pPr>
        <w:ind w:right="18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68"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7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56" w:lineRule="exact"/>
        <w:rPr>
          <w:sz w:val="20"/>
          <w:szCs w:val="20"/>
          <w:color w:val="auto"/>
        </w:rPr>
      </w:pPr>
    </w:p>
    <w:p>
      <w:pPr>
        <w:ind w:right="40" w:firstLine="567"/>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53"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We plan to seek Orphan Drug Designation for imsidolimab and certain of our other product candidates, and we may not be able to obtain or maintain Orphan Drug Designation or obtain the benefits associated with Orphan Drug status, including market exclusivity.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right="40" w:firstLine="567"/>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 We received Orphan Drug Designation from the FDA for imsidolimab for our GPP indication in 2020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74"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80"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58"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58"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right="80"/>
        <w:spacing w:after="0" w:line="296" w:lineRule="auto"/>
        <w:rPr>
          <w:sz w:val="20"/>
          <w:szCs w:val="20"/>
          <w:color w:val="auto"/>
        </w:rPr>
      </w:pPr>
      <w:r>
        <w:rPr>
          <w:rFonts w:ascii="Arial" w:cs="Arial" w:eastAsia="Arial" w:hAnsi="Arial"/>
          <w:sz w:val="16"/>
          <w:szCs w:val="16"/>
          <w:color w:val="auto"/>
        </w:rPr>
        <w:t>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53"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56"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63"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3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are able to obtain marketing approval and commercialize our product candidates.</w:t>
      </w:r>
    </w:p>
    <w:p>
      <w:pPr>
        <w:spacing w:after="0" w:line="69"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For example, the ACA was enacted in 2010 with a goal, among others, of reducing the cost of healthcare and substantially changing the way healthcare is financed by both government and private insurers. The ACA, among other things,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0" w:name="page51"/>
    <w:bookmarkEnd w:id="50"/>
    <w:p>
      <w:pPr>
        <w:ind w:right="120"/>
        <w:spacing w:after="0" w:line="259" w:lineRule="auto"/>
        <w:rPr>
          <w:sz w:val="20"/>
          <w:szCs w:val="20"/>
          <w:color w:val="auto"/>
        </w:rPr>
      </w:pPr>
      <w:r>
        <w:rPr>
          <w:rFonts w:ascii="Arial" w:cs="Arial" w:eastAsia="Arial" w:hAnsi="Arial"/>
          <w:sz w:val="18"/>
          <w:szCs w:val="18"/>
          <w:color w:val="auto"/>
        </w:rPr>
        <w:t>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79"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In addition, the Biden Administration has indicated an intent to address prescription drug pricing and recent Congressional hearings have brought increased public attention to the costs of prescription drugs. For example,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 legislation or regulations by the Biden administration will have on our business or future product candidates. In addition, former President Trump and President Biden both issued Executive Orders intended to favor government procurement from domestic manufacturers. These actions are likely to continue the downward pressure on pharmaceutical pricing and increase our regulatory burdens and operating costs.</w:t>
      </w:r>
    </w:p>
    <w:p>
      <w:pPr>
        <w:spacing w:after="0" w:line="64" w:lineRule="exact"/>
        <w:rPr>
          <w:sz w:val="20"/>
          <w:szCs w:val="20"/>
          <w:color w:val="auto"/>
        </w:rPr>
      </w:pPr>
    </w:p>
    <w:p>
      <w:pPr>
        <w:ind w:right="160" w:firstLine="567"/>
        <w:spacing w:after="0" w:line="293"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spacing w:after="0" w:line="56"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 19 pandemic and whether such action will adversely affect our ability to obtain marketing approval for or successfully commercialize our product candidates.</w:t>
      </w:r>
    </w:p>
    <w:p>
      <w:pPr>
        <w:spacing w:after="0" w:line="174" w:lineRule="exact"/>
        <w:rPr>
          <w:sz w:val="20"/>
          <w:szCs w:val="20"/>
          <w:color w:val="auto"/>
        </w:rPr>
      </w:pPr>
    </w:p>
    <w:p>
      <w:pPr>
        <w:ind w:right="340" w:firstLine="567"/>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right="120"/>
        <w:spacing w:after="0" w:line="263" w:lineRule="auto"/>
        <w:rPr>
          <w:sz w:val="20"/>
          <w:szCs w:val="20"/>
          <w:color w:val="auto"/>
        </w:rPr>
      </w:pPr>
      <w:r>
        <w:rPr>
          <w:rFonts w:ascii="Arial" w:cs="Arial" w:eastAsia="Arial" w:hAnsi="Arial"/>
          <w:sz w:val="18"/>
          <w:szCs w:val="18"/>
          <w:color w:val="auto"/>
        </w:rPr>
        <w:t>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76" w:lineRule="exact"/>
        <w:rPr>
          <w:sz w:val="20"/>
          <w:szCs w:val="20"/>
          <w:color w:val="auto"/>
        </w:rPr>
      </w:pPr>
    </w:p>
    <w:p>
      <w:pPr>
        <w:ind w:left="660" w:right="14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79" w:lineRule="exact"/>
        <w:rPr>
          <w:sz w:val="20"/>
          <w:szCs w:val="20"/>
          <w:color w:val="auto"/>
        </w:rPr>
      </w:pPr>
    </w:p>
    <w:p>
      <w:pPr>
        <w:ind w:right="240" w:firstLine="567"/>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73"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 (“GDPR”), which became fully applicable in May 2018 and has been incorporated into the UK’s data protection laws following 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ind w:right="40"/>
        <w:spacing w:after="0" w:line="286" w:lineRule="auto"/>
        <w:rPr>
          <w:sz w:val="20"/>
          <w:szCs w:val="20"/>
          <w:color w:val="auto"/>
        </w:rPr>
      </w:pPr>
      <w:r>
        <w:rPr>
          <w:rFonts w:ascii="Arial" w:cs="Arial" w:eastAsia="Arial" w:hAnsi="Arial"/>
          <w:sz w:val="16"/>
          <w:szCs w:val="16"/>
          <w:color w:val="auto"/>
        </w:rPr>
        <w:t>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The UK has proposed a new form of international data transfer agreement that is expected to go into effect on March 21, 2022, and which imposes similar substantial obligations.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59"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jc w:val="both"/>
        <w:ind w:right="140" w:firstLine="567"/>
        <w:spacing w:after="0" w:line="259"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p>
      <w:pPr>
        <w:ind w:right="20"/>
        <w:spacing w:after="0" w:line="288" w:lineRule="auto"/>
        <w:rPr>
          <w:sz w:val="20"/>
          <w:szCs w:val="20"/>
          <w:color w:val="auto"/>
        </w:rPr>
      </w:pPr>
      <w:r>
        <w:rPr>
          <w:rFonts w:ascii="Arial" w:cs="Arial" w:eastAsia="Arial" w:hAnsi="Arial"/>
          <w:sz w:val="16"/>
          <w:szCs w:val="16"/>
          <w:color w:val="auto"/>
        </w:rPr>
        <w:t>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60"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60"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74"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60"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76"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63"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8" w:lineRule="exact"/>
        <w:rPr>
          <w:sz w:val="20"/>
          <w:szCs w:val="20"/>
          <w:color w:val="auto"/>
        </w:rPr>
      </w:pPr>
    </w:p>
    <w:p>
      <w:pPr>
        <w:ind w:right="80"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70" w:lineRule="exact"/>
        <w:rPr>
          <w:sz w:val="20"/>
          <w:szCs w:val="20"/>
          <w:color w:val="auto"/>
        </w:rPr>
      </w:pPr>
    </w:p>
    <w:p>
      <w:pPr>
        <w:ind w:right="520" w:firstLine="567"/>
        <w:spacing w:after="0" w:line="263" w:lineRule="auto"/>
        <w:rPr>
          <w:sz w:val="20"/>
          <w:szCs w:val="20"/>
          <w:color w:val="auto"/>
        </w:rPr>
      </w:pPr>
      <w:r>
        <w:rPr>
          <w:rFonts w:ascii="Arial" w:cs="Arial" w:eastAsia="Arial" w:hAnsi="Arial"/>
          <w:sz w:val="18"/>
          <w:szCs w:val="18"/>
          <w:color w:val="auto"/>
        </w:rPr>
        <w:t>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5" w:name="page56"/>
    <w:bookmarkEnd w:id="55"/>
    <w:p>
      <w:pPr>
        <w:spacing w:after="0" w:line="270" w:lineRule="auto"/>
        <w:rPr>
          <w:sz w:val="20"/>
          <w:szCs w:val="20"/>
          <w:color w:val="auto"/>
        </w:rPr>
      </w:pPr>
      <w:r>
        <w:rPr>
          <w:rFonts w:ascii="Arial" w:cs="Arial" w:eastAsia="Arial" w:hAnsi="Arial"/>
          <w:sz w:val="17"/>
          <w:szCs w:val="17"/>
          <w:color w:val="auto"/>
        </w:rPr>
        <w:t xml:space="preserve">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xml:space="preserve">, </w:t>
      </w:r>
      <w:r>
        <w:rPr>
          <w:rFonts w:ascii="Arial" w:cs="Arial" w:eastAsia="Arial" w:hAnsi="Arial"/>
          <w:sz w:val="17"/>
          <w:szCs w:val="17"/>
          <w:i w:val="1"/>
          <w:iCs w:val="1"/>
          <w:color w:val="auto"/>
        </w:rPr>
        <w:t>BRCA1- &amp; BRCA2-Based Hereditary</w:t>
      </w:r>
      <w:r>
        <w:rPr>
          <w:rFonts w:ascii="Arial" w:cs="Arial" w:eastAsia="Arial" w:hAnsi="Arial"/>
          <w:sz w:val="17"/>
          <w:szCs w:val="17"/>
          <w:color w:val="auto"/>
        </w:rPr>
        <w:t xml:space="preserve"> </w:t>
      </w:r>
      <w:r>
        <w:rPr>
          <w:rFonts w:ascii="Arial" w:cs="Arial" w:eastAsia="Arial" w:hAnsi="Arial"/>
          <w:sz w:val="17"/>
          <w:szCs w:val="17"/>
          <w:i w:val="1"/>
          <w:iCs w:val="1"/>
          <w:color w:val="auto"/>
        </w:rPr>
        <w:t>Cancer Test Patent Litig</w:t>
      </w:r>
      <w:r>
        <w:rPr>
          <w:rFonts w:ascii="Arial" w:cs="Arial" w:eastAsia="Arial" w:hAnsi="Arial"/>
          <w:sz w:val="17"/>
          <w:szCs w:val="17"/>
          <w:color w:val="auto"/>
        </w:rPr>
        <w:t>., Mayo Collaborative Services v. Prometheus Laboratories, Inc., and Alice Corporation Pty. Ltd. v. CLS Bank International, either</w:t>
      </w:r>
      <w:r>
        <w:rPr>
          <w:rFonts w:ascii="Arial" w:cs="Arial" w:eastAsia="Arial" w:hAnsi="Arial"/>
          <w:sz w:val="17"/>
          <w:szCs w:val="17"/>
          <w:i w:val="1"/>
          <w:iCs w:val="1"/>
          <w:color w:val="auto"/>
        </w:rPr>
        <w:t xml:space="preserve"> </w:t>
      </w:r>
      <w:r>
        <w:rPr>
          <w:rFonts w:ascii="Arial" w:cs="Arial" w:eastAsia="Arial" w:hAnsi="Arial"/>
          <w:sz w:val="17"/>
          <w:szCs w:val="17"/>
          <w:color w:val="auto"/>
        </w:rPr>
        <w:t>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7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73"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ind w:right="60"/>
        <w:spacing w:after="0" w:line="291" w:lineRule="auto"/>
        <w:rPr>
          <w:sz w:val="20"/>
          <w:szCs w:val="20"/>
          <w:color w:val="auto"/>
        </w:rPr>
      </w:pPr>
      <w:r>
        <w:rPr>
          <w:rFonts w:ascii="Arial" w:cs="Arial" w:eastAsia="Arial" w:hAnsi="Arial"/>
          <w:sz w:val="16"/>
          <w:szCs w:val="16"/>
          <w:color w:val="auto"/>
        </w:rPr>
        <w:t>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58"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79"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77"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49"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3"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5540" w:right="3800" w:hanging="5208"/>
        <w:spacing w:after="0" w:line="919" w:lineRule="auto"/>
        <w:tabs>
          <w:tab w:leader="none" w:pos="6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7" w:name="page58"/>
    <w:bookmarkEnd w:id="57"/>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74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0"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6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t>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3, “Legal Proceedings.” This or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3, “Legal Proceedings.” Regardless of the outcome, these matters or future litigation against us could result in substantial costs and divert our management’s attention from other business concerns, which could seriously harm our business.</w:t>
      </w:r>
    </w:p>
    <w:p>
      <w:pPr>
        <w:spacing w:after="0" w:line="16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right="20"/>
        <w:spacing w:after="0" w:line="257" w:lineRule="auto"/>
        <w:rPr>
          <w:sz w:val="20"/>
          <w:szCs w:val="20"/>
          <w:color w:val="auto"/>
        </w:rPr>
      </w:pPr>
      <w:r>
        <w:rPr>
          <w:rFonts w:ascii="Arial" w:cs="Arial" w:eastAsia="Arial" w:hAnsi="Arial"/>
          <w:sz w:val="18"/>
          <w:szCs w:val="18"/>
          <w:color w:val="auto"/>
        </w:rPr>
        <w:t>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4" w:lineRule="exact"/>
        <w:rPr>
          <w:sz w:val="20"/>
          <w:szCs w:val="20"/>
          <w:color w:val="auto"/>
        </w:rPr>
      </w:pPr>
    </w:p>
    <w:p>
      <w:pPr>
        <w:ind w:right="42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0"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1" w:name="page62"/>
    <w:bookmarkEnd w:id="61"/>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62"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Internal Revenue Code of 1986, as amended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It is uncertain if and to what extent various states will conform to the TCJA.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74"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As of December 31, 2021, we have federal NOLs of approximately $293.4 million, which expire beginning December 31, 2028 through December 31, 2037, if not used to reduce income taxes payable in the future.</w:t>
      </w:r>
    </w:p>
    <w:p>
      <w:pPr>
        <w:spacing w:after="0" w:line="16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Our principal executive office is located at 10770 Wateridge Circle in San Diego, California, and consists of approximately 45,000 square feet of leased office and laboratory space under a lease for a term of 124 months, beginning on April 5, 2021. We use these facilities for our administrative, research and development and other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sought, among other things, damages in an unspecified amount, as well as costs and expenses. On September 20, 2021, the Court granted defendants’ motion to dismiss the amended complaint with leave to amend. Plaintiff did not file a further amended complaint and, on November 30, 2021, the Court dismissed the action with prejudice.</w:t>
      </w:r>
    </w:p>
    <w:p>
      <w:pPr>
        <w:spacing w:after="0" w:line="84"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On May 3, 2021, a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 The parties to that derivative action have agreed to the following: (1) the action should be dismissed without prejudice, meaning that the dismissal would not preclude the company, or another shareholder acting on behalf of the company, from asserting such claims in the future; (2) the plaintiffs and the defendants will all bear their own fees and costs incurred in connection with the action; and (3) neither the plaintiffs nor their counsel have received, or will receive, payment, compensation or consideration of any kind, directly or indirectly, in connection with the action or its dismissal. By Order dated January 14, 2022, the Court directed the Company to provide, in its filing on Form 10-K for the year ending December 31, 2021, notice to shareholders of the proposed dismissal without prejudice, which the Company hereby does. The Court further directed the parties to notify the Court following the filing of the Form 10-K, and ordered that the action will be dismissed without prejudice fourteen (14) days thereafter unless, within such time, a shareholder moves to intervene in the action.</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unable to estimate a reasonably possible loss or range of loss, if any, that may result from these matters.</w:t>
      </w:r>
    </w:p>
    <w:p>
      <w:pPr>
        <w:spacing w:after="0" w:line="117" w:lineRule="exact"/>
        <w:rPr>
          <w:sz w:val="20"/>
          <w:szCs w:val="20"/>
          <w:color w:val="auto"/>
        </w:rPr>
      </w:pPr>
    </w:p>
    <w:p>
      <w:pPr>
        <w:ind w:right="20" w:firstLine="567"/>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820"/>
        <w:spacing w:after="0" w:line="40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Trading Symbol and Holders</w:t>
      </w:r>
    </w:p>
    <w:p>
      <w:pPr>
        <w:spacing w:after="0" w:line="1"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Our common stock has been listed on the Nasdaq Global Select market under the symbol “ANAB” since January 26, 2017. As of March 3, 2022, we had approximately 11 holders of record of our common stock. This number does not include beneficial owners whose shares were held in street name.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previously referred to as ANB030, and ANB032, are designed to modulate therapeutic targets that are genetically associated with human inflammatory disorders.</w:t>
      </w:r>
    </w:p>
    <w:p>
      <w:pPr>
        <w:spacing w:after="0" w:line="69"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indicated homozygous wild-type IL-36RN, CARD14 and AP1S3 alleles for all 8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63"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met with the FDA during the second quarter of 2021 for an end-of-Phase 2 meeting to review an orphan disease registration plan for imsidolimab for the treatment of GPP. We have initiated our first Phase 3 trial for imsidolimab for GPP, called GEMINI-1, during the third quarter of 2021. GEMINI-1 will enroll approximately 45 moderate-to-severe GPP patients, each undergoing an active flare at baseline, which will be randomized equally to receive a single dose of 750mg intravenous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65" w:name="page66"/>
    <w:bookmarkEnd w:id="65"/>
    <w:p>
      <w:pPr>
        <w:ind w:right="20"/>
        <w:spacing w:after="0" w:line="296" w:lineRule="auto"/>
        <w:rPr>
          <w:sz w:val="20"/>
          <w:szCs w:val="20"/>
          <w:color w:val="auto"/>
        </w:rPr>
      </w:pPr>
      <w:r>
        <w:rPr>
          <w:rFonts w:ascii="Arial" w:cs="Arial" w:eastAsia="Arial" w:hAnsi="Arial"/>
          <w:sz w:val="16"/>
          <w:szCs w:val="16"/>
          <w:color w:val="auto"/>
        </w:rPr>
        <w:t>(IV) imsidolimab, 300mg IV imsidolimab, or placebo. The primary endpoint of the Phase 3 program is the proportion of patients achieving clear or almost clear skin as determined by a Generalized Pustular Psoriasis Physician’s Global Assessment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6 months of monthly dosing.</w:t>
      </w:r>
    </w:p>
    <w:p>
      <w:pPr>
        <w:spacing w:after="0" w:line="53"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We are conducting a global registry of GPP patients, also referred to as the RADIANCE study, which we anticipate will improve understanding of the patient journey and assist in enrollment of future GPP clinical trials.</w:t>
      </w:r>
    </w:p>
    <w:p>
      <w:pPr>
        <w:spacing w:after="0" w:line="62"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are conducting clinical development of imsidolimab in moderate-to-severe acne. Acne is the most common skin disorder in the United States, with approximately 3 million patients diagnosed with moderate-to-severe disease. Moderate-to-severe acne typically presents with painful papules, pustules, nodules, cysts and scarring. A key contributing factor to the pathogenesis of acne is the immune response to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w:t>
      </w:r>
      <w:r>
        <w:rPr>
          <w:rFonts w:ascii="Arial" w:cs="Arial" w:eastAsia="Arial" w:hAnsi="Arial"/>
          <w:sz w:val="18"/>
          <w:szCs w:val="18"/>
          <w:i w:val="1"/>
          <w:iCs w:val="1"/>
          <w:color w:val="auto"/>
        </w:rPr>
        <w:t>P. acnes</w:t>
      </w:r>
      <w:r>
        <w:rPr>
          <w:rFonts w:ascii="Arial" w:cs="Arial" w:eastAsia="Arial" w:hAnsi="Arial"/>
          <w:sz w:val="18"/>
          <w:szCs w:val="18"/>
          <w:color w:val="auto"/>
        </w:rPr>
        <w:t>,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w:t>
      </w:r>
    </w:p>
    <w:p>
      <w:pPr>
        <w:spacing w:after="0" w:line="84" w:lineRule="exact"/>
        <w:rPr>
          <w:sz w:val="20"/>
          <w:szCs w:val="20"/>
          <w:color w:val="auto"/>
        </w:rPr>
      </w:pPr>
    </w:p>
    <w:p>
      <w:pPr>
        <w:ind w:right="100" w:firstLine="567"/>
        <w:spacing w:after="0" w:line="308" w:lineRule="auto"/>
        <w:rPr>
          <w:sz w:val="20"/>
          <w:szCs w:val="20"/>
          <w:color w:val="auto"/>
        </w:rPr>
      </w:pPr>
      <w:r>
        <w:rPr>
          <w:rFonts w:ascii="Arial" w:cs="Arial" w:eastAsia="Arial" w:hAnsi="Arial"/>
          <w:sz w:val="17"/>
          <w:szCs w:val="17"/>
          <w:color w:val="auto"/>
        </w:rPr>
        <w:t>We are conducting a Phase 2 clinical trial of imsidolimab, called ACORN, where 120 patients will be randomized equally between two dose levels of imsidolimab and placebo, for the treatment of moderate-to-severe acne, and we anticipate top-line data during the first half of 2022.</w:t>
      </w:r>
    </w:p>
    <w:p>
      <w:pPr>
        <w:spacing w:after="0" w:line="38" w:lineRule="exact"/>
        <w:rPr>
          <w:sz w:val="20"/>
          <w:szCs w:val="20"/>
          <w:color w:val="auto"/>
        </w:rPr>
      </w:pPr>
    </w:p>
    <w:p>
      <w:pPr>
        <w:ind w:right="120" w:firstLine="567"/>
        <w:spacing w:after="0" w:line="290"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second half of 2022.</w:t>
      </w:r>
    </w:p>
    <w:p>
      <w:pPr>
        <w:spacing w:after="0" w:line="57" w:lineRule="exact"/>
        <w:rPr>
          <w:sz w:val="20"/>
          <w:szCs w:val="20"/>
          <w:color w:val="auto"/>
        </w:rPr>
      </w:pPr>
    </w:p>
    <w:p>
      <w:pPr>
        <w:ind w:right="20" w:firstLine="567"/>
        <w:spacing w:after="0" w:line="267" w:lineRule="auto"/>
        <w:rPr>
          <w:sz w:val="20"/>
          <w:szCs w:val="20"/>
          <w:color w:val="auto"/>
        </w:rPr>
      </w:pPr>
      <w:r>
        <w:rPr>
          <w:rFonts w:ascii="Arial" w:cs="Arial" w:eastAsia="Arial" w:hAnsi="Arial"/>
          <w:sz w:val="17"/>
          <w:szCs w:val="17"/>
          <w:color w:val="auto"/>
        </w:rPr>
        <w:t xml:space="preserve">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of rosnilimab in alopecia areata patient samples. 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intravenous doses of rosnilimab ranging between 0.02mg to 600mg or placebo, while multiple ascending dose (MAD) cohorts received four weekly subcutaneous doses of rosnilimab ranging between 60mg and 400mg or placebo. Dose escalation was conducted subsequent to data safety monitoring board review of safety and tolerability parameters following each single and multiple ascending dose level. Rosnilimab was generally well-tolerated and no dose limiting toxicities were observed. The most frequent adverse event reported among SAD cohorts was increased circulating C-reactive protein levels of mild severity in nine (10%) rosnilimab-dosed subjects occurring sporadically in a dose-independent manner and a severe occurrence in one (3.3%) placebo-dosed subject. MAD cohorts reported headache as the most frequent adverse event with mild occurrences in three (12.5%) rosnilimab-dosed subjects and none in placebo subjects. Mild injection site reactions were observed in two subjects (11.1%) administered with multiple subcutaneous rosnilimab doses. Two serious adverse events were reported in single dose cohorts, including obstructive pancreatitis in a placebo-dosed subject and COVID-19 infection in a rosnilimab-dosed subject leading to discontinuation which was deemed unrelated to treatment. No serious adverse events were reported in subjects receiving multiple doses of rosnilimab or placebo.</w:t>
      </w:r>
    </w:p>
    <w:p>
      <w:pPr>
        <w:spacing w:after="0" w:line="83"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Pharmacokinetic analyses demonstrated a favorable profile for rosnilimab with an estimated two-week half-life for subcutaneous and intravenous routes of administration and approximately 80% bioavailability. Low-titer anti-drug antibodies were detected at low single dose levels in 19 (21%) rosnilimab-dosed subjects, but none were detected in high single dose or multiple dose subjects.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line="268" w:lineRule="auto"/>
        <w:rPr>
          <w:sz w:val="20"/>
          <w:szCs w:val="20"/>
          <w:color w:val="auto"/>
        </w:rPr>
      </w:pPr>
      <w:r>
        <w:rPr>
          <w:rFonts w:ascii="Arial" w:cs="Arial" w:eastAsia="Arial" w:hAnsi="Arial"/>
          <w:sz w:val="17"/>
          <w:szCs w:val="17"/>
          <w:color w:val="auto"/>
        </w:rPr>
        <w:t>pathogenic drivers of inflammatory diseases. Conventional T (Tcon) cells (CD3+, CD25 low) expressing PD-1, which represented approximately 25% of peripheral T cells at baseline, were reduced by 50%, including in both CD4+ and CD8+ subsets, in a dose-dependent manner and in correlation with receptor occupancy. This effect was maximized on high-PD-1 expressing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favorable shift in the ratio of PD-1+ Tcon cells to total Treg cells post-treatment. No effect (&lt;5% reduction from baseline) was observed on any of the aforementioned cell types in placebo-dosed subjects. In addition, an antigen-specific functional T cell recall response, measured as ex vivo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in vivo mechanism has the potential to treat T-cell driven human inflammatory diseases. During the fourth quarter of 2021, we initiated AZURE, a randomized placebo-controlled 45-patient Phase 2 trial of rosnilimab in moderate-to-severe alopecia areata patients with at least 50% scalp hair loss for at least 6 months prior to enrollment, where the primary endpoint is change in severity of alopecia tool (SALT) relative to baseline. We continue to assess clinical development opportunities for rosnilimab in additional indications, including vitiligo and rheumatoid arthritis, and will make decisions pending additional data.</w:t>
      </w:r>
    </w:p>
    <w:p>
      <w:pPr>
        <w:spacing w:after="0" w:line="76"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are conducting a healthy volunteer Phase 1 trial of ANB032,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84" w:lineRule="exact"/>
        <w:rPr>
          <w:sz w:val="20"/>
          <w:szCs w:val="20"/>
          <w:color w:val="auto"/>
        </w:rPr>
      </w:pPr>
    </w:p>
    <w:p>
      <w:pPr>
        <w:ind w:firstLine="567"/>
        <w:spacing w:after="0" w:line="266"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$226.9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 A second BLA submitted by GSK was accepted by the FDA during the first quarter of 2021 for JEMPERLI in pan-deficient mismatch repair tumors (“PdMMRT”). We received a $10.0 million cash milestone payment upon the FDA acceptance of GSK’s second FDA BLA for JEMPERLI and received $20.0 million cash milestone payment in September 2021, upon FDA approval of this second FDA BLA of JEMPERLI in August. JEMPERLI is currently in clinical development for various solid tumor indications, including dMMREC, PdMMRT, colorectal cancer, ovarian cancer, non-small cell lung cancer, cervical cancer, rectal cancer, clear cell sarcoma and head-and-neck squamous cell carcinoma. GSK is conducting combination trials of dostarlimab with Zejula, belantamab mafodotin (BCMA ADC), GSK6097608 (anti-CD96) and GSK3745417 (STING agonist). In addition, under GSK’s collaboration with iTeos Therapeutics, dostarlimab is being developed in combination with EOS-448 (anti-TIGIT) and inupadenant (A2A receptor antagonist) in various solid tumor indications, including registration-directed trials combining dostarlimab and EOS-448 for first-line PD-L1 high non-small cell lung cancer (NSCLC) patients, head and neck squamous cell cancer (HNSCC) and a third undisclosed indication. In June 2021, GSK estimated potential peak annual global JEMPERLI sales on a non-risk adjusted basis of £1-£2 billion, which is currently equal to approximately $1.4 to $2.7 billion based on the GBP to USD exchange rate as of December 31, 2021, for currently approved indications and first-line use in endometrial and ovarian cancer only. 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In October 2021, we signed a royalty monetization agreement (“Royalty Monetization Agreement”) with Sagard Healthcare Royalty Partners (“Sagard”). Pursuant to this transaction, we received a $250.0 million payment upon closing in December 2021, in exchange for JEMPERLI royalties due to us on annual commercial sales below $1.0 billion and certain future milestones starting in October 2021. The aggregate JEMPERLI royalties and milestones to be received by Sagard under the Royalty Monetization Agreement is capped at certain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7" w:name="page68"/>
    <w:bookmarkEnd w:id="67"/>
    <w:p>
      <w:pPr>
        <w:ind w:right="120"/>
        <w:spacing w:after="0" w:line="277" w:lineRule="auto"/>
        <w:rPr>
          <w:sz w:val="20"/>
          <w:szCs w:val="20"/>
          <w:color w:val="auto"/>
        </w:rPr>
      </w:pPr>
      <w:r>
        <w:rPr>
          <w:rFonts w:ascii="Arial" w:cs="Arial" w:eastAsia="Arial" w:hAnsi="Arial"/>
          <w:sz w:val="18"/>
          <w:szCs w:val="18"/>
          <w:color w:val="auto"/>
        </w:rPr>
        <w:t>fixed multiples of the upfront payment based upon time. For more information about these collaborations, see “— Collaborations” included in Part I, Item 1 of this Annual Report.</w:t>
      </w:r>
    </w:p>
    <w:p>
      <w:pPr>
        <w:spacing w:after="0" w:line="62"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Following the closing of the Sagard royalty monetization transaction, we ended 2021 with $615.2 million in cash, cash equivalents and investments and intend to continue to operate in a capital-efficient manner.</w:t>
      </w:r>
    </w:p>
    <w:p>
      <w:pPr>
        <w:spacing w:after="0" w:line="62"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As of December 31, 2021, we had an accumulated deficit of $321.8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79"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For our discussion related to the results of our operations and liquidity and capital resources for fiscal year ended December 31, 2020 compared to the year ended December 31, 2019, please refer to Part II, Item 7, "Management’s Discussion and Analysis of Financial Condition and Results of Operations"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We are continuing to proactively monitor and assess the COVID-19 global pandemic. The full impact of the COVID-19 pandemic is inherently uncertain. Our ongoing clinical trials have been, and may continue to be, affected by the closure of offices, or country borders, among other measures being put in place around the world.</w:t>
      </w:r>
    </w:p>
    <w:p>
      <w:pPr>
        <w:spacing w:after="0" w:line="76" w:lineRule="exact"/>
        <w:rPr>
          <w:sz w:val="20"/>
          <w:szCs w:val="20"/>
          <w:color w:val="auto"/>
        </w:rPr>
      </w:pPr>
    </w:p>
    <w:p>
      <w:pPr>
        <w:ind w:right="160" w:firstLine="567"/>
        <w:spacing w:after="0" w:line="29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remote work, we continue to monitor developments of the COVID-19 pandemic and we may take further actions as may be required by government authorities or that we determine are in the best interests of our employees, patients, and business partners. We have implemented appropriate safety measures, following guidance from the Center for Disease Control and the Occupational Safety and Health Administration.</w:t>
      </w:r>
    </w:p>
    <w:p>
      <w:pPr>
        <w:spacing w:after="0" w:line="53" w:lineRule="exact"/>
        <w:rPr>
          <w:sz w:val="20"/>
          <w:szCs w:val="20"/>
          <w:color w:val="auto"/>
        </w:rPr>
      </w:pPr>
    </w:p>
    <w:p>
      <w:pPr>
        <w:jc w:val="both"/>
        <w:ind w:right="34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567"/>
        <w:spacing w:after="0" w:line="286"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2021, we have received $226.9 million in cash in non-dilutive funding from our collaborators.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GSK</w:t>
      </w:r>
    </w:p>
    <w:p>
      <w:pPr>
        <w:spacing w:after="0" w:line="117"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In March 2014, we entered into a Collaboration and Exclusive License Agreement GSK (the “GSK Agreement”) for the development and commercialization of therapeutic monospecific and bispecific antibodies that antagonize PD-1, TIM-3, LAG-3 and/or a fourth undisclosed checkpoint receptor. We received $17.0 million in upfront fees from GSK in March 2014, and in November 2014, we amended the agreement with GSK to include the development 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GSK Agreement in February 2016.</w:t>
      </w:r>
    </w:p>
    <w:p>
      <w:pPr>
        <w:spacing w:after="0" w:line="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For each of the four targets under the GSK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GSK is obligated to pay us tiered royalties, ranging from 4% to 8%, for each product developed under the agreement, except in the case of JEMPERLI where the royalties payable will be 8% to 25% as amended below, on annualized net sales of each antibody commercialized from the collaboration.</w:t>
      </w:r>
    </w:p>
    <w:p>
      <w:pPr>
        <w:spacing w:after="0" w:line="80"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On October 23, 2020, we amended the GSK Agreement (the “Amendment”). Under the Amendment, we agreed to permit GSK to conduct development and commercialization of Zejula, an oral, once-daily poly (ADP-ribose) polymerase (PARP) inhibitor, which has received US approval for the maintenance treatment of adult patients with advanced epithelial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ovarian, fallopian tube, or primary peritoneal cancer who are in a complete or partial response to first-line platinum-based chemotherapy and is under</w:t>
      </w:r>
    </w:p>
    <w:p>
      <w:pPr>
        <w:spacing w:after="0" w:line="61"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development for additional cancer indications. In addition, under the Amendment, we were granted increased royalties upon sales of JEMPERLI,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from 12% up to 25% of Net Sales above $1.0 billion. The Amendment also provided for a one-time non-refundable cash payment of $60.0 million that we received in the fourth quarter of 2020. GSK also agreed, starting January 1, 2021, to pay us a 1% royalty less third-party royalty deduction on all GSK Net</w:t>
      </w:r>
    </w:p>
    <w:p>
      <w:pPr>
        <w:ind w:right="40"/>
        <w:spacing w:after="0" w:line="259" w:lineRule="auto"/>
        <w:rPr>
          <w:sz w:val="20"/>
          <w:szCs w:val="20"/>
          <w:color w:val="auto"/>
        </w:rPr>
      </w:pPr>
      <w:r>
        <w:rPr>
          <w:rFonts w:ascii="Arial" w:cs="Arial" w:eastAsia="Arial" w:hAnsi="Arial"/>
          <w:sz w:val="18"/>
          <w:szCs w:val="18"/>
          <w:color w:val="auto"/>
        </w:rPr>
        <w:t>Sales of Zejula. The $1.1 billion in 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 From inception of the agreement through December 31, 2021, we have recognized $204.6 million in total revenue from GSK.</w:t>
      </w:r>
    </w:p>
    <w:p>
      <w:pPr>
        <w:spacing w:after="0" w:line="79"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In October 2021, we entered into the Royalty Monetization Agreement with Sagard. Under the terms of the Royalty Monetization Agreement, we received $250.0 million, upon closing in December 2021, in exchange for royalties payable to us under the GSK collaboration on annual global net sales of JEMPERLI below $1.0 billion, as well as certain milestone payments, starting in October 2021. The aggregate JEMPERLI royalties and certain future milestones to be received by Sagard under the Royalty Monetization Agreement are capped at certain fixed multiples of the upfront payment based on time.</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2021 under the GSK Agreement are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360" w:type="dxa"/>
            <w:vAlign w:val="bottom"/>
            <w:gridSpan w:val="2"/>
          </w:tcPr>
          <w:p>
            <w:pPr>
              <w:ind w:left="840"/>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2"/>
          </w:tcPr>
          <w:p>
            <w:pPr>
              <w:jc w:val="center"/>
              <w:ind w:right="7"/>
              <w:spacing w:after="0"/>
              <w:rPr>
                <w:sz w:val="20"/>
                <w:szCs w:val="20"/>
                <w:color w:val="auto"/>
              </w:rPr>
            </w:pPr>
            <w:r>
              <w:rPr>
                <w:rFonts w:ascii="Arial" w:cs="Arial" w:eastAsia="Arial" w:hAnsi="Arial"/>
                <w:sz w:val="14"/>
                <w:szCs w:val="14"/>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(JEMPERLI/Dostarlimab)</w:t>
            </w:r>
          </w:p>
        </w:tc>
        <w:tc>
          <w:tcPr>
            <w:tcW w:w="238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96"/>
              </w:rPr>
              <w:t>(GSK4069889A/Cobolimab)</w:t>
            </w: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(GSK40974386)</w:t>
            </w:r>
          </w:p>
        </w:tc>
        <w:tc>
          <w:tcPr>
            <w:tcW w:w="0" w:type="dxa"/>
            <w:vAlign w:val="bottom"/>
          </w:tcPr>
          <w:p>
            <w:pPr>
              <w:spacing w:after="0"/>
              <w:rPr>
                <w:sz w:val="1"/>
                <w:szCs w:val="1"/>
                <w:color w:val="auto"/>
              </w:rPr>
            </w:pPr>
          </w:p>
        </w:tc>
      </w:tr>
      <w:tr>
        <w:trPr>
          <w:trHeight w:val="130"/>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Quarter</w:t>
            </w:r>
          </w:p>
        </w:tc>
        <w:tc>
          <w:tcPr>
            <w:tcW w:w="11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8"/>
              </w:rPr>
              <w:t>Quarter</w:t>
            </w: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110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6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36"/>
        </w:trPr>
        <w:tc>
          <w:tcPr>
            <w:tcW w:w="42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Initiated in vivo toxicology studies using good laboratory practices</w:t>
            </w:r>
          </w:p>
        </w:tc>
        <w:tc>
          <w:tcPr>
            <w:tcW w:w="1120" w:type="dxa"/>
            <w:vAlign w:val="bottom"/>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7"/>
              </w:rPr>
              <w:t>$1.0M</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Q2'15</w:t>
            </w:r>
          </w:p>
        </w:tc>
        <w:tc>
          <w:tcPr>
            <w:tcW w:w="1100" w:type="dxa"/>
            <w:vAlign w:val="bottom"/>
            <w:vMerge w:val="restart"/>
            <w:shd w:val="clear" w:color="auto" w:fill="CCEEFF"/>
          </w:tcPr>
          <w:p>
            <w:pPr>
              <w:jc w:val="center"/>
              <w:ind w:left="7"/>
              <w:spacing w:after="0"/>
              <w:rPr>
                <w:sz w:val="20"/>
                <w:szCs w:val="20"/>
                <w:color w:val="auto"/>
              </w:rPr>
            </w:pPr>
            <w:r>
              <w:rPr>
                <w:rFonts w:ascii="Arial" w:cs="Arial" w:eastAsia="Arial" w:hAnsi="Arial"/>
                <w:sz w:val="14"/>
                <w:szCs w:val="14"/>
                <w:color w:val="auto"/>
                <w:w w:val="97"/>
              </w:rPr>
              <w:t>$1.0M</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Q4'15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(GLPs)</w:t>
            </w:r>
          </w:p>
        </w:tc>
        <w:tc>
          <w:tcPr>
            <w:tcW w:w="112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color w:val="auto"/>
              </w:rPr>
              <w:t>IND clearance from the FDA</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w w:val="97"/>
              </w:rPr>
              <w:t>$4.0M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Q1'16</w:t>
            </w:r>
          </w:p>
        </w:tc>
        <w:tc>
          <w:tcPr>
            <w:tcW w:w="1100" w:type="dxa"/>
            <w:vAlign w:val="bottom"/>
          </w:tcPr>
          <w:p>
            <w:pPr>
              <w:jc w:val="center"/>
              <w:ind w:left="7"/>
              <w:spacing w:after="0"/>
              <w:rPr>
                <w:sz w:val="20"/>
                <w:szCs w:val="20"/>
                <w:color w:val="auto"/>
              </w:rPr>
            </w:pPr>
            <w:r>
              <w:rPr>
                <w:rFonts w:ascii="Arial" w:cs="Arial" w:eastAsia="Arial" w:hAnsi="Arial"/>
                <w:sz w:val="14"/>
                <w:szCs w:val="14"/>
                <w:color w:val="auto"/>
                <w:w w:val="97"/>
              </w:rPr>
              <w:t>$4.0M</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Q2'16</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8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Phase 2 clinical trial initiation</w:t>
            </w:r>
          </w:p>
        </w:tc>
        <w:tc>
          <w:tcPr>
            <w:tcW w:w="11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7"/>
              </w:rPr>
              <w:t>$3.0M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Q2'17</w:t>
            </w:r>
          </w:p>
        </w:tc>
        <w:tc>
          <w:tcPr>
            <w:tcW w:w="1100" w:type="dxa"/>
            <w:vAlign w:val="bottom"/>
            <w:shd w:val="clear" w:color="auto" w:fill="CCEEFF"/>
          </w:tcPr>
          <w:p>
            <w:pPr>
              <w:jc w:val="center"/>
              <w:ind w:left="7"/>
              <w:spacing w:after="0"/>
              <w:rPr>
                <w:sz w:val="20"/>
                <w:szCs w:val="20"/>
                <w:color w:val="auto"/>
              </w:rPr>
            </w:pPr>
            <w:r>
              <w:rPr>
                <w:rFonts w:ascii="Arial" w:cs="Arial" w:eastAsia="Arial" w:hAnsi="Arial"/>
                <w:sz w:val="14"/>
                <w:szCs w:val="14"/>
                <w:color w:val="auto"/>
                <w:w w:val="97"/>
              </w:rPr>
              <w:t>$3.0M</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Q4'17</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4"/>
                <w:szCs w:val="14"/>
                <w:color w:val="auto"/>
              </w:rPr>
              <w:t>Phase 3 clinical trial initiation - first indication</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w w:val="97"/>
              </w:rPr>
              <w:t>$5.0M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Q3'18</w:t>
            </w:r>
          </w:p>
        </w:tc>
        <w:tc>
          <w:tcPr>
            <w:tcW w:w="1100" w:type="dxa"/>
            <w:vAlign w:val="bottom"/>
          </w:tcPr>
          <w:p>
            <w:pPr>
              <w:jc w:val="center"/>
              <w:ind w:left="7"/>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Phase 3 clinical trial initiation - second indication</w:t>
            </w:r>
          </w:p>
        </w:tc>
        <w:tc>
          <w:tcPr>
            <w:tcW w:w="11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7"/>
              </w:rPr>
              <w:t>$5.0M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Q2'19</w:t>
            </w:r>
          </w:p>
        </w:tc>
        <w:tc>
          <w:tcPr>
            <w:tcW w:w="1100" w:type="dxa"/>
            <w:vAlign w:val="bottom"/>
            <w:shd w:val="clear" w:color="auto" w:fill="CCEEFF"/>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4"/>
                <w:szCs w:val="14"/>
                <w:color w:val="auto"/>
              </w:rPr>
              <w:t>Filing of the first BLA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first indication</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11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7"/>
              </w:rPr>
              <w:t>$5.0M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shd w:val="clear" w:color="auto" w:fill="CCEEFF"/>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color w:val="auto"/>
              </w:rPr>
              <w:t>Filing of the first BLA - second indication</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Q1'21</w:t>
            </w:r>
          </w:p>
        </w:tc>
        <w:tc>
          <w:tcPr>
            <w:tcW w:w="110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First BLA approval - first indication</w:t>
            </w:r>
          </w:p>
        </w:tc>
        <w:tc>
          <w:tcPr>
            <w:tcW w:w="11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$20.0M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Q2'21</w:t>
            </w:r>
          </w:p>
        </w:tc>
        <w:tc>
          <w:tcPr>
            <w:tcW w:w="1100" w:type="dxa"/>
            <w:vAlign w:val="bottom"/>
            <w:shd w:val="clear" w:color="auto" w:fill="CCEEFF"/>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200" w:type="dxa"/>
            <w:vAlign w:val="bottom"/>
          </w:tcPr>
          <w:p>
            <w:pPr>
              <w:spacing w:after="0"/>
              <w:rPr>
                <w:sz w:val="20"/>
                <w:szCs w:val="20"/>
                <w:color w:val="auto"/>
              </w:rPr>
            </w:pPr>
            <w:r>
              <w:rPr>
                <w:rFonts w:ascii="Arial" w:cs="Arial" w:eastAsia="Arial" w:hAnsi="Arial"/>
                <w:sz w:val="14"/>
                <w:szCs w:val="14"/>
                <w:color w:val="auto"/>
              </w:rPr>
              <w:t>First MAA approval - first indication</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Q2'21</w:t>
            </w:r>
          </w:p>
        </w:tc>
        <w:tc>
          <w:tcPr>
            <w:tcW w:w="110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First BLA approval - second indication</w:t>
            </w:r>
          </w:p>
        </w:tc>
        <w:tc>
          <w:tcPr>
            <w:tcW w:w="11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$20.0M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Q3'21</w:t>
            </w:r>
          </w:p>
        </w:tc>
        <w:tc>
          <w:tcPr>
            <w:tcW w:w="1100" w:type="dxa"/>
            <w:vAlign w:val="bottom"/>
            <w:shd w:val="clear" w:color="auto" w:fill="CCEEFF"/>
          </w:tcPr>
          <w:p>
            <w:pPr>
              <w:jc w:val="center"/>
              <w:ind w:left="7"/>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Biologics License Application (“BLA”)</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Marketing Authorization Application (“MAA”)</w:t>
      </w:r>
    </w:p>
    <w:p>
      <w:pPr>
        <w:spacing w:after="0" w:line="44"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80" w:firstLine="567"/>
        <w:spacing w:after="0" w:line="257"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0"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 From inception of the agreement through December 31, 2021, we have recognized $10.0 million in total revenue from BMS.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jc w:val="center"/>
              <w:ind w:right="84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30"/>
        </w:trPr>
        <w:tc>
          <w:tcPr>
            <w:tcW w:w="6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380" w:type="dxa"/>
            <w:vAlign w:val="bottom"/>
            <w:vMerge w:val="restart"/>
          </w:tcPr>
          <w:p>
            <w:pPr>
              <w:jc w:val="center"/>
              <w:ind w:left="2808"/>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288"/>
              <w:spacing w:after="0" w:line="130"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8"/>
        </w:trPr>
        <w:tc>
          <w:tcPr>
            <w:tcW w:w="6220" w:type="dxa"/>
            <w:vAlign w:val="bottom"/>
            <w:vMerge w:val="continue"/>
          </w:tcPr>
          <w:p>
            <w:pPr>
              <w:spacing w:after="0"/>
              <w:rPr>
                <w:sz w:val="16"/>
                <w:szCs w:val="16"/>
                <w:color w:val="auto"/>
              </w:rPr>
            </w:pPr>
          </w:p>
        </w:tc>
        <w:tc>
          <w:tcPr>
            <w:tcW w:w="3380" w:type="dxa"/>
            <w:vAlign w:val="bottom"/>
            <w:vMerge w:val="continue"/>
          </w:tcPr>
          <w:p>
            <w:pPr>
              <w:spacing w:after="0"/>
              <w:rPr>
                <w:sz w:val="16"/>
                <w:szCs w:val="16"/>
                <w:color w:val="auto"/>
              </w:rPr>
            </w:pPr>
          </w:p>
        </w:tc>
        <w:tc>
          <w:tcPr>
            <w:tcW w:w="162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0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380" w:type="dxa"/>
            <w:vAlign w:val="bottom"/>
            <w:shd w:val="clear" w:color="auto" w:fill="CCEEFF"/>
          </w:tcPr>
          <w:p>
            <w:pPr>
              <w:jc w:val="center"/>
              <w:ind w:left="2808"/>
              <w:spacing w:after="0"/>
              <w:rPr>
                <w:sz w:val="20"/>
                <w:szCs w:val="20"/>
                <w:color w:val="auto"/>
              </w:rPr>
            </w:pPr>
            <w:r>
              <w:rPr>
                <w:rFonts w:ascii="Arial" w:cs="Arial" w:eastAsia="Arial" w:hAnsi="Arial"/>
                <w:sz w:val="14"/>
                <w:szCs w:val="14"/>
                <w:color w:val="auto"/>
                <w:w w:val="97"/>
              </w:rPr>
              <w:t>$0.5M</w:t>
            </w:r>
          </w:p>
        </w:tc>
        <w:tc>
          <w:tcPr>
            <w:tcW w:w="162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82"/>
        </w:trPr>
        <w:tc>
          <w:tcPr>
            <w:tcW w:w="622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380" w:type="dxa"/>
            <w:vAlign w:val="bottom"/>
          </w:tcPr>
          <w:p>
            <w:pPr>
              <w:jc w:val="center"/>
              <w:ind w:left="2808"/>
              <w:spacing w:after="0"/>
              <w:rPr>
                <w:sz w:val="20"/>
                <w:szCs w:val="20"/>
                <w:color w:val="auto"/>
              </w:rPr>
            </w:pPr>
            <w:r>
              <w:rPr>
                <w:rFonts w:ascii="Arial" w:cs="Arial" w:eastAsia="Arial" w:hAnsi="Arial"/>
                <w:sz w:val="14"/>
                <w:szCs w:val="14"/>
                <w:color w:val="auto"/>
                <w:w w:val="97"/>
              </w:rPr>
              <w:t>$1.0M</w:t>
            </w:r>
          </w:p>
        </w:tc>
        <w:tc>
          <w:tcPr>
            <w:tcW w:w="1620" w:type="dxa"/>
            <w:vAlign w:val="bottom"/>
          </w:tcPr>
          <w:p>
            <w:pPr>
              <w:jc w:val="center"/>
              <w:ind w:left="28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620" w:firstLine="567"/>
        <w:spacing w:after="0" w:line="277" w:lineRule="auto"/>
        <w:rPr>
          <w:sz w:val="20"/>
          <w:szCs w:val="20"/>
          <w:color w:val="auto"/>
        </w:rPr>
      </w:pPr>
      <w:r>
        <w:rPr>
          <w:rFonts w:ascii="Arial" w:cs="Arial" w:eastAsia="Arial" w:hAnsi="Arial"/>
          <w:sz w:val="18"/>
          <w:szCs w:val="18"/>
          <w:color w:val="auto"/>
        </w:rPr>
        <w:t>Milestones were recognized as revenue in the period earned. There was no revenue recognized under this agreement during the years ended December 31, 2021 or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660" w:right="260" w:hanging="328"/>
        <w:spacing w:after="0" w:line="308" w:lineRule="auto"/>
        <w:tabs>
          <w:tab w:leader="none" w:pos="655"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660" w:right="840" w:hanging="409"/>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117" w:lineRule="exact"/>
        <w:rPr>
          <w:sz w:val="20"/>
          <w:szCs w:val="20"/>
          <w:color w:val="auto"/>
        </w:rPr>
      </w:pPr>
    </w:p>
    <w:p>
      <w:pPr>
        <w:ind w:right="120" w:firstLine="567"/>
        <w:spacing w:after="0" w:line="342" w:lineRule="auto"/>
        <w:rPr>
          <w:sz w:val="20"/>
          <w:szCs w:val="20"/>
          <w:color w:val="auto"/>
        </w:rPr>
      </w:pPr>
      <w:r>
        <w:rPr>
          <w:rFonts w:ascii="Arial" w:cs="Arial" w:eastAsia="Arial" w:hAnsi="Arial"/>
          <w:sz w:val="16"/>
          <w:szCs w:val="16"/>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6" w:lineRule="exact"/>
        <w:rPr>
          <w:sz w:val="20"/>
          <w:szCs w:val="20"/>
          <w:color w:val="auto"/>
        </w:rPr>
      </w:pPr>
    </w:p>
    <w:p>
      <w:pPr>
        <w:ind w:right="240" w:firstLine="567"/>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49"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We have completed Phase 1 and Phase 2 clinical trials and have ongoing Phase 2 and 3 clinical trials for imsidolimab, completed a Phase 1 clinical trial and have an ongoing Phase 2 clinical trial in rosnilimab, and an ongoing Phase 1 trial in ANB032. We expect our research and development expenses to be higher for the foreseeable future as we continue to advance our product candidates into larger clinical trials.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80" w:firstLine="567"/>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 Our estimate of the interest rate under the arrangement is based on forecasted royalty and milestone payments expected to be made to Sagard over the life of the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0" w:name="page71"/>
    <w:bookmarkEnd w:id="70"/>
    <w:p>
      <w:pPr>
        <w:ind w:right="60" w:firstLine="567"/>
        <w:spacing w:after="0" w:line="259" w:lineRule="auto"/>
        <w:rPr>
          <w:sz w:val="20"/>
          <w:szCs w:val="20"/>
          <w:color w:val="auto"/>
        </w:rPr>
      </w:pPr>
      <w:r>
        <w:rPr>
          <w:rFonts w:ascii="Arial" w:cs="Arial" w:eastAsia="Arial" w:hAnsi="Arial"/>
          <w:sz w:val="18"/>
          <w:szCs w:val="18"/>
          <w:color w:val="auto"/>
        </w:rPr>
        <w:t>Since inception, we have accumulated net operating losses (“NOLs”) in all years except December 31, 2015 and 2014, in which we generated taxable income as a result of our collaboration agreement with GSK as well as expenses incurred by our Australian subsidiary which are not deductible for U.S. income tax purposes. While we utilized NOLs in 2015 and 2014, we have since incurred losses and therefore continue to have a valuation allowance against our net deferred tax assets due to the uncertainty of the realization of such assets.</w:t>
      </w:r>
    </w:p>
    <w:p>
      <w:pPr>
        <w:spacing w:after="0" w:line="79"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At December 31, 2021, we had federal and state NOL carryforwards of $293.4 million and $65.6 million, respectively. The federal and state NOLs generated prior to 2018 will both begin to expire in 2028, unless previously utilized. The federal NOL includes $233.4 million of net operating losses generated in 2018 and after. Federal net operating losses generated in 2018 and after carryover indefinitely and may generally be used to offset up to 80% of future taxable income. At December 31, 2021, we had federal and California research tax credit carryforwards of approximately $3.2 million and $10.6 million, respectively. The federal research tax credit carryforwards will begin to expire in 2041 and the California research tax credits carryforward indefinitely. We also have foreign tax losses of $3.3 million, which will carry forward indefinitely, subject to a continuity of ownership test.</w:t>
      </w:r>
    </w:p>
    <w:p>
      <w:pPr>
        <w:spacing w:after="0" w:line="56"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September 30, 2021, noting ownership changes on January 31, 2017 and March 8, 2021, which limits the annual utilization of the Company’s NOLs and causes the expiration of approximately $15.0 million of federal research credits as they will not be utilized within the carryover period due to the Section 382 limitation. Our use of federal and state NOLs and research credits could be limited further by the provisions of Section 382 of the U.S. Internal Revenue Code of 1986, as amended, depending upon the timing and amount of additional equity securities that we have issued or will issue. State NOL carryforwards may be similarly limited.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firstLine="567"/>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56"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right="22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1" w:name="page72"/>
    <w:bookmarkEnd w:id="71"/>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73"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4" w:lineRule="exact"/>
        <w:rPr>
          <w:sz w:val="20"/>
          <w:szCs w:val="20"/>
          <w:color w:val="auto"/>
        </w:rPr>
      </w:pPr>
    </w:p>
    <w:p>
      <w:pPr>
        <w:ind w:right="80" w:firstLine="567"/>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Sale of Future Royalties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We treated the sale of future revenue from the Royalty Monetization Agreement with Sagard as debt, which will be amortized under the effective interest rate method over the estimated life of the related expected royalty stream. We recorded the upfront proceeds, net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0" w:firstLine="567"/>
        <w:spacing w:after="0" w:line="263" w:lineRule="auto"/>
        <w:rPr>
          <w:sz w:val="20"/>
          <w:szCs w:val="20"/>
          <w:color w:val="auto"/>
        </w:rPr>
      </w:pPr>
      <w:r>
        <w:rPr>
          <w:rFonts w:ascii="Arial" w:cs="Arial" w:eastAsia="Arial" w:hAnsi="Arial"/>
          <w:sz w:val="18"/>
          <w:szCs w:val="18"/>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Collaboration revenue was $63.2 million compared to $75.0 million for the years ended December 31, 2021 and 2020, respectively. A comparison of collaboration revenue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GSK Milestones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GSK Royalty Revenue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1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GSK Amendment No. 3 Payment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07"/>
        </w:trPr>
        <w:tc>
          <w:tcPr>
            <w:tcW w:w="6200" w:type="dxa"/>
            <w:vAlign w:val="bottom"/>
          </w:tcPr>
          <w:p>
            <w:pPr>
              <w:ind w:left="260"/>
              <w:spacing w:after="0"/>
              <w:rPr>
                <w:sz w:val="20"/>
                <w:szCs w:val="20"/>
                <w:color w:val="auto"/>
              </w:rPr>
            </w:pPr>
            <w:r>
              <w:rPr>
                <w:rFonts w:ascii="Arial" w:cs="Arial" w:eastAsia="Arial" w:hAnsi="Arial"/>
                <w:sz w:val="16"/>
                <w:szCs w:val="16"/>
                <w:color w:val="auto"/>
              </w:rPr>
              <w:t>Total collaboration revenue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63,175</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(11,825)</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Collaboration revenue during the year ended December 31, 2021 decreased $11.8 million compared to the year ended December 31, 2020 primarily due to the payment received related to an amendment to the GSK Agreement during 2020, royalty revenue recognized during 2021 and the timing of milestones achieved.</w:t>
      </w:r>
    </w:p>
    <w:p>
      <w:pPr>
        <w:spacing w:after="0" w:line="76" w:lineRule="exact"/>
        <w:rPr>
          <w:sz w:val="20"/>
          <w:szCs w:val="20"/>
          <w:color w:val="auto"/>
        </w:rPr>
      </w:pPr>
    </w:p>
    <w:p>
      <w:pPr>
        <w:ind w:right="52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400" w:firstLine="567"/>
        <w:spacing w:after="0" w:line="301" w:lineRule="auto"/>
        <w:rPr>
          <w:sz w:val="20"/>
          <w:szCs w:val="20"/>
          <w:color w:val="auto"/>
        </w:rPr>
      </w:pPr>
      <w:r>
        <w:rPr>
          <w:rFonts w:ascii="Arial" w:cs="Arial" w:eastAsia="Arial" w:hAnsi="Arial"/>
          <w:sz w:val="16"/>
          <w:szCs w:val="16"/>
          <w:color w:val="auto"/>
        </w:rPr>
        <w:t>Research and development expenses were $98.5 million during the year ended December 31, 2021 compared to $80.0 million during the year ended December 31, 2020, for an increase of approximately $18.5 million. The increase is primarily attributable to a $10.7 million increase in clinical expenses, a $5.2 million increase in salaries and related expenses, including stock compensation expense, a $3.1 million increase in other research and development expenses, offset by a $0.5 million decrease in outside services for preclinical and manufacturing expenses.</w:t>
      </w:r>
    </w:p>
    <w:p>
      <w:pPr>
        <w:spacing w:after="0" w:line="4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Imsidolimab</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50,095</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25,577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24,518</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Rosnilimab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ANB032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Etokimab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(16,164)</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Preclinical and other unallocated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13,354</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Internal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0" w:firstLine="567"/>
        <w:spacing w:after="0" w:line="259" w:lineRule="auto"/>
        <w:rPr>
          <w:sz w:val="20"/>
          <w:szCs w:val="20"/>
          <w:color w:val="auto"/>
        </w:rPr>
      </w:pPr>
      <w:r>
        <w:rPr>
          <w:rFonts w:ascii="Arial" w:cs="Arial" w:eastAsia="Arial" w:hAnsi="Arial"/>
          <w:sz w:val="18"/>
          <w:szCs w:val="18"/>
          <w:color w:val="auto"/>
        </w:rPr>
        <w:t>General and administrative expenses were $21.5 million during the year ended December 31, 2021 compared to $18.9 million during the year ended December 31, 2020, for an increase of approximately $2.6 million. The increase is primarily due to a $2.8 million increase in personnel costs, including stock compensation expense, a $0.6 million increase in insurance expense, and a $0.2 million increase in other general and administrative expense, offset by a $1.0 million decrease in legal expense.</w:t>
      </w:r>
    </w:p>
    <w:p>
      <w:pPr>
        <w:spacing w:after="0" w:line="79"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117" w:lineRule="exact"/>
        <w:rPr>
          <w:sz w:val="20"/>
          <w:szCs w:val="20"/>
          <w:color w:val="auto"/>
        </w:rPr>
      </w:pPr>
    </w:p>
    <w:p>
      <w:pPr>
        <w:ind w:right="420" w:firstLine="567"/>
        <w:spacing w:after="0" w:line="342" w:lineRule="auto"/>
        <w:rPr>
          <w:sz w:val="20"/>
          <w:szCs w:val="20"/>
          <w:color w:val="auto"/>
        </w:rPr>
      </w:pPr>
      <w:r>
        <w:rPr>
          <w:rFonts w:ascii="Arial" w:cs="Arial" w:eastAsia="Arial" w:hAnsi="Arial"/>
          <w:sz w:val="16"/>
          <w:szCs w:val="16"/>
          <w:color w:val="auto"/>
        </w:rPr>
        <w:t>Interest expense was $1.5 million during the year ended December 31, 2021 compared to $0 during the year ended December 31, 2020. The increase in interest expense during the periods is directly related to the non-cash interest expense on the liability related to the sale of future royalties.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Interest income was $0.4 million during the year ended December 31, 2021 compared to $4.0 million during the year ended December 31, 2020. The decrease in interest income was primarily related to our short-term and long-term investments, the balance of which decreased during the periods as a result of funding our clinical trial programs. The decrease in interest income is also attributable to lower interest rates during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340" w:firstLine="567"/>
        <w:spacing w:after="0" w:line="286" w:lineRule="auto"/>
        <w:rPr>
          <w:sz w:val="20"/>
          <w:szCs w:val="20"/>
          <w:color w:val="auto"/>
        </w:rPr>
      </w:pPr>
      <w:r>
        <w:rPr>
          <w:rFonts w:ascii="Arial" w:cs="Arial" w:eastAsia="Arial" w:hAnsi="Arial"/>
          <w:sz w:val="17"/>
          <w:szCs w:val="17"/>
          <w:color w:val="auto"/>
        </w:rPr>
        <w:t>From our inception through December 31, 2021, we have received an aggregate of $1.1 billion to fund our operations, which included $622.8 million from the sale of equity securities, $250.0 million from the sale of future royalties, $226.9 million from our collaboration agreements and $19.1 million from venture debt. As of December 31, 2021, we had $615.2 million in cash, cash equivalents and investments.</w:t>
      </w:r>
    </w:p>
    <w:p>
      <w:pPr>
        <w:spacing w:after="0" w:line="5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120"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Specific to our collaboration agreement with GSK, JEMPERLI is currently in clinical development for various solid tumor indications. Earlier in 2021, we received additional milestones from GSK, as outlined above, following acceptance and approval of BLA and EMA filings of JEMPERLI for the PdMMRT indication. Our amended GSK Agreement also includes a 1% royalty less third-party royalty deduction on GSK’s global net sales of Zejula that began in 2021.</w:t>
      </w:r>
    </w:p>
    <w:p>
      <w:pPr>
        <w:spacing w:after="0" w:line="79"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In October 2021, we signed the Royalty Monetization Agreement with Sagard. Pursuant to this transaction we received a $250.0 million payment upon closing in December 2021, in exchange for JEMPERLI royalties due to us on annual</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3" w:right="399" w:bottom="1440" w:gutter="0" w:footer="0" w:header="0"/>
        </w:sectPr>
      </w:pPr>
    </w:p>
    <w:bookmarkStart w:id="74" w:name="page75"/>
    <w:bookmarkEnd w:id="74"/>
    <w:p>
      <w:pPr>
        <w:spacing w:after="0" w:line="288" w:lineRule="auto"/>
        <w:rPr>
          <w:sz w:val="20"/>
          <w:szCs w:val="20"/>
          <w:color w:val="auto"/>
        </w:rPr>
      </w:pPr>
      <w:r>
        <w:rPr>
          <w:rFonts w:ascii="Arial" w:cs="Arial" w:eastAsia="Arial" w:hAnsi="Arial"/>
          <w:sz w:val="16"/>
          <w:szCs w:val="16"/>
          <w:color w:val="auto"/>
        </w:rPr>
        <w:t>commercial sales below $1.0 billion and certain future milestones starting in October 2021. We treated the sale of future revenue from the Royalty Monetization Agreement with Sagard as debt, which will be amortized under the effective interest rate method over the estimated life of the related expected royalty stream. We recorded the upfront proceeds 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60"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In December 2021, we entered into an Open Market Sales Agreement with Jefferies LLC, through which we may offer and sell shares of our common stock having an aggregate offering of up to $150.0 million through Jefferies LLC, as our sales agent. We will pay the sales agent a commission of up to 3% of the gross proceeds of sales made through the at-the-market offering program. During the year ended December 31, 2021, we did not sell any shares under the at-the-market offering program and all $150.0 million remains available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6" w:lineRule="exact"/>
        <w:rPr>
          <w:sz w:val="20"/>
          <w:szCs w:val="20"/>
          <w:color w:val="auto"/>
        </w:rPr>
      </w:pPr>
    </w:p>
    <w:p>
      <w:pPr>
        <w:ind w:right="20" w:firstLine="567"/>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8"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Cash, cash equivalents and investments totaled $615.2 million as of December 31, 2021, compared to $411.2 million as of December 31, 2020.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86"/>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4"/>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1"/>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(45,920)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(14,157)</w:t>
            </w:r>
          </w:p>
        </w:tc>
      </w:tr>
      <w:tr>
        <w:trPr>
          <w:trHeight w:val="229"/>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94,475</w:t>
            </w:r>
          </w:p>
        </w:tc>
      </w:tr>
      <w:tr>
        <w:trPr>
          <w:trHeight w:val="230"/>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252,298</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48"/>
        </w:trPr>
        <w:tc>
          <w:tcPr>
            <w:tcW w:w="8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79,439</w:t>
            </w:r>
          </w:p>
        </w:tc>
      </w:tr>
      <w:tr>
        <w:trPr>
          <w:trHeight w:val="20"/>
        </w:trPr>
        <w:tc>
          <w:tcPr>
            <w:tcW w:w="8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567"/>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2021 of $45.9 million was primarily due to our net loss of $57.8 million, adjusted for addbacks for non-cash items of $19.3 million which includes stock-based compensation, amortization of operating right-of-use assets and liabilities, non-cash interest expense, and income from marketable securities and decreases in working capital of $7.4 million.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ind w:right="100" w:firstLine="567"/>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2020 of $14.2 million was primarily due to our net loss of $19.9 million, adjusted for addbacks for non-cash items of $12.5 million which includes stock-based compensation, amortization of operating right-of-use assets and liabilities, and income from marketable securities and decreases in working capital of $6.8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color w:val="auto"/>
        </w:rPr>
        <w:t>Cash provided by investing activities during the year ended December 31, 2021 of $38.8 million was primarily due to the sale and maturities of investments of $158.8 million, offset by the acquisition of investments of $118.7 million and the purchases of property and equipment of approximately $1.3 million.</w:t>
      </w:r>
    </w:p>
    <w:p>
      <w:pPr>
        <w:spacing w:after="0" w:line="76" w:lineRule="exact"/>
        <w:rPr>
          <w:sz w:val="20"/>
          <w:szCs w:val="20"/>
          <w:color w:val="auto"/>
        </w:rPr>
      </w:pPr>
    </w:p>
    <w:p>
      <w:pPr>
        <w:ind w:right="320" w:firstLine="567"/>
        <w:spacing w:after="0" w:line="342" w:lineRule="auto"/>
        <w:rPr>
          <w:sz w:val="20"/>
          <w:szCs w:val="20"/>
          <w:color w:val="auto"/>
        </w:rPr>
      </w:pPr>
      <w:r>
        <w:rPr>
          <w:rFonts w:ascii="Arial" w:cs="Arial" w:eastAsia="Arial" w:hAnsi="Arial"/>
          <w:sz w:val="16"/>
          <w:szCs w:val="16"/>
          <w:color w:val="auto"/>
        </w:rPr>
        <w:t>Cash provided by investing activities during the year ended December 31, 2020 of $94.5 million was primarily due to the sale and maturities of investments of $290.0 million, offset by the acquisition of investments of $194.9 million and the purchases of property and equipment of $0.6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40" w:firstLine="567"/>
        <w:spacing w:after="0" w:line="263" w:lineRule="auto"/>
        <w:rPr>
          <w:sz w:val="20"/>
          <w:szCs w:val="20"/>
          <w:color w:val="auto"/>
        </w:rPr>
      </w:pPr>
      <w:r>
        <w:rPr>
          <w:rFonts w:ascii="Arial" w:cs="Arial" w:eastAsia="Arial" w:hAnsi="Arial"/>
          <w:sz w:val="18"/>
          <w:szCs w:val="18"/>
          <w:color w:val="auto"/>
        </w:rPr>
        <w:t>Cash provided by financing activities during the year ended December 31, 2021 of $252.3 million was primarily related to $250.0 million received for the sale of future royalties, and $2.6 million proceeds received from the issuance of common stock as a result of option exercises, offset by $0.3 million for payments of issuance costs related to the sale of future royalties.</w:t>
      </w:r>
    </w:p>
    <w:p>
      <w:pPr>
        <w:spacing w:after="0" w:line="76" w:lineRule="exact"/>
        <w:rPr>
          <w:sz w:val="20"/>
          <w:szCs w:val="20"/>
          <w:color w:val="auto"/>
        </w:rPr>
      </w:pPr>
    </w:p>
    <w:p>
      <w:pPr>
        <w:ind w:right="160" w:firstLine="567"/>
        <w:spacing w:after="0" w:line="308" w:lineRule="auto"/>
        <w:rPr>
          <w:sz w:val="20"/>
          <w:szCs w:val="20"/>
          <w:color w:val="auto"/>
        </w:rPr>
      </w:pPr>
      <w:r>
        <w:rPr>
          <w:rFonts w:ascii="Arial" w:cs="Arial" w:eastAsia="Arial" w:hAnsi="Arial"/>
          <w:sz w:val="17"/>
          <w:szCs w:val="17"/>
          <w:color w:val="auto"/>
        </w:rPr>
        <w:t>Cash used in financing activities during the year ended December 31, 2020 of $0.9 million was primarily related to $1.4 million in repayments on our outstanding Term Loan, offset by proceeds of $0.5 million from the issuance of common stock as a result of option exercises.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0"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For further information related to our operating lease and future minimum annual obligations for license payments under our collaboration in-license agreements, see Note 10 — Commitments and Contingencies in the accompanying notes to the consolidated financial statements included in Part II, Item 8, “Consolidated Financial Statements and Supplementary Data”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of December 31, 2021, we held $119.5 million in debt securities for which the accumulated other comprehensive loss was approximately $0.4 million. As such, we believe that should a 10.0% change in interest rates were to have occurred on December 31, 2021, this change would not have had a material effect on the fair value of our investment portfolio as of that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6" w:name="page77"/>
    <w:bookmarkEnd w:id="76"/>
    <w:p>
      <w:pPr>
        <w:spacing w:after="0" w:line="279" w:lineRule="auto"/>
        <w:rPr>
          <w:sz w:val="20"/>
          <w:szCs w:val="20"/>
          <w:color w:val="auto"/>
        </w:rPr>
      </w:pPr>
      <w:r>
        <w:rPr>
          <w:rFonts w:ascii="Arial" w:cs="Arial" w:eastAsia="Arial" w:hAnsi="Arial"/>
          <w:sz w:val="17"/>
          <w:szCs w:val="17"/>
          <w:color w:val="auto"/>
        </w:rPr>
        <w:t>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2021,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Inflation generally affects us by increasing our clinical trial costs. We do not believe that inflation has had a material effect on our business, financial condition or results of operations during the years ended December 31,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18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201"/>
        </w:trPr>
        <w:tc>
          <w:tcPr>
            <w:tcW w:w="5000" w:type="dxa"/>
            <w:vAlign w:val="bottom"/>
            <w:gridSpan w:val="8"/>
          </w:tcPr>
          <w:p>
            <w:pPr>
              <w:spacing w:after="0" w:line="201" w:lineRule="exact"/>
              <w:rPr>
                <w:rFonts w:ascii="Arial" w:cs="Arial" w:eastAsia="Arial" w:hAnsi="Arial"/>
                <w:sz w:val="18"/>
                <w:szCs w:val="18"/>
                <w:color w:val="0000FF"/>
              </w:rPr>
            </w:pPr>
            <w:hyperlink w:anchor="page78">
              <w:r>
                <w:rPr>
                  <w:rFonts w:ascii="Arial" w:cs="Arial" w:eastAsia="Arial" w:hAnsi="Arial"/>
                  <w:sz w:val="18"/>
                  <w:szCs w:val="18"/>
                  <w:color w:val="0000FF"/>
                </w:rPr>
                <w:t>Report of Independent Registered Public Accounting Firm</w:t>
              </w:r>
            </w:hyperlink>
          </w:p>
        </w:tc>
        <w:tc>
          <w:tcPr>
            <w:tcW w:w="6180" w:type="dxa"/>
            <w:vAlign w:val="bottom"/>
          </w:tcPr>
          <w:p>
            <w:pPr>
              <w:jc w:val="right"/>
              <w:spacing w:after="0" w:line="201" w:lineRule="exact"/>
              <w:rPr>
                <w:rFonts w:ascii="Arial" w:cs="Arial" w:eastAsia="Arial" w:hAnsi="Arial"/>
                <w:sz w:val="18"/>
                <w:szCs w:val="18"/>
                <w:color w:val="auto"/>
              </w:rPr>
            </w:pPr>
            <w:hyperlink w:anchor="page78">
              <w:r>
                <w:rPr>
                  <w:rFonts w:ascii="Arial" w:cs="Arial" w:eastAsia="Arial" w:hAnsi="Arial"/>
                  <w:sz w:val="18"/>
                  <w:szCs w:val="18"/>
                  <w:color w:val="auto"/>
                </w:rPr>
                <w:t>76</w:t>
              </w:r>
            </w:hyperlink>
          </w:p>
        </w:tc>
      </w:tr>
      <w:tr>
        <w:trPr>
          <w:trHeight w:val="209"/>
        </w:trPr>
        <w:tc>
          <w:tcPr>
            <w:tcW w:w="4220" w:type="dxa"/>
            <w:vAlign w:val="bottom"/>
            <w:tcBorders>
              <w:top w:val="single" w:sz="8" w:color="0000FF"/>
            </w:tcBorders>
            <w:gridSpan w:val="7"/>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Consolidated Financial Statements</w:t>
              </w:r>
            </w:hyperlink>
          </w:p>
        </w:tc>
        <w:tc>
          <w:tcPr>
            <w:tcW w:w="780" w:type="dxa"/>
            <w:vAlign w:val="bottom"/>
          </w:tcPr>
          <w:p>
            <w:pPr>
              <w:spacing w:after="0"/>
              <w:rPr>
                <w:sz w:val="18"/>
                <w:szCs w:val="18"/>
                <w:color w:val="auto"/>
              </w:rPr>
            </w:pPr>
          </w:p>
        </w:tc>
        <w:tc>
          <w:tcPr>
            <w:tcW w:w="6180" w:type="dxa"/>
            <w:vAlign w:val="bottom"/>
          </w:tcPr>
          <w:p>
            <w:pPr>
              <w:spacing w:after="0"/>
              <w:rPr>
                <w:sz w:val="18"/>
                <w:szCs w:val="18"/>
                <w:color w:val="auto"/>
              </w:rPr>
            </w:pPr>
          </w:p>
        </w:tc>
      </w:tr>
      <w:tr>
        <w:trPr>
          <w:trHeight w:val="210"/>
        </w:trPr>
        <w:tc>
          <w:tcPr>
            <w:tcW w:w="320" w:type="dxa"/>
            <w:vAlign w:val="bottom"/>
            <w:tcBorders>
              <w:top w:val="single" w:sz="8" w:color="0000FF"/>
            </w:tcBorders>
          </w:tcPr>
          <w:p>
            <w:pPr>
              <w:spacing w:after="0"/>
              <w:rPr>
                <w:sz w:val="18"/>
                <w:szCs w:val="18"/>
                <w:color w:val="auto"/>
              </w:rPr>
            </w:pPr>
          </w:p>
        </w:tc>
        <w:tc>
          <w:tcPr>
            <w:tcW w:w="2100" w:type="dxa"/>
            <w:vAlign w:val="bottom"/>
            <w:tcBorders>
              <w:top w:val="single" w:sz="8" w:color="0000FF"/>
              <w:bottom w:val="single" w:sz="8" w:color="0000FF"/>
            </w:tcBorders>
          </w:tcPr>
          <w:p>
            <w:pPr>
              <w:ind w:left="20"/>
              <w:spacing w:after="0"/>
              <w:rPr>
                <w:rFonts w:ascii="Arial" w:cs="Arial" w:eastAsia="Arial" w:hAnsi="Arial"/>
                <w:sz w:val="18"/>
                <w:szCs w:val="18"/>
                <w:color w:val="0000FF"/>
                <w:w w:val="87"/>
              </w:rPr>
            </w:pPr>
            <w:hyperlink w:anchor="page80">
              <w:r>
                <w:rPr>
                  <w:rFonts w:ascii="Arial" w:cs="Arial" w:eastAsia="Arial" w:hAnsi="Arial"/>
                  <w:sz w:val="18"/>
                  <w:szCs w:val="18"/>
                  <w:color w:val="0000FF"/>
                  <w:w w:val="87"/>
                </w:rPr>
                <w:t>Consolidated Balance Sheets</w:t>
              </w:r>
            </w:hyperlink>
          </w:p>
        </w:tc>
        <w:tc>
          <w:tcPr>
            <w:tcW w:w="80" w:type="dxa"/>
            <w:vAlign w:val="bottom"/>
            <w:tcBorders>
              <w:top w:val="single" w:sz="8" w:color="0000FF"/>
            </w:tcBorders>
          </w:tcPr>
          <w:p>
            <w:pPr>
              <w:spacing w:after="0"/>
              <w:rPr>
                <w:sz w:val="18"/>
                <w:szCs w:val="18"/>
                <w:color w:val="auto"/>
              </w:rPr>
            </w:pPr>
          </w:p>
        </w:tc>
        <w:tc>
          <w:tcPr>
            <w:tcW w:w="2500" w:type="dxa"/>
            <w:vAlign w:val="bottom"/>
            <w:gridSpan w:val="5"/>
          </w:tcPr>
          <w:p>
            <w:pPr>
              <w:spacing w:after="0"/>
              <w:rPr>
                <w:sz w:val="18"/>
                <w:szCs w:val="18"/>
                <w:color w:val="auto"/>
              </w:rPr>
            </w:pPr>
          </w:p>
        </w:tc>
        <w:tc>
          <w:tcPr>
            <w:tcW w:w="61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78</w:t>
              </w:r>
            </w:hyperlink>
          </w:p>
        </w:tc>
      </w:tr>
      <w:tr>
        <w:trPr>
          <w:trHeight w:val="209"/>
        </w:trPr>
        <w:tc>
          <w:tcPr>
            <w:tcW w:w="320" w:type="dxa"/>
            <w:vAlign w:val="bottom"/>
          </w:tcPr>
          <w:p>
            <w:pPr>
              <w:spacing w:after="0"/>
              <w:rPr>
                <w:sz w:val="18"/>
                <w:szCs w:val="18"/>
                <w:color w:val="auto"/>
              </w:rPr>
            </w:pPr>
          </w:p>
        </w:tc>
        <w:tc>
          <w:tcPr>
            <w:tcW w:w="4680" w:type="dxa"/>
            <w:vAlign w:val="bottom"/>
            <w:tcBorders>
              <w:bottom w:val="single" w:sz="8" w:color="0000FF"/>
            </w:tcBorders>
            <w:gridSpan w:val="7"/>
          </w:tcPr>
          <w:p>
            <w:pPr>
              <w:ind w:left="20"/>
              <w:spacing w:after="0"/>
              <w:rPr>
                <w:rFonts w:ascii="Arial" w:cs="Arial" w:eastAsia="Arial" w:hAnsi="Arial"/>
                <w:sz w:val="18"/>
                <w:szCs w:val="18"/>
                <w:color w:val="0000FF"/>
                <w:w w:val="88"/>
              </w:rPr>
            </w:pPr>
            <w:hyperlink w:anchor="page81">
              <w:r>
                <w:rPr>
                  <w:rFonts w:ascii="Arial" w:cs="Arial" w:eastAsia="Arial" w:hAnsi="Arial"/>
                  <w:sz w:val="18"/>
                  <w:szCs w:val="18"/>
                  <w:color w:val="0000FF"/>
                  <w:w w:val="88"/>
                </w:rPr>
                <w:t>Consolidated Statements of Operations and Comprehensive Loss</w:t>
              </w:r>
            </w:hyperlink>
          </w:p>
        </w:tc>
        <w:tc>
          <w:tcPr>
            <w:tcW w:w="61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79</w:t>
              </w:r>
            </w:hyperlink>
          </w:p>
        </w:tc>
      </w:tr>
      <w:tr>
        <w:trPr>
          <w:trHeight w:val="210"/>
        </w:trPr>
        <w:tc>
          <w:tcPr>
            <w:tcW w:w="320" w:type="dxa"/>
            <w:vAlign w:val="bottom"/>
          </w:tcPr>
          <w:p>
            <w:pPr>
              <w:spacing w:after="0"/>
              <w:rPr>
                <w:sz w:val="18"/>
                <w:szCs w:val="18"/>
                <w:color w:val="auto"/>
              </w:rPr>
            </w:pPr>
          </w:p>
        </w:tc>
        <w:tc>
          <w:tcPr>
            <w:tcW w:w="3560" w:type="dxa"/>
            <w:vAlign w:val="bottom"/>
            <w:tcBorders>
              <w:bottom w:val="single" w:sz="8" w:color="0000FF"/>
            </w:tcBorders>
            <w:gridSpan w:val="5"/>
          </w:tcPr>
          <w:p>
            <w:pPr>
              <w:ind w:left="20"/>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Consolidated Statements of Stockholders’ Equity</w:t>
              </w:r>
            </w:hyperlink>
          </w:p>
        </w:tc>
        <w:tc>
          <w:tcPr>
            <w:tcW w:w="1120" w:type="dxa"/>
            <w:vAlign w:val="bottom"/>
            <w:gridSpan w:val="2"/>
          </w:tcPr>
          <w:p>
            <w:pPr>
              <w:spacing w:after="0"/>
              <w:rPr>
                <w:sz w:val="18"/>
                <w:szCs w:val="18"/>
                <w:color w:val="auto"/>
              </w:rPr>
            </w:pPr>
          </w:p>
        </w:tc>
        <w:tc>
          <w:tcPr>
            <w:tcW w:w="61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r>
      <w:tr>
        <w:trPr>
          <w:trHeight w:val="210"/>
        </w:trPr>
        <w:tc>
          <w:tcPr>
            <w:tcW w:w="320" w:type="dxa"/>
            <w:vAlign w:val="bottom"/>
          </w:tcPr>
          <w:p>
            <w:pPr>
              <w:spacing w:after="0"/>
              <w:rPr>
                <w:sz w:val="18"/>
                <w:szCs w:val="18"/>
                <w:color w:val="auto"/>
              </w:rPr>
            </w:pPr>
          </w:p>
        </w:tc>
        <w:tc>
          <w:tcPr>
            <w:tcW w:w="288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Consolidated Statements of Cash Flows</w:t>
              </w:r>
            </w:hyperlink>
          </w:p>
        </w:tc>
        <w:tc>
          <w:tcPr>
            <w:tcW w:w="1800" w:type="dxa"/>
            <w:vAlign w:val="bottom"/>
            <w:gridSpan w:val="4"/>
          </w:tcPr>
          <w:p>
            <w:pPr>
              <w:spacing w:after="0"/>
              <w:rPr>
                <w:sz w:val="18"/>
                <w:szCs w:val="18"/>
                <w:color w:val="auto"/>
              </w:rPr>
            </w:pPr>
          </w:p>
        </w:tc>
        <w:tc>
          <w:tcPr>
            <w:tcW w:w="61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09"/>
        </w:trPr>
        <w:tc>
          <w:tcPr>
            <w:tcW w:w="320" w:type="dxa"/>
            <w:vAlign w:val="bottom"/>
          </w:tcPr>
          <w:p>
            <w:pPr>
              <w:spacing w:after="0"/>
              <w:rPr>
                <w:sz w:val="18"/>
                <w:szCs w:val="18"/>
                <w:color w:val="auto"/>
              </w:rPr>
            </w:pPr>
          </w:p>
        </w:tc>
        <w:tc>
          <w:tcPr>
            <w:tcW w:w="3160" w:type="dxa"/>
            <w:vAlign w:val="bottom"/>
            <w:tcBorders>
              <w:bottom w:val="single" w:sz="8" w:color="0000FF"/>
            </w:tcBorders>
            <w:gridSpan w:val="4"/>
          </w:tcPr>
          <w:p>
            <w:pPr>
              <w:ind w:lef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Notes to Consolidated Financial Statements</w:t>
              </w:r>
            </w:hyperlink>
          </w:p>
        </w:tc>
        <w:tc>
          <w:tcPr>
            <w:tcW w:w="1520" w:type="dxa"/>
            <w:vAlign w:val="bottom"/>
            <w:gridSpan w:val="3"/>
          </w:tcPr>
          <w:p>
            <w:pPr>
              <w:spacing w:after="0"/>
              <w:rPr>
                <w:sz w:val="18"/>
                <w:szCs w:val="18"/>
                <w:color w:val="auto"/>
              </w:rPr>
            </w:pPr>
          </w:p>
        </w:tc>
        <w:tc>
          <w:tcPr>
            <w:tcW w:w="61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AnaptysBio, Inc. and subsidiary (the Company) as of December 31, 2021 and 2020, the related consolidated statements of operations and comprehensive loss,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Research and Development Costs</w:t>
      </w:r>
    </w:p>
    <w:p>
      <w:pPr>
        <w:spacing w:after="0" w:line="90"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each reporting period</w:t>
      </w:r>
      <w:r>
        <w:rPr>
          <w:rFonts w:ascii="Arial" w:cs="Arial" w:eastAsia="Arial" w:hAnsi="Arial"/>
          <w:sz w:val="21"/>
          <w:szCs w:val="21"/>
          <w:color w:val="auto"/>
        </w:rPr>
        <w:t>.</w:t>
      </w:r>
    </w:p>
    <w:p>
      <w:pPr>
        <w:spacing w:after="0" w:line="183"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We identified the evaluation of research and development costs as a critical audit matter. These estimates are based on certain assumptions and inputs that were challenging to assess, including the Company’s knowledge of the status of research and development programs and associated completion status, project milestones achieved, raw materials used in manufacturing, and, for larger clinical trials, per patient costs, patient enrollment status, project costs, and site costs.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79" w:name="page80"/>
    <w:bookmarkEnd w:id="79"/>
    <w:p>
      <w:pPr>
        <w:ind w:left="660"/>
        <w:spacing w:after="0"/>
        <w:rPr>
          <w:sz w:val="20"/>
          <w:szCs w:val="20"/>
          <w:color w:val="auto"/>
        </w:rPr>
      </w:pPr>
      <w:r>
        <w:rPr>
          <w:rFonts w:ascii="Arial" w:cs="Arial" w:eastAsia="Arial" w:hAnsi="Arial"/>
          <w:sz w:val="18"/>
          <w:szCs w:val="18"/>
          <w:color w:val="auto"/>
        </w:rPr>
        <w:t>Significant auditor judgment, subjectivity, and effort were required to evaluate the assumptions and inputs to these estimates.</w:t>
      </w:r>
    </w:p>
    <w:p>
      <w:pPr>
        <w:spacing w:after="0" w:line="18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2021 and evaluated whether services received prior to December 31, 2021 were included in the Company’s estimate of costs incurred as of December 31, 2021.</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2021</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4"/>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495,729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Receivables from collaborative partners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07"/>
        </w:trPr>
        <w:tc>
          <w:tcPr>
            <w:tcW w:w="79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553,876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Long-term restricted cash</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7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643,070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20" w:type="dxa"/>
            <w:vAlign w:val="bottom"/>
            <w:shd w:val="clear" w:color="auto" w:fill="CFF0FC"/>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7"/>
        </w:trPr>
        <w:tc>
          <w:tcPr>
            <w:tcW w:w="79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Liability related to sale of future royalties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251,093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2021</w:t>
            </w:r>
          </w:p>
        </w:tc>
        <w:tc>
          <w:tcPr>
            <w:tcW w:w="24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and December 31, 2020, respectively</w:t>
            </w: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27,647 shares and 27,356 shares issued and outstanding at</w:t>
            </w: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2021 and December 31, 2020, respectively</w:t>
            </w: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678,575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(321,753)</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356,428</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6"/>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643,070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Year Ended</w:t>
      </w:r>
    </w:p>
    <w:p>
      <w:pPr>
        <w:jc w:val="center"/>
        <w:ind w:left="73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63,175</w:t>
            </w:r>
          </w:p>
        </w:tc>
        <w:tc>
          <w:tcPr>
            <w:tcW w:w="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8,000</w:t>
            </w: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98,496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80,025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99,338</w:t>
            </w: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21,493</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w:t>
            </w:r>
          </w:p>
        </w:tc>
      </w:tr>
      <w:tr>
        <w:trPr>
          <w:trHeight w:val="213"/>
        </w:trPr>
        <w:tc>
          <w:tcPr>
            <w:tcW w:w="73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119,989</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98,879</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115,432</w:t>
            </w:r>
          </w:p>
        </w:tc>
      </w:tr>
      <w:tr>
        <w:trPr>
          <w:trHeight w:val="206"/>
        </w:trPr>
        <w:tc>
          <w:tcPr>
            <w:tcW w:w="736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(56,814)</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(23,879)</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(107,432)</w:t>
            </w: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10,984</w:t>
            </w: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36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w:t>
            </w:r>
          </w:p>
        </w:tc>
      </w:tr>
      <w:tr>
        <w:trPr>
          <w:trHeight w:val="212"/>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(57,796)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(97,488)</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7360" w:type="dxa"/>
            <w:vAlign w:val="bottom"/>
            <w:tcBorders>
              <w:top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(57,796)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(19,931)</w:t>
            </w: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(97,336)</w:t>
            </w: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(loss) income on available for sale securities, net of tax of $0, $0, and $153,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561</w:t>
            </w:r>
          </w:p>
        </w:tc>
      </w:tr>
      <w:tr>
        <w:trPr>
          <w:trHeight w:val="207"/>
        </w:trPr>
        <w:tc>
          <w:tcPr>
            <w:tcW w:w="736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(96,775)</w:t>
            </w:r>
          </w:p>
        </w:tc>
      </w:tr>
      <w:tr>
        <w:trPr>
          <w:trHeight w:val="20"/>
        </w:trPr>
        <w:tc>
          <w:tcPr>
            <w:tcW w:w="73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common share:</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189"/>
        </w:trPr>
        <w:tc>
          <w:tcPr>
            <w:tcW w:w="736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0"/>
        </w:trPr>
        <w:tc>
          <w:tcPr>
            <w:tcW w:w="73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27,059</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172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3"/>
        </w:trPr>
        <w:tc>
          <w:tcPr>
            <w:tcW w:w="45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restart"/>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Additional</w:t>
            </w:r>
          </w:p>
        </w:tc>
        <w:tc>
          <w:tcPr>
            <w:tcW w:w="1260" w:type="dxa"/>
            <w:vAlign w:val="bottom"/>
            <w:gridSpan w:val="3"/>
            <w:vMerge w:val="restart"/>
          </w:tcPr>
          <w:p>
            <w:pPr>
              <w:jc w:val="center"/>
              <w:ind w:right="100"/>
              <w:spacing w:after="0" w:line="88" w:lineRule="exact"/>
              <w:rPr>
                <w:sz w:val="20"/>
                <w:szCs w:val="20"/>
                <w:color w:val="auto"/>
              </w:rPr>
            </w:pPr>
            <w:r>
              <w:rPr>
                <w:rFonts w:ascii="Arial" w:cs="Arial" w:eastAsia="Arial" w:hAnsi="Arial"/>
                <w:sz w:val="10"/>
                <w:szCs w:val="10"/>
                <w:b w:val="1"/>
                <w:bCs w:val="1"/>
                <w:color w:val="auto"/>
                <w:w w:val="96"/>
              </w:rPr>
              <w:t>Comprehensive (Loss)</w:t>
            </w:r>
          </w:p>
        </w:tc>
        <w:tc>
          <w:tcPr>
            <w:tcW w:w="180" w:type="dxa"/>
            <w:vAlign w:val="bottom"/>
          </w:tcPr>
          <w:p>
            <w:pPr>
              <w:spacing w:after="0"/>
              <w:rPr>
                <w:sz w:val="6"/>
                <w:szCs w:val="6"/>
                <w:color w:val="auto"/>
              </w:rPr>
            </w:pPr>
          </w:p>
        </w:tc>
        <w:tc>
          <w:tcPr>
            <w:tcW w:w="1100" w:type="dxa"/>
            <w:vAlign w:val="bottom"/>
            <w:gridSpan w:val="2"/>
            <w:vMerge w:val="restart"/>
          </w:tcPr>
          <w:p>
            <w:pPr>
              <w:ind w:left="100"/>
              <w:spacing w:after="0" w:line="88"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6"/>
                <w:szCs w:val="6"/>
                <w:color w:val="auto"/>
              </w:rPr>
            </w:pPr>
          </w:p>
        </w:tc>
        <w:tc>
          <w:tcPr>
            <w:tcW w:w="1000" w:type="dxa"/>
            <w:vAlign w:val="bottom"/>
            <w:vMerge w:val="restart"/>
          </w:tcPr>
          <w:p>
            <w:pPr>
              <w:jc w:val="center"/>
              <w:ind w:right="106"/>
              <w:spacing w:after="0" w:line="88"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Paid-in Capital</w:t>
            </w:r>
          </w:p>
        </w:tc>
        <w:tc>
          <w:tcPr>
            <w:tcW w:w="10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1"/>
                <w:szCs w:val="11"/>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2019</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26,922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633,251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(146,690)</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486,365</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Issuance of common stock from exercises of options</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3,007</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12,411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12,411</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561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561</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(97,336)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(97,336)</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27,255</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648,669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(244,026)</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405,008</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stock from exercises of options</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11,499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11,499</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(19,931)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(19,931)</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27,356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660,665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(263,957)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396,731</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2,563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2,564</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15,347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15,347</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(418)</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(57,796)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(57,796)</w:t>
            </w:r>
          </w:p>
        </w:tc>
        <w:tc>
          <w:tcPr>
            <w:tcW w:w="0" w:type="dxa"/>
            <w:vAlign w:val="bottom"/>
          </w:tcPr>
          <w:p>
            <w:pPr>
              <w:spacing w:after="0"/>
              <w:rPr>
                <w:sz w:val="1"/>
                <w:szCs w:val="1"/>
                <w:color w:val="auto"/>
              </w:rPr>
            </w:pPr>
          </w:p>
        </w:tc>
      </w:tr>
      <w:tr>
        <w:trPr>
          <w:trHeight w:val="155"/>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27,647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678,575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(321,753)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356,428</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Year Ended</w:t>
      </w:r>
    </w:p>
    <w:p>
      <w:pPr>
        <w:jc w:val="center"/>
        <w:ind w:left="73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(57,796)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(97,336)</w:t>
            </w:r>
          </w:p>
        </w:tc>
        <w:tc>
          <w:tcPr>
            <w:tcW w:w="0" w:type="dxa"/>
            <w:vAlign w:val="bottom"/>
          </w:tcPr>
          <w:p>
            <w:pPr>
              <w:spacing w:after="0"/>
              <w:rPr>
                <w:sz w:val="1"/>
                <w:szCs w:val="1"/>
                <w:color w:val="auto"/>
              </w:rPr>
            </w:pPr>
          </w:p>
        </w:tc>
      </w:tr>
      <w:tr>
        <w:trPr>
          <w:trHeight w:val="23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12,411</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right-of-use assets – operating</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loss on disposal of property and equipment, net of gain on lease termination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 from collaborative partners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Australian tax incentive receivable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13,203</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(45,920)</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(69,517)</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(194,927)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(251,815)</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 and maturities of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158,848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289,971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384,051</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the sale of property and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38,835</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94,475</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131,431</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sale of future royalties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Payments on notes payable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issuance costs related to the sale of future royalties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(used in)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252,298</w:t>
            </w:r>
          </w:p>
        </w:tc>
        <w:tc>
          <w:tcPr>
            <w:tcW w:w="1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245,213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79,439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57,421</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250,516</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113,656</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495,729</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250,516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171,077</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 related to issuance of common stock, upon exercise of stock options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60" w:type="dxa"/>
            <w:vAlign w:val="bottom"/>
          </w:tcPr>
          <w:p>
            <w:pPr>
              <w:ind w:left="260"/>
              <w:spacing w:after="0"/>
              <w:rPr>
                <w:sz w:val="20"/>
                <w:szCs w:val="20"/>
                <w:color w:val="auto"/>
              </w:rPr>
            </w:pPr>
            <w:r>
              <w:rPr>
                <w:rFonts w:ascii="Arial" w:cs="Arial" w:eastAsia="Arial" w:hAnsi="Arial"/>
                <w:sz w:val="16"/>
                <w:szCs w:val="16"/>
                <w:color w:val="auto"/>
              </w:rPr>
              <w:t>Amounts accrued for issuance costs related to the sale of future royalties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and royalties achieved under our collaborative research and development arrangements.</w:t>
      </w:r>
    </w:p>
    <w:p>
      <w:pPr>
        <w:spacing w:after="0" w:line="84"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Since our inception, we have devoted our primary effort to research and development activities. Our financial support has been provided primarily from the sale of our common and preferred stock, royalty monetization,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69" w:lineRule="exact"/>
        <w:rPr>
          <w:sz w:val="20"/>
          <w:szCs w:val="20"/>
          <w:color w:val="auto"/>
        </w:rPr>
      </w:pPr>
    </w:p>
    <w:p>
      <w:pPr>
        <w:ind w:left="260" w:right="7680" w:hanging="252"/>
        <w:spacing w:after="0" w:line="377" w:lineRule="auto"/>
        <w:tabs>
          <w:tab w:leader="none" w:pos="197"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240" w:firstLine="567"/>
        <w:spacing w:after="0" w:line="257"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or U.S. GAAP. Certain reclassifications have been made to 2020 and 2019 financial information to conform to the current year presentation of other long-term assets, operating lease right-of-use, or “ROU” asset, and operating lease liabilities on the Consolidated Balance Sheets and Consolidated Statements of Cash Flows.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567"/>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We held restricted cash of $0 and $60,000 at December 31, 2021 and 2020, respectively, which was used to secure a letter of credit provided as security for the operating lease for our prior corporate headquarters. The letter of credit expired in December 2021.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17"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2021, 2020, or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lease payments over the lease term. For this purpose, we consider only payments that are fixed and determinable at the time of commencement.</w:t>
      </w:r>
    </w:p>
    <w:p>
      <w:pPr>
        <w:spacing w:after="0" w:line="70"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38"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We keep leases with an initial term of 12 months or less off the balance sheet and recognize the associated lease payments in the consolidated statements of operations on a straight-line basis over the lease term.</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6" w:name="page87"/>
    <w:bookmarkEnd w:id="86"/>
    <w:p>
      <w:pPr>
        <w:ind w:left="22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117"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treat the liability related to the sale of future royalties as debt, amortized under the effective interest rate method over the estimated life of the Royalty Monetization Agreement. See Note 5. The amortization of the liability related to the sale of future revenue is based on our current estimates of future royalty payments. Royalty and milestone revenue will be recognized as earned and the payments made will be recorded as a reduction of the liability when paid.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240" w:firstLine="567"/>
        <w:spacing w:after="0" w:line="263" w:lineRule="auto"/>
        <w:rPr>
          <w:sz w:val="20"/>
          <w:szCs w:val="20"/>
          <w:color w:val="auto"/>
        </w:rPr>
      </w:pPr>
      <w:r>
        <w:rPr>
          <w:rFonts w:ascii="Arial" w:cs="Arial" w:eastAsia="Arial" w:hAnsi="Arial"/>
          <w:sz w:val="18"/>
          <w:szCs w:val="18"/>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Non-Cash Interest Expense on the Liability Related to the Sale of Future Royalties</w:t>
      </w:r>
    </w:p>
    <w:p>
      <w:pPr>
        <w:spacing w:after="0" w:line="11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total threshold of royalties paid, less the net proceeds received will be recorded as interest expense over the life of the liability. We impute interest on the unamortized portion of the liability using the effective interest method and record expense based on the timing of payments received over the term of the Royalty Monetization Agreement. Over the course of the agreement, the actual interest rate will be affected by the timing of royalty and milestone payments made and changes in the forecasted revenue.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i w:val="1"/>
          <w:iCs w:val="1"/>
          <w:color w:val="auto"/>
        </w:rPr>
        <w:t xml:space="preserve">Transaction Price. </w:t>
      </w:r>
      <w:r>
        <w:rPr>
          <w:rFonts w:ascii="Arial" w:cs="Arial" w:eastAsia="Arial" w:hAnsi="Arial"/>
          <w:sz w:val="18"/>
          <w:szCs w:val="18"/>
          <w:color w:val="auto"/>
        </w:rPr>
        <w:t>Our collaboration and license agreements generally include both fixed and variable consideration. Fixed payments, such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7" w:name="page88"/>
    <w:bookmarkEnd w:id="87"/>
    <w:p>
      <w:pPr>
        <w:ind w:right="220"/>
        <w:spacing w:after="0" w:line="277" w:lineRule="auto"/>
        <w:rPr>
          <w:sz w:val="20"/>
          <w:szCs w:val="20"/>
          <w:color w:val="auto"/>
        </w:rPr>
      </w:pPr>
      <w:r>
        <w:rPr>
          <w:rFonts w:ascii="Arial" w:cs="Arial" w:eastAsia="Arial" w:hAnsi="Arial"/>
          <w:sz w:val="18"/>
          <w:szCs w:val="18"/>
          <w:color w:val="auto"/>
        </w:rPr>
        <w:t>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2021, there have not been material differences between actual and estimated royalty revenues.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7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60"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80"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76"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ind w:right="400"/>
        <w:spacing w:after="0" w:line="277" w:lineRule="auto"/>
        <w:rPr>
          <w:sz w:val="20"/>
          <w:szCs w:val="20"/>
          <w:color w:val="auto"/>
        </w:rPr>
      </w:pPr>
      <w:r>
        <w:rPr>
          <w:rFonts w:ascii="Arial" w:cs="Arial" w:eastAsia="Arial" w:hAnsi="Arial"/>
          <w:sz w:val="18"/>
          <w:szCs w:val="18"/>
          <w:color w:val="auto"/>
        </w:rPr>
        <w:t>likely than not that some portion or all of a deferred tax asset will not be realized based on the weight of available evidence, including expected future earnings.</w:t>
      </w:r>
    </w:p>
    <w:p>
      <w:pPr>
        <w:spacing w:after="0" w:line="62" w:lineRule="exact"/>
        <w:rPr>
          <w:sz w:val="20"/>
          <w:szCs w:val="20"/>
          <w:color w:val="auto"/>
        </w:rPr>
      </w:pPr>
    </w:p>
    <w:p>
      <w:pPr>
        <w:ind w:right="100" w:firstLine="567"/>
        <w:spacing w:after="0" w:line="296"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20" w:firstLine="567"/>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63"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spacing w:after="0"/>
              <w:rPr>
                <w:sz w:val="14"/>
                <w:szCs w:val="14"/>
                <w:color w:val="auto"/>
              </w:rPr>
            </w:pPr>
          </w:p>
        </w:tc>
      </w:tr>
      <w:tr>
        <w:trPr>
          <w:trHeight w:val="186"/>
        </w:trPr>
        <w:tc>
          <w:tcPr>
            <w:tcW w:w="73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Borders>
              <w:bottom w:val="single" w:sz="8" w:color="auto"/>
            </w:tcBorders>
          </w:tcPr>
          <w:p>
            <w:pPr>
              <w:spacing w:after="0"/>
              <w:rPr>
                <w:sz w:val="16"/>
                <w:szCs w:val="16"/>
                <w:color w:val="auto"/>
              </w:rPr>
            </w:pPr>
          </w:p>
        </w:tc>
      </w:tr>
      <w:tr>
        <w:trPr>
          <w:trHeight w:val="184"/>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r>
    </w:tbl>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380" w:firstLine="567"/>
        <w:spacing w:after="0" w:line="263" w:lineRule="auto"/>
        <w:rPr>
          <w:sz w:val="20"/>
          <w:szCs w:val="20"/>
          <w:color w:val="auto"/>
        </w:rPr>
      </w:pPr>
      <w:r>
        <w:rPr>
          <w:rFonts w:ascii="Arial" w:cs="Arial" w:eastAsia="Arial" w:hAnsi="Arial"/>
          <w:sz w:val="18"/>
          <w:szCs w:val="18"/>
          <w:color w:val="auto"/>
        </w:rPr>
        <w:t>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w:t>
      </w:r>
    </w:p>
    <w:p>
      <w:pPr>
        <w:spacing w:after="0" w:line="76"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 xml:space="preserve">In December 2019, the Financial Accounting Standards Board (the “FASB”) issued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9" w:name="page90"/>
    <w:bookmarkEnd w:id="89"/>
    <w:p>
      <w:pPr>
        <w:ind w:right="20" w:firstLine="8"/>
        <w:spacing w:after="0" w:line="255"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early adopted this standard on January 1, 2020, and the adoption of the standard did not have a material impact to our consolidated financial statements.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Instruments (Topic 326)</w:t>
      </w:r>
      <w:r>
        <w:rPr>
          <w:rFonts w:ascii="Arial" w:cs="Arial" w:eastAsia="Arial" w:hAnsi="Arial"/>
          <w:sz w:val="17"/>
          <w:szCs w:val="17"/>
          <w:color w:val="auto"/>
        </w:rPr>
        <w:t>, which changes the accounting treatment for recognizing the impairment of financial assets. Under the new guidance,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types of 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We adopted this standard prospectively on January 1, 2020, and the adoption of the standard did not have a material impact to our consolidated financial statements as credit losses are not expected to be significant based on historical trends, the financial condition of our investments and external market factors. We will continue to actively monitor the impact of the COVID-19 pandemic on expected credit losses.</w:t>
      </w:r>
    </w:p>
    <w:p>
      <w:pPr>
        <w:spacing w:after="0" w:line="285" w:lineRule="exact"/>
        <w:rPr>
          <w:sz w:val="20"/>
          <w:szCs w:val="20"/>
          <w:color w:val="auto"/>
        </w:rPr>
      </w:pPr>
    </w:p>
    <w:p>
      <w:pPr>
        <w:ind w:left="260" w:right="6860" w:hanging="252"/>
        <w:spacing w:after="0" w:line="377" w:lineRule="auto"/>
        <w:tabs>
          <w:tab w:leader="none" w:pos="197"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FF0FC"/>
            </w:tcBorders>
            <w:shd w:val="clear" w:color="auto" w:fill="CFF0FC"/>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Property and equipment, gross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(4,922)</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vMerge w:val="restart"/>
          </w:tcPr>
          <w:p>
            <w:pPr>
              <w:ind w:left="280"/>
              <w:spacing w:after="0"/>
              <w:rPr>
                <w:sz w:val="20"/>
                <w:szCs w:val="20"/>
                <w:color w:val="auto"/>
              </w:rPr>
            </w:pPr>
            <w:r>
              <w:rPr>
                <w:rFonts w:ascii="Arial" w:cs="Arial" w:eastAsia="Arial" w:hAnsi="Arial"/>
                <w:sz w:val="18"/>
                <w:szCs w:val="18"/>
                <w:b w:val="1"/>
                <w:bCs w:val="1"/>
                <w:i w:val="1"/>
                <w:iCs w:val="1"/>
                <w:color w:val="auto"/>
              </w:rPr>
              <w:t>Accrued Expenses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40" w:type="dxa"/>
            <w:vAlign w:val="bottom"/>
          </w:tcPr>
          <w:p>
            <w:pPr>
              <w:ind w:left="560"/>
              <w:spacing w:after="0"/>
              <w:rPr>
                <w:sz w:val="20"/>
                <w:szCs w:val="20"/>
                <w:color w:val="auto"/>
              </w:rPr>
            </w:pPr>
            <w:r>
              <w:rPr>
                <w:rFonts w:ascii="Arial" w:cs="Arial" w:eastAsia="Arial" w:hAnsi="Arial"/>
                <w:sz w:val="18"/>
                <w:szCs w:val="18"/>
                <w:color w:val="auto"/>
              </w:rPr>
              <w:t>Accrued expenses consist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15,262</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0" w:name="page91"/>
    <w:bookmarkEnd w:id="90"/>
    <w:p>
      <w:pPr>
        <w:ind w:left="260" w:right="6880" w:hanging="252"/>
        <w:spacing w:after="0" w:line="377" w:lineRule="auto"/>
        <w:tabs>
          <w:tab w:leader="none" w:pos="19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GlaxoSmithKline Collaboration</w:t>
      </w:r>
    </w:p>
    <w:p>
      <w:pPr>
        <w:spacing w:after="0" w:line="2"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w:t>
      </w:r>
    </w:p>
    <w:p>
      <w:pPr>
        <w:spacing w:after="0" w:line="58"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determined that the upfront license fees and research funding under the GSK Agreement, as amended, should be accounted for as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71"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57" w:lineRule="exact"/>
        <w:rPr>
          <w:sz w:val="20"/>
          <w:szCs w:val="20"/>
          <w:color w:val="auto"/>
        </w:rPr>
      </w:pPr>
    </w:p>
    <w:p>
      <w:pPr>
        <w:ind w:right="180" w:firstLine="567"/>
        <w:spacing w:after="0" w:line="299"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were granted increased royalties upon sales of JEMPERLI (dostarlimab), an anti-PD-1 antagonist antibody under development by GSK for multiple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oncological disorders, equal to 8% of Net Sales (as defined in the GSK Agreement) below $1.0 billion and from 12% up to 25% of Net Sales above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The Amendment also provided for a one-time, non-refundable cash payment of $60.0 million that we received and recognized as revenue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fourth quarter of 2020. GSK also agreed, starting January 1, 2021, to pay us a 1% royalty less third-party royalty deduction on all GSK net sales of</w:t>
      </w:r>
    </w:p>
    <w:p>
      <w:pPr>
        <w:spacing w:after="0" w:line="5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Zejula. The $1.1 billion in 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76"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jc w:val="both"/>
        <w:ind w:firstLine="170"/>
        <w:spacing w:after="0" w:line="342" w:lineRule="auto"/>
        <w:rPr>
          <w:sz w:val="20"/>
          <w:szCs w:val="20"/>
          <w:color w:val="auto"/>
        </w:rPr>
      </w:pPr>
      <w:r>
        <w:rPr>
          <w:rFonts w:ascii="Arial" w:cs="Arial" w:eastAsia="Arial" w:hAnsi="Arial"/>
          <w:sz w:val="16"/>
          <w:szCs w:val="16"/>
          <w:color w:val="auto"/>
        </w:rPr>
        <w:t>As of December 31, 2021,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91" w:name="page92"/>
    <w:bookmarkEnd w:id="91"/>
    <w:p>
      <w:pPr>
        <w:ind w:right="60" w:firstLine="486"/>
        <w:spacing w:after="0" w:line="257" w:lineRule="auto"/>
        <w:rPr>
          <w:sz w:val="20"/>
          <w:szCs w:val="20"/>
          <w:color w:val="auto"/>
        </w:rPr>
      </w:pPr>
      <w:r>
        <w:rPr>
          <w:rFonts w:ascii="Arial" w:cs="Arial" w:eastAsia="Arial" w:hAnsi="Arial"/>
          <w:sz w:val="18"/>
          <w:szCs w:val="18"/>
          <w:color w:val="auto"/>
        </w:rPr>
        <w:t>We earned and recognized $3.2 million in royalty revenue during the year ended December 31, 2021 related to GSK’s net sales of Zejula and JEMPERLI during the period based on estimates of GSK’s sales historical experience. Of the royalty revenue recognized, $0.2 million is JEMPERLI non-cash revenue related to the Royalty Monetization Agreement, see Note 5. GSK reports sales information to us on a one quarter lag and differences between actual and estimated royalty revenues will be adjusted in the following quarter. There was no royalty revenue recognized during the years ended December 31, 2020 and 2019.</w:t>
      </w:r>
    </w:p>
    <w:p>
      <w:pPr>
        <w:spacing w:after="0" w:line="8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earned and recognized four clinical milestones totaling $60.0 million during the year ended December 31, 2021.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recognized through December 31, 2021 under the GSK Agreement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Anti-PD-1</w:t>
            </w:r>
          </w:p>
        </w:tc>
        <w:tc>
          <w:tcPr>
            <w:tcW w:w="2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Anti-LAG-3</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(JEMPERLI/Dostarlimab)</w:t>
            </w:r>
          </w:p>
        </w:tc>
        <w:tc>
          <w:tcPr>
            <w:tcW w:w="2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(GSK4069889A/Cobolimab)</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(GSK40974386)</w:t>
            </w:r>
          </w:p>
        </w:tc>
        <w:tc>
          <w:tcPr>
            <w:tcW w:w="0" w:type="dxa"/>
            <w:vAlign w:val="bottom"/>
          </w:tcPr>
          <w:p>
            <w:pPr>
              <w:spacing w:after="0"/>
              <w:rPr>
                <w:sz w:val="1"/>
                <w:szCs w:val="1"/>
                <w:color w:val="auto"/>
              </w:rPr>
            </w:pPr>
          </w:p>
        </w:tc>
      </w:tr>
      <w:tr>
        <w:trPr>
          <w:trHeight w:val="158"/>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Quarter</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Quarter</w:t>
            </w:r>
          </w:p>
        </w:tc>
        <w:tc>
          <w:tcPr>
            <w:tcW w:w="120" w:type="dxa"/>
            <w:vAlign w:val="bottom"/>
          </w:tcPr>
          <w:p>
            <w:pPr>
              <w:spacing w:after="0"/>
              <w:rPr>
                <w:sz w:val="13"/>
                <w:szCs w:val="13"/>
                <w:color w:val="auto"/>
              </w:rPr>
            </w:pPr>
          </w:p>
        </w:tc>
        <w:tc>
          <w:tcPr>
            <w:tcW w:w="106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13"/>
        </w:trPr>
        <w:tc>
          <w:tcPr>
            <w:tcW w:w="42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Recognized</w:t>
            </w:r>
          </w:p>
        </w:tc>
        <w:tc>
          <w:tcPr>
            <w:tcW w:w="1060" w:type="dxa"/>
            <w:vAlign w:val="bottom"/>
            <w:vMerge w:val="continue"/>
          </w:tcPr>
          <w:p>
            <w:pPr>
              <w:spacing w:after="0"/>
              <w:rPr>
                <w:sz w:val="18"/>
                <w:szCs w:val="18"/>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Recognized</w:t>
            </w:r>
          </w:p>
        </w:tc>
        <w:tc>
          <w:tcPr>
            <w:tcW w:w="106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c>
          <w:tcPr>
            <w:tcW w:w="0" w:type="dxa"/>
            <w:vAlign w:val="bottom"/>
          </w:tcPr>
          <w:p>
            <w:pPr>
              <w:spacing w:after="0"/>
              <w:rPr>
                <w:sz w:val="1"/>
                <w:szCs w:val="1"/>
                <w:color w:val="auto"/>
              </w:rPr>
            </w:pPr>
          </w:p>
        </w:tc>
      </w:tr>
      <w:tr>
        <w:trPr>
          <w:trHeight w:val="168"/>
        </w:trPr>
        <w:tc>
          <w:tcPr>
            <w:tcW w:w="42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Initiated in vivo toxicology studies using good laboratory</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6"/>
                <w:szCs w:val="16"/>
                <w:color w:val="auto"/>
                <w:w w:val="89"/>
              </w:rPr>
              <w:t>Q2'15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$1.0M</w:t>
            </w:r>
          </w:p>
        </w:tc>
        <w:tc>
          <w:tcPr>
            <w:tcW w:w="13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6"/>
                <w:szCs w:val="16"/>
                <w:color w:val="auto"/>
                <w:w w:val="94"/>
              </w:rPr>
              <w:t>Q4'15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Q3'16</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practices (GLPs)</w:t>
            </w:r>
          </w:p>
        </w:tc>
        <w:tc>
          <w:tcPr>
            <w:tcW w:w="106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IND clearance from the FDA</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Q1'16</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$4.0M</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Q2'16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Q2'17</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Phase 2 clinical trial initiation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Q2'17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$3.0M</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4"/>
              </w:rPr>
              <w:t>Q4'17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Q4'19</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Phase 3 clinical trial initiation - first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Q3'18</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Phase 3 clinical trial initiation - second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Q2'19</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color w:val="auto"/>
              </w:rPr>
              <w:t>Filing of the first BLA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 first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Q1'20</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Q1'20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Filing of the first BLA - second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Q1'21</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BLA approval - first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Q2'21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First MAA approval - first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Q2'21</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BLA approval - second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Q3'21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Biologics License Application (“BLA”)</w:t>
      </w:r>
    </w:p>
    <w:p>
      <w:pPr>
        <w:spacing w:after="0" w:line="28"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Marketing Authorization Application (“MAA”)</w:t>
      </w:r>
    </w:p>
    <w:p>
      <w:pPr>
        <w:spacing w:after="0" w:line="202"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recognized $63.2 million in revenue under the GSK Agreement during the year ended December 31, 2021, of which $60.0 million was related to four milestones and $3.2 million was related to royalty revenue. We recognized $75.0 million in revenue during the year ended December 31, 2020, of which $60.0 million was related to terms under Amendment No. 3 to the GSK Agreement that were satisfied and $15.0 million in milestone revenue related to two milestones. We recognized $8.0 million during the year ended December 31, 2019 related to two milestones.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2" w:name="page93"/>
    <w:bookmarkEnd w:id="92"/>
    <w:p>
      <w:pPr>
        <w:ind w:right="220"/>
        <w:spacing w:after="0" w:line="277" w:lineRule="auto"/>
        <w:rPr>
          <w:sz w:val="20"/>
          <w:szCs w:val="20"/>
          <w:color w:val="auto"/>
        </w:rPr>
      </w:pPr>
      <w:r>
        <w:rPr>
          <w:rFonts w:ascii="Arial" w:cs="Arial" w:eastAsia="Arial" w:hAnsi="Arial"/>
          <w:sz w:val="18"/>
          <w:szCs w:val="18"/>
          <w:color w:val="auto"/>
        </w:rPr>
        <w:t>antibodies generated against each of the targets under the agreement, which option was triggered on a target-by-target basis by our delivery of antibodies meeting certain pre-specified parameters pertaining to each target under the agreement.</w:t>
      </w:r>
    </w:p>
    <w:p>
      <w:pPr>
        <w:spacing w:after="0" w:line="62" w:lineRule="exact"/>
        <w:rPr>
          <w:sz w:val="20"/>
          <w:szCs w:val="20"/>
          <w:color w:val="auto"/>
        </w:rPr>
      </w:pPr>
    </w:p>
    <w:p>
      <w:pPr>
        <w:jc w:val="both"/>
        <w:ind w:right="540" w:firstLine="567"/>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7" w:lineRule="exact"/>
        <w:rPr>
          <w:sz w:val="20"/>
          <w:szCs w:val="20"/>
          <w:color w:val="auto"/>
        </w:rPr>
      </w:pPr>
    </w:p>
    <w:p>
      <w:pPr>
        <w:ind w:right="160" w:firstLine="567"/>
        <w:spacing w:after="0" w:line="291" w:lineRule="auto"/>
        <w:rPr>
          <w:sz w:val="20"/>
          <w:szCs w:val="20"/>
          <w:color w:val="auto"/>
        </w:rPr>
      </w:pPr>
      <w:r>
        <w:rPr>
          <w:rFonts w:ascii="Arial" w:cs="Arial" w:eastAsia="Arial" w:hAnsi="Arial"/>
          <w:sz w:val="16"/>
          <w:szCs w:val="16"/>
          <w:color w:val="auto"/>
        </w:rPr>
        <w:t>As of December 31, 2021,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 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2021 under the BMS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Anti-PD-1</w:t>
            </w:r>
          </w:p>
        </w:tc>
        <w:tc>
          <w:tcPr>
            <w:tcW w:w="0" w:type="dxa"/>
            <w:vAlign w:val="bottom"/>
          </w:tcPr>
          <w:p>
            <w:pPr>
              <w:spacing w:after="0"/>
              <w:rPr>
                <w:sz w:val="1"/>
                <w:szCs w:val="1"/>
                <w:color w:val="auto"/>
              </w:rPr>
            </w:pPr>
          </w:p>
        </w:tc>
      </w:tr>
      <w:tr>
        <w:trPr>
          <w:trHeight w:val="213"/>
        </w:trPr>
        <w:tc>
          <w:tcPr>
            <w:tcW w:w="8980" w:type="dxa"/>
            <w:vAlign w:val="bottom"/>
          </w:tcPr>
          <w:p>
            <w:pPr>
              <w:spacing w:after="0"/>
              <w:rPr>
                <w:sz w:val="18"/>
                <w:szCs w:val="18"/>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(CC-90006)</w:t>
            </w:r>
          </w:p>
        </w:tc>
        <w:tc>
          <w:tcPr>
            <w:tcW w:w="0" w:type="dxa"/>
            <w:vAlign w:val="bottom"/>
          </w:tcPr>
          <w:p>
            <w:pPr>
              <w:spacing w:after="0"/>
              <w:rPr>
                <w:sz w:val="1"/>
                <w:szCs w:val="1"/>
                <w:color w:val="auto"/>
              </w:rPr>
            </w:pPr>
          </w:p>
        </w:tc>
      </w:tr>
      <w:tr>
        <w:trPr>
          <w:trHeight w:val="158"/>
        </w:trPr>
        <w:tc>
          <w:tcPr>
            <w:tcW w:w="8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1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13"/>
        </w:trPr>
        <w:tc>
          <w:tcPr>
            <w:tcW w:w="89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c>
          <w:tcPr>
            <w:tcW w:w="0" w:type="dxa"/>
            <w:vAlign w:val="bottom"/>
          </w:tcPr>
          <w:p>
            <w:pPr>
              <w:spacing w:after="0"/>
              <w:rPr>
                <w:sz w:val="1"/>
                <w:szCs w:val="1"/>
                <w:color w:val="auto"/>
              </w:rPr>
            </w:pPr>
          </w:p>
        </w:tc>
      </w:tr>
      <w:tr>
        <w:trPr>
          <w:trHeight w:val="435"/>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Completion of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$0.5M</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Q2'16</w:t>
            </w:r>
          </w:p>
        </w:tc>
        <w:tc>
          <w:tcPr>
            <w:tcW w:w="0" w:type="dxa"/>
            <w:vAlign w:val="bottom"/>
          </w:tcPr>
          <w:p>
            <w:pPr>
              <w:spacing w:after="0"/>
              <w:rPr>
                <w:sz w:val="1"/>
                <w:szCs w:val="1"/>
                <w:color w:val="auto"/>
              </w:rPr>
            </w:pP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Phase 1 clinical trial initiation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$1.0M</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Q4'16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was no revenue recognized under this agreement during the years ended December 31, 2021,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of Future Royalties</w:t>
      </w:r>
    </w:p>
    <w:p>
      <w:pPr>
        <w:spacing w:after="0" w:line="121"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In October 2021, we signed a royalty monetization agreement (“Royalty Monetization Agreement”) with Sagard Healthcare Royalty Partners, LP (“Sagard”). Under the terms of the Royalty Monetization Agreement, we received $250.0 million in exchange for royalties payable to us under our GSK collaboration on annual global net sales of JEMPERLI below $1.0 billion starting in October 2021. The aggregate JEMPERLI royalties and milestones to be received by Sagard under the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Royalty Monetization Agreement will expire resulting in AnaptysBio regaining all subsequent JEMPERLI royalties and milestones.</w:t>
      </w:r>
    </w:p>
    <w:p>
      <w:pPr>
        <w:spacing w:after="0" w:line="87" w:lineRule="exact"/>
        <w:rPr>
          <w:sz w:val="20"/>
          <w:szCs w:val="20"/>
          <w:color w:val="auto"/>
        </w:rPr>
      </w:pPr>
    </w:p>
    <w:p>
      <w:pPr>
        <w:jc w:val="both"/>
        <w:ind w:right="80" w:firstLine="567"/>
        <w:spacing w:after="0" w:line="287" w:lineRule="auto"/>
        <w:rPr>
          <w:sz w:val="20"/>
          <w:szCs w:val="20"/>
          <w:color w:val="auto"/>
        </w:rPr>
      </w:pPr>
      <w:r>
        <w:rPr>
          <w:rFonts w:ascii="Arial" w:cs="Arial" w:eastAsia="Arial" w:hAnsi="Arial"/>
          <w:sz w:val="16"/>
          <w:szCs w:val="16"/>
          <w:color w:val="auto"/>
        </w:rPr>
        <w:t>The Royalty Monetization Agreement includes a call option, which at any time after the third anniversary of the closing date of the transaction, we may reacquire our interest in the specified royalties by paying Sagard (in cash) a specified amount described as (a) in the case of a Reacquisition Date that falls within the period from (but excluding) the third anniversary of the Closing Date to (and including) December 31, 2026, the greater of (i)</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$312.5 million minus the total Net Amount actually received by Purchaser prior to such Reacquisition Date, and (ii) an amount that, when paid to Sagard on such Reacquisition Date, will generate an internal rate of return (“IRR”) for Sagard of 9.0% over the Relevant Period; (b) in the case of a Reacquisition Date that falls within the period from (and including) January 1, 2027 to (and including) December 31, 2027, the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3" w:name="page94"/>
    <w:bookmarkEnd w:id="93"/>
    <w:p>
      <w:pPr>
        <w:ind w:right="20"/>
        <w:spacing w:after="0" w:line="301" w:lineRule="auto"/>
        <w:rPr>
          <w:sz w:val="20"/>
          <w:szCs w:val="20"/>
          <w:color w:val="auto"/>
        </w:rPr>
      </w:pPr>
      <w:r>
        <w:rPr>
          <w:rFonts w:ascii="Arial" w:cs="Arial" w:eastAsia="Arial" w:hAnsi="Arial"/>
          <w:sz w:val="16"/>
          <w:szCs w:val="16"/>
          <w:color w:val="auto"/>
        </w:rPr>
        <w:t>greater of (i) $337.5 million minus the total Net Amount actually received by Purchaser prior to such Reacquisition Date and (ii) an amount that, when paid to Sagard on such Reacquisition Date, will generate an IRR for Sagard of 10% over the Relevant Period; and (c) in the case of a Reacquisition Date that occurs on or after January 1, 2028, the greater of (i) $412.5 million minus the total Net Amount actually received by Purchaser prior to such Reacquisition Date and (ii) an amount that, when paid to Sagard on such Reacquisition Date, will generate an IRR for Sagard of 10% over the Relevant Period.</w:t>
      </w:r>
    </w:p>
    <w:p>
      <w:pPr>
        <w:spacing w:after="0" w:line="49"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The proceeds received from Sagard of $250.0 million were recorded as a liability, net of transaction costs of $0.4 million, which will be amortized over the estimated life of the arrangement using the effective interest rate method.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Royalty Monetization Agreement.</w:t>
      </w:r>
    </w:p>
    <w:p>
      <w:pPr>
        <w:spacing w:after="0" w:line="63" w:lineRule="exact"/>
        <w:rPr>
          <w:sz w:val="20"/>
          <w:szCs w:val="20"/>
          <w:color w:val="auto"/>
        </w:rPr>
      </w:pPr>
    </w:p>
    <w:p>
      <w:pPr>
        <w:ind w:right="40" w:firstLine="567"/>
        <w:spacing w:after="0" w:line="296" w:lineRule="auto"/>
        <w:rPr>
          <w:sz w:val="20"/>
          <w:szCs w:val="20"/>
          <w:color w:val="auto"/>
        </w:rPr>
      </w:pPr>
      <w:r>
        <w:rPr>
          <w:rFonts w:ascii="Arial" w:cs="Arial" w:eastAsia="Arial" w:hAnsi="Arial"/>
          <w:sz w:val="16"/>
          <w:szCs w:val="16"/>
          <w:color w:val="auto"/>
        </w:rPr>
        <w:t>We estimate the effective interest rate used to record non-cash interest expense under the Agreement based on its estimate of future royalty payments to be received by Sagard. As of December 31, 2021, the estimated effective rate under the agreement was 7.0%. Over the life of the arrangement, the actual effective interest rate will be affected by the amount and the timing of the royalty payments received by Sagard and changes in the Company’s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53" w:lineRule="exact"/>
        <w:rPr>
          <w:sz w:val="20"/>
          <w:szCs w:val="20"/>
          <w:color w:val="auto"/>
        </w:rPr>
      </w:pPr>
    </w:p>
    <w:p>
      <w:pPr>
        <w:jc w:val="both"/>
        <w:ind w:right="260" w:firstLine="567"/>
        <w:spacing w:after="0" w:line="263" w:lineRule="auto"/>
        <w:rPr>
          <w:sz w:val="20"/>
          <w:szCs w:val="20"/>
          <w:color w:val="auto"/>
        </w:rPr>
      </w:pPr>
      <w:r>
        <w:rPr>
          <w:rFonts w:ascii="Arial" w:cs="Arial" w:eastAsia="Arial" w:hAnsi="Arial"/>
          <w:sz w:val="18"/>
          <w:szCs w:val="18"/>
          <w:color w:val="auto"/>
        </w:rPr>
        <w:t>We recognized non-cash royalty revenue of approximately $0.2 million and non-cash interest expense of approximately $1.5 million for the year ended December 31, 2021. The interest and amortization of issuance costs is reflected as non-cash interest expense for the sale of future royalties in the Consolidated Statements of Operations.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activity within the liability account for the year ended December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December 31, 2021</w:t>
            </w: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royalties - beginning balance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20" w:type="dxa"/>
            <w:vAlign w:val="bottom"/>
          </w:tcPr>
          <w:p>
            <w:pPr>
              <w:ind w:left="140"/>
              <w:spacing w:after="0"/>
              <w:rPr>
                <w:sz w:val="20"/>
                <w:szCs w:val="20"/>
                <w:color w:val="auto"/>
              </w:rPr>
            </w:pPr>
            <w:r>
              <w:rPr>
                <w:rFonts w:ascii="Arial" w:cs="Arial" w:eastAsia="Arial" w:hAnsi="Arial"/>
                <w:sz w:val="18"/>
                <w:szCs w:val="18"/>
                <w:color w:val="auto"/>
              </w:rPr>
              <w:t>Proceeds from sale of future royalties</w:t>
            </w: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costs related to the sale of future royalties</w:t>
            </w: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8820" w:type="dxa"/>
            <w:vAlign w:val="bottom"/>
          </w:tcPr>
          <w:p>
            <w:pPr>
              <w:ind w:left="140"/>
              <w:spacing w:after="0"/>
              <w:rPr>
                <w:sz w:val="20"/>
                <w:szCs w:val="20"/>
                <w:color w:val="auto"/>
              </w:rPr>
            </w:pPr>
            <w:r>
              <w:rPr>
                <w:rFonts w:ascii="Arial" w:cs="Arial" w:eastAsia="Arial" w:hAnsi="Arial"/>
                <w:sz w:val="18"/>
                <w:szCs w:val="18"/>
                <w:color w:val="auto"/>
              </w:rPr>
              <w:t>Amortization of issuance costs</w:t>
            </w:r>
          </w:p>
        </w:tc>
        <w:tc>
          <w:tcPr>
            <w:tcW w:w="3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recognized</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 - ending balance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251,093</w:t>
            </w:r>
          </w:p>
        </w:tc>
      </w:tr>
      <w:tr>
        <w:trPr>
          <w:trHeight w:val="21"/>
        </w:trPr>
        <w:tc>
          <w:tcPr>
            <w:tcW w:w="8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4" w:name="page95"/>
    <w:bookmarkEnd w:id="94"/>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00" w:type="dxa"/>
            <w:vAlign w:val="bottom"/>
          </w:tcPr>
          <w:p>
            <w:pPr>
              <w:jc w:val="center"/>
              <w:ind w:right="115"/>
              <w:spacing w:after="0" w:line="148"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1"/>
        </w:trPr>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700" w:type="dxa"/>
            <w:vAlign w:val="bottom"/>
            <w:tcBorders>
              <w:top w:val="single" w:sz="8" w:color="CFF0FC"/>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90"/>
              </w:rPr>
              <w:t>At December 31, 2021</w:t>
            </w:r>
          </w:p>
        </w:tc>
        <w:tc>
          <w:tcPr>
            <w:tcW w:w="31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32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1300" w:type="dxa"/>
            <w:vAlign w:val="bottom"/>
            <w:tcBorders>
              <w:top w:val="single" w:sz="8" w:color="auto"/>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445,647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445,647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At December 31, 2020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32"/>
        <w:spacing w:after="0"/>
        <w:tabs>
          <w:tab w:leader="none" w:pos="2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in the accompanying consolidated balance sheets.</w:t>
      </w:r>
    </w:p>
    <w:p>
      <w:pPr>
        <w:spacing w:after="0" w:line="42"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180" w:firstLine="567"/>
        <w:spacing w:after="0" w:line="28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2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2021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87,831</w:t>
            </w:r>
          </w:p>
        </w:tc>
        <w:tc>
          <w:tcPr>
            <w:tcW w:w="0" w:type="dxa"/>
            <w:vAlign w:val="bottom"/>
          </w:tcPr>
          <w:p>
            <w:pPr>
              <w:spacing w:after="0"/>
              <w:rPr>
                <w:sz w:val="1"/>
                <w:szCs w:val="1"/>
                <w:color w:val="auto"/>
              </w:rPr>
            </w:pPr>
          </w:p>
        </w:tc>
      </w:tr>
      <w:tr>
        <w:trPr>
          <w:trHeight w:val="248"/>
        </w:trPr>
        <w:tc>
          <w:tcPr>
            <w:tcW w:w="5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119,680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119,465</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-33655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51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196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425196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1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5" w:name="page96"/>
    <w:bookmarkEnd w:id="95"/>
    <w:p>
      <w:pPr>
        <w:ind w:left="500" w:right="220" w:hanging="492"/>
        <w:spacing w:after="0" w:line="227" w:lineRule="auto"/>
        <w:tabs>
          <w:tab w:leader="none" w:pos="375"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 million have maturity dates of less than one year and $4.8 million have a maturity date of between one to two years as of December 31, 2021.</w:t>
      </w:r>
    </w:p>
    <w:p>
      <w:pPr>
        <w:spacing w:after="0" w:line="13" w:lineRule="exact"/>
        <w:rPr>
          <w:rFonts w:ascii="Arial" w:cs="Arial" w:eastAsia="Arial" w:hAnsi="Arial"/>
          <w:sz w:val="23"/>
          <w:szCs w:val="23"/>
          <w:color w:val="auto"/>
          <w:vertAlign w:val="superscript"/>
        </w:rPr>
      </w:pPr>
    </w:p>
    <w:p>
      <w:pPr>
        <w:ind w:left="500" w:right="120" w:hanging="492"/>
        <w:spacing w:after="0" w:line="227" w:lineRule="auto"/>
        <w:tabs>
          <w:tab w:leader="none" w:pos="296"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$1.3 million have a maturity date of less than one year and $2.5 million have a maturity date of between one to two years as of December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(3)</w:t>
            </w:r>
          </w:p>
        </w:tc>
        <w:tc>
          <w:tcPr>
            <w:tcW w:w="10800" w:type="dxa"/>
            <w:vAlign w:val="bottom"/>
            <w:vMerge w:val="restart"/>
          </w:tcPr>
          <w:p>
            <w:pPr>
              <w:ind w:left="100"/>
              <w:spacing w:after="0"/>
              <w:rPr>
                <w:sz w:val="20"/>
                <w:szCs w:val="20"/>
                <w:color w:val="auto"/>
              </w:rPr>
            </w:pPr>
            <w:r>
              <w:rPr>
                <w:rFonts w:ascii="Arial" w:cs="Arial" w:eastAsia="Arial" w:hAnsi="Arial"/>
                <w:sz w:val="18"/>
                <w:szCs w:val="18"/>
                <w:color w:val="auto"/>
                <w:w w:val="91"/>
              </w:rPr>
              <w:t>Of our outstanding commercial and corporate obligations, $4.8 million have maturity dates of less than one year and  $17.3 million have a maturity</w:t>
            </w:r>
          </w:p>
        </w:tc>
        <w:tc>
          <w:tcPr>
            <w:tcW w:w="0" w:type="dxa"/>
            <w:vAlign w:val="bottom"/>
          </w:tcPr>
          <w:p>
            <w:pPr>
              <w:spacing w:after="0"/>
              <w:rPr>
                <w:sz w:val="1"/>
                <w:szCs w:val="1"/>
                <w:color w:val="auto"/>
              </w:rPr>
            </w:pPr>
          </w:p>
        </w:tc>
      </w:tr>
      <w:tr>
        <w:trPr>
          <w:trHeight w:val="73"/>
        </w:trPr>
        <w:tc>
          <w:tcPr>
            <w:tcW w:w="260" w:type="dxa"/>
            <w:vAlign w:val="bottom"/>
          </w:tcPr>
          <w:p>
            <w:pPr>
              <w:spacing w:after="0"/>
              <w:rPr>
                <w:sz w:val="6"/>
                <w:szCs w:val="6"/>
                <w:color w:val="auto"/>
              </w:rPr>
            </w:pPr>
          </w:p>
        </w:tc>
        <w:tc>
          <w:tcPr>
            <w:tcW w:w="10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date of between one to two years as of December 31, 2021.</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40" w:hanging="492"/>
        <w:spacing w:after="0" w:line="227" w:lineRule="auto"/>
        <w:tabs>
          <w:tab w:leader="none" w:pos="375"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$45.3 million have maturity dates of less than one year and $42.5 million have a maturity date of between one to two years as of December 31, 2021.</w:t>
      </w:r>
    </w:p>
    <w:p>
      <w:pPr>
        <w:spacing w:after="0" w:line="202" w:lineRule="exact"/>
        <w:rPr>
          <w:sz w:val="20"/>
          <w:szCs w:val="20"/>
          <w:color w:val="auto"/>
        </w:rPr>
      </w:pPr>
    </w:p>
    <w:p>
      <w:pPr>
        <w:ind w:right="200" w:firstLine="567"/>
        <w:spacing w:after="0" w:line="269"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cash equivalents, short-term and long-term investments as of December 31, 2020 are as follows:</w:t>
      </w:r>
    </w:p>
    <w:tbl>
      <w:tblPr>
        <w:tblLayout w:type="fixed"/>
        <w:tblInd w:w="0" w:type="dxa"/>
        <w:tblCellMar>
          <w:top w:w="0" w:type="dxa"/>
          <w:left w:w="0" w:type="dxa"/>
          <w:bottom w:w="0" w:type="dxa"/>
          <w:right w:w="0" w:type="dxa"/>
        </w:tblCellMar>
      </w:tblPr>
      <w:tr>
        <w:trPr>
          <w:trHeight w:val="144"/>
        </w:trPr>
        <w:tc>
          <w:tcPr>
            <w:tcW w:w="34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32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Amortized</w:t>
            </w:r>
          </w:p>
        </w:tc>
        <w:tc>
          <w:tcPr>
            <w:tcW w:w="14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39"/>
              <w:spacing w:after="0" w:line="145"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453"/>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Unrealized Gains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3400" w:type="dxa"/>
            <w:vAlign w:val="bottom"/>
            <w:tcBorders>
              <w:top w:val="single" w:sz="8" w:color="CCEEFF"/>
            </w:tcBorders>
            <w:shd w:val="clear" w:color="auto" w:fill="CCEEFF"/>
          </w:tcPr>
          <w:p>
            <w:pPr>
              <w:ind w:left="60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30"/>
        </w:trPr>
        <w:tc>
          <w:tcPr>
            <w:tcW w:w="3400" w:type="dxa"/>
            <w:vAlign w:val="bottom"/>
          </w:tcPr>
          <w:p>
            <w:pPr>
              <w:ind w:left="60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Commercial and corporate</w:t>
            </w:r>
          </w:p>
        </w:tc>
        <w:tc>
          <w:tcPr>
            <w:tcW w:w="7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29,441</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obligations</w:t>
            </w:r>
            <w:r>
              <w:rPr>
                <w:rFonts w:ascii="Arial" w:cs="Arial" w:eastAsia="Arial" w:hAnsi="Arial"/>
                <w:sz w:val="23"/>
                <w:szCs w:val="23"/>
                <w:color w:val="auto"/>
                <w:vertAlign w:val="superscript"/>
              </w:rPr>
              <w:t>(3)</w:t>
            </w:r>
          </w:p>
        </w:tc>
        <w:tc>
          <w:tcPr>
            <w:tcW w:w="7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60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107,697</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0"/>
              </w:rPr>
              <w:t>Total available-for-sale investments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160,540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160,743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-33655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-33655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216027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60270" cy="154305"/>
                    </a:xfrm>
                    <a:prstGeom prst="rect">
                      <a:avLst/>
                    </a:prstGeom>
                    <a:noFill/>
                  </pic:spPr>
                </pic:pic>
              </a:graphicData>
            </a:graphic>
          </wp:anchor>
        </w:drawing>
      </w:r>
    </w:p>
    <w:p>
      <w:pPr>
        <w:spacing w:after="0" w:line="263" w:lineRule="exact"/>
        <w:rPr>
          <w:sz w:val="20"/>
          <w:szCs w:val="20"/>
          <w:color w:val="auto"/>
        </w:rPr>
      </w:pPr>
    </w:p>
    <w:p>
      <w:pPr>
        <w:ind w:left="500" w:right="40" w:hanging="492"/>
        <w:spacing w:after="0" w:line="227" w:lineRule="auto"/>
        <w:tabs>
          <w:tab w:leader="none" w:pos="375"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$10.0 million have maturity dates of less than one year and $11.2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40" w:hanging="492"/>
        <w:spacing w:after="0" w:line="227" w:lineRule="auto"/>
        <w:tabs>
          <w:tab w:leader="none" w:pos="375"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a maturity date of less than one year and $1.3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320" w:hanging="492"/>
        <w:spacing w:after="0" w:line="227" w:lineRule="auto"/>
        <w:tabs>
          <w:tab w:leader="none" w:pos="375"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$29.4 million have maturity dates of less than one year and $0.0 million have a maturity date of between one to two years as of December 31, 2020.</w:t>
      </w:r>
    </w:p>
    <w:p>
      <w:pPr>
        <w:spacing w:after="0" w:line="13" w:lineRule="exact"/>
        <w:rPr>
          <w:rFonts w:ascii="Arial" w:cs="Arial" w:eastAsia="Arial" w:hAnsi="Arial"/>
          <w:sz w:val="23"/>
          <w:szCs w:val="23"/>
          <w:color w:val="auto"/>
          <w:vertAlign w:val="superscript"/>
        </w:rPr>
      </w:pPr>
    </w:p>
    <w:p>
      <w:pPr>
        <w:ind w:left="500" w:right="100" w:hanging="492"/>
        <w:spacing w:after="0" w:line="227" w:lineRule="auto"/>
        <w:tabs>
          <w:tab w:leader="none" w:pos="312"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$102.7 million have maturity dates of less than one year and $5.0 million have a maturity date of between one to two years as of December 31, 2020.</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w:t>
      </w:r>
    </w:p>
    <w:p>
      <w:pPr>
        <w:spacing w:after="0" w:line="23"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of December 31, 2021 and December 31, 2020, aggregated by investment category and the length of time that individual securities have been in a continuous loss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Less than 12 Months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9"/>
              <w:spacing w:after="0" w:line="130"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980" w:type="dxa"/>
            <w:vAlign w:val="bottom"/>
          </w:tcPr>
          <w:p>
            <w:pPr>
              <w:jc w:val="right"/>
              <w:ind w:right="353"/>
              <w:spacing w:after="0" w:line="13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30"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9"/>
              <w:spacing w:after="0" w:line="130"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980" w:type="dxa"/>
            <w:vAlign w:val="bottom"/>
          </w:tcPr>
          <w:p>
            <w:pPr>
              <w:jc w:val="right"/>
              <w:ind w:right="354"/>
              <w:spacing w:after="0" w:line="13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46,713</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As of December 31, 2021 and 2020, unrealized losses on available-for-sale investments were not material, and accordingly, no allowance for credit losses were recorded.</w:t>
      </w:r>
    </w:p>
    <w:p>
      <w:pPr>
        <w:spacing w:after="0" w:line="274" w:lineRule="exact"/>
        <w:rPr>
          <w:sz w:val="20"/>
          <w:szCs w:val="20"/>
          <w:color w:val="auto"/>
        </w:rPr>
      </w:pPr>
    </w:p>
    <w:p>
      <w:pPr>
        <w:ind w:left="260" w:right="9420" w:hanging="252"/>
        <w:spacing w:after="0" w:line="425" w:lineRule="auto"/>
        <w:tabs>
          <w:tab w:leader="none" w:pos="19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right="160" w:firstLine="567"/>
        <w:spacing w:after="0" w:line="342" w:lineRule="auto"/>
        <w:rPr>
          <w:sz w:val="20"/>
          <w:szCs w:val="20"/>
          <w:color w:val="auto"/>
        </w:rPr>
      </w:pPr>
      <w:r>
        <w:rPr>
          <w:rFonts w:ascii="Arial" w:cs="Arial" w:eastAsia="Arial" w:hAnsi="Arial"/>
          <w:sz w:val="16"/>
          <w:szCs w:val="16"/>
          <w:color w:val="auto"/>
        </w:rPr>
        <w:t>Of the 500,000,000 shares of common stock authorized, 27,647,250 shares were issued and outstanding as of December 31, 2021. Common stock reserved for future issuance upon the exercise, issuance or conversion of the respective equity instruments at December 31, 2021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340" w:type="dxa"/>
            <w:vAlign w:val="bottom"/>
            <w:shd w:val="clear" w:color="auto" w:fill="CCEEFF"/>
          </w:tcPr>
          <w:p>
            <w:pPr>
              <w:spacing w:after="0"/>
              <w:rPr>
                <w:sz w:val="19"/>
                <w:szCs w:val="19"/>
                <w:color w:val="auto"/>
              </w:rPr>
            </w:pPr>
          </w:p>
        </w:tc>
      </w:tr>
      <w:tr>
        <w:trPr>
          <w:trHeight w:val="230"/>
        </w:trPr>
        <w:tc>
          <w:tcPr>
            <w:tcW w:w="990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3,460,295</w:t>
            </w:r>
          </w:p>
        </w:tc>
      </w:tr>
      <w:tr>
        <w:trPr>
          <w:trHeight w:val="229"/>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w:t>
            </w:r>
          </w:p>
        </w:tc>
        <w:tc>
          <w:tcPr>
            <w:tcW w:w="1340" w:type="dxa"/>
            <w:vAlign w:val="bottom"/>
            <w:shd w:val="clear" w:color="auto" w:fill="CCEEFF"/>
          </w:tcPr>
          <w:p>
            <w:pPr>
              <w:spacing w:after="0"/>
              <w:rPr>
                <w:sz w:val="19"/>
                <w:szCs w:val="19"/>
                <w:color w:val="auto"/>
              </w:rPr>
            </w:pPr>
          </w:p>
        </w:tc>
      </w:tr>
      <w:tr>
        <w:trPr>
          <w:trHeight w:val="243"/>
        </w:trPr>
        <w:tc>
          <w:tcPr>
            <w:tcW w:w="660" w:type="dxa"/>
            <w:vAlign w:val="bottom"/>
          </w:tcPr>
          <w:p>
            <w:pPr>
              <w:ind w:left="260"/>
              <w:spacing w:after="0"/>
              <w:rPr>
                <w:sz w:val="20"/>
                <w:szCs w:val="20"/>
                <w:color w:val="auto"/>
              </w:rPr>
            </w:pPr>
            <w:r>
              <w:rPr>
                <w:rFonts w:ascii="Arial" w:cs="Arial" w:eastAsia="Arial" w:hAnsi="Arial"/>
                <w:sz w:val="18"/>
                <w:szCs w:val="18"/>
                <w:color w:val="auto"/>
                <w:w w:val="94"/>
              </w:rPr>
              <w:t>2017</w:t>
            </w:r>
          </w:p>
        </w:tc>
        <w:tc>
          <w:tcPr>
            <w:tcW w:w="92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3,268,267</w:t>
            </w:r>
          </w:p>
        </w:tc>
      </w:tr>
      <w:tr>
        <w:trPr>
          <w:trHeight w:val="229"/>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1,252,024</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Total</w:t>
            </w:r>
          </w:p>
        </w:tc>
        <w:tc>
          <w:tcPr>
            <w:tcW w:w="9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7,980,586</w:t>
            </w:r>
          </w:p>
        </w:tc>
      </w:tr>
      <w:tr>
        <w:trPr>
          <w:trHeight w:val="21"/>
        </w:trPr>
        <w:tc>
          <w:tcPr>
            <w:tcW w:w="66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1,094,223 shares as of January 1, 2021.</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273,555 shares as of January 1, 2021. The initial offering period for the ESPP began in May 2021, completed in November 2021, and a new offering period began in November 2021. Future offering periods are expected to start in May and November each year.</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Stock options granted to employees and non-employees generally vest over a four-year period while stock options granted to directors vest over a one-year period. Each stock option award has a maximum term of 10 years from the date of grant, subject to earlier cancellation prior to vesting upon cessation of service to us. A summary of the activity related to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option awards during the year ended December 31, 2021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Price per</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4"/>
        </w:trPr>
        <w:tc>
          <w:tcPr>
            <w:tcW w:w="4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2,920,700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17,434</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1,105,845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(293,788)</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3,460,295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5.93</w:t>
            </w:r>
          </w:p>
        </w:tc>
        <w:tc>
          <w:tcPr>
            <w:tcW w:w="360" w:type="dxa"/>
            <w:vAlign w:val="bottom"/>
            <w:tcBorders>
              <w:top w:val="single" w:sz="8" w:color="CFF0FC"/>
              <w:bottom w:val="single" w:sz="8" w:color="CFF0FC"/>
            </w:tcBorders>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line="20" w:lineRule="exact"/>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1,852,668</w:t>
            </w: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cash received from the exercise of stock options was approximately $2.1 million during the year ended December 31, 2021.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80"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 Ended</w:t>
      </w:r>
    </w:p>
    <w:p>
      <w:pPr>
        <w:jc w:val="center"/>
        <w:ind w:left="62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4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2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92.9 %</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90.2 %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77.98 %</w:t>
            </w: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r>
    </w:tbl>
    <w:p>
      <w:pPr>
        <w:spacing w:after="0" w:line="296"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Expected volatility for 2021 incorporates the historical volatility of our stock price, and volatility for 2020 and 2019 incorporates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69"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r>
      <w:tr>
        <w:trPr>
          <w:trHeight w:val="248"/>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At December 31, 2021, there was $27.2 million of unrecognized compensation cost related to unvested stock option awards, which is expected to be recognized over a remaining weighted average vesting period of 2.26 years. At December 31, 2021, there was $0.1 million of unrecognized compensation cost related to the ESPP, which is expected to be recognized over a remaining weighted-average vesting period of 0.37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100" w:firstLine="567"/>
        <w:spacing w:after="0" w:line="296" w:lineRule="auto"/>
        <w:rPr>
          <w:sz w:val="20"/>
          <w:szCs w:val="20"/>
          <w:color w:val="auto"/>
        </w:rPr>
      </w:pPr>
      <w:r>
        <w:rPr>
          <w:rFonts w:ascii="Arial" w:cs="Arial" w:eastAsia="Arial" w:hAnsi="Arial"/>
          <w:sz w:val="16"/>
          <w:szCs w:val="16"/>
          <w:color w:val="auto"/>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6% of the employees’ eligible salary with a maximum annual match limit of $8,000 in 2021 and 50% of an employee’s contributions up to 6% of the employees’ eligible salary with a maximum annual match limit of $6,000 in 2020 and 2019. For the years ended December 31, 2021, 2020, and 2019, we incurred approximately $0.6 million, $0.5 million and $0.3 million, respectively of costs related to the 401(k) plan.</w:t>
      </w:r>
    </w:p>
    <w:p>
      <w:pPr>
        <w:spacing w:after="0" w:line="265" w:lineRule="exact"/>
        <w:rPr>
          <w:sz w:val="20"/>
          <w:szCs w:val="20"/>
          <w:color w:val="auto"/>
        </w:rPr>
      </w:pPr>
    </w:p>
    <w:p>
      <w:pPr>
        <w:ind w:left="300" w:right="8420" w:hanging="292"/>
        <w:spacing w:after="0" w:line="425" w:lineRule="auto"/>
        <w:tabs>
          <w:tab w:leader="none" w:pos="28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right="160" w:firstLine="486"/>
        <w:spacing w:after="0" w:line="291" w:lineRule="auto"/>
        <w:rPr>
          <w:sz w:val="20"/>
          <w:szCs w:val="20"/>
          <w:color w:val="auto"/>
        </w:rPr>
      </w:pPr>
      <w:r>
        <w:rPr>
          <w:rFonts w:ascii="Arial" w:cs="Arial" w:eastAsia="Arial" w:hAnsi="Arial"/>
          <w:sz w:val="16"/>
          <w:szCs w:val="16"/>
          <w:color w:val="auto"/>
        </w:rPr>
        <w:t>On November 11, 2020, we entered into an agreement to terminate our sublease (the “Sublease Termination”) with Trex Enterprises Corporation, with respect to facilities in the building at 10455 Pacific Center Court in San Diego, California (the “10455 Building”). The terms of the original sublease with Trex provided for a November 12, 2021 lease expiration. Under the Sublease Termination, we agreed to terminate the sublease agreement on December 15, 2020 with no associated penalty. We recorded a non-cash gain of approximately $0.1 million as other income, in connection with the write-off of the lease liability and corresponding ROU asset. As of December 31, 2021, there was no lease liability and corresponding ROU asset related to the 10455 Building Lease. The non-cancellable office lease for our facilities at 10421 Pacific Center Court in San Diego, California, expired on August 31, 2021, and as of December 31, 2021, there was no related lease liability and corresponding ROU asset.</w:t>
      </w:r>
    </w:p>
    <w:p>
      <w:pPr>
        <w:spacing w:after="0" w:line="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2021, we have recorded $0.3 million as a security deposit in accordance with the terms of the Lease Agreement.</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effective date of adoption in determining the present value of future payments. The weighted-average discount rate used was 4.0% and the weighted-average remaining lease term is approximately 9.7 years.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75"/>
        </w:trPr>
        <w:tc>
          <w:tcPr>
            <w:tcW w:w="4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Cash paid for amounts included in the measurement of lease</w:t>
            </w:r>
          </w:p>
        </w:tc>
        <w:tc>
          <w:tcPr>
            <w:tcW w:w="268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jc w:val="right"/>
              <w:ind w:right="155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9" w:name="page100"/>
    <w:bookmarkEnd w:id="99"/>
    <w:p>
      <w:pPr>
        <w:ind w:left="500"/>
        <w:spacing w:after="0"/>
        <w:rPr>
          <w:sz w:val="20"/>
          <w:szCs w:val="20"/>
          <w:color w:val="auto"/>
        </w:rPr>
      </w:pPr>
      <w:r>
        <w:rPr>
          <w:rFonts w:ascii="Arial" w:cs="Arial" w:eastAsia="Arial" w:hAnsi="Arial"/>
          <w:sz w:val="18"/>
          <w:szCs w:val="18"/>
          <w:color w:val="auto"/>
        </w:rPr>
        <w:t>At December 31, 2021, the future minimum annual obligations for the Company’s operating lease commitments are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460" w:type="dxa"/>
            <w:vAlign w:val="bottom"/>
          </w:tcPr>
          <w:p>
            <w:pPr>
              <w:spacing w:after="0"/>
              <w:rPr>
                <w:sz w:val="20"/>
                <w:szCs w:val="20"/>
                <w:color w:val="auto"/>
              </w:rPr>
            </w:pPr>
            <w:r>
              <w:rPr>
                <w:rFonts w:ascii="Arial" w:cs="Arial" w:eastAsia="Arial" w:hAnsi="Arial"/>
                <w:sz w:val="14"/>
                <w:szCs w:val="14"/>
                <w:b w:val="1"/>
                <w:bCs w:val="1"/>
                <w:color w:val="auto"/>
              </w:rPr>
              <w:t>Years Ending December 31, (in thousands)</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29"/>
        </w:trPr>
        <w:tc>
          <w:tcPr>
            <w:tcW w:w="9460" w:type="dxa"/>
            <w:vAlign w:val="bottom"/>
          </w:tcPr>
          <w:p>
            <w:pPr>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3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9"/>
        </w:trPr>
        <w:tc>
          <w:tcPr>
            <w:tcW w:w="9460" w:type="dxa"/>
            <w:vAlign w:val="bottom"/>
          </w:tcPr>
          <w:p>
            <w:pPr>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2,531</w:t>
            </w:r>
          </w:p>
        </w:tc>
      </w:tr>
      <w:tr>
        <w:trPr>
          <w:trHeight w:val="22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30"/>
        </w:trPr>
        <w:tc>
          <w:tcPr>
            <w:tcW w:w="9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13,239</w:t>
            </w:r>
          </w:p>
        </w:tc>
      </w:tr>
      <w:tr>
        <w:trPr>
          <w:trHeight w:val="223"/>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r>
      <w:tr>
        <w:trPr>
          <w:trHeight w:val="230"/>
        </w:trPr>
        <w:tc>
          <w:tcPr>
            <w:tcW w:w="9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r>
      <w:tr>
        <w:trPr>
          <w:trHeight w:val="248"/>
        </w:trPr>
        <w:tc>
          <w:tcPr>
            <w:tcW w:w="9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We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79" w:lineRule="exact"/>
        <w:rPr>
          <w:sz w:val="20"/>
          <w:szCs w:val="20"/>
          <w:color w:val="auto"/>
        </w:rPr>
      </w:pPr>
    </w:p>
    <w:p>
      <w:pPr>
        <w:ind w:right="340" w:firstLine="567"/>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19 years and, in some cases, may be subject to earlier termination by either party upon specified circumstances.</w:t>
      </w:r>
    </w:p>
    <w:p>
      <w:pPr>
        <w:spacing w:after="0" w:line="16" w:lineRule="exact"/>
        <w:rPr>
          <w:sz w:val="20"/>
          <w:szCs w:val="20"/>
          <w:color w:val="auto"/>
        </w:rPr>
      </w:pPr>
    </w:p>
    <w:p>
      <w:pPr>
        <w:jc w:val="both"/>
        <w:ind w:right="220" w:firstLine="567"/>
        <w:spacing w:after="0" w:line="263"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$0.2 million, and $0.5 million during the years ended December 31, 2021, 2020 and 2019, respectively. Total cash paid under these agreements was $0.2 million, $0.3 million, and $0.1 million during the years ended December 31, 2021, 2020, and 2019, respectively.</w:t>
      </w:r>
    </w:p>
    <w:p>
      <w:pPr>
        <w:spacing w:after="0" w:line="76" w:lineRule="exact"/>
        <w:rPr>
          <w:sz w:val="20"/>
          <w:szCs w:val="20"/>
          <w:color w:val="auto"/>
        </w:rPr>
      </w:pPr>
    </w:p>
    <w:p>
      <w:pPr>
        <w:jc w:val="both"/>
        <w:ind w:right="200" w:firstLine="567"/>
        <w:spacing w:after="0" w:line="263" w:lineRule="auto"/>
        <w:rPr>
          <w:sz w:val="20"/>
          <w:szCs w:val="20"/>
          <w:color w:val="auto"/>
        </w:rPr>
      </w:pPr>
      <w:r>
        <w:rPr>
          <w:rFonts w:ascii="Arial" w:cs="Arial" w:eastAsia="Arial" w:hAnsi="Arial"/>
          <w:sz w:val="18"/>
          <w:szCs w:val="18"/>
          <w:color w:val="auto"/>
        </w:rPr>
        <w:t>Future minimum annual obligations under all such license agreements will be $0.7 million in aggregate during 2022, and $0.2 million thereafter. These obligations are payable through ten years from the first commercial sale, if any, or expiration of the last patent to expire, the dates of which are not determinable at this time.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70"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00" w:name="page101"/>
    <w:bookmarkEnd w:id="100"/>
    <w:p>
      <w:pPr>
        <w:jc w:val="both"/>
        <w:ind w:right="320" w:firstLine="567"/>
        <w:spacing w:after="0" w:line="263" w:lineRule="auto"/>
        <w:rPr>
          <w:sz w:val="20"/>
          <w:szCs w:val="20"/>
          <w:color w:val="auto"/>
        </w:rPr>
      </w:pPr>
      <w:r>
        <w:rPr>
          <w:rFonts w:ascii="Arial" w:cs="Arial" w:eastAsia="Arial" w:hAnsi="Arial"/>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76"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jc w:val="both"/>
        <w:ind w:right="100" w:firstLine="567"/>
        <w:spacing w:after="0" w:line="263" w:lineRule="auto"/>
        <w:rPr>
          <w:sz w:val="20"/>
          <w:szCs w:val="20"/>
          <w:color w:val="auto"/>
        </w:rPr>
      </w:pPr>
      <w:r>
        <w:rPr>
          <w:rFonts w:ascii="Arial" w:cs="Arial" w:eastAsia="Arial" w:hAnsi="Arial"/>
          <w:sz w:val="18"/>
          <w:szCs w:val="18"/>
          <w:color w:val="auto"/>
        </w:rPr>
        <w:t>At December 31, 2020, we were contingently liable for a standby letter of credit issued by a commercial bank for $60,000 for security on our lease and a restricted cash account with this amount was held as cash collateral for the letter of credit. As of December 31, 2021, the letter of credit has expired and the related restricted cash has been released.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11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sought, among other things, damages in an unspecified amount, as well as costs and expenses. On September 20, 2021, the Court granted defendants’ motion to dismiss the amended complaint with leave to amend. Plaintiff did not file a further amended complaint and, on November 30, 2021, the Court dismissed the action with prejudice.</w:t>
      </w:r>
    </w:p>
    <w:p>
      <w:pPr>
        <w:spacing w:after="0" w:line="84"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On May 3, 2021, a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 The parties to that derivative action have agreed to the following: (1) the action should be dismissed without prejudice, meaning that the dismissal would not preclude the company, or another shareholder acting on behalf of the company, from asserting such claims in the future; (2) the plaintiffs and the defendants will all bear their own fees and costs incurred in connection with the action; and (3) neither the plaintiffs nor their counsel have received, or will receive, payment, compensation or consideration of any kind, directly or indirectly, in connection with the action or its dismissal. By Order dated January 14, 2022, the Court directed the Company to provide, in its filing on Form 10-K for the year ending December 31, 2021, notice to shareholders of the proposed dismissal without prejudice. The Court further directed the parties to notify the Court following the filing of the Form 10-K, and ordered that the action will be dismissed without prejudice fourteen (14) days thereafter unless, within such time, a shareholder moves to intervene in the action.</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unable to estimate a reasonably possible loss or range of loss, if any, that may result from these matters.</w:t>
      </w:r>
    </w:p>
    <w:p>
      <w:pPr>
        <w:spacing w:after="0" w:line="117" w:lineRule="exact"/>
        <w:rPr>
          <w:sz w:val="20"/>
          <w:szCs w:val="20"/>
          <w:color w:val="auto"/>
        </w:rPr>
      </w:pPr>
    </w:p>
    <w:p>
      <w:pPr>
        <w:ind w:right="20" w:firstLine="567"/>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loss before income tax benefit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1" w:name="page102"/>
    <w:bookmarkEnd w:id="101"/>
    <w:p>
      <w:pPr>
        <w:ind w:left="58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67,203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57,772</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81,484</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ROU asset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Fixed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780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81,334</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(81,334)</w:t>
            </w:r>
          </w:p>
        </w:tc>
      </w:tr>
      <w:tr>
        <w:trPr>
          <w:trHeight w:val="223"/>
        </w:trPr>
        <w:tc>
          <w:tcPr>
            <w:tcW w:w="7800" w:type="dxa"/>
            <w:vAlign w:val="bottom"/>
          </w:tcPr>
          <w:p>
            <w:pPr>
              <w:ind w:left="680"/>
              <w:spacing w:after="0"/>
              <w:rPr>
                <w:sz w:val="20"/>
                <w:szCs w:val="20"/>
                <w:color w:val="auto"/>
              </w:rPr>
            </w:pPr>
            <w:r>
              <w:rPr>
                <w:rFonts w:ascii="Arial" w:cs="Arial" w:eastAsia="Arial" w:hAnsi="Arial"/>
                <w:sz w:val="18"/>
                <w:szCs w:val="18"/>
                <w:color w:val="auto"/>
              </w:rPr>
              <w:t>Deferred tax assets, net of valuation allowance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103"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At December 31, 2021, we had federal and state net operating loss carryforwards (“NOLs”), of $293.4 million and $65.6 million, respectively. The federal and state NOLs generated prior to 2018 will both begin to expire in 2028, unless previously utilized. The federal NOL includes $233.4 million of net operating losses generated in 2018 and after. Federal net operating losses generated in 2018 and after carryover indefinitely and may generally be used to offset up to 80% of future taxable income. At December 31, 2021, we had federal and California research tax credit carryforwards of approximately $3.2 million and $10.6 million, respectively. The federal research tax credit carryforwards will begin to expire in 2041 and the California research tax credits carryforward indefinitely. We also have foreign tax losses of $3.3 million, which will carry forward indefinitely, subject to a continuity of ownership test.</w:t>
      </w:r>
    </w:p>
    <w:p>
      <w:pPr>
        <w:spacing w:after="0" w:line="56"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During 2021, we extended the analysis period of the study through September 30, 2021, noting ownership changes on January 31, 2017 and March 8, 2021. We reduced federal research credit carryforward by approximately $15.0 million. Our use of federal and state NOLs and research credits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2" w:name="page103"/>
    <w:bookmarkEnd w:id="102"/>
    <w:p>
      <w:pPr>
        <w:ind w:left="608"/>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136" w:lineRule="exact"/>
        <w:rPr>
          <w:sz w:val="20"/>
          <w:szCs w:val="20"/>
          <w:color w:val="auto"/>
        </w:rPr>
      </w:pPr>
    </w:p>
    <w:tbl>
      <w:tblPr>
        <w:tblLayout w:type="fixed"/>
        <w:tblInd w:w="28"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benefit at federal statutory tax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Equity compensation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to provision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Rate differential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the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26,905</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08" w:right="40" w:hanging="208"/>
        <w:spacing w:after="0" w:line="258" w:lineRule="auto"/>
        <w:tabs>
          <w:tab w:leader="none" w:pos="191" w:val="left"/>
        </w:tabs>
        <w:numPr>
          <w:ilvl w:val="0"/>
          <w:numId w:val="53"/>
        </w:numPr>
        <w:rPr>
          <w:rFonts w:ascii="Arial" w:cs="Arial" w:eastAsia="Arial" w:hAnsi="Arial"/>
          <w:sz w:val="22"/>
          <w:szCs w:val="22"/>
          <w:color w:val="auto"/>
          <w:vertAlign w:val="superscript"/>
        </w:rPr>
      </w:pPr>
      <w:r>
        <w:rPr>
          <w:rFonts w:ascii="Arial" w:cs="Arial" w:eastAsia="Arial" w:hAnsi="Arial"/>
          <w:sz w:val="17"/>
          <w:szCs w:val="17"/>
          <w:color w:val="auto"/>
        </w:rPr>
        <w:t>Includes non-deductible stock-based compensation and excess tax benefits from stock-based compensation. During 2021, our tax provision includes $0.1 million of excess tax benefits associated with the exercise of non-qualified stock options and $0.9 million associated with the disqualifying dispositions of incentive stock options and $0 associated with the employee stock purchase plan. During 2020, our tax provision includes $0 of excess tax benefits associated with the exercise of non-qualified stock options and $0.2 million associated with the disqualifying dispositions of incentive stock options. During 2019, our tax provision includes $1.1 million of excess tax benefits associated with the exercise of non-qualified stock options and $0.3 million associated with the disqualifying dispositions of incentive stock options.</w:t>
      </w:r>
    </w:p>
    <w:p>
      <w:pPr>
        <w:spacing w:after="0" w:line="81" w:lineRule="exact"/>
        <w:rPr>
          <w:sz w:val="20"/>
          <w:szCs w:val="20"/>
          <w:color w:val="auto"/>
        </w:rPr>
      </w:pPr>
    </w:p>
    <w:p>
      <w:pPr>
        <w:ind w:left="28" w:right="22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2021 and 2020,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98" w:lineRule="exact"/>
        <w:rPr>
          <w:sz w:val="20"/>
          <w:szCs w:val="20"/>
          <w:color w:val="auto"/>
        </w:rPr>
      </w:pPr>
    </w:p>
    <w:tbl>
      <w:tblPr>
        <w:tblLayout w:type="fixed"/>
        <w:tblInd w:w="28"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Decrease related to prior year tax positions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8" w:right="420" w:firstLine="567"/>
        <w:spacing w:after="0" w:line="342" w:lineRule="auto"/>
        <w:rPr>
          <w:sz w:val="20"/>
          <w:szCs w:val="20"/>
          <w:color w:val="auto"/>
        </w:rPr>
      </w:pPr>
      <w:r>
        <w:rPr>
          <w:rFonts w:ascii="Arial" w:cs="Arial" w:eastAsia="Arial" w:hAnsi="Arial"/>
          <w:sz w:val="16"/>
          <w:szCs w:val="16"/>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6" w:lineRule="exact"/>
        <w:rPr>
          <w:sz w:val="20"/>
          <w:szCs w:val="20"/>
          <w:color w:val="auto"/>
        </w:rPr>
      </w:pPr>
    </w:p>
    <w:p>
      <w:pPr>
        <w:ind w:left="28" w:right="18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2021 and 2020, there were no interest or penalties on uncertain tax benefits.</w:t>
      </w:r>
    </w:p>
    <w:p>
      <w:pPr>
        <w:spacing w:after="0" w:line="62" w:lineRule="exact"/>
        <w:rPr>
          <w:sz w:val="20"/>
          <w:szCs w:val="20"/>
          <w:color w:val="auto"/>
        </w:rPr>
      </w:pPr>
    </w:p>
    <w:p>
      <w:pPr>
        <w:ind w:left="28" w:right="28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Pennsylvania, and Australia. Due to our losses incurred, we are essentially subject to income tax examination by tax authorities from inception to date.</w:t>
      </w:r>
    </w:p>
    <w:p>
      <w:pPr>
        <w:spacing w:after="0" w:line="200" w:lineRule="exact"/>
        <w:rPr>
          <w:sz w:val="20"/>
          <w:szCs w:val="20"/>
          <w:color w:val="auto"/>
        </w:rPr>
      </w:pPr>
    </w:p>
    <w:p>
      <w:pPr>
        <w:spacing w:after="0" w:line="308" w:lineRule="exact"/>
        <w:rPr>
          <w:sz w:val="20"/>
          <w:szCs w:val="20"/>
          <w:color w:val="auto"/>
        </w:rPr>
      </w:pPr>
    </w:p>
    <w:p>
      <w:pPr>
        <w:jc w:val="center"/>
        <w:ind w:right="-47"/>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8"/>
          </w:cols>
          <w:pgMar w:left="292" w:top="1003"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As of December 31, 2021,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2021, the design and operation of our disclosure controls and procedures were effective at a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2021. In making this assessment, management used the criteria set forth by the Committee of Sponsoring Organizations of the Treadway Commission (COSO) in Internal Control—Integrated Framework issued in 2013. Based upon the assessments, management has concluded that as of December 31, 2021 our internal control over financial reporting was effective to provide reasonable assurance regarding the reliability of financial reporting and the preparation of financial statements in accordance with GAAP.</w:t>
      </w:r>
    </w:p>
    <w:p>
      <w:pPr>
        <w:spacing w:after="0" w:line="84"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“Information about our Executive Officers,” “Election of Class II Directors,” “Corporate Governance Standards and Director Independence” and “Security Ownership of Certain Beneficial Owners and Management” in our Definitive Proxy Statement with respect to our 2022 Annual Meeting of Stockholders to be filed with the SEC within 120 days after the end of the fiscal year covered by this Annual Report on Form 10-K.</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2022 Annual Meeting of Shareholders, and such disclosure, if any,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II Directors,” and “Corporate Governance Standards and Director Independence” in our Definitive Proxy Statement with respect to our 2022 Annual Meeting of Stockholders to be filed with the SEC within 120 days after the end of the fiscal year covered by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2022 Annual Meeting of Stockholders to be filed with the SEC within 120 days after the end of the fiscal year covered by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40" w:firstLine="567"/>
        <w:spacing w:after="0" w:line="311" w:lineRule="auto"/>
        <w:rPr>
          <w:sz w:val="20"/>
          <w:szCs w:val="20"/>
          <w:color w:val="auto"/>
        </w:rPr>
      </w:pPr>
      <w:r>
        <w:rPr>
          <w:rFonts w:ascii="Arial" w:cs="Arial" w:eastAsia="Arial" w:hAnsi="Arial"/>
          <w:sz w:val="16"/>
          <w:szCs w:val="16"/>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2022 Annual Meeting of Stockholders to be filed with the SEC within 120 days after the end of the fiscal year covered by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independent registered public accounting firm is KPMG LLP, San Diego, CA, Auditor Firm ID: 185.</w:t>
      </w:r>
    </w:p>
    <w:p>
      <w:pPr>
        <w:spacing w:after="0" w:line="117" w:lineRule="exact"/>
        <w:rPr>
          <w:sz w:val="20"/>
          <w:szCs w:val="20"/>
          <w:color w:val="auto"/>
        </w:rPr>
      </w:pPr>
    </w:p>
    <w:p>
      <w:pPr>
        <w:ind w:right="260"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2022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60" w:hanging="185"/>
        <w:spacing w:after="0"/>
        <w:tabs>
          <w:tab w:leader="none" w:pos="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Index to Consolidated Financial Statements under Part II,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460" w:firstLine="1134"/>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93"/>
              </w:rPr>
              <w:t>Incorporated by reference</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2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gridSpan w:val="30"/>
            <w:vMerge w:val="restart"/>
          </w:tcPr>
          <w:p>
            <w:pPr>
              <w:ind w:left="220"/>
              <w:spacing w:after="0"/>
              <w:rPr>
                <w:sz w:val="20"/>
                <w:szCs w:val="20"/>
                <w:color w:val="auto"/>
              </w:rPr>
            </w:pPr>
            <w:r>
              <w:rPr>
                <w:rFonts w:ascii="Arial" w:cs="Arial" w:eastAsia="Arial" w:hAnsi="Arial"/>
                <w:sz w:val="14"/>
                <w:szCs w:val="14"/>
                <w:b w:val="1"/>
                <w:bCs w:val="1"/>
                <w:color w:val="auto"/>
              </w:rPr>
              <w:t>Description of Document</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30"/>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0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80" w:type="dxa"/>
            <w:vAlign w:val="bottom"/>
            <w:tcBorders>
              <w:top w:val="single" w:sz="8" w:color="auto"/>
            </w:tcBorders>
            <w:gridSpan w:val="34"/>
          </w:tcPr>
          <w:p>
            <w:pPr>
              <w:spacing w:after="0" w:line="184"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Amended and Restated Certificate of Incorporation, as</w:t>
              </w:r>
            </w:hyperlink>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10-Q</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92"/>
              <w:spacing w:after="0" w:line="184" w:lineRule="exact"/>
              <w:rPr>
                <w:sz w:val="20"/>
                <w:szCs w:val="20"/>
                <w:color w:val="auto"/>
              </w:rPr>
            </w:pPr>
            <w:r>
              <w:rPr>
                <w:rFonts w:ascii="Arial" w:cs="Arial" w:eastAsia="Arial" w:hAnsi="Arial"/>
                <w:sz w:val="18"/>
                <w:szCs w:val="18"/>
                <w:color w:val="auto"/>
                <w:w w:val="91"/>
              </w:rPr>
              <w:t>May 12, 2017</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currently in effect.</w:t>
              </w:r>
            </w:hyperlink>
          </w:p>
        </w:tc>
        <w:tc>
          <w:tcPr>
            <w:tcW w:w="26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29">
              <w:r>
                <w:rPr>
                  <w:rFonts w:ascii="Arial" w:cs="Arial" w:eastAsia="Arial" w:hAnsi="Arial"/>
                  <w:sz w:val="18"/>
                  <w:szCs w:val="18"/>
                  <w:color w:val="0000FF"/>
                </w:rPr>
                <w:t>Restated Bylaws, as currently in effect.</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Form of Common Stock Certificate.</w:t>
              </w:r>
            </w:hyperlink>
          </w:p>
        </w:tc>
        <w:tc>
          <w:tcPr>
            <w:tcW w:w="200" w:type="dxa"/>
            <w:vAlign w:val="bottom"/>
            <w:tcBorders>
              <w:top w:val="single" w:sz="8" w:color="0000FF"/>
            </w:tcBorders>
            <w:gridSpan w:val="2"/>
          </w:tcPr>
          <w:p>
            <w:pPr>
              <w:spacing w:after="0"/>
              <w:rPr>
                <w:sz w:val="18"/>
                <w:szCs w:val="18"/>
                <w:color w:val="auto"/>
              </w:rPr>
            </w:pPr>
          </w:p>
        </w:tc>
        <w:tc>
          <w:tcPr>
            <w:tcW w:w="1360" w:type="dxa"/>
            <w:vAlign w:val="bottom"/>
            <w:gridSpan w:val="21"/>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23,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Borders>
              <w:bottom w:val="single" w:sz="8" w:color="0000FF"/>
            </w:tcBorders>
            <w:gridSpan w:val="24"/>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Description of the Registrant’s Securities Registered</w:t>
              </w:r>
            </w:hyperlink>
          </w:p>
        </w:tc>
        <w:tc>
          <w:tcPr>
            <w:tcW w:w="400" w:type="dxa"/>
            <w:vAlign w:val="bottom"/>
            <w:gridSpan w:val="11"/>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2, 2020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5"/>
          </w:tcPr>
          <w:p>
            <w:pPr>
              <w:spacing w:after="0" w:line="156" w:lineRule="exact"/>
              <w:rPr>
                <w:rFonts w:ascii="Arial" w:cs="Arial" w:eastAsia="Arial" w:hAnsi="Arial"/>
                <w:sz w:val="18"/>
                <w:szCs w:val="18"/>
                <w:color w:val="0000FF"/>
                <w:w w:val="96"/>
              </w:rPr>
            </w:pPr>
            <w:hyperlink r:id="rId131">
              <w:r>
                <w:rPr>
                  <w:rFonts w:ascii="Arial" w:cs="Arial" w:eastAsia="Arial" w:hAnsi="Arial"/>
                  <w:sz w:val="18"/>
                  <w:szCs w:val="18"/>
                  <w:color w:val="0000FF"/>
                  <w:w w:val="96"/>
                </w:rPr>
                <w:t>Pursuant to Section 12 of the Securities Exchange Act</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of 1934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35"/>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Indemnity Agreement.</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Amended and Restated 2006 Equity Incentive Plan and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forms of award agreements.</w:t>
              </w:r>
            </w:hyperlink>
          </w:p>
        </w:tc>
        <w:tc>
          <w:tcPr>
            <w:tcW w:w="2020" w:type="dxa"/>
            <w:vAlign w:val="bottom"/>
            <w:tcBorders>
              <w:top w:val="single" w:sz="8" w:color="0000FF"/>
            </w:tcBorders>
            <w:gridSpan w:val="24"/>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2017 Equity Incentive Plan, and forms of award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r:id="rId134">
              <w:r>
                <w:rPr>
                  <w:rFonts w:ascii="Arial" w:cs="Arial" w:eastAsia="Arial" w:hAnsi="Arial"/>
                  <w:sz w:val="18"/>
                  <w:szCs w:val="18"/>
                  <w:color w:val="0000FF"/>
                  <w:w w:val="85"/>
                </w:rPr>
                <w:t>agreements.</w:t>
              </w:r>
            </w:hyperlink>
          </w:p>
        </w:tc>
        <w:tc>
          <w:tcPr>
            <w:tcW w:w="258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35">
              <w:r>
                <w:rPr>
                  <w:rFonts w:ascii="Arial" w:cs="Arial" w:eastAsia="Arial" w:hAnsi="Arial"/>
                  <w:sz w:val="18"/>
                  <w:szCs w:val="18"/>
                  <w:color w:val="0000FF"/>
                </w:rPr>
                <w:t>2017 Employee Stock Purchase Plan, and forms of</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January 17, 2017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6"/>
              </w:rPr>
            </w:pPr>
            <w:hyperlink r:id="rId135">
              <w:r>
                <w:rPr>
                  <w:rFonts w:ascii="Arial" w:cs="Arial" w:eastAsia="Arial" w:hAnsi="Arial"/>
                  <w:sz w:val="18"/>
                  <w:szCs w:val="18"/>
                  <w:color w:val="0000FF"/>
                  <w:w w:val="86"/>
                </w:rPr>
                <w:t>award agreements.</w:t>
              </w:r>
            </w:hyperlink>
          </w:p>
        </w:tc>
        <w:tc>
          <w:tcPr>
            <w:tcW w:w="23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bottom w:val="single" w:sz="8" w:color="0000FF"/>
            </w:tcBorders>
            <w:gridSpan w:val="21"/>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Employment Agreement, effective as of January 1,</w:t>
              </w:r>
            </w:hyperlink>
          </w:p>
        </w:tc>
        <w:tc>
          <w:tcPr>
            <w:tcW w:w="500" w:type="dxa"/>
            <w:vAlign w:val="bottom"/>
            <w:gridSpan w:val="14"/>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5, 2018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5"/>
          </w:tcPr>
          <w:p>
            <w:pPr>
              <w:spacing w:after="0" w:line="156"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2012, by and between the Registrant and Hamza Suria,</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136">
              <w:r>
                <w:rPr>
                  <w:rFonts w:ascii="Arial" w:cs="Arial" w:eastAsia="Arial" w:hAnsi="Arial"/>
                  <w:sz w:val="18"/>
                  <w:szCs w:val="18"/>
                  <w:color w:val="0000FF"/>
                  <w:w w:val="84"/>
                </w:rPr>
                <w:t>as amended.</w:t>
              </w:r>
            </w:hyperlink>
          </w:p>
        </w:tc>
        <w:tc>
          <w:tcPr>
            <w:tcW w:w="31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Antibody Generation Agreement, dated December 22,</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28, 2016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7"/>
          </w:tcPr>
          <w:p>
            <w:pPr>
              <w:spacing w:after="0" w:line="156" w:lineRule="exact"/>
              <w:rPr>
                <w:rFonts w:ascii="Arial" w:cs="Arial" w:eastAsia="Arial" w:hAnsi="Arial"/>
                <w:sz w:val="18"/>
                <w:szCs w:val="18"/>
                <w:color w:val="0000FF"/>
                <w:w w:val="97"/>
              </w:rPr>
            </w:pPr>
            <w:hyperlink r:id="rId137">
              <w:r>
                <w:rPr>
                  <w:rFonts w:ascii="Arial" w:cs="Arial" w:eastAsia="Arial" w:hAnsi="Arial"/>
                  <w:sz w:val="18"/>
                  <w:szCs w:val="18"/>
                  <w:color w:val="0000FF"/>
                  <w:w w:val="97"/>
                </w:rPr>
                <w:t>2011, by and between the Registrant and Celgene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Corporation, as modified.</w:t>
              </w:r>
            </w:hyperlink>
          </w:p>
        </w:tc>
        <w:tc>
          <w:tcPr>
            <w:tcW w:w="170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Collaboration and Exclusive License Agreement, dated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May 10, 2016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March 10, 2014, by and among the Registrant,</w:t>
              </w:r>
            </w:hyperlink>
          </w:p>
        </w:tc>
        <w:tc>
          <w:tcPr>
            <w:tcW w:w="660" w:type="dxa"/>
            <w:vAlign w:val="bottom"/>
            <w:tcBorders>
              <w:top w:val="single" w:sz="8" w:color="0000FF"/>
            </w:tcBorders>
            <w:gridSpan w:val="17"/>
          </w:tcPr>
          <w:p>
            <w:pPr>
              <w:spacing w:after="0"/>
              <w:rPr>
                <w:sz w:val="13"/>
                <w:szCs w:val="13"/>
                <w:color w:val="auto"/>
              </w:rPr>
            </w:pPr>
          </w:p>
        </w:tc>
        <w:tc>
          <w:tcPr>
            <w:tcW w:w="1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5"/>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TESARO, Inc. and TESARO Development, Ltd., as</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amended.</w:t>
              </w:r>
            </w:hyperlink>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39">
              <w:r>
                <w:rPr>
                  <w:rFonts w:ascii="Arial" w:cs="Arial" w:eastAsia="Arial" w:hAnsi="Arial"/>
                  <w:sz w:val="18"/>
                  <w:szCs w:val="18"/>
                  <w:color w:val="0000FF"/>
                </w:rPr>
                <w:t>License Agreement, dated August 30, 2006, by and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5"/>
          </w:tcPr>
          <w:p>
            <w:pPr>
              <w:spacing w:after="0" w:line="156"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between the Registrant and Medical Research Council,</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139">
              <w:r>
                <w:rPr>
                  <w:rFonts w:ascii="Arial" w:cs="Arial" w:eastAsia="Arial" w:hAnsi="Arial"/>
                  <w:sz w:val="18"/>
                  <w:szCs w:val="18"/>
                  <w:color w:val="0000FF"/>
                  <w:w w:val="84"/>
                </w:rPr>
                <w:t>as amended.</w:t>
              </w:r>
            </w:hyperlink>
          </w:p>
        </w:tc>
        <w:tc>
          <w:tcPr>
            <w:tcW w:w="30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40">
              <w:r>
                <w:rPr>
                  <w:rFonts w:ascii="Arial" w:cs="Arial" w:eastAsia="Arial" w:hAnsi="Arial"/>
                  <w:sz w:val="18"/>
                  <w:szCs w:val="18"/>
                  <w:color w:val="0000FF"/>
                </w:rPr>
                <w:t>Non-Exclusive Research and Commercial License</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9, 2015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Agreement, dated May 15, 2009, by and between</w:t>
              </w:r>
            </w:hyperlink>
          </w:p>
        </w:tc>
        <w:tc>
          <w:tcPr>
            <w:tcW w:w="540" w:type="dxa"/>
            <w:vAlign w:val="bottom"/>
            <w:gridSpan w:val="1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the</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Registrant and Millipore Corporation.</w:t>
              </w:r>
            </w:hyperlink>
          </w:p>
        </w:tc>
        <w:tc>
          <w:tcPr>
            <w:tcW w:w="108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Borders>
              <w:bottom w:val="single" w:sz="8" w:color="0000FF"/>
            </w:tcBorders>
            <w:gridSpan w:val="10"/>
          </w:tcPr>
          <w:p>
            <w:pPr>
              <w:spacing w:after="0"/>
              <w:rPr>
                <w:rFonts w:ascii="Arial" w:cs="Arial" w:eastAsia="Arial" w:hAnsi="Arial"/>
                <w:sz w:val="18"/>
                <w:szCs w:val="18"/>
                <w:color w:val="0000FF"/>
                <w:w w:val="88"/>
              </w:rPr>
            </w:pPr>
            <w:hyperlink r:id="rId141">
              <w:r>
                <w:rPr>
                  <w:rFonts w:ascii="Arial" w:cs="Arial" w:eastAsia="Arial" w:hAnsi="Arial"/>
                  <w:sz w:val="18"/>
                  <w:szCs w:val="18"/>
                  <w:color w:val="0000FF"/>
                  <w:w w:val="88"/>
                </w:rPr>
                <w:t>Wateridge Lease Agreement.</w:t>
              </w:r>
            </w:hyperlink>
          </w:p>
        </w:tc>
        <w:tc>
          <w:tcPr>
            <w:tcW w:w="2080" w:type="dxa"/>
            <w:vAlign w:val="bottom"/>
            <w:gridSpan w:val="25"/>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May 6, 2020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Amended and Restated Employment Agreement,</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November 4, 2020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7"/>
          </w:tcPr>
          <w:p>
            <w:pPr>
              <w:spacing w:after="0" w:line="156" w:lineRule="exact"/>
              <w:rPr>
                <w:rFonts w:ascii="Arial" w:cs="Arial" w:eastAsia="Arial" w:hAnsi="Arial"/>
                <w:sz w:val="18"/>
                <w:szCs w:val="18"/>
                <w:color w:val="0000FF"/>
                <w:w w:val="87"/>
              </w:rPr>
            </w:pPr>
            <w:hyperlink r:id="rId142">
              <w:r>
                <w:rPr>
                  <w:rFonts w:ascii="Arial" w:cs="Arial" w:eastAsia="Arial" w:hAnsi="Arial"/>
                  <w:sz w:val="18"/>
                  <w:szCs w:val="18"/>
                  <w:color w:val="0000FF"/>
                  <w:w w:val="87"/>
                </w:rPr>
                <w:t>effective July 15, 2020, by and between Registrant</w:t>
              </w:r>
            </w:hyperlink>
          </w:p>
        </w:tc>
        <w:tc>
          <w:tcPr>
            <w:tcW w:w="640" w:type="dxa"/>
            <w:vAlign w:val="bottom"/>
            <w:gridSpan w:val="18"/>
          </w:tcPr>
          <w:p>
            <w:pPr>
              <w:ind w:left="160"/>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and</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Eric Loumeau</w:t>
              </w:r>
            </w:hyperlink>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3"/>
              </w:rPr>
              <w:t>Incorporated by reference</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2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4100" w:type="dxa"/>
            <w:vAlign w:val="bottom"/>
            <w:gridSpan w:val="24"/>
            <w:vMerge w:val="restart"/>
          </w:tcPr>
          <w:p>
            <w:pPr>
              <w:ind w:left="128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vMerge w:val="restart"/>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64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2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25"/>
            <w:vMerge w:val="restart"/>
          </w:tcPr>
          <w:p>
            <w:pPr>
              <w:spacing w:after="0"/>
              <w:rPr>
                <w:rFonts w:ascii="Arial" w:cs="Arial" w:eastAsia="Arial" w:hAnsi="Arial"/>
                <w:sz w:val="18"/>
                <w:szCs w:val="18"/>
                <w:color w:val="0000FF"/>
              </w:rPr>
            </w:pPr>
            <w:hyperlink r:id="rId145">
              <w:r>
                <w:rPr>
                  <w:rFonts w:ascii="Arial" w:cs="Arial" w:eastAsia="Arial" w:hAnsi="Arial"/>
                  <w:sz w:val="18"/>
                  <w:szCs w:val="18"/>
                  <w:color w:val="0000FF"/>
                </w:rPr>
                <w:t>Employment Agreement, effective July 15, 2020, by</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center"/>
              <w:ind w:right="134"/>
              <w:spacing w:after="0"/>
              <w:rPr>
                <w:sz w:val="20"/>
                <w:szCs w:val="20"/>
                <w:color w:val="auto"/>
              </w:rPr>
            </w:pPr>
            <w:r>
              <w:rPr>
                <w:rFonts w:ascii="Arial" w:cs="Arial" w:eastAsia="Arial" w:hAnsi="Arial"/>
                <w:sz w:val="18"/>
                <w:szCs w:val="18"/>
                <w:color w:val="auto"/>
                <w:w w:val="90"/>
              </w:rPr>
              <w:t>November 4, 2020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gridSpan w:val="25"/>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and between Registrant and Dennis Mulroy</w:t>
              </w:r>
            </w:hyperlink>
          </w:p>
        </w:tc>
        <w:tc>
          <w:tcPr>
            <w:tcW w:w="6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November 4, 2020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5"/>
            <w:vMerge w:val="restart"/>
          </w:tcPr>
          <w:p>
            <w:pPr>
              <w:spacing w:after="0"/>
              <w:rPr>
                <w:rFonts w:ascii="Arial" w:cs="Arial" w:eastAsia="Arial" w:hAnsi="Arial"/>
                <w:sz w:val="18"/>
                <w:szCs w:val="18"/>
                <w:color w:val="0000FF"/>
              </w:rPr>
            </w:pPr>
            <w:hyperlink r:id="rId146">
              <w:r>
                <w:rPr>
                  <w:rFonts w:ascii="Arial" w:cs="Arial" w:eastAsia="Arial" w:hAnsi="Arial"/>
                  <w:sz w:val="18"/>
                  <w:szCs w:val="18"/>
                  <w:color w:val="0000FF"/>
                </w:rPr>
                <w:t>Employment Agreement, effective July 31, 2020, by</w:t>
              </w:r>
            </w:hyperlink>
          </w:p>
        </w:tc>
        <w:tc>
          <w:tcPr>
            <w:tcW w:w="76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gridSpan w:val="25"/>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and between Registrant and Paul Lizzul</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8"/>
              </w:rPr>
            </w:pPr>
            <w:hyperlink r:id="rId147">
              <w:r>
                <w:rPr>
                  <w:rFonts w:ascii="Arial" w:cs="Arial" w:eastAsia="Arial" w:hAnsi="Arial"/>
                  <w:sz w:val="18"/>
                  <w:szCs w:val="18"/>
                  <w:color w:val="0000FF"/>
                  <w:w w:val="98"/>
                </w:rPr>
                <w:t>Amendment No. 3 to the Collaboration and Exclusive</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February 25, 2021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License Agreement</w:t>
              </w:r>
            </w:hyperlink>
          </w:p>
        </w:tc>
        <w:tc>
          <w:tcPr>
            <w:tcW w:w="24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rPr>
            </w:pPr>
            <w:hyperlink r:id="rId148">
              <w:r>
                <w:rPr>
                  <w:rFonts w:ascii="Arial" w:cs="Arial" w:eastAsia="Arial" w:hAnsi="Arial"/>
                  <w:sz w:val="18"/>
                  <w:szCs w:val="18"/>
                  <w:color w:val="0000FF"/>
                </w:rPr>
                <w:t>Termination of Sublease</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February 25, 2021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10-K</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February 25, 2021</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25"/>
          </w:tcPr>
          <w:p>
            <w:pPr>
              <w:spacing w:after="0"/>
              <w:rPr>
                <w:rFonts w:ascii="Arial" w:cs="Arial" w:eastAsia="Arial" w:hAnsi="Arial"/>
                <w:sz w:val="18"/>
                <w:szCs w:val="18"/>
                <w:color w:val="0000FF"/>
              </w:rPr>
            </w:pPr>
            <w:hyperlink r:id="rId149">
              <w:r>
                <w:rPr>
                  <w:rFonts w:ascii="Arial" w:cs="Arial" w:eastAsia="Arial" w:hAnsi="Arial"/>
                  <w:sz w:val="18"/>
                  <w:szCs w:val="18"/>
                  <w:color w:val="0000FF"/>
                </w:rPr>
                <w:t>Confidential Settlement and Modification Agreement</w:t>
              </w:r>
            </w:hyperlink>
          </w:p>
        </w:tc>
        <w:tc>
          <w:tcPr>
            <w:tcW w:w="7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dated as of October 23, 2020</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gridSpan w:val="25"/>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First Amendment to Lease Agreement</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August 9, 2021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Royalty Purchase Agreement, dated October 25, 2021,</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1, 2021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by and between the Registrant and Sagard Healthcare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Royalty Partners, LP</w:t>
              </w:r>
            </w:hyperlink>
          </w:p>
        </w:tc>
        <w:tc>
          <w:tcPr>
            <w:tcW w:w="236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22"/>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Amendment No. 4 to Tesaro AnaptysBio Collaboration</w:t>
              </w:r>
            </w:hyperlink>
          </w:p>
        </w:tc>
        <w:tc>
          <w:tcPr>
            <w:tcW w:w="20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Subsidiaries of the Registrant.</w:t>
              </w:r>
            </w:hyperlink>
          </w:p>
        </w:tc>
        <w:tc>
          <w:tcPr>
            <w:tcW w:w="2020" w:type="dxa"/>
            <w:vAlign w:val="bottom"/>
            <w:gridSpan w:val="19"/>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Consent of KPMG LLP, an independent registered</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public accounting firm.</w:t>
              </w:r>
            </w:hyperlink>
          </w:p>
        </w:tc>
        <w:tc>
          <w:tcPr>
            <w:tcW w:w="188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Power of Attorney</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7"/>
              </w:rPr>
            </w:pPr>
            <w:hyperlink w:anchor="page116">
              <w:r>
                <w:rPr>
                  <w:rFonts w:ascii="Arial" w:cs="Arial" w:eastAsia="Arial" w:hAnsi="Arial"/>
                  <w:sz w:val="18"/>
                  <w:szCs w:val="18"/>
                  <w:color w:val="0000FF"/>
                  <w:w w:val="97"/>
                </w:rPr>
                <w:t>Certification of Principal Executive Officer, pursuant to</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Rule 13a-14(a)/15d-14(a), as adopted pursuant to</w:t>
              </w:r>
            </w:hyperlink>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w:anchor="page116">
              <w:r>
                <w:rPr>
                  <w:rFonts w:ascii="Arial" w:cs="Arial" w:eastAsia="Arial" w:hAnsi="Arial"/>
                  <w:sz w:val="18"/>
                  <w:szCs w:val="18"/>
                  <w:color w:val="0000FF"/>
                  <w:w w:val="93"/>
                </w:rPr>
                <w:t>Section 302 of the Sarbanes-Oxley Act of 2002.</w:t>
              </w:r>
            </w:hyperlink>
          </w:p>
        </w:tc>
        <w:tc>
          <w:tcPr>
            <w:tcW w:w="20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8"/>
              </w:rPr>
            </w:pPr>
            <w:hyperlink w:anchor="page117">
              <w:r>
                <w:rPr>
                  <w:rFonts w:ascii="Arial" w:cs="Arial" w:eastAsia="Arial" w:hAnsi="Arial"/>
                  <w:sz w:val="18"/>
                  <w:szCs w:val="18"/>
                  <w:color w:val="0000FF"/>
                  <w:w w:val="98"/>
                </w:rPr>
                <w:t>Certification of Principal Financial Officer, pursuant to</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1"/>
          </w:tcPr>
          <w:p>
            <w:pPr>
              <w:spacing w:after="0" w:line="156" w:lineRule="exact"/>
              <w:rPr>
                <w:rFonts w:ascii="Arial" w:cs="Arial" w:eastAsia="Arial" w:hAnsi="Arial"/>
                <w:sz w:val="18"/>
                <w:szCs w:val="18"/>
                <w:color w:val="0000FF"/>
                <w:w w:val="99"/>
              </w:rPr>
            </w:pPr>
            <w:hyperlink w:anchor="page117">
              <w:r>
                <w:rPr>
                  <w:rFonts w:ascii="Arial" w:cs="Arial" w:eastAsia="Arial" w:hAnsi="Arial"/>
                  <w:sz w:val="18"/>
                  <w:szCs w:val="18"/>
                  <w:color w:val="0000FF"/>
                  <w:w w:val="99"/>
                </w:rPr>
                <w:t>Rule 13a-14(a)/15d-14(a), as adopted pursuant to</w:t>
              </w:r>
            </w:hyperlink>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w:anchor="page117">
              <w:r>
                <w:rPr>
                  <w:rFonts w:ascii="Arial" w:cs="Arial" w:eastAsia="Arial" w:hAnsi="Arial"/>
                  <w:sz w:val="18"/>
                  <w:szCs w:val="18"/>
                  <w:color w:val="0000FF"/>
                  <w:w w:val="93"/>
                </w:rPr>
                <w:t>Section 302 of the Sarbanes-Oxley Act of 2002.</w:t>
              </w:r>
            </w:hyperlink>
          </w:p>
        </w:tc>
        <w:tc>
          <w:tcPr>
            <w:tcW w:w="20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7"/>
              </w:rPr>
            </w:pPr>
            <w:hyperlink w:anchor="page118">
              <w:r>
                <w:rPr>
                  <w:rFonts w:ascii="Arial" w:cs="Arial" w:eastAsia="Arial" w:hAnsi="Arial"/>
                  <w:sz w:val="18"/>
                  <w:szCs w:val="18"/>
                  <w:color w:val="0000FF"/>
                  <w:w w:val="97"/>
                </w:rPr>
                <w:t>Certification of Chief Executive Officer, pursuant to 18</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w:anchor="page118">
              <w:r>
                <w:rPr>
                  <w:rFonts w:ascii="Arial" w:cs="Arial" w:eastAsia="Arial" w:hAnsi="Arial"/>
                  <w:sz w:val="18"/>
                  <w:szCs w:val="18"/>
                  <w:color w:val="0000FF"/>
                  <w:w w:val="94"/>
                </w:rPr>
                <w:t>U.S.C. Section 1350, as adopted pursuant to Section</w:t>
              </w:r>
            </w:hyperlink>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906 of the Sarbanes-Oxley Act of 2002.</w:t>
              </w:r>
            </w:hyperlink>
          </w:p>
        </w:tc>
        <w:tc>
          <w:tcPr>
            <w:tcW w:w="880" w:type="dxa"/>
            <w:vAlign w:val="bottom"/>
            <w:tcBorders>
              <w:top w:val="single" w:sz="8" w:color="0000FF"/>
            </w:tcBorders>
            <w:gridSpan w:val="5"/>
          </w:tcPr>
          <w:p>
            <w:pPr>
              <w:spacing w:after="0"/>
              <w:rPr>
                <w:sz w:val="13"/>
                <w:szCs w:val="13"/>
                <w:color w:val="auto"/>
              </w:rPr>
            </w:pPr>
          </w:p>
        </w:tc>
        <w:tc>
          <w:tcPr>
            <w:tcW w:w="200" w:type="dxa"/>
            <w:vAlign w:val="bottom"/>
            <w:gridSpan w:val="6"/>
          </w:tcPr>
          <w:p>
            <w:pPr>
              <w:spacing w:after="0"/>
              <w:rPr>
                <w:sz w:val="13"/>
                <w:szCs w:val="13"/>
                <w:color w:val="auto"/>
              </w:rPr>
            </w:pPr>
          </w:p>
        </w:tc>
        <w:tc>
          <w:tcPr>
            <w:tcW w:w="24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5"/>
          </w:tcPr>
          <w:p>
            <w:pPr>
              <w:spacing w:after="0"/>
              <w:rPr>
                <w:rFonts w:ascii="Arial" w:cs="Arial" w:eastAsia="Arial" w:hAnsi="Arial"/>
                <w:sz w:val="18"/>
                <w:szCs w:val="18"/>
                <w:color w:val="0000FF"/>
                <w:w w:val="98"/>
              </w:rPr>
            </w:pPr>
            <w:hyperlink w:anchor="page119">
              <w:r>
                <w:rPr>
                  <w:rFonts w:ascii="Arial" w:cs="Arial" w:eastAsia="Arial" w:hAnsi="Arial"/>
                  <w:sz w:val="18"/>
                  <w:szCs w:val="18"/>
                  <w:color w:val="0000FF"/>
                  <w:w w:val="98"/>
                </w:rPr>
                <w:t>Certification of Chief Financial Officer, pursuant to 18</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w:anchor="page119">
              <w:r>
                <w:rPr>
                  <w:rFonts w:ascii="Arial" w:cs="Arial" w:eastAsia="Arial" w:hAnsi="Arial"/>
                  <w:sz w:val="18"/>
                  <w:szCs w:val="18"/>
                  <w:color w:val="0000FF"/>
                  <w:w w:val="93"/>
                </w:rPr>
                <w:t>U.S.C. Section 1350, as adopted pursuant to Section</w:t>
              </w:r>
            </w:hyperlink>
          </w:p>
        </w:tc>
        <w:tc>
          <w:tcPr>
            <w:tcW w:w="24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906 of the Sarbanes-Oxley Act of 2002.</w:t>
              </w:r>
            </w:hyperlink>
          </w:p>
        </w:tc>
        <w:tc>
          <w:tcPr>
            <w:tcW w:w="880" w:type="dxa"/>
            <w:vAlign w:val="bottom"/>
            <w:tcBorders>
              <w:top w:val="single" w:sz="8" w:color="0000FF"/>
            </w:tcBorders>
            <w:gridSpan w:val="5"/>
          </w:tcPr>
          <w:p>
            <w:pPr>
              <w:spacing w:after="0"/>
              <w:rPr>
                <w:sz w:val="13"/>
                <w:szCs w:val="13"/>
                <w:color w:val="auto"/>
              </w:rPr>
            </w:pPr>
          </w:p>
        </w:tc>
        <w:tc>
          <w:tcPr>
            <w:tcW w:w="440" w:type="dxa"/>
            <w:vAlign w:val="bottom"/>
            <w:gridSpan w:val="11"/>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XBRL Report Instance Document - The instance document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4"/>
                <w:szCs w:val="14"/>
                <w:color w:val="auto"/>
              </w:rPr>
            </w:pPr>
          </w:p>
        </w:tc>
        <w:tc>
          <w:tcPr>
            <w:tcW w:w="4200" w:type="dxa"/>
            <w:vAlign w:val="bottom"/>
            <w:gridSpan w:val="25"/>
          </w:tcPr>
          <w:p>
            <w:pPr>
              <w:spacing w:after="0" w:line="162" w:lineRule="exact"/>
              <w:rPr>
                <w:sz w:val="20"/>
                <w:szCs w:val="20"/>
                <w:color w:val="auto"/>
              </w:rPr>
            </w:pPr>
            <w:r>
              <w:rPr>
                <w:rFonts w:ascii="Arial" w:cs="Arial" w:eastAsia="Arial" w:hAnsi="Arial"/>
                <w:sz w:val="16"/>
                <w:szCs w:val="16"/>
                <w:color w:val="auto"/>
                <w:w w:val="95"/>
              </w:rPr>
              <w:t>does not appear in the Interactive Data File because its XBRL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tags are embedded within the Inline XBRL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Inline XBRL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Inline XBRL Taxonomy Extension Definition Linkbase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5"/>
          </w:tcPr>
          <w:p>
            <w:pPr>
              <w:spacing w:after="0"/>
              <w:rPr>
                <w:sz w:val="20"/>
                <w:szCs w:val="20"/>
                <w:color w:val="auto"/>
              </w:rPr>
            </w:pPr>
            <w:r>
              <w:rPr>
                <w:rFonts w:ascii="Arial" w:cs="Arial" w:eastAsia="Arial" w:hAnsi="Arial"/>
                <w:sz w:val="16"/>
                <w:szCs w:val="16"/>
                <w:color w:val="auto"/>
              </w:rPr>
              <w:t>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Cover Page Interactive Data File (formatted as inline</w:t>
      </w:r>
    </w:p>
    <w:p>
      <w:pPr>
        <w:ind w:right="7420" w:firstLine="26"/>
        <w:spacing w:after="0" w:line="686" w:lineRule="auto"/>
        <w:tabs>
          <w:tab w:leader="none" w:pos="1138" w:val="left"/>
        </w:tabs>
        <w:numPr>
          <w:ilvl w:val="1"/>
          <w:numId w:val="55"/>
        </w:numPr>
        <w:rPr>
          <w:rFonts w:ascii="Arial" w:cs="Arial" w:eastAsia="Arial" w:hAnsi="Arial"/>
          <w:sz w:val="15"/>
          <w:szCs w:val="15"/>
          <w:color w:val="auto"/>
        </w:rPr>
      </w:pPr>
      <w:r>
        <w:rPr>
          <w:rFonts w:ascii="Arial" w:cs="Arial" w:eastAsia="Arial" w:hAnsi="Arial"/>
          <w:sz w:val="17"/>
          <w:szCs w:val="17"/>
          <w:color w:val="auto"/>
        </w:rPr>
        <w:t>XBRL and contained in Exhibit 101) * Executive compensation plan or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7" w:name="page108"/>
    <w:bookmarkEnd w:id="107"/>
    <w:p>
      <w:pPr>
        <w:ind w:left="652" w:hanging="652"/>
        <w:spacing w:after="0" w:line="258" w:lineRule="auto"/>
        <w:tabs>
          <w:tab w:leader="none" w:pos="3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652" w:right="740" w:hanging="652"/>
        <w:spacing w:after="0" w:line="250" w:lineRule="auto"/>
        <w:tabs>
          <w:tab w:leader="none" w:pos="2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1" w:lineRule="exact"/>
        <w:rPr>
          <w:sz w:val="20"/>
          <w:szCs w:val="20"/>
          <w:color w:val="auto"/>
        </w:rPr>
      </w:pPr>
    </w:p>
    <w:p>
      <w:pPr>
        <w:ind w:left="392" w:right="100" w:hanging="647"/>
        <w:spacing w:after="0" w:line="243" w:lineRule="auto"/>
        <w:tabs>
          <w:tab w:leader="none" w:pos="372" w:val="left"/>
        </w:tabs>
        <w:rPr>
          <w:sz w:val="20"/>
          <w:szCs w:val="20"/>
          <w:color w:val="auto"/>
        </w:rPr>
      </w:pPr>
      <w:r>
        <w:rPr>
          <w:rFonts w:ascii="Arial" w:cs="Arial" w:eastAsia="Arial" w:hAnsi="Arial"/>
          <w:sz w:val="18"/>
          <w:szCs w:val="18"/>
          <w:color w:val="auto"/>
        </w:rPr>
        <w:t>++</w:t>
        <w:tab/>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sz w:val="20"/>
          <w:szCs w:val="20"/>
          <w:color w:val="auto"/>
        </w:rPr>
      </w:pPr>
    </w:p>
    <w:p>
      <w:pPr>
        <w:ind w:left="652" w:right="140" w:hanging="652"/>
        <w:spacing w:after="0" w:line="233" w:lineRule="auto"/>
        <w:tabs>
          <w:tab w:leader="none" w:pos="2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 and schedules to this agreement have been omitted pursuant to the rules of the SEC. The Registrant will submit copies of such exhibits and schedules to the SEC upon request.</w:t>
      </w:r>
    </w:p>
    <w:p>
      <w:pPr>
        <w:spacing w:after="0" w:line="200" w:lineRule="exact"/>
        <w:rPr>
          <w:sz w:val="20"/>
          <w:szCs w:val="20"/>
          <w:color w:val="auto"/>
        </w:rPr>
      </w:pPr>
    </w:p>
    <w:p>
      <w:pPr>
        <w:spacing w:after="0" w:line="3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895" w:right="5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2022</w:t>
      </w:r>
    </w:p>
    <w:p>
      <w:pPr>
        <w:spacing w:after="0" w:line="14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AnaptysBio, Inc.</w:t>
      </w:r>
    </w:p>
    <w:p>
      <w:pPr>
        <w:spacing w:after="0" w:line="256"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Hamza Suria</w:t>
            </w:r>
          </w:p>
        </w:tc>
      </w:tr>
      <w:tr>
        <w:trPr>
          <w:trHeight w:val="222"/>
        </w:trPr>
        <w:tc>
          <w:tcPr>
            <w:tcW w:w="5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Hamza Suria</w:t>
            </w:r>
          </w:p>
        </w:tc>
      </w:tr>
      <w:tr>
        <w:trPr>
          <w:trHeight w:val="230"/>
        </w:trPr>
        <w:tc>
          <w:tcPr>
            <w:tcW w:w="56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2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6"/>
                <w:szCs w:val="16"/>
                <w:color w:val="auto"/>
              </w:rPr>
            </w:pPr>
          </w:p>
        </w:tc>
      </w:tr>
      <w:tr>
        <w:trPr>
          <w:trHeight w:val="39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Hamza Suria</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320" w:type="dxa"/>
            <w:vAlign w:val="bottom"/>
          </w:tcPr>
          <w:p>
            <w:pPr>
              <w:spacing w:after="0"/>
              <w:rPr>
                <w:sz w:val="19"/>
                <w:szCs w:val="19"/>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4"/>
              </w:rPr>
              <w:t>(Principal Executive Officer)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Dennis Mulroy</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Dennis Mulroy</w:t>
            </w:r>
          </w:p>
        </w:tc>
        <w:tc>
          <w:tcPr>
            <w:tcW w:w="320" w:type="dxa"/>
            <w:vAlign w:val="bottom"/>
          </w:tcPr>
          <w:p>
            <w:pPr>
              <w:spacing w:after="0"/>
              <w:rPr>
                <w:sz w:val="19"/>
                <w:szCs w:val="19"/>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44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Faga</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Daniel Faga</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Dennis Fenton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Dennis Fenton,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J. Hamill</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Magda Marquet,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Oleg Nodelman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2"/>
              </w:rPr>
              <w:t>Oleg Nodelman</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Schmid</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N. Topper</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March 7, 2022</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0"/>
        </w:trPr>
        <w:tc>
          <w:tcPr>
            <w:tcW w:w="4120" w:type="dxa"/>
            <w:vAlign w:val="bottom"/>
          </w:tcPr>
          <w:p>
            <w:pPr>
              <w:spacing w:after="0"/>
              <w:rPr>
                <w:sz w:val="24"/>
                <w:szCs w:val="24"/>
                <w:color w:val="auto"/>
              </w:rPr>
            </w:pPr>
          </w:p>
        </w:tc>
        <w:tc>
          <w:tcPr>
            <w:tcW w:w="4700" w:type="dxa"/>
            <w:vAlign w:val="bottom"/>
            <w:gridSpan w:val="2"/>
          </w:tcPr>
          <w:p>
            <w:pPr>
              <w:jc w:val="right"/>
              <w:ind w:right="2971"/>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Anthony Ware</w:t>
            </w:r>
          </w:p>
        </w:tc>
        <w:tc>
          <w:tcPr>
            <w:tcW w:w="4180" w:type="dxa"/>
            <w:vAlign w:val="bottom"/>
          </w:tcPr>
          <w:p>
            <w:pPr>
              <w:ind w:left="2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360"/>
              <w:spacing w:after="0"/>
              <w:rPr>
                <w:sz w:val="20"/>
                <w:szCs w:val="20"/>
                <w:color w:val="auto"/>
              </w:rPr>
            </w:pPr>
            <w:r>
              <w:rPr>
                <w:rFonts w:ascii="Arial" w:cs="Arial" w:eastAsia="Arial" w:hAnsi="Arial"/>
                <w:sz w:val="18"/>
                <w:szCs w:val="18"/>
                <w:color w:val="auto"/>
                <w:w w:val="90"/>
              </w:rPr>
              <w:t>March 7, 2022</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418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720"/>
          </w:cols>
          <w:pgMar w:left="320" w:top="1030" w:right="8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AMENDMENT NO. 4</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COLLABORATION AND EXCLUSIVE LICENSE AGREEMENT</w:t>
      </w:r>
    </w:p>
    <w:p>
      <w:pPr>
        <w:spacing w:after="0" w:line="6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This Amendment No. 4 to the Collaboration and Exclusive License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effective as of October 21, 2021 (the “</w:t>
      </w:r>
      <w:r>
        <w:rPr>
          <w:rFonts w:ascii="Arial" w:cs="Arial" w:eastAsia="Arial" w:hAnsi="Arial"/>
          <w:sz w:val="21"/>
          <w:szCs w:val="21"/>
          <w:b w:val="1"/>
          <w:bCs w:val="1"/>
          <w:color w:val="auto"/>
        </w:rPr>
        <w:t>Amendment Date</w:t>
      </w:r>
      <w:r>
        <w:rPr>
          <w:rFonts w:ascii="Arial" w:cs="Arial" w:eastAsia="Arial" w:hAnsi="Arial"/>
          <w:sz w:val="21"/>
          <w:szCs w:val="21"/>
          <w:color w:val="auto"/>
        </w:rPr>
        <w:t xml:space="preserve">”), is entered into by and between (i) </w:t>
      </w:r>
      <w:r>
        <w:rPr>
          <w:rFonts w:ascii="Arial" w:cs="Arial" w:eastAsia="Arial" w:hAnsi="Arial"/>
          <w:sz w:val="21"/>
          <w:szCs w:val="21"/>
          <w:b w:val="1"/>
          <w:bCs w:val="1"/>
          <w:color w:val="auto"/>
        </w:rPr>
        <w:t>AnaptysBio, Inc.</w:t>
      </w:r>
      <w:r>
        <w:rPr>
          <w:rFonts w:ascii="Arial" w:cs="Arial" w:eastAsia="Arial" w:hAnsi="Arial"/>
          <w:sz w:val="21"/>
          <w:szCs w:val="21"/>
          <w:color w:val="auto"/>
        </w:rPr>
        <w:t>, a Delaware corporation, having a place of business at 10770 Wateridge Circle, Suite 210, San Diego, California 92121 (“</w:t>
      </w:r>
      <w:r>
        <w:rPr>
          <w:rFonts w:ascii="Arial" w:cs="Arial" w:eastAsia="Arial" w:hAnsi="Arial"/>
          <w:sz w:val="21"/>
          <w:szCs w:val="21"/>
          <w:b w:val="1"/>
          <w:bCs w:val="1"/>
          <w:color w:val="auto"/>
        </w:rPr>
        <w:t>AnaptysBio</w:t>
      </w:r>
      <w:r>
        <w:rPr>
          <w:rFonts w:ascii="Arial" w:cs="Arial" w:eastAsia="Arial" w:hAnsi="Arial"/>
          <w:sz w:val="21"/>
          <w:szCs w:val="21"/>
          <w:color w:val="auto"/>
        </w:rPr>
        <w:t xml:space="preserve">”), and (ii) </w:t>
      </w:r>
      <w:r>
        <w:rPr>
          <w:rFonts w:ascii="Arial" w:cs="Arial" w:eastAsia="Arial" w:hAnsi="Arial"/>
          <w:sz w:val="21"/>
          <w:szCs w:val="21"/>
          <w:b w:val="1"/>
          <w:bCs w:val="1"/>
          <w:color w:val="auto"/>
        </w:rPr>
        <w:t>TESARO, Inc.</w:t>
      </w:r>
      <w:r>
        <w:rPr>
          <w:rFonts w:ascii="Arial" w:cs="Arial" w:eastAsia="Arial" w:hAnsi="Arial"/>
          <w:sz w:val="21"/>
          <w:szCs w:val="21"/>
          <w:color w:val="auto"/>
        </w:rPr>
        <w:t>, a Delaware corporation, having a place of business at 1000 Winter Street, Suite 3300, Waltham, Massachusetts</w:t>
      </w:r>
      <w:r>
        <w:rPr>
          <w:rFonts w:ascii="Arial" w:cs="Arial" w:eastAsia="Arial" w:hAnsi="Arial"/>
          <w:sz w:val="21"/>
          <w:szCs w:val="21"/>
          <w:b w:val="1"/>
          <w:bCs w:val="1"/>
          <w:color w:val="auto"/>
        </w:rPr>
        <w:t xml:space="preserve"> </w:t>
      </w:r>
      <w:r>
        <w:rPr>
          <w:rFonts w:ascii="Arial" w:cs="Arial" w:eastAsia="Arial" w:hAnsi="Arial"/>
          <w:sz w:val="21"/>
          <w:szCs w:val="21"/>
          <w:color w:val="auto"/>
        </w:rPr>
        <w:t>02541 (“</w:t>
      </w:r>
      <w:r>
        <w:rPr>
          <w:rFonts w:ascii="Arial" w:cs="Arial" w:eastAsia="Arial" w:hAnsi="Arial"/>
          <w:sz w:val="21"/>
          <w:szCs w:val="21"/>
          <w:b w:val="1"/>
          <w:bCs w:val="1"/>
          <w:color w:val="auto"/>
        </w:rPr>
        <w:t>TESARO US</w:t>
      </w:r>
      <w:r>
        <w:rPr>
          <w:rFonts w:ascii="Arial" w:cs="Arial" w:eastAsia="Arial" w:hAnsi="Arial"/>
          <w:sz w:val="21"/>
          <w:szCs w:val="21"/>
          <w:color w:val="auto"/>
        </w:rPr>
        <w:t xml:space="preserve">”) and </w:t>
      </w:r>
      <w:r>
        <w:rPr>
          <w:rFonts w:ascii="Arial" w:cs="Arial" w:eastAsia="Arial" w:hAnsi="Arial"/>
          <w:sz w:val="21"/>
          <w:szCs w:val="21"/>
          <w:b w:val="1"/>
          <w:bCs w:val="1"/>
          <w:color w:val="auto"/>
        </w:rPr>
        <w:t>TESARO Development, Ltd.</w:t>
      </w:r>
      <w:r>
        <w:rPr>
          <w:rFonts w:ascii="Arial" w:cs="Arial" w:eastAsia="Arial" w:hAnsi="Arial"/>
          <w:sz w:val="21"/>
          <w:szCs w:val="21"/>
          <w:color w:val="auto"/>
        </w:rPr>
        <w:t>, a Bermuda corporation, having its principal office at Clarendon House, 2 Church Street, Hamilton HM 11, Bermuda (together with TESARO US, “</w:t>
      </w:r>
      <w:r>
        <w:rPr>
          <w:rFonts w:ascii="Arial" w:cs="Arial" w:eastAsia="Arial" w:hAnsi="Arial"/>
          <w:sz w:val="21"/>
          <w:szCs w:val="21"/>
          <w:b w:val="1"/>
          <w:bCs w:val="1"/>
          <w:color w:val="auto"/>
        </w:rPr>
        <w:t>TESARO</w:t>
      </w:r>
      <w:r>
        <w:rPr>
          <w:rFonts w:ascii="Arial" w:cs="Arial" w:eastAsia="Arial" w:hAnsi="Arial"/>
          <w:sz w:val="21"/>
          <w:szCs w:val="21"/>
          <w:color w:val="auto"/>
        </w:rPr>
        <w:t>”). Collectively, AnaptysBio and TESARO are referred to as the “Parties” and, individually, as a “Party”.</w:t>
      </w:r>
    </w:p>
    <w:p>
      <w:pPr>
        <w:spacing w:after="0" w:line="163"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WHEREAS, the Parties previously entered into that certain Collaboration and Exclusive License Agreement dated as of March 10, 2014, and as amended by Amendment No. 1 dated November 28, 2014, Amendment No. 2 dated February 29, 2016, and Amendment No. 3 dated October 23, 2020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59"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WHEREAS, with the agreement of the Parties TESARO previously has assumed responsibility to Prosecute and Maintain the AnaptysBio Patents (as defined in the Agreement), and the Parties are in agreement that TESARO should continue to assume such responsibility; and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wish to amend the Agreement in certain respects on the terms and conditions set forth herein.</w:t>
      </w:r>
    </w:p>
    <w:p>
      <w:pPr>
        <w:spacing w:after="0" w:line="21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NOW THEREFORE, capitalized terms not defined in this Amendment shall have the meaning ascribed in the Agreement, and the Parties hereby agree as follows: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language will be added at the end of Section 9.2 of the Agreement relating to Patent Prosecution:</w:t>
      </w:r>
    </w:p>
    <w:p>
      <w:pPr>
        <w:spacing w:after="0" w:line="191" w:lineRule="exact"/>
        <w:rPr>
          <w:sz w:val="20"/>
          <w:szCs w:val="20"/>
          <w:color w:val="auto"/>
        </w:rPr>
      </w:pPr>
    </w:p>
    <w:p>
      <w:pPr>
        <w:ind w:left="660" w:right="40" w:firstLine="648"/>
        <w:spacing w:after="0" w:line="244" w:lineRule="auto"/>
        <w:rPr>
          <w:sz w:val="20"/>
          <w:szCs w:val="20"/>
          <w:color w:val="auto"/>
        </w:rPr>
      </w:pPr>
      <w:r>
        <w:rPr>
          <w:rFonts w:ascii="Arial" w:cs="Arial" w:eastAsia="Arial" w:hAnsi="Arial"/>
          <w:sz w:val="19"/>
          <w:szCs w:val="19"/>
          <w:color w:val="auto"/>
        </w:rPr>
        <w:t>“With respect to the AnaptysBio Patents, it is acknowledged that as agreed by the Parties, TESARO has previously assumed the responsibility to Prosecute and Maintain the AnapytsBio Patents. TESARO will do so at its own expense and shall keep AnaptysBio informed with respect to the Prosecution and Maintenance of the AnaptysBio Patents, and provide prompt notice of all material matters related thereto (including upon AnaptysBio’s request). AnaptysBio shall reasonably cooperate with and assist TESARO in connection with such activities, including without limitation by making scientists and scientific records reasonably available and the execution of all such documents and instruments and the performance of such acts as may be reasonably necessary in order to continue any Prosecution and Maintenance thereof. Should TESARO decide to discontinue Prosecution and Maintenance of any AnaptysBio Patent, TESARO shall inform AnaptysBio of this decision not later than 14 days before the lapse of such AnaptysBio Patent to allow AnaptysBio at its sole discretion to resume Prosecution and Maintenance of such AnaptysBio Patent.”</w:t>
      </w:r>
    </w:p>
    <w:p>
      <w:pPr>
        <w:spacing w:after="0" w:line="155" w:lineRule="exact"/>
        <w:rPr>
          <w:sz w:val="20"/>
          <w:szCs w:val="20"/>
          <w:color w:val="auto"/>
        </w:rPr>
      </w:pPr>
    </w:p>
    <w:p>
      <w:pPr>
        <w:ind w:right="180" w:firstLine="648"/>
        <w:spacing w:after="0" w:line="268" w:lineRule="auto"/>
        <w:rPr>
          <w:sz w:val="20"/>
          <w:szCs w:val="20"/>
          <w:color w:val="auto"/>
        </w:rPr>
      </w:pPr>
      <w:r>
        <w:rPr>
          <w:rFonts w:ascii="Arial" w:cs="Arial" w:eastAsia="Arial" w:hAnsi="Arial"/>
          <w:sz w:val="19"/>
          <w:szCs w:val="19"/>
          <w:color w:val="auto"/>
        </w:rPr>
        <w:t>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ectPr>
          <w:pgSz w:w="11900" w:h="16838" w:orient="portrait"/>
          <w:cols w:equalWidth="0" w:num="1">
            <w:col w:w="11240"/>
          </w:cols>
          <w:pgMar w:left="320" w:top="1401" w:right="339" w:bottom="1440" w:gutter="0" w:footer="0" w:header="0"/>
        </w:sectPr>
      </w:pPr>
    </w:p>
    <w:bookmarkStart w:id="112" w:name="page113"/>
    <w:bookmarkEnd w:id="112"/>
    <w:p>
      <w:pPr>
        <w:ind w:firstLine="648"/>
        <w:spacing w:after="0" w:line="298" w:lineRule="auto"/>
        <w:rPr>
          <w:sz w:val="20"/>
          <w:szCs w:val="20"/>
          <w:color w:val="auto"/>
        </w:rPr>
      </w:pPr>
      <w:r>
        <w:rPr>
          <w:rFonts w:ascii="Arial" w:cs="Arial" w:eastAsia="Arial" w:hAnsi="Arial"/>
          <w:sz w:val="19"/>
          <w:szCs w:val="19"/>
          <w:color w:val="auto"/>
        </w:rPr>
        <w:t>IN WITNESS WHEREOF, the Parties have caused this Amendment No. 4 to Collaboration and Exclusive License Agreement to be duly executed by their respective duly authorized representatives effective as of the Amendment Date.</w:t>
      </w:r>
    </w:p>
    <w:p>
      <w:pPr>
        <w:sectPr>
          <w:pgSz w:w="11900" w:h="16838" w:orient="portrait"/>
          <w:cols w:equalWidth="0" w:num="1">
            <w:col w:w="10560"/>
          </w:cols>
          <w:pgMar w:left="320" w:top="1401" w:right="1019" w:bottom="1440" w:gutter="0" w:footer="0" w:header="0"/>
        </w:sect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TESARO, INC.</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By:/s/ Justin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1021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Name: Justin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8572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-17780</wp:posOffset>
            </wp:positionV>
            <wp:extent cx="1431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67" w:lineRule="exact"/>
        <w:rPr>
          <w:sz w:val="20"/>
          <w:szCs w:val="20"/>
          <w:color w:val="auto"/>
        </w:rPr>
      </w:pPr>
    </w:p>
    <w:p>
      <w:pPr>
        <w:ind w:left="500" w:right="1720"/>
        <w:spacing w:after="0" w:line="416" w:lineRule="auto"/>
        <w:rPr>
          <w:sz w:val="20"/>
          <w:szCs w:val="20"/>
          <w:color w:val="auto"/>
        </w:rPr>
      </w:pPr>
      <w:r>
        <w:rPr>
          <w:rFonts w:ascii="Arial" w:cs="Arial" w:eastAsia="Arial" w:hAnsi="Arial"/>
          <w:sz w:val="22"/>
          <w:szCs w:val="22"/>
          <w:color w:val="auto"/>
        </w:rPr>
        <w:t>TESARO DEVELOPMENT, LTD. By:/s/ Justin Huang Name: Justin Huang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-696595</wp:posOffset>
            </wp:positionV>
            <wp:extent cx="10210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102108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-422275</wp:posOffset>
            </wp:positionV>
            <wp:extent cx="8572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-147955</wp:posOffset>
            </wp:positionV>
            <wp:extent cx="647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647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Eric Loumeau</w:t>
      </w:r>
      <w:r>
        <w:rPr>
          <w:rFonts w:ascii="Arial" w:cs="Arial" w:eastAsia="Arial" w:hAnsi="Arial"/>
          <w:sz w:val="19"/>
          <w:szCs w:val="19"/>
          <w:color w:val="auto"/>
        </w:rPr>
        <w:t>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u w:val="single" w:color="auto"/>
          <w:color w:val="auto"/>
        </w:rPr>
        <w:t>Eric Loumeau</w:t>
      </w:r>
      <w:r>
        <w:rPr>
          <w:rFonts w:ascii="Arial" w:cs="Arial" w:eastAsia="Arial" w:hAnsi="Arial"/>
          <w:sz w:val="19"/>
          <w:szCs w:val="19"/>
          <w:color w:val="auto"/>
        </w:rPr>
        <w:t>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Operating Officer</w:t>
      </w:r>
    </w:p>
    <w:p>
      <w:pPr>
        <w:sectPr>
          <w:pgSz w:w="11900" w:h="16838" w:orient="portrait"/>
          <w:cols w:equalWidth="0" w:num="2">
            <w:col w:w="5260" w:space="720"/>
            <w:col w:w="4580"/>
          </w:cols>
          <w:pgMar w:left="320" w:top="1401" w:right="101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SUBSIDIARIES OF THE REGISTRANT</w:t>
            </w:r>
          </w:p>
        </w:tc>
      </w:tr>
      <w:tr>
        <w:trPr>
          <w:trHeight w:val="52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8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50"/>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 Ltd</w:t>
            </w:r>
          </w:p>
        </w:tc>
        <w:tc>
          <w:tcPr>
            <w:tcW w:w="1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220"/>
          </w:cols>
          <w:pgMar w:left="34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consent to the incorporation by reference in the registration statements (Nos. 333-215741, 333-223446, 333-229927, 333-236805, and 333-253504) on Form S-8 and in the registration statement (No. 333-261953) on Form S-3 of our report dated March 7, 2022, with respect to the consolidated financial statements of AnaptysBio,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ectPr>
          <w:pgSz w:w="11900" w:h="16838" w:orient="portrait"/>
          <w:cols w:equalWidth="0" w:num="1">
            <w:col w:w="11240"/>
          </w:cols>
          <w:pgMar w:left="320" w:top="139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2022</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2022</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540" w:hanging="406"/>
        <w:spacing w:after="0" w:line="342" w:lineRule="auto"/>
        <w:tabs>
          <w:tab w:leader="none" w:pos="8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2022</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540" w:hanging="406"/>
        <w:spacing w:after="0" w:line="342" w:lineRule="auto"/>
        <w:tabs>
          <w:tab w:leader="none" w:pos="8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2022</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lvl w:ilvl="1">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4"/>
    </w:lvl>
  </w:abstractNum>
  <w:abstractNum w:abstractNumId="43">
    <w:nsid w:val="70C6A529"/>
    <w:multiLevelType w:val="hybridMultilevel"/>
    <w:lvl w:ilvl="0">
      <w:lvlJc w:val="left"/>
      <w:lvlText w:val="%1."/>
      <w:numFmt w:val="decimal"/>
      <w:start w:val="3"/>
    </w:lvl>
  </w:abstractNum>
  <w:abstractNum w:abstractNumId="44">
    <w:nsid w:val="520EEDD1"/>
    <w:multiLevelType w:val="hybridMultilevel"/>
    <w:lvl w:ilvl="0">
      <w:lvlJc w:val="left"/>
      <w:lvlText w:val="%1."/>
      <w:numFmt w:val="decimal"/>
      <w:start w:val="4"/>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4"/>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7"/>
    </w:lvl>
  </w:abstractNum>
  <w:abstractNum w:abstractNumId="51">
    <w:nsid w:val="1CF10FD8"/>
    <w:multiLevelType w:val="hybridMultilevel"/>
    <w:lvl w:ilvl="0">
      <w:lvlJc w:val="left"/>
      <w:lvlText w:val="%1."/>
      <w:numFmt w:val="decimal"/>
      <w:start w:val="10"/>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lvl w:ilvl="1">
      <w:lvlJc w:val="left"/>
      <w:lvlText w:val="%2."/>
      <w:numFmt w:val="decimal"/>
      <w:start w:val="1"/>
    </w:lvl>
  </w:abstractNum>
  <w:abstractNum w:abstractNumId="54">
    <w:nsid w:val="47398C89"/>
    <w:multiLevelType w:val="hybridMultilevel"/>
    <w:lvl w:ilvl="0">
      <w:lvlJc w:val="left"/>
      <w:lvlText w:val="*"/>
      <w:numFmt w:val="bullet"/>
      <w:start w:val="1"/>
    </w:lvl>
    <w:lvl w:ilvl="1">
      <w:lvlJc w:val="left"/>
      <w:lvlText w:val="%2"/>
      <w:numFmt w:val="decimal"/>
      <w:start w:val="104"/>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28" Type="http://schemas.openxmlformats.org/officeDocument/2006/relationships/hyperlink" Target="http://www.sec.gov/Archives/edgar/data/1370053/000137005317000005/anab-033117x10qxexx31.htm" TargetMode="External"/><Relationship Id="rId129" Type="http://schemas.openxmlformats.org/officeDocument/2006/relationships/hyperlink" Target="https://www.sec.gov/Archives/edgar/data/1370053/000119312515315918/d942137dex34.htm" TargetMode="External"/><Relationship Id="rId130" Type="http://schemas.openxmlformats.org/officeDocument/2006/relationships/hyperlink" Target="http://www.sec.gov/Archives/edgar/data/1370053/000119312515412604/d942137dex41.htm" TargetMode="External"/><Relationship Id="rId131" Type="http://schemas.openxmlformats.org/officeDocument/2006/relationships/hyperlink" Target="https://www.sec.gov/Archives/edgar/data/1370053/000137005320000009/anaptys-10xkfy2019xexh.htm" TargetMode="External"/><Relationship Id="rId132" Type="http://schemas.openxmlformats.org/officeDocument/2006/relationships/hyperlink" Target="http://www.sec.gov/Archives/edgar/data/1370053/000119312515315918/d942137dex101.htm" TargetMode="External"/><Relationship Id="rId133" Type="http://schemas.openxmlformats.org/officeDocument/2006/relationships/hyperlink" Target="http://www.sec.gov/Archives/edgar/data/1370053/000119312517010405/d320192dex102.htm" TargetMode="External"/><Relationship Id="rId134" Type="http://schemas.openxmlformats.org/officeDocument/2006/relationships/hyperlink" Target="http://www.sec.gov/Archives/edgar/data/1370053/000119312517010405/d320192dex103.htm" TargetMode="External"/><Relationship Id="rId135" Type="http://schemas.openxmlformats.org/officeDocument/2006/relationships/hyperlink" Target="http://www.sec.gov/Archives/edgar/data/1370053/000119312517010405/d320192dex104.htm" TargetMode="External"/><Relationship Id="rId136" Type="http://schemas.openxmlformats.org/officeDocument/2006/relationships/hyperlink" Target="http://www.sec.gov/Archives/edgar/data/1370053/000137005318000014/ex105employmentagreementha.htm" TargetMode="External"/><Relationship Id="rId137" Type="http://schemas.openxmlformats.org/officeDocument/2006/relationships/hyperlink" Target="http://www.sec.gov/Archives/edgar/data/1370053/000119312516805335/d320192dex109.htm" TargetMode="External"/><Relationship Id="rId138" Type="http://schemas.openxmlformats.org/officeDocument/2006/relationships/hyperlink" Target="http://www.sec.gov/Archives/edgar/data/1370053/000119312516585556/d942137dex1010.htm" TargetMode="External"/><Relationship Id="rId139" Type="http://schemas.openxmlformats.org/officeDocument/2006/relationships/hyperlink" Target="http://www.sec.gov/Archives/edgar/data/1370053/000119312515315918/d942137dex1012.htm" TargetMode="External"/><Relationship Id="rId140" Type="http://schemas.openxmlformats.org/officeDocument/2006/relationships/hyperlink" Target="http://www.sec.gov/Archives/edgar/data/1370053/000119312515315918/d942137dex1013.htm" TargetMode="External"/><Relationship Id="rId141" Type="http://schemas.openxmlformats.org/officeDocument/2006/relationships/hyperlink" Target="https://www.sec.gov/Archives/edgar/data/1370053/000137005320000026/wateridgelease.htm" TargetMode="External"/><Relationship Id="rId142" Type="http://schemas.openxmlformats.org/officeDocument/2006/relationships/hyperlink" Target="https://www.sec.gov/Archives/edgar/data/1370053/000137005320000065/loumeauamendedandresta.htm" TargetMode="External"/><Relationship Id="rId145" Type="http://schemas.openxmlformats.org/officeDocument/2006/relationships/hyperlink" Target="https://www.sec.gov/Archives/edgar/data/1370053/000137005320000065/mulroyemploymentagreem.htm" TargetMode="External"/><Relationship Id="rId146" Type="http://schemas.openxmlformats.org/officeDocument/2006/relationships/hyperlink" Target="https://www.sec.gov/Archives/edgar/data/1370053/000137005320000065/lizzulemploymentagreem.htm" TargetMode="External"/><Relationship Id="rId147" Type="http://schemas.openxmlformats.org/officeDocument/2006/relationships/hyperlink" Target="https://www.sec.gov/Archives/edgar/data/1370053/000137005321000019/amendmentno3tocollaboratio.htm" TargetMode="External"/><Relationship Id="rId148" Type="http://schemas.openxmlformats.org/officeDocument/2006/relationships/hyperlink" Target="https://www.sec.gov/Archives/edgar/data/1370053/000137005321000019/trex_anaptysbioxterminatio.htm" TargetMode="External"/><Relationship Id="rId149" Type="http://schemas.openxmlformats.org/officeDocument/2006/relationships/hyperlink" Target="https://www.sec.gov/Archives/edgar/data/1370053/000137005321000019/anab-confidentialsettlemen.htm" TargetMode="External"/><Relationship Id="rId150" Type="http://schemas.openxmlformats.org/officeDocument/2006/relationships/hyperlink" Target="https://www.sec.gov/Archives/edgar/data/1370053/000137005321000056/anaptysbio-firstamendmentx.htm" TargetMode="External"/><Relationship Id="rId151" Type="http://schemas.openxmlformats.org/officeDocument/2006/relationships/hyperlink" Target="https://www.sec.gov/Archives/edgar/data/1370053/000137005321000079/royalty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2022-03-07T08:00:41Z</dcterms:created>
  <dcterms:modified xsi:type="dcterms:W3CDTF">2022-03-07T08:00:41Z</dcterms:modified>
</cp:coreProperties>
</file>