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OMB APPROVAL</w:t>
      </w:r>
    </w:p>
    <w:p>
      <w:pPr>
        <w:jc w:val="right"/>
        <w:spacing w:after="0" w:line="238" w:lineRule="auto"/>
        <w:rPr>
          <w:sz w:val="20"/>
          <w:szCs w:val="20"/>
          <w:color w:val="auto"/>
        </w:rPr>
      </w:pPr>
      <w:r>
        <w:rPr>
          <w:rFonts w:ascii="Arial" w:cs="Arial" w:eastAsia="Arial" w:hAnsi="Arial"/>
          <w:sz w:val="22"/>
          <w:szCs w:val="22"/>
          <w:color w:val="auto"/>
        </w:rPr>
        <w:t>OMB Number: 3235-0145</w:t>
      </w:r>
    </w:p>
    <w:p>
      <w:pPr>
        <w:ind w:left="6800"/>
        <w:spacing w:after="0"/>
        <w:rPr>
          <w:sz w:val="20"/>
          <w:szCs w:val="20"/>
          <w:color w:val="auto"/>
        </w:rPr>
      </w:pPr>
      <w:r>
        <w:rPr>
          <w:rFonts w:ascii="Arial" w:cs="Arial" w:eastAsia="Arial" w:hAnsi="Arial"/>
          <w:sz w:val="19"/>
          <w:szCs w:val="19"/>
          <w:color w:val="auto"/>
        </w:rPr>
        <w:t>Estimated average burden hours per response ….11</w:t>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(Amendment No. 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ANAPTYBIO, INC.</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032724106</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2021</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431" w:lineRule="auto"/>
        <w:tabs>
          <w:tab w:leader="none" w:pos="202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-47625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-278765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-510540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4" w:lineRule="exact"/>
        <w:rPr>
          <w:sz w:val="24"/>
          <w:szCs w:val="24"/>
          <w:color w:val="auto"/>
        </w:rPr>
      </w:pPr>
    </w:p>
    <w:p>
      <w:pPr>
        <w:ind w:right="1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4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2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032724106</w:t>
      </w:r>
    </w:p>
    <w:p>
      <w:pPr>
        <w:spacing w:after="0" w:line="220" w:lineRule="exact"/>
        <w:rPr>
          <w:sz w:val="20"/>
          <w:szCs w:val="20"/>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61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 1,604,287</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 1,604,287</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1,604,287</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 5.80%</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 (See Instructions):HC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Voting Shares Irrevocable Trust</w:t>
      </w: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 1,604,287</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 1,604,287</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0139"/>
          </w:cols>
          <w:pgMar w:left="320" w:top="712" w:right="1440" w:bottom="0" w:gutter="0" w:footer="0" w:header="0"/>
        </w:sectPr>
      </w:pPr>
    </w:p>
    <w:bookmarkStart w:id="2" w:name="page3"/>
    <w:bookmarkEnd w:id="2"/>
    <w:p>
      <w:pPr>
        <w:spacing w:after="0" w:line="62" w:lineRule="exact"/>
        <w:rPr>
          <w:sz w:val="20"/>
          <w:szCs w:val="20"/>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1,604,287</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5.80%</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-1055370</wp:posOffset>
            </wp:positionV>
            <wp:extent cx="5511800" cy="1208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5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Thomas R. Donahue</w:t>
      </w: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-2255520</wp:posOffset>
            </wp:positionV>
            <wp:extent cx="5383530" cy="2408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1,604,287</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 1,604,287</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1,604,287</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5.80%</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-1055370</wp:posOffset>
            </wp:positionV>
            <wp:extent cx="551180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5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Rhodora J. Donahue</w:t>
      </w: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-2255520</wp:posOffset>
            </wp:positionV>
            <wp:extent cx="5383530"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1,604,287</w:t>
            </w:r>
          </w:p>
        </w:tc>
      </w:tr>
      <w:tr>
        <w:trPr>
          <w:trHeight w:val="226"/>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32" w:right="1440" w:bottom="0" w:gutter="0" w:footer="0" w:header="0"/>
        </w:sectPr>
      </w:pPr>
    </w:p>
    <w:bookmarkStart w:id="3" w:name="page4"/>
    <w:bookmarkEnd w:id="3"/>
    <w:p>
      <w:pPr>
        <w:spacing w:after="0" w:line="68" w:lineRule="exact"/>
        <w:rPr>
          <w:sz w:val="20"/>
          <w:szCs w:val="20"/>
          <w:color w:val="auto"/>
        </w:rPr>
      </w:pPr>
    </w:p>
    <w:p>
      <w:pPr>
        <w:ind w:left="3300" w:hanging="938"/>
        <w:spacing w:after="0"/>
        <w:tabs>
          <w:tab w:leader="none" w:pos="33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20" w:lineRule="exact"/>
        <w:rPr>
          <w:rFonts w:ascii="Arial" w:cs="Arial" w:eastAsia="Arial" w:hAnsi="Arial"/>
          <w:sz w:val="22"/>
          <w:szCs w:val="22"/>
          <w:color w:val="auto"/>
        </w:rPr>
      </w:pPr>
    </w:p>
    <w:p>
      <w:pPr>
        <w:ind w:left="3300" w:hanging="938"/>
        <w:spacing w:after="0"/>
        <w:tabs>
          <w:tab w:leader="none" w:pos="33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Shared Dispositive Power: 1,604,287</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1,604,287</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Percent of Class Represented by Amount in Row (9): 5.80%</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-1946910</wp:posOffset>
            </wp:positionV>
            <wp:extent cx="582930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0" cy="60007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8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55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J. Christopher Donahue</w:t>
      </w: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1,604,287</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 1,604,287</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1,604,287</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Represented by Amount in Row (9): 5.80%</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9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1800" cy="1209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20" w:lineRule="exact"/>
        <w:rPr>
          <w:sz w:val="20"/>
          <w:szCs w:val="20"/>
          <w:color w:val="auto"/>
        </w:rPr>
      </w:pPr>
    </w:p>
    <w:p>
      <w:pPr>
        <w:ind w:left="1800" w:hanging="1098"/>
        <w:spacing w:after="0"/>
        <w:tabs>
          <w:tab w:leader="none" w:pos="1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219" w:lineRule="exact"/>
        <w:rPr>
          <w:rFonts w:ascii="Arial" w:cs="Arial" w:eastAsia="Arial" w:hAnsi="Arial"/>
          <w:sz w:val="22"/>
          <w:szCs w:val="22"/>
          <w:color w:val="auto"/>
        </w:rPr>
      </w:pPr>
    </w:p>
    <w:p>
      <w:pPr>
        <w:ind w:left="1800"/>
        <w:spacing w:after="0"/>
        <w:rPr>
          <w:rFonts w:ascii="Arial" w:cs="Arial" w:eastAsia="Arial" w:hAnsi="Arial"/>
          <w:sz w:val="22"/>
          <w:szCs w:val="22"/>
          <w:color w:val="auto"/>
        </w:rPr>
      </w:pPr>
      <w:r>
        <w:rPr>
          <w:rFonts w:ascii="Arial" w:cs="Arial" w:eastAsia="Arial" w:hAnsi="Arial"/>
          <w:sz w:val="22"/>
          <w:szCs w:val="22"/>
          <w:color w:val="auto"/>
        </w:rPr>
        <w:t>ANAPTYBIO, INC.</w:t>
      </w:r>
    </w:p>
    <w:p>
      <w:pPr>
        <w:spacing w:after="0" w:line="219" w:lineRule="exact"/>
        <w:rPr>
          <w:rFonts w:ascii="Arial" w:cs="Arial" w:eastAsia="Arial" w:hAnsi="Arial"/>
          <w:sz w:val="22"/>
          <w:szCs w:val="22"/>
          <w:color w:val="auto"/>
        </w:rPr>
      </w:pPr>
    </w:p>
    <w:p>
      <w:pPr>
        <w:ind w:left="1800" w:right="4179" w:hanging="1098"/>
        <w:spacing w:after="0" w:line="448" w:lineRule="auto"/>
        <w:tabs>
          <w:tab w:leader="none" w:pos="1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Address of Issuer’s Principal Executive Offices. 10770 Wateridge Circle, Suite 210</w:t>
      </w:r>
    </w:p>
    <w:p>
      <w:pPr>
        <w:ind w:left="1800"/>
        <w:spacing w:after="0"/>
        <w:rPr>
          <w:rFonts w:ascii="Arial" w:cs="Arial" w:eastAsia="Arial" w:hAnsi="Arial"/>
          <w:sz w:val="22"/>
          <w:szCs w:val="22"/>
          <w:color w:val="auto"/>
        </w:rPr>
      </w:pPr>
      <w:r>
        <w:rPr>
          <w:rFonts w:ascii="Arial" w:cs="Arial" w:eastAsia="Arial" w:hAnsi="Arial"/>
          <w:sz w:val="22"/>
          <w:szCs w:val="22"/>
          <w:color w:val="auto"/>
        </w:rPr>
        <w:t>San Diego, CA 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-1355090</wp:posOffset>
            </wp:positionV>
            <wp:extent cx="5383530" cy="1508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19" w:lineRule="exact"/>
        <w:rPr>
          <w:rFonts w:ascii="Arial" w:cs="Arial" w:eastAsia="Arial" w:hAnsi="Arial"/>
          <w:sz w:val="22"/>
          <w:szCs w:val="22"/>
          <w:color w:val="auto"/>
        </w:rPr>
      </w:pPr>
    </w:p>
    <w:p>
      <w:pPr>
        <w:ind w:left="1800" w:hanging="1098"/>
        <w:spacing w:after="0"/>
        <w:tabs>
          <w:tab w:leader="none" w:pos="1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-455295</wp:posOffset>
            </wp:positionV>
            <wp:extent cx="5383530" cy="451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3530" cy="451485"/>
                    </a:xfrm>
                    <a:prstGeom prst="rect">
                      <a:avLst/>
                    </a:prstGeom>
                    <a:noFill/>
                  </pic:spPr>
                </pic:pic>
              </a:graphicData>
            </a:graphic>
          </wp:anchor>
        </w:drawing>
      </w:r>
    </w:p>
    <w:p>
      <w:pPr>
        <w:sectPr>
          <w:pgSz w:w="11900" w:h="16907" w:orient="portrait"/>
          <w:cols w:equalWidth="0" w:num="1">
            <w:col w:w="10139"/>
          </w:cols>
          <w:pgMar w:left="320" w:top="118" w:right="1440" w:bottom="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1645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83530" cy="164592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22"/>
          <w:szCs w:val="22"/>
          <w:color w:val="auto"/>
        </w:rPr>
        <w:t>1001 Liberty Avenue, Pittsburgh, PA 15222-3779</w:t>
      </w:r>
    </w:p>
    <w:p>
      <w:pPr>
        <w:spacing w:after="0" w:line="220" w:lineRule="exact"/>
        <w:rPr>
          <w:sz w:val="20"/>
          <w:szCs w:val="20"/>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219" w:lineRule="exact"/>
        <w:rPr>
          <w:rFonts w:ascii="Arial" w:cs="Arial" w:eastAsia="Arial" w:hAnsi="Arial"/>
          <w:sz w:val="22"/>
          <w:szCs w:val="22"/>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CUSIP Number: 032724106</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If this statement is filed pursuant to §§240.113d-1(b) or 240.13d-2(b) or (c), check whether the person filing is 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600" w:type="dxa"/>
            <w:vAlign w:val="bottom"/>
            <w:tcBorders>
              <w:right w:val="single" w:sz="8" w:color="auto"/>
            </w:tcBorders>
          </w:tcPr>
          <w:p>
            <w:pPr>
              <w:spacing w:after="0"/>
              <w:rPr>
                <w:sz w:val="24"/>
                <w:szCs w:val="24"/>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w w:val="89"/>
              </w:rPr>
              <w:t>(a)</w:t>
            </w:r>
          </w:p>
        </w:tc>
        <w:tc>
          <w:tcPr>
            <w:tcW w:w="7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(b)</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Bank as defined in section 3(a)(6) of the Act (15 U.S.C. 78c).</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93"/>
              </w:rPr>
              <w:t>(c)</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w w:val="89"/>
              </w:rPr>
              <w:t>(d)</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5"/>
              </w:rPr>
              <w:t>Investment company registered under section 8 of the Investment Company Act of 1940 (15</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U.S.C. 80a-8).</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(e)</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An investment adviser in accordance with §204.13d-1(b)(1)(ii)(E);</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rPr>
              <w:t>(f)</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8"/>
              </w:rPr>
              <w:t>An employee benefit plan or endowment fund in accordance with §240.13d-19b)(1)(ii)(F);</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(g)</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 parent holding company or control person in accordance with §240.13d-1(b)(1)(ii)(G);</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w w:val="89"/>
              </w:rPr>
              <w:t>(h)</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A savings associations as defined in Section 3(b) of the Federal Deposit Insurance Act (12 U.S.C.</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1813);</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rPr>
              <w:t>(i)</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A church plan that is excluded from the definition of an investment company under section 3(c)</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(14) of the Investment Company Act of 1940 (15 U.S.C. 80a-3);</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rPr>
              <w:t>(j)</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Group, in accordance with §240.13d-1(b)(1)(ii)(J).</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355"/>
        </w:trPr>
        <w:tc>
          <w:tcPr>
            <w:tcW w:w="960" w:type="dxa"/>
            <w:vAlign w:val="bottom"/>
            <w:gridSpan w:val="2"/>
          </w:tcPr>
          <w:p>
            <w:pPr>
              <w:spacing w:after="0"/>
              <w:rPr>
                <w:sz w:val="20"/>
                <w:szCs w:val="20"/>
                <w:color w:val="auto"/>
              </w:rPr>
            </w:pPr>
            <w:r>
              <w:rPr>
                <w:rFonts w:ascii="Arial" w:cs="Arial" w:eastAsia="Arial" w:hAnsi="Arial"/>
                <w:sz w:val="22"/>
                <w:szCs w:val="22"/>
                <w:color w:val="auto"/>
              </w:rPr>
              <w:t>Item 4.</w:t>
            </w:r>
          </w:p>
        </w:tc>
        <w:tc>
          <w:tcPr>
            <w:tcW w:w="1600" w:type="dxa"/>
            <w:vAlign w:val="bottom"/>
            <w:gridSpan w:val="2"/>
          </w:tcPr>
          <w:p>
            <w:pPr>
              <w:ind w:left="20"/>
              <w:spacing w:after="0"/>
              <w:rPr>
                <w:sz w:val="20"/>
                <w:szCs w:val="20"/>
                <w:color w:val="auto"/>
              </w:rPr>
            </w:pPr>
            <w:r>
              <w:rPr>
                <w:rFonts w:ascii="Arial" w:cs="Arial" w:eastAsia="Arial" w:hAnsi="Arial"/>
                <w:sz w:val="22"/>
                <w:szCs w:val="22"/>
                <w:color w:val="auto"/>
              </w:rPr>
              <w:t>Ownership</w:t>
            </w:r>
          </w:p>
        </w:tc>
        <w:tc>
          <w:tcPr>
            <w:tcW w:w="8680" w:type="dxa"/>
            <w:vAlign w:val="bottom"/>
          </w:tcPr>
          <w:p>
            <w:pPr>
              <w:spacing w:after="0"/>
              <w:rPr>
                <w:sz w:val="24"/>
                <w:szCs w:val="24"/>
                <w:color w:val="auto"/>
              </w:rPr>
            </w:pPr>
          </w:p>
        </w:tc>
      </w:tr>
    </w:tbl>
    <w:p>
      <w:pPr>
        <w:spacing w:after="0" w:line="77"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8" w:lineRule="exact"/>
        <w:rPr>
          <w:sz w:val="20"/>
          <w:szCs w:val="20"/>
          <w:color w:val="auto"/>
        </w:rPr>
      </w:pPr>
    </w:p>
    <w:tbl>
      <w:tblPr>
        <w:tblLayout w:type="fixed"/>
        <w:tblInd w:w="590" w:type="dxa"/>
        <w:tblCellMar>
          <w:top w:w="0" w:type="dxa"/>
          <w:left w:w="0" w:type="dxa"/>
          <w:bottom w:w="0" w:type="dxa"/>
          <w:right w:w="0" w:type="dxa"/>
        </w:tblCellMar>
      </w:tblPr>
      <w:tr>
        <w:trPr>
          <w:trHeight w:val="288"/>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Federated Hermes, Inc.</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1,604,287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5.80%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 1,604,287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 1,604,287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Voting Shares Irrevocable Trust</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1,604,287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5.80%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 1,604,287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86"/>
        </w:trPr>
        <w:tc>
          <w:tcPr>
            <w:tcW w:w="1120" w:type="dxa"/>
            <w:vAlign w:val="bottom"/>
            <w:tcBorders>
              <w:left w:val="single" w:sz="8" w:color="auto"/>
              <w:right w:val="single" w:sz="8" w:color="auto"/>
            </w:tcBorders>
          </w:tcPr>
          <w:p>
            <w:pPr>
              <w:spacing w:after="0"/>
              <w:rPr>
                <w:sz w:val="7"/>
                <w:szCs w:val="7"/>
                <w:color w:val="auto"/>
              </w:rPr>
            </w:pPr>
          </w:p>
        </w:tc>
        <w:tc>
          <w:tcPr>
            <w:tcW w:w="7380" w:type="dxa"/>
            <w:vAlign w:val="bottom"/>
            <w:tcBorders>
              <w:right w:val="single" w:sz="8" w:color="auto"/>
            </w:tcBorders>
          </w:tcPr>
          <w:p>
            <w:pPr>
              <w:spacing w:after="0"/>
              <w:rPr>
                <w:sz w:val="7"/>
                <w:szCs w:val="7"/>
                <w:color w:val="auto"/>
              </w:rPr>
            </w:pPr>
          </w:p>
        </w:tc>
      </w:tr>
    </w:tbl>
    <w:p>
      <w:pPr>
        <w:sectPr>
          <w:pgSz w:w="11900" w:h="16900" w:orient="portrait"/>
          <w:cols w:equalWidth="0" w:num="1">
            <w:col w:w="11220"/>
          </w:cols>
          <w:pgMar w:left="320" w:top="348" w:right="359" w:bottom="0" w:gutter="0" w:footer="0" w:header="0"/>
        </w:sectPr>
      </w:pPr>
    </w:p>
    <w:bookmarkStart w:id="5" w:name="page6"/>
    <w:bookmarkEnd w:id="5"/>
    <w:p>
      <w:pPr>
        <w:spacing w:after="0" w:line="1" w:lineRule="exact"/>
        <w:rPr>
          <w:sz w:val="20"/>
          <w:szCs w:val="20"/>
          <w:color w:val="auto"/>
        </w:rPr>
      </w:pPr>
    </w:p>
    <w:tbl>
      <w:tblPr>
        <w:tblLayout w:type="fixed"/>
        <w:tblInd w:w="590" w:type="dxa"/>
        <w:tblCellMar>
          <w:top w:w="0" w:type="dxa"/>
          <w:left w:w="0" w:type="dxa"/>
          <w:bottom w:w="0" w:type="dxa"/>
          <w:right w:w="0" w:type="dxa"/>
        </w:tblCellMar>
      </w:tblPr>
      <w:tr>
        <w:trPr>
          <w:trHeight w:val="81"/>
        </w:trPr>
        <w:tc>
          <w:tcPr>
            <w:tcW w:w="1120" w:type="dxa"/>
            <w:vAlign w:val="bottom"/>
            <w:tcBorders>
              <w:left w:val="single" w:sz="8" w:color="auto"/>
              <w:bottom w:val="single" w:sz="8" w:color="auto"/>
              <w:right w:val="single" w:sz="8" w:color="auto"/>
            </w:tcBorders>
          </w:tcPr>
          <w:p>
            <w:pPr>
              <w:spacing w:after="0"/>
              <w:rPr>
                <w:sz w:val="7"/>
                <w:szCs w:val="7"/>
                <w:color w:val="auto"/>
              </w:rPr>
            </w:pPr>
          </w:p>
        </w:tc>
        <w:tc>
          <w:tcPr>
            <w:tcW w:w="7380" w:type="dxa"/>
            <w:vAlign w:val="bottom"/>
            <w:tcBorders>
              <w:bottom w:val="single" w:sz="8" w:color="auto"/>
              <w:right w:val="single" w:sz="8" w:color="auto"/>
            </w:tcBorders>
          </w:tcPr>
          <w:p>
            <w:pPr>
              <w:spacing w:after="0"/>
              <w:rPr>
                <w:sz w:val="7"/>
                <w:szCs w:val="7"/>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 1,604,287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80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1,604,287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5.80%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1,604,287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1,604,287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Rhodora J.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1,604,287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5.80%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1,604,287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1,604,287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1,604,287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5.80%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1,604,287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1,604,287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Instruction</w:t>
      </w:r>
      <w:r>
        <w:rPr>
          <w:rFonts w:ascii="Arial" w:cs="Arial" w:eastAsia="Arial" w:hAnsi="Arial"/>
          <w:sz w:val="22"/>
          <w:szCs w:val="22"/>
          <w:color w:val="auto"/>
        </w:rPr>
        <w:t>: Dissolution of a group requires a response to this item.</w:t>
      </w:r>
    </w:p>
    <w:p>
      <w:pPr>
        <w:spacing w:after="0" w:line="9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9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Instruction: Dissolution of a group requires a response to this item.</w:t>
      </w:r>
    </w:p>
    <w:p>
      <w:pPr>
        <w:sectPr>
          <w:pgSz w:w="11900" w:h="16838" w:orient="portrait"/>
          <w:cols w:equalWidth="0" w:num="1">
            <w:col w:w="10460"/>
          </w:cols>
          <w:pgMar w:left="320" w:top="140" w:right="1119" w:bottom="0" w:gutter="0" w:footer="0" w:header="0"/>
        </w:sectPr>
      </w:pPr>
    </w:p>
    <w:bookmarkStart w:id="6" w:name="page7"/>
    <w:bookmarkEnd w:id="6"/>
    <w:p>
      <w:pPr>
        <w:spacing w:after="0" w:line="7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 NOT APPLICABLE</w:t>
      </w:r>
    </w:p>
    <w:p>
      <w:pPr>
        <w:spacing w:after="0" w:line="207" w:lineRule="exact"/>
        <w:rPr>
          <w:sz w:val="20"/>
          <w:szCs w:val="20"/>
          <w:color w:val="auto"/>
        </w:rPr>
      </w:pPr>
    </w:p>
    <w:p>
      <w:pPr>
        <w:ind w:left="980" w:right="440" w:hanging="971"/>
        <w:spacing w:after="0" w:line="250" w:lineRule="auto"/>
        <w:tabs>
          <w:tab w:leader="none" w:pos="96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Identification and Classification of the Subsidiary Which Acquired the Security Being Reported on By the Parent Holding Company. See Exhibit “1” Attached</w:t>
      </w:r>
    </w:p>
    <w:p>
      <w:pPr>
        <w:spacing w:after="0" w:line="175" w:lineRule="exact"/>
        <w:rPr>
          <w:sz w:val="20"/>
          <w:szCs w:val="20"/>
          <w:color w:val="auto"/>
        </w:rPr>
      </w:pPr>
    </w:p>
    <w:p>
      <w:pPr>
        <w:ind w:right="3280"/>
        <w:spacing w:after="0" w:line="439" w:lineRule="auto"/>
        <w:rPr>
          <w:sz w:val="20"/>
          <w:szCs w:val="20"/>
          <w:color w:val="auto"/>
        </w:rPr>
      </w:pPr>
      <w:r>
        <w:rPr>
          <w:rFonts w:ascii="Arial" w:cs="Arial" w:eastAsia="Arial" w:hAnsi="Arial"/>
          <w:sz w:val="22"/>
          <w:szCs w:val="22"/>
          <w:color w:val="auto"/>
        </w:rPr>
        <w:t>Item 8. Identification and Classification of Members of the Group: NOT APPLICABLE Item 9. Notice of Dissolution of Group: NOT APPLICABLE Item 10. Certification</w:t>
      </w:r>
    </w:p>
    <w:p>
      <w:pPr>
        <w:spacing w:after="0" w:line="2" w:lineRule="exact"/>
        <w:rPr>
          <w:sz w:val="20"/>
          <w:szCs w:val="20"/>
          <w:color w:val="auto"/>
        </w:rPr>
      </w:pPr>
    </w:p>
    <w:p>
      <w:pPr>
        <w:ind w:left="1800" w:hanging="1098"/>
        <w:spacing w:after="0"/>
        <w:tabs>
          <w:tab w:leader="none" w:pos="18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§240.13d-1(b);</w:t>
      </w:r>
    </w:p>
    <w:p>
      <w:pPr>
        <w:spacing w:after="0" w:line="219" w:lineRule="exact"/>
        <w:rPr>
          <w:rFonts w:ascii="Arial" w:cs="Arial" w:eastAsia="Arial" w:hAnsi="Arial"/>
          <w:sz w:val="22"/>
          <w:szCs w:val="22"/>
          <w:color w:val="auto"/>
        </w:rPr>
      </w:pPr>
    </w:p>
    <w:p>
      <w:pPr>
        <w:ind w:left="1800" w:right="100"/>
        <w:spacing w:after="0" w:line="236" w:lineRule="auto"/>
        <w:rPr>
          <w:rFonts w:ascii="Arial" w:cs="Arial" w:eastAsia="Arial" w:hAnsi="Arial"/>
          <w:sz w:val="22"/>
          <w:szCs w:val="22"/>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200" w:lineRule="exact"/>
        <w:rPr>
          <w:rFonts w:ascii="Arial" w:cs="Arial" w:eastAsia="Arial" w:hAnsi="Arial"/>
          <w:sz w:val="22"/>
          <w:szCs w:val="22"/>
          <w:color w:val="auto"/>
        </w:rPr>
      </w:pPr>
    </w:p>
    <w:p>
      <w:pPr>
        <w:ind w:left="1800" w:hanging="1098"/>
        <w:spacing w:after="0"/>
        <w:tabs>
          <w:tab w:leader="none" w:pos="18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§204.13d-1(c):</w:t>
      </w:r>
    </w:p>
    <w:p>
      <w:pPr>
        <w:spacing w:after="0" w:line="219" w:lineRule="exact"/>
        <w:rPr>
          <w:rFonts w:ascii="Arial" w:cs="Arial" w:eastAsia="Arial" w:hAnsi="Arial"/>
          <w:sz w:val="22"/>
          <w:szCs w:val="22"/>
          <w:color w:val="auto"/>
        </w:rPr>
      </w:pPr>
    </w:p>
    <w:p>
      <w:pPr>
        <w:ind w:left="1800" w:right="540"/>
        <w:spacing w:after="0" w:line="252" w:lineRule="auto"/>
        <w:rPr>
          <w:rFonts w:ascii="Arial" w:cs="Arial" w:eastAsia="Arial" w:hAnsi="Arial"/>
          <w:sz w:val="22"/>
          <w:szCs w:val="22"/>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-2155825</wp:posOffset>
            </wp:positionV>
            <wp:extent cx="6755130" cy="2288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55130" cy="2288540"/>
                    </a:xfrm>
                    <a:prstGeom prst="rect">
                      <a:avLst/>
                    </a:prstGeom>
                    <a:noFill/>
                  </pic:spPr>
                </pic:pic>
              </a:graphicData>
            </a:graphic>
          </wp:anchor>
        </w:drawing>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tbl>
      <w:tblPr>
        <w:tblLayout w:type="fixed"/>
        <w:tblInd w:w="110" w:type="dxa"/>
        <w:tblCellMar>
          <w:top w:w="0" w:type="dxa"/>
          <w:left w:w="0" w:type="dxa"/>
          <w:bottom w:w="0" w:type="dxa"/>
          <w:right w:w="0" w:type="dxa"/>
        </w:tblCellMar>
      </w:tblPr>
      <w:tr>
        <w:trPr>
          <w:trHeight w:val="288"/>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15"/>
        </w:trPr>
        <w:tc>
          <w:tcPr>
            <w:tcW w:w="16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6"/>
              </w:rPr>
              <w:t>Rhodora J. Donahue, individually and as Trust of Voting Shares Irrevocable Trust, by J. Christopher</w:t>
            </w:r>
          </w:p>
        </w:tc>
      </w:tr>
      <w:tr>
        <w:trPr>
          <w:trHeight w:val="274"/>
        </w:trPr>
        <w:tc>
          <w:tcPr>
            <w:tcW w:w="1600" w:type="dxa"/>
            <w:vAlign w:val="bottom"/>
            <w:tcBorders>
              <w:left w:val="single" w:sz="8" w:color="auto"/>
              <w:right w:val="single" w:sz="8" w:color="auto"/>
            </w:tcBorders>
          </w:tcPr>
          <w:p>
            <w:pPr>
              <w:spacing w:after="0"/>
              <w:rPr>
                <w:sz w:val="23"/>
                <w:szCs w:val="23"/>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916" w:orient="portrait"/>
          <w:cols w:equalWidth="0" w:num="1">
            <w:col w:w="11220"/>
          </w:cols>
          <w:pgMar w:left="320" w:top="118" w:right="359" w:bottom="0" w:gutter="0" w:footer="0" w:header="0"/>
        </w:sectPr>
      </w:pPr>
    </w:p>
    <w:bookmarkStart w:id="7" w:name="page8"/>
    <w:bookmarkEnd w:id="7"/>
    <w:p>
      <w:pPr>
        <w:ind w:right="200"/>
        <w:spacing w:after="0" w:line="251" w:lineRule="auto"/>
        <w:rPr>
          <w:sz w:val="20"/>
          <w:szCs w:val="20"/>
          <w:color w:val="auto"/>
        </w:rPr>
      </w:pPr>
      <w:r>
        <w:rPr>
          <w:rFonts w:ascii="Arial" w:cs="Arial" w:eastAsia="Arial" w:hAnsi="Arial"/>
          <w:sz w:val="22"/>
          <w:szCs w:val="22"/>
          <w:color w:val="auto"/>
        </w:rPr>
        <w:t>incorporated by reference. The name and any title of each person who signs the statement shall be typed or printed beneath his signature.</w:t>
      </w:r>
    </w:p>
    <w:p>
      <w:pPr>
        <w:spacing w:after="0" w:line="17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§240.13d-7 for other parties for whom copies are to be sent.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U.S.C. 1001)</w:t>
      </w:r>
    </w:p>
    <w:p>
      <w:pPr>
        <w:sectPr>
          <w:pgSz w:w="11900" w:h="16838" w:orient="portrait"/>
          <w:cols w:equalWidth="0" w:num="1">
            <w:col w:w="11140"/>
          </w:cols>
          <w:pgMar w:left="320" w:top="118"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Identity and Classification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5288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28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3840" w:type="dxa"/>
            <w:vAlign w:val="bottom"/>
            <w:tcBorders>
              <w:top w:val="single" w:sz="8" w:color="auto"/>
            </w:tcBorders>
          </w:tcPr>
          <w:p>
            <w:pPr>
              <w:ind w:left="1460"/>
              <w:spacing w:after="0"/>
              <w:rPr>
                <w:sz w:val="20"/>
                <w:szCs w:val="20"/>
                <w:color w:val="auto"/>
              </w:rPr>
            </w:pPr>
            <w:r>
              <w:rPr>
                <w:rFonts w:ascii="Arial" w:cs="Arial" w:eastAsia="Arial" w:hAnsi="Arial"/>
                <w:sz w:val="22"/>
                <w:szCs w:val="22"/>
                <w:color w:val="auto"/>
              </w:rPr>
              <w:t>IDENTITY</w:t>
            </w:r>
          </w:p>
        </w:tc>
        <w:tc>
          <w:tcPr>
            <w:tcW w:w="7400" w:type="dxa"/>
            <w:vAlign w:val="bottom"/>
            <w:tcBorders>
              <w:top w:val="single" w:sz="8" w:color="auto"/>
            </w:tcBorders>
          </w:tcPr>
          <w:p>
            <w:pPr>
              <w:ind w:left="2100"/>
              <w:spacing w:after="0"/>
              <w:rPr>
                <w:sz w:val="20"/>
                <w:szCs w:val="20"/>
                <w:color w:val="auto"/>
              </w:rPr>
            </w:pPr>
            <w:r>
              <w:rPr>
                <w:rFonts w:ascii="Arial" w:cs="Arial" w:eastAsia="Arial" w:hAnsi="Arial"/>
                <w:sz w:val="22"/>
                <w:szCs w:val="22"/>
                <w:color w:val="auto"/>
              </w:rPr>
              <w:t>CLASSIFICATION UNDER ITEM 3</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rPr>
              <w:t>Federated Hermes Equity Funds</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(d) Investment company registered under Section 8 of the Investment Company</w:t>
            </w:r>
          </w:p>
        </w:tc>
      </w:tr>
      <w:tr>
        <w:trPr>
          <w:trHeight w:val="274"/>
        </w:trPr>
        <w:tc>
          <w:tcPr>
            <w:tcW w:w="3840" w:type="dxa"/>
            <w:vAlign w:val="bottom"/>
          </w:tcPr>
          <w:p>
            <w:pPr>
              <w:spacing w:after="0"/>
              <w:rPr>
                <w:sz w:val="23"/>
                <w:szCs w:val="23"/>
                <w:color w:val="auto"/>
              </w:rPr>
            </w:pP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 (15 U.S.C. 80a-8)</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rPr>
              <w:t>Federated Hermes Insurance Series</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(d) Investment company registered under Section 8 of the Investment Company</w:t>
            </w:r>
          </w:p>
        </w:tc>
      </w:tr>
      <w:tr>
        <w:trPr>
          <w:trHeight w:val="274"/>
        </w:trPr>
        <w:tc>
          <w:tcPr>
            <w:tcW w:w="3840" w:type="dxa"/>
            <w:vAlign w:val="bottom"/>
          </w:tcPr>
          <w:p>
            <w:pPr>
              <w:spacing w:after="0"/>
              <w:rPr>
                <w:sz w:val="23"/>
                <w:szCs w:val="23"/>
                <w:color w:val="auto"/>
              </w:rPr>
            </w:pP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 (15 U.S.C. 80a-8)</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rPr>
              <w:t>Federated Hermes MDT Series</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(d) Investment company registered under Section 8 of the Investment Company</w:t>
            </w:r>
          </w:p>
        </w:tc>
      </w:tr>
      <w:tr>
        <w:trPr>
          <w:trHeight w:val="274"/>
        </w:trPr>
        <w:tc>
          <w:tcPr>
            <w:tcW w:w="3840" w:type="dxa"/>
            <w:vAlign w:val="bottom"/>
          </w:tcPr>
          <w:p>
            <w:pPr>
              <w:spacing w:after="0"/>
              <w:rPr>
                <w:sz w:val="23"/>
                <w:szCs w:val="23"/>
                <w:color w:val="auto"/>
              </w:rPr>
            </w:pP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 (15 U.S.C. 80a-8)</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w w:val="91"/>
              </w:rPr>
              <w:t>Federated Equity Management Company</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(e) Investment Adviser registered under Section 203 of the Investment Advisers</w:t>
            </w:r>
          </w:p>
        </w:tc>
      </w:tr>
      <w:tr>
        <w:trPr>
          <w:trHeight w:val="274"/>
        </w:trPr>
        <w:tc>
          <w:tcPr>
            <w:tcW w:w="3840" w:type="dxa"/>
            <w:vAlign w:val="bottom"/>
          </w:tcPr>
          <w:p>
            <w:pPr>
              <w:ind w:left="120"/>
              <w:spacing w:after="0"/>
              <w:rPr>
                <w:sz w:val="20"/>
                <w:szCs w:val="20"/>
                <w:color w:val="auto"/>
              </w:rPr>
            </w:pPr>
            <w:r>
              <w:rPr>
                <w:rFonts w:ascii="Arial" w:cs="Arial" w:eastAsia="Arial" w:hAnsi="Arial"/>
                <w:sz w:val="22"/>
                <w:szCs w:val="22"/>
                <w:color w:val="auto"/>
              </w:rPr>
              <w:t>of Pennsylvania</w:t>
            </w: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rPr>
              <w:t>Federated Global Investment</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(e) Investment Adviser registered under Section 203 of the Investment Advisers</w:t>
            </w:r>
          </w:p>
        </w:tc>
      </w:tr>
      <w:tr>
        <w:trPr>
          <w:trHeight w:val="274"/>
        </w:trPr>
        <w:tc>
          <w:tcPr>
            <w:tcW w:w="3840" w:type="dxa"/>
            <w:vAlign w:val="bottom"/>
          </w:tcPr>
          <w:p>
            <w:pPr>
              <w:ind w:left="120"/>
              <w:spacing w:after="0"/>
              <w:rPr>
                <w:sz w:val="20"/>
                <w:szCs w:val="20"/>
                <w:color w:val="auto"/>
              </w:rPr>
            </w:pPr>
            <w:r>
              <w:rPr>
                <w:rFonts w:ascii="Arial" w:cs="Arial" w:eastAsia="Arial" w:hAnsi="Arial"/>
                <w:sz w:val="22"/>
                <w:szCs w:val="22"/>
                <w:color w:val="auto"/>
              </w:rPr>
              <w:t>Management Corp.</w:t>
            </w: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rPr>
              <w:t>Federated Investment Counseling</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(e) Investment Adviser registered under Section 203 of the Investment Advisers</w:t>
            </w:r>
          </w:p>
        </w:tc>
      </w:tr>
      <w:tr>
        <w:trPr>
          <w:trHeight w:val="274"/>
        </w:trPr>
        <w:tc>
          <w:tcPr>
            <w:tcW w:w="3840" w:type="dxa"/>
            <w:vAlign w:val="bottom"/>
          </w:tcPr>
          <w:p>
            <w:pPr>
              <w:spacing w:after="0"/>
              <w:rPr>
                <w:sz w:val="23"/>
                <w:szCs w:val="23"/>
                <w:color w:val="auto"/>
              </w:rPr>
            </w:pP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Federated Hermes, Inc.</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rPr>
              <w:t>Federated MDTA LLC</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(e) Investment Adviser registered under Section 203 of the Investment Advisers</w:t>
            </w:r>
          </w:p>
        </w:tc>
      </w:tr>
      <w:tr>
        <w:trPr>
          <w:trHeight w:val="274"/>
        </w:trPr>
        <w:tc>
          <w:tcPr>
            <w:tcW w:w="3840" w:type="dxa"/>
            <w:vAlign w:val="bottom"/>
          </w:tcPr>
          <w:p>
            <w:pPr>
              <w:spacing w:after="0"/>
              <w:rPr>
                <w:sz w:val="23"/>
                <w:szCs w:val="23"/>
                <w:color w:val="auto"/>
              </w:rPr>
            </w:pP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FII Holdings, Inc.</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Voting Shares Irrevocable Trust</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Thomas R. Donahue</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Rhodora J. Donahue</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J. Christopher Donahue</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bl>
    <w:p>
      <w:pPr>
        <w:spacing w:after="0" w:line="177"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color w:val="auto"/>
        </w:rPr>
        <w:t>Federated Hermes,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ANAPTYBIO,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12"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color w:val="auto"/>
        </w:rPr>
        <w:t>EXHIBIT “2”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AGREEMENT FOR JOINT FILING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13G</w:t>
      </w:r>
    </w:p>
    <w:p>
      <w:pPr>
        <w:spacing w:after="0" w:line="206"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86" w:lineRule="exact"/>
        <w:rPr>
          <w:sz w:val="20"/>
          <w:szCs w:val="20"/>
          <w:color w:val="auto"/>
        </w:rPr>
      </w:pPr>
    </w:p>
    <w:p>
      <w:pPr>
        <w:ind w:right="200" w:firstLine="656"/>
        <w:spacing w:after="0" w:line="250" w:lineRule="auto"/>
        <w:tabs>
          <w:tab w:leader="none" w:pos="1188" w:val="left"/>
        </w:tabs>
        <w:numPr>
          <w:ilvl w:val="0"/>
          <w:numId w:val="17"/>
        </w:numPr>
        <w:rPr>
          <w:rFonts w:ascii="Arial" w:cs="Arial" w:eastAsia="Arial" w:hAnsi="Arial"/>
          <w:sz w:val="22"/>
          <w:szCs w:val="22"/>
          <w:color w:val="auto"/>
        </w:rPr>
      </w:pPr>
      <w:r>
        <w:rPr>
          <w:rFonts w:ascii="Arial" w:cs="Arial" w:eastAsia="Arial" w:hAnsi="Arial"/>
          <w:sz w:val="22"/>
          <w:szCs w:val="22"/>
          <w:color w:val="auto"/>
        </w:rPr>
        <w:t>Federated Hermes, Inc. as parent holding company of the investment advisers to registered investment companies that beneficially own the securities.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Thoms R.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Rhodora J.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 Christopher Donahue, individually and as Trustee</w:t>
      </w:r>
    </w:p>
    <w:p>
      <w:pPr>
        <w:spacing w:after="0" w:line="206" w:lineRule="exact"/>
        <w:rPr>
          <w:sz w:val="20"/>
          <w:szCs w:val="20"/>
          <w:color w:val="auto"/>
        </w:rPr>
      </w:pPr>
    </w:p>
    <w:p>
      <w:pPr>
        <w:ind w:right="40" w:firstLine="648"/>
        <w:spacing w:after="0" w:line="252" w:lineRule="auto"/>
        <w:rPr>
          <w:sz w:val="20"/>
          <w:szCs w:val="20"/>
          <w:color w:val="auto"/>
        </w:rPr>
      </w:pPr>
      <w:r>
        <w:rPr>
          <w:rFonts w:ascii="Arial" w:cs="Arial" w:eastAsia="Arial" w:hAnsi="Arial"/>
          <w:sz w:val="21"/>
          <w:szCs w:val="21"/>
          <w:color w:val="auto"/>
        </w:rPr>
        <w:t>It is understood and agreed that each of the 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74"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10, 2022</w:t>
      </w:r>
    </w:p>
    <w:p>
      <w:pPr>
        <w:spacing w:after="0" w:line="207" w:lineRule="exact"/>
        <w:rPr>
          <w:sz w:val="20"/>
          <w:szCs w:val="20"/>
          <w:color w:val="auto"/>
        </w:rPr>
      </w:pPr>
    </w:p>
    <w:tbl>
      <w:tblPr>
        <w:tblLayout w:type="fixed"/>
        <w:tblInd w:w="110" w:type="dxa"/>
        <w:tblCellMar>
          <w:top w:w="0" w:type="dxa"/>
          <w:left w:w="0" w:type="dxa"/>
          <w:bottom w:w="0" w:type="dxa"/>
          <w:right w:w="0" w:type="dxa"/>
        </w:tblCellMar>
      </w:tblPr>
      <w:tr>
        <w:trPr>
          <w:trHeight w:val="288"/>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Trustee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15"/>
        </w:trPr>
        <w:tc>
          <w:tcPr>
            <w:tcW w:w="16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Rhodora J. Donahue, individually and as Trustee as Voting Shares Irrevocable Trust, by J. Christopher</w:t>
            </w:r>
          </w:p>
        </w:tc>
      </w:tr>
      <w:tr>
        <w:trPr>
          <w:trHeight w:val="274"/>
        </w:trPr>
        <w:tc>
          <w:tcPr>
            <w:tcW w:w="1600" w:type="dxa"/>
            <w:vAlign w:val="bottom"/>
            <w:tcBorders>
              <w:left w:val="single" w:sz="8" w:color="auto"/>
              <w:right w:val="single" w:sz="8" w:color="auto"/>
            </w:tcBorders>
          </w:tcPr>
          <w:p>
            <w:pPr>
              <w:spacing w:after="0"/>
              <w:rPr>
                <w:sz w:val="23"/>
                <w:szCs w:val="23"/>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Trustee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20" w:firstLine="8"/>
        <w:spacing w:after="0" w:line="274" w:lineRule="auto"/>
        <w:tabs>
          <w:tab w:leader="none" w:pos="536"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20"/>
          </w:cols>
          <w:pgMar w:left="320" w:top="685" w:right="359" w:bottom="221"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5391785" cy="7071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91785" cy="707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“3”</w:t>
      </w:r>
    </w:p>
    <w:p>
      <w:pPr>
        <w:sectPr>
          <w:pgSz w:w="11900" w:h="16838" w:orient="portrait"/>
          <w:cols w:equalWidth="0" w:num="1">
            <w:col w:w="9019"/>
          </w:cols>
          <w:pgMar w:left="1440" w:top="928"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6900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9"/>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9"/>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lvl w:ilvl="1">
      <w:lvlJc w:val="left"/>
      <w:lvlText w:val="%2."/>
      <w:numFmt w:val="decimal"/>
      <w:start w:val="7"/>
    </w:lvl>
  </w:abstractNum>
  <w:abstractNum w:abstractNumId="9">
    <w:nsid w:val="DED7263"/>
    <w:multiLevelType w:val="hybridMultilevel"/>
    <w:lvl w:ilvl="0">
      <w:lvlJc w:val="left"/>
      <w:lvlText w:val="%1."/>
      <w:numFmt w:val="decimal"/>
      <w:start w:val="9"/>
    </w:lvl>
    <w:lvl w:ilvl="1">
      <w:lvlJc w:val="left"/>
      <w:lvlText w:val="%2"/>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9"/>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2022-02-14T12:35:30Z</dcterms:created>
  <dcterms:modified xsi:type="dcterms:W3CDTF">2022-02-14T12:35:30Z</dcterms:modified>
</cp:coreProperties>
</file>