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55060d424b5.htm"/>
        <w:bookmarkStart w:id="1" w:name="ksd755060d424b5"/>
        <w:bookmarkEnd w:id="0"/>
        <w:bookmarkEnd w:id="1"/>
        <w:r>
          <w:rPr>
            <w:rStyle w:val="InternetLink"/>
            <w:b/>
            <w:sz w:val="20"/>
          </w:rPr>
          <w:t>Table of Contents</w:t>
        </w:r>
      </w:hyperlink>
    </w:p>
    <w:p>
      <w:pPr>
        <w:pStyle w:val="TextBody"/>
        <w:bidi w:val="0"/>
        <w:spacing w:before="0" w:after="0"/>
        <w:jc w:val="right"/>
        <w:rPr>
          <w:rFonts w:ascii="ARIAL" w:hAnsi="ARIAL"/>
          <w:b/>
          <w:sz w:val="20"/>
        </w:rPr>
      </w:pPr>
      <w:r>
        <w:rPr>
          <w:rFonts w:ascii="ARIAL" w:hAnsi="ARIAL"/>
          <w:b/>
          <w:sz w:val="20"/>
        </w:rPr>
        <w:t xml:space="preserve">Filed Pursuant to Rule 424(b)(5) </w:t>
        <w:br/>
        <w:t xml:space="preserve">Registration No. 333-261953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734"/>
        <w:gridCol w:w="3471"/>
      </w:tblGrid>
      <w:tr>
        <w:trPr/>
        <w:tc>
          <w:tcPr>
            <w:tcW w:w="6734" w:type="dxa"/>
            <w:tcBorders/>
          </w:tcPr>
          <w:p>
            <w:pPr>
              <w:pStyle w:val="TableContents"/>
              <w:bidi w:val="0"/>
              <w:spacing w:before="0" w:after="20"/>
              <w:jc w:val="left"/>
              <w:rPr>
                <w:rFonts w:ascii="ARIAL" w:hAnsi="ARIAL"/>
                <w:b/>
                <w:sz w:val="20"/>
              </w:rPr>
            </w:pPr>
            <w:r>
              <w:rPr>
                <w:rFonts w:ascii="ARIAL" w:hAnsi="ARIAL"/>
                <w:b/>
                <w:sz w:val="20"/>
              </w:rPr>
              <w:t xml:space="preserve">PROSPECTUS SUPPLEMENT </w:t>
            </w:r>
          </w:p>
        </w:tc>
        <w:tc>
          <w:tcPr>
            <w:tcW w:w="3471" w:type="dxa"/>
            <w:tcBorders/>
          </w:tcPr>
          <w:p>
            <w:pPr>
              <w:pStyle w:val="TableContents"/>
              <w:bidi w:val="0"/>
              <w:spacing w:before="0" w:after="20"/>
              <w:jc w:val="right"/>
              <w:rPr>
                <w:rFonts w:ascii="ARIAL" w:hAnsi="ARIAL"/>
                <w:b/>
                <w:sz w:val="20"/>
              </w:rPr>
            </w:pPr>
            <w:r>
              <w:rPr>
                <w:rFonts w:ascii="ARIAL" w:hAnsi="ARIAL"/>
                <w:b/>
                <w:sz w:val="20"/>
              </w:rPr>
              <w:t xml:space="preserve">(To prospectus dated January 11, 2022) </w:t>
            </w:r>
          </w:p>
        </w:tc>
      </w:tr>
    </w:tbl>
    <w:p>
      <w:pPr>
        <w:pStyle w:val="TextBody"/>
        <w:bidi w:val="0"/>
        <w:spacing w:before="0" w:after="0"/>
        <w:jc w:val="left"/>
        <w:rPr/>
      </w:pPr>
      <w:r>
        <w:rPr/>
        <w:t> </w:t>
      </w:r>
    </w:p>
    <w:p>
      <w:pPr>
        <w:pStyle w:val="TextBody"/>
        <w:pBdr>
          <w:bottom w:val="single" w:sz="24" w:space="1" w:color="334998"/>
        </w:pBdr>
        <w:bidi w:val="0"/>
        <w:spacing w:lineRule="atLeast" w:line="142" w:before="0" w:after="40"/>
        <w:jc w:val="left"/>
        <w:rPr/>
      </w:pPr>
      <w:r>
        <w:rPr/>
        <w:t> </w:t>
      </w:r>
    </w:p>
    <w:p>
      <w:pPr>
        <w:pStyle w:val="TextBody"/>
        <w:bidi w:val="0"/>
        <w:spacing w:before="480" w:after="0"/>
        <w:jc w:val="center"/>
        <w:rPr>
          <w:rFonts w:ascii="ARIAL" w:hAnsi="ARIAL"/>
          <w:b/>
          <w:sz w:val="28"/>
        </w:rPr>
      </w:pPr>
      <w:r>
        <w:rPr>
          <w:rFonts w:ascii="ARIAL" w:hAnsi="ARIAL"/>
          <w:b/>
          <w:sz w:val="28"/>
        </w:rPr>
        <w:t xml:space="preserve">2,750,498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2877185" cy="6769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77185" cy="676910"/>
                    </a:xfrm>
                    <a:prstGeom prst="rect">
                      <a:avLst/>
                    </a:prstGeom>
                  </pic:spPr>
                </pic:pic>
              </a:graphicData>
            </a:graphic>
          </wp:inline>
        </w:drawing>
      </w:r>
      <w:r>
        <w:rPr/>
        <w:t xml:space="preserve"> </w:t>
      </w:r>
    </w:p>
    <w:p>
      <w:pPr>
        <w:pStyle w:val="TextBody"/>
        <w:bidi w:val="0"/>
        <w:spacing w:before="240" w:after="0"/>
        <w:jc w:val="center"/>
        <w:rPr>
          <w:rFonts w:ascii="ARIAL" w:hAnsi="ARIAL"/>
          <w:b/>
          <w:sz w:val="28"/>
        </w:rPr>
      </w:pPr>
      <w:r>
        <w:rPr>
          <w:rFonts w:ascii="ARIAL" w:hAnsi="ARIAL"/>
          <w:b/>
          <w:sz w:val="28"/>
        </w:rPr>
        <w:t xml:space="preserve">Common Stock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240" w:after="0"/>
        <w:jc w:val="left"/>
        <w:rPr>
          <w:rFonts w:ascii="ARIAL" w:hAnsi="ARIAL"/>
          <w:sz w:val="20"/>
        </w:rPr>
      </w:pPr>
      <w:r>
        <w:rPr>
          <w:rFonts w:ascii="ARIAL" w:hAnsi="ARIAL"/>
          <w:sz w:val="20"/>
        </w:rPr>
        <w:t xml:space="preserve">We are offering 2,750,498 shares of our common stock in this offering. </w:t>
      </w:r>
    </w:p>
    <w:p>
      <w:pPr>
        <w:pStyle w:val="TextBody"/>
        <w:bidi w:val="0"/>
        <w:spacing w:before="240" w:after="0"/>
        <w:jc w:val="left"/>
        <w:rPr>
          <w:rFonts w:ascii="ARIAL" w:hAnsi="ARIAL"/>
          <w:sz w:val="20"/>
        </w:rPr>
      </w:pPr>
      <w:r>
        <w:rPr>
          <w:rFonts w:ascii="ARIAL" w:hAnsi="ARIAL"/>
          <w:sz w:val="20"/>
        </w:rPr>
        <w:t xml:space="preserve">Our common stock is listed on The Nasdaq Global Select Market under the symbol ANAB. On August 13, 2024, the last reported sale price of our common stock on The Nasdaq Global Select Market was $33.33 per share.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240" w:after="0"/>
        <w:jc w:val="left"/>
        <w:rPr>
          <w:rFonts w:ascii="ARIAL" w:hAnsi="ARIAL"/>
          <w:sz w:val="20"/>
        </w:rPr>
      </w:pPr>
      <w:r>
        <w:rPr>
          <w:rFonts w:ascii="ARIAL" w:hAnsi="ARIAL"/>
          <w:sz w:val="20"/>
        </w:rPr>
        <w:t xml:space="preserve">We are a smaller reporting company as defined under the federal securities laws and are subject to reduced public company reporting requirements. </w:t>
      </w:r>
    </w:p>
    <w:p>
      <w:pPr>
        <w:pStyle w:val="TextBody"/>
        <w:bidi w:val="0"/>
        <w:spacing w:before="240" w:after="0"/>
        <w:jc w:val="left"/>
        <w:rPr/>
      </w:pPr>
      <w:r>
        <w:rPr>
          <w:rFonts w:ascii="ARIAL" w:hAnsi="ARIAL"/>
          <w:b/>
          <w:sz w:val="20"/>
        </w:rPr>
        <w:t>Investing in our common stock involves risks. See </w:t>
      </w:r>
      <w:hyperlink w:anchor="supprom755060_4">
        <w:r>
          <w:rPr>
            <w:rStyle w:val="InternetLink"/>
            <w:rFonts w:ascii="ARIAL" w:hAnsi="ARIAL"/>
            <w:b/>
            <w:sz w:val="20"/>
          </w:rPr>
          <w:t>Risk Factors</w:t>
        </w:r>
      </w:hyperlink>
      <w:r>
        <w:rPr>
          <w:rFonts w:ascii="ARIAL" w:hAnsi="ARIAL"/>
          <w:b/>
          <w:sz w:val="20"/>
        </w:rPr>
        <w:t xml:space="preserve"> beginning on page S-3 of this prospectus supplement and in the documents incorporated by reference into this prospectus supplement. </w:t>
      </w:r>
    </w:p>
    <w:p>
      <w:pPr>
        <w:pStyle w:val="TextBody"/>
        <w:bidi w:val="0"/>
        <w:spacing w:before="240" w:after="0"/>
        <w:jc w:val="left"/>
        <w:rPr>
          <w:rFonts w:ascii="ARIAL" w:hAnsi="ARIAL"/>
          <w:sz w:val="20"/>
        </w:rPr>
      </w:pPr>
      <w:r>
        <w:rPr>
          <w:rFonts w:ascii="ARIAL" w:hAnsi="ARIAL"/>
          <w:sz w:val="20"/>
        </w:rPr>
        <w:t xml:space="preserve">Neither the Securities and Exchange Commission nor any state securities commission has approved or disapproved of these securities or passed on the adequacy or accuracy of this prospectus supplement or the accompanying prospectus. Any representation to the contrary is a criminal offense.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07"/>
        <w:gridCol w:w="388"/>
        <w:gridCol w:w="205"/>
        <w:gridCol w:w="899"/>
        <w:gridCol w:w="60"/>
        <w:gridCol w:w="350"/>
        <w:gridCol w:w="140"/>
        <w:gridCol w:w="1393"/>
        <w:gridCol w:w="63"/>
      </w:tblGrid>
      <w:tr>
        <w:trPr/>
        <w:tc>
          <w:tcPr>
            <w:tcW w:w="6707"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707"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104" w:type="dxa"/>
            <w:gridSpan w:val="2"/>
            <w:tcBorders>
              <w:bottom w:val="single" w:sz="2" w:space="0" w:color="000000"/>
            </w:tcBorders>
            <w:tcMar>
              <w:bottom w:w="28" w:type="dxa"/>
            </w:tcMar>
            <w:vAlign w:val="bottom"/>
          </w:tcPr>
          <w:p>
            <w:pPr>
              <w:pStyle w:val="TableContents"/>
              <w:bidi w:val="0"/>
              <w:spacing w:before="0" w:after="283"/>
              <w:jc w:val="center"/>
              <w:rPr>
                <w:b/>
                <w:i/>
              </w:rPr>
            </w:pPr>
            <w:r>
              <w:rPr>
                <w:b/>
                <w:i/>
              </w:rPr>
              <w:t>Per Share</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533" w:type="dxa"/>
            <w:gridSpan w:val="2"/>
            <w:tcBorders>
              <w:bottom w:val="single" w:sz="2" w:space="0" w:color="000000"/>
            </w:tcBorders>
            <w:tcMar>
              <w:bottom w:w="28" w:type="dxa"/>
            </w:tcMar>
            <w:vAlign w:val="bottom"/>
          </w:tcPr>
          <w:p>
            <w:pPr>
              <w:pStyle w:val="TableContents"/>
              <w:bidi w:val="0"/>
              <w:spacing w:before="0" w:after="283"/>
              <w:jc w:val="center"/>
              <w:rPr>
                <w:b/>
                <w:i/>
              </w:rPr>
            </w:pPr>
            <w:r>
              <w:rPr>
                <w:b/>
                <w:i/>
              </w:rPr>
              <w:t>Total</w:t>
            </w:r>
          </w:p>
        </w:tc>
        <w:tc>
          <w:tcPr>
            <w:tcW w:w="63" w:type="dxa"/>
            <w:tcBorders/>
            <w:vAlign w:val="bottom"/>
          </w:tcPr>
          <w:p>
            <w:pPr>
              <w:pStyle w:val="TableContents"/>
              <w:bidi w:val="0"/>
              <w:spacing w:before="0" w:after="283"/>
              <w:jc w:val="left"/>
              <w:rPr/>
            </w:pPr>
            <w:r>
              <w:rPr/>
              <w:t> </w:t>
            </w:r>
          </w:p>
        </w:tc>
      </w:tr>
      <w:tr>
        <w:trPr/>
        <w:tc>
          <w:tcPr>
            <w:tcW w:w="6707" w:type="dxa"/>
            <w:tcBorders/>
          </w:tcPr>
          <w:p>
            <w:pPr>
              <w:pStyle w:val="TableContents"/>
              <w:bidi w:val="0"/>
              <w:spacing w:before="0" w:after="0"/>
              <w:jc w:val="left"/>
              <w:rPr>
                <w:rFonts w:ascii="ARIAL" w:hAnsi="ARIAL"/>
                <w:b/>
                <w:sz w:val="20"/>
              </w:rPr>
            </w:pPr>
            <w:r>
              <w:rPr>
                <w:rFonts w:ascii="ARIAL" w:hAnsi="ARIAL"/>
                <w:b/>
                <w:sz w:val="20"/>
              </w:rPr>
              <w:t>Offering price</w:t>
            </w:r>
          </w:p>
        </w:tc>
        <w:tc>
          <w:tcPr>
            <w:tcW w:w="38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b/>
              </w:rPr>
            </w:pPr>
            <w:r>
              <w:rPr>
                <w:b/>
              </w:rPr>
              <w:t>$</w:t>
            </w:r>
          </w:p>
        </w:tc>
        <w:tc>
          <w:tcPr>
            <w:tcW w:w="899" w:type="dxa"/>
            <w:tcBorders/>
            <w:vAlign w:val="bottom"/>
          </w:tcPr>
          <w:p>
            <w:pPr>
              <w:pStyle w:val="TableContents"/>
              <w:bidi w:val="0"/>
              <w:spacing w:before="0" w:after="283"/>
              <w:jc w:val="right"/>
              <w:rPr>
                <w:b/>
              </w:rPr>
            </w:pPr>
            <w:r>
              <w:rPr>
                <w:b/>
              </w:rPr>
              <w:t>36.50</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393" w:type="dxa"/>
            <w:tcBorders/>
            <w:vAlign w:val="bottom"/>
          </w:tcPr>
          <w:p>
            <w:pPr>
              <w:pStyle w:val="TableContents"/>
              <w:bidi w:val="0"/>
              <w:spacing w:before="0" w:after="283"/>
              <w:jc w:val="right"/>
              <w:rPr>
                <w:b/>
              </w:rPr>
            </w:pPr>
            <w:r>
              <w:rPr>
                <w:b/>
              </w:rPr>
              <w:t>100,393,177</w:t>
            </w:r>
          </w:p>
        </w:tc>
        <w:tc>
          <w:tcPr>
            <w:tcW w:w="63" w:type="dxa"/>
            <w:tcBorders/>
            <w:vAlign w:val="bottom"/>
          </w:tcPr>
          <w:p>
            <w:pPr>
              <w:pStyle w:val="TableContents"/>
              <w:bidi w:val="0"/>
              <w:spacing w:before="0" w:after="283"/>
              <w:jc w:val="left"/>
              <w:rPr/>
            </w:pPr>
            <w:r>
              <w:rPr/>
              <w:t> </w:t>
            </w:r>
          </w:p>
        </w:tc>
      </w:tr>
      <w:tr>
        <w:trPr/>
        <w:tc>
          <w:tcPr>
            <w:tcW w:w="6707" w:type="dxa"/>
            <w:tcBorders/>
          </w:tcPr>
          <w:p>
            <w:pPr>
              <w:pStyle w:val="TableContents"/>
              <w:bidi w:val="0"/>
              <w:spacing w:before="0" w:after="0"/>
              <w:jc w:val="left"/>
              <w:rPr>
                <w:rFonts w:ascii="ARIAL" w:hAnsi="ARIAL"/>
                <w:b/>
                <w:sz w:val="20"/>
              </w:rPr>
            </w:pPr>
            <w:r>
              <w:rPr>
                <w:rFonts w:ascii="ARIAL" w:hAnsi="ARIAL"/>
                <w:b/>
                <w:sz w:val="20"/>
              </w:rPr>
              <w:t>Underwriting discounts and commissions(1)</w:t>
            </w:r>
          </w:p>
        </w:tc>
        <w:tc>
          <w:tcPr>
            <w:tcW w:w="38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b/>
              </w:rPr>
            </w:pPr>
            <w:r>
              <w:rPr>
                <w:b/>
              </w:rPr>
              <w:t>$</w:t>
            </w:r>
          </w:p>
        </w:tc>
        <w:tc>
          <w:tcPr>
            <w:tcW w:w="899" w:type="dxa"/>
            <w:tcBorders/>
            <w:vAlign w:val="bottom"/>
          </w:tcPr>
          <w:p>
            <w:pPr>
              <w:pStyle w:val="TableContents"/>
              <w:bidi w:val="0"/>
              <w:spacing w:before="0" w:after="283"/>
              <w:jc w:val="right"/>
              <w:rPr>
                <w:b/>
              </w:rPr>
            </w:pPr>
            <w:r>
              <w:rPr>
                <w:b/>
              </w:rPr>
              <w:t>2.19</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393" w:type="dxa"/>
            <w:tcBorders/>
            <w:vAlign w:val="bottom"/>
          </w:tcPr>
          <w:p>
            <w:pPr>
              <w:pStyle w:val="TableContents"/>
              <w:bidi w:val="0"/>
              <w:spacing w:before="0" w:after="283"/>
              <w:jc w:val="right"/>
              <w:rPr>
                <w:b/>
              </w:rPr>
            </w:pPr>
            <w:r>
              <w:rPr>
                <w:b/>
              </w:rPr>
              <w:t>6,023,591</w:t>
            </w:r>
          </w:p>
        </w:tc>
        <w:tc>
          <w:tcPr>
            <w:tcW w:w="63" w:type="dxa"/>
            <w:tcBorders/>
            <w:vAlign w:val="bottom"/>
          </w:tcPr>
          <w:p>
            <w:pPr>
              <w:pStyle w:val="TableContents"/>
              <w:bidi w:val="0"/>
              <w:spacing w:before="0" w:after="283"/>
              <w:jc w:val="left"/>
              <w:rPr/>
            </w:pPr>
            <w:r>
              <w:rPr/>
              <w:t> </w:t>
            </w:r>
          </w:p>
        </w:tc>
      </w:tr>
      <w:tr>
        <w:trPr/>
        <w:tc>
          <w:tcPr>
            <w:tcW w:w="6707" w:type="dxa"/>
            <w:tcBorders/>
          </w:tcPr>
          <w:p>
            <w:pPr>
              <w:pStyle w:val="TableContents"/>
              <w:bidi w:val="0"/>
              <w:spacing w:before="0" w:after="0"/>
              <w:jc w:val="left"/>
              <w:rPr>
                <w:rFonts w:ascii="ARIAL" w:hAnsi="ARIAL"/>
                <w:b/>
                <w:sz w:val="20"/>
              </w:rPr>
            </w:pPr>
            <w:r>
              <w:rPr>
                <w:rFonts w:ascii="ARIAL" w:hAnsi="ARIAL"/>
                <w:b/>
                <w:sz w:val="20"/>
              </w:rPr>
              <w:t>Proceeds, before expenses, to us</w:t>
            </w:r>
          </w:p>
        </w:tc>
        <w:tc>
          <w:tcPr>
            <w:tcW w:w="38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b/>
              </w:rPr>
            </w:pPr>
            <w:r>
              <w:rPr>
                <w:b/>
              </w:rPr>
              <w:t>$</w:t>
            </w:r>
          </w:p>
        </w:tc>
        <w:tc>
          <w:tcPr>
            <w:tcW w:w="899" w:type="dxa"/>
            <w:tcBorders/>
            <w:vAlign w:val="bottom"/>
          </w:tcPr>
          <w:p>
            <w:pPr>
              <w:pStyle w:val="TableContents"/>
              <w:bidi w:val="0"/>
              <w:spacing w:before="0" w:after="283"/>
              <w:jc w:val="right"/>
              <w:rPr>
                <w:b/>
              </w:rPr>
            </w:pPr>
            <w:r>
              <w:rPr>
                <w:b/>
              </w:rPr>
              <w:t>34.31</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393" w:type="dxa"/>
            <w:tcBorders/>
            <w:vAlign w:val="bottom"/>
          </w:tcPr>
          <w:p>
            <w:pPr>
              <w:pStyle w:val="TableContents"/>
              <w:bidi w:val="0"/>
              <w:spacing w:before="0" w:after="283"/>
              <w:jc w:val="right"/>
              <w:rPr>
                <w:b/>
              </w:rPr>
            </w:pPr>
            <w:r>
              <w:rPr>
                <w:b/>
              </w:rPr>
              <w:t>94,369,586</w:t>
            </w:r>
          </w:p>
        </w:tc>
        <w:tc>
          <w:tcPr>
            <w:tcW w:w="63"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See Underwriting for additional information regarding the compensation payable to the underwriters. </w:t>
            </w:r>
          </w:p>
        </w:tc>
      </w:tr>
    </w:tbl>
    <w:p>
      <w:pPr>
        <w:pStyle w:val="TextBody"/>
        <w:bidi w:val="0"/>
        <w:spacing w:before="240" w:after="0"/>
        <w:jc w:val="left"/>
        <w:rPr>
          <w:rFonts w:ascii="ARIAL" w:hAnsi="ARIAL"/>
          <w:sz w:val="20"/>
        </w:rPr>
      </w:pPr>
      <w:r>
        <w:rPr>
          <w:rFonts w:ascii="ARIAL" w:hAnsi="ARIAL"/>
          <w:sz w:val="20"/>
        </w:rPr>
        <w:t xml:space="preserve">The underwriters expect to deliver the shares against payment in New York, New York on or about August 15, 2024.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ARIAL" w:hAnsi="ARIAL"/>
          <w:b/>
          <w:i/>
          <w:sz w:val="20"/>
        </w:rPr>
      </w:pPr>
      <w:r>
        <w:rPr>
          <w:rFonts w:ascii="ARIAL" w:hAnsi="ARIAL"/>
          <w:b/>
          <w:i/>
          <w:sz w:val="20"/>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530"/>
        <w:gridCol w:w="101"/>
        <w:gridCol w:w="2960"/>
        <w:gridCol w:w="102"/>
        <w:gridCol w:w="2245"/>
        <w:gridCol w:w="102"/>
        <w:gridCol w:w="3165"/>
      </w:tblGrid>
      <w:tr>
        <w:trPr/>
        <w:tc>
          <w:tcPr>
            <w:tcW w:w="153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b/>
              </w:rPr>
            </w:pPr>
            <w:r>
              <w:rPr>
                <w:b/>
              </w:rPr>
              <w:t>TD Cowen</w:t>
            </w:r>
          </w:p>
        </w:tc>
        <w:tc>
          <w:tcPr>
            <w:tcW w:w="101"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b/>
              </w:rPr>
            </w:pPr>
            <w:r>
              <w:rPr>
                <w:b/>
              </w:rPr>
              <w:t>Leerink Partners</w:t>
            </w:r>
          </w:p>
        </w:tc>
        <w:tc>
          <w:tcPr>
            <w:tcW w:w="102" w:type="dxa"/>
            <w:tcBorders/>
            <w:vAlign w:val="bottom"/>
          </w:tcPr>
          <w:p>
            <w:pPr>
              <w:pStyle w:val="TableContents"/>
              <w:bidi w:val="0"/>
              <w:spacing w:before="0" w:after="283"/>
              <w:jc w:val="left"/>
              <w:rPr/>
            </w:pPr>
            <w:r>
              <w:rPr/>
              <w:t> </w:t>
            </w:r>
          </w:p>
        </w:tc>
        <w:tc>
          <w:tcPr>
            <w:tcW w:w="2245" w:type="dxa"/>
            <w:tcBorders/>
          </w:tcPr>
          <w:p>
            <w:pPr>
              <w:pStyle w:val="TableContents"/>
              <w:bidi w:val="0"/>
              <w:spacing w:before="0" w:after="283"/>
              <w:jc w:val="center"/>
              <w:rPr>
                <w:b/>
              </w:rPr>
            </w:pPr>
            <w:r>
              <w:rPr>
                <w:b/>
              </w:rPr>
              <w:t>Piper Sandler</w:t>
            </w:r>
          </w:p>
        </w:tc>
        <w:tc>
          <w:tcPr>
            <w:tcW w:w="102"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right"/>
              <w:rPr>
                <w:b/>
              </w:rPr>
            </w:pPr>
            <w:r>
              <w:rPr>
                <w:b/>
              </w:rPr>
              <w:t>Guggenheim Securities</w:t>
            </w:r>
          </w:p>
        </w:tc>
      </w:tr>
    </w:tbl>
    <w:p>
      <w:pPr>
        <w:pStyle w:val="TextBody"/>
        <w:bidi w:val="0"/>
        <w:spacing w:before="240" w:after="0"/>
        <w:jc w:val="center"/>
        <w:rPr>
          <w:rFonts w:ascii="ARIAL" w:hAnsi="ARIAL"/>
          <w:sz w:val="20"/>
        </w:rPr>
      </w:pPr>
      <w:r>
        <w:rPr>
          <w:rFonts w:ascii="ARIAL" w:hAnsi="ARIAL"/>
          <w:sz w:val="20"/>
        </w:rPr>
        <w:t xml:space="preserve">Prospectus supplement dated August 13,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 w:name="toc"/>
      <w:bookmarkEnd w:id="2"/>
      <w:r>
        <w:rPr>
          <w:rFonts w:ascii="ARIAL" w:hAnsi="ARIAL"/>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94"/>
        <w:gridCol w:w="119"/>
        <w:gridCol w:w="60"/>
        <w:gridCol w:w="469"/>
        <w:gridCol w:w="63"/>
      </w:tblGrid>
      <w:tr>
        <w:trPr/>
        <w:tc>
          <w:tcPr>
            <w:tcW w:w="9494"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9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529"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94" w:type="dxa"/>
            <w:tcBorders/>
          </w:tcPr>
          <w:p>
            <w:pPr>
              <w:pStyle w:val="TableContents"/>
              <w:bidi w:val="0"/>
              <w:spacing w:before="0" w:after="0"/>
              <w:jc w:val="left"/>
              <w:rPr>
                <w:rFonts w:ascii="ARIAL" w:hAnsi="ARIAL"/>
                <w:b/>
                <w:sz w:val="20"/>
              </w:rPr>
            </w:pPr>
            <w:r>
              <w:rPr>
                <w:rFonts w:ascii="ARIAL" w:hAnsi="ARIAL"/>
                <w:b/>
                <w:sz w:val="20"/>
              </w:rPr>
              <w:t>Prospectus Supplement</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494" w:type="dxa"/>
            <w:tcBorders/>
          </w:tcPr>
          <w:p>
            <w:pPr>
              <w:pStyle w:val="TableContents"/>
              <w:bidi w:val="0"/>
              <w:spacing w:before="0" w:after="0"/>
              <w:jc w:val="left"/>
              <w:rPr/>
            </w:pPr>
            <w:hyperlink w:anchor="supprom755060_1">
              <w:r>
                <w:rPr>
                  <w:rStyle w:val="InternetLink"/>
                  <w:rFonts w:ascii="ARIAL" w:hAnsi="ARIAL"/>
                  <w:sz w:val="20"/>
                </w:rPr>
                <w:t>About This Prospectus Supplement</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S-ii</w:t>
            </w:r>
          </w:p>
        </w:tc>
        <w:tc>
          <w:tcPr>
            <w:tcW w:w="63" w:type="dxa"/>
            <w:tcBorders/>
            <w:vAlign w:val="bottom"/>
          </w:tcPr>
          <w:p>
            <w:pPr>
              <w:pStyle w:val="TableContents"/>
              <w:bidi w:val="0"/>
              <w:spacing w:before="0" w:after="283"/>
              <w:jc w:val="left"/>
              <w:rPr/>
            </w:pPr>
            <w:r>
              <w:rPr/>
              <w:t> </w:t>
            </w:r>
          </w:p>
        </w:tc>
      </w:tr>
      <w:tr>
        <w:trPr/>
        <w:tc>
          <w:tcPr>
            <w:tcW w:w="9494" w:type="dxa"/>
            <w:tcBorders/>
          </w:tcPr>
          <w:p>
            <w:pPr>
              <w:pStyle w:val="TableContents"/>
              <w:bidi w:val="0"/>
              <w:spacing w:before="0" w:after="0"/>
              <w:jc w:val="left"/>
              <w:rPr/>
            </w:pPr>
            <w:hyperlink w:anchor="supprom755060_2">
              <w:r>
                <w:rPr>
                  <w:rStyle w:val="InternetLink"/>
                  <w:rFonts w:ascii="ARIAL" w:hAnsi="ARIAL"/>
                  <w:sz w:val="20"/>
                </w:rPr>
                <w:t>Prospectus Summary</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S-1</w:t>
            </w:r>
          </w:p>
        </w:tc>
        <w:tc>
          <w:tcPr>
            <w:tcW w:w="63" w:type="dxa"/>
            <w:tcBorders/>
            <w:vAlign w:val="bottom"/>
          </w:tcPr>
          <w:p>
            <w:pPr>
              <w:pStyle w:val="TableContents"/>
              <w:bidi w:val="0"/>
              <w:spacing w:before="0" w:after="283"/>
              <w:jc w:val="left"/>
              <w:rPr/>
            </w:pPr>
            <w:r>
              <w:rPr/>
              <w:t> </w:t>
            </w:r>
          </w:p>
        </w:tc>
      </w:tr>
      <w:tr>
        <w:trPr/>
        <w:tc>
          <w:tcPr>
            <w:tcW w:w="9494" w:type="dxa"/>
            <w:tcBorders/>
          </w:tcPr>
          <w:p>
            <w:pPr>
              <w:pStyle w:val="TableContents"/>
              <w:bidi w:val="0"/>
              <w:spacing w:before="0" w:after="0"/>
              <w:jc w:val="left"/>
              <w:rPr/>
            </w:pPr>
            <w:hyperlink w:anchor="supprom755060_3">
              <w:r>
                <w:rPr>
                  <w:rStyle w:val="InternetLink"/>
                  <w:rFonts w:ascii="ARIAL" w:hAnsi="ARIAL"/>
                  <w:sz w:val="20"/>
                </w:rPr>
                <w:t>The Offering</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S-2</w:t>
            </w:r>
          </w:p>
        </w:tc>
        <w:tc>
          <w:tcPr>
            <w:tcW w:w="63" w:type="dxa"/>
            <w:tcBorders/>
            <w:vAlign w:val="bottom"/>
          </w:tcPr>
          <w:p>
            <w:pPr>
              <w:pStyle w:val="TableContents"/>
              <w:bidi w:val="0"/>
              <w:spacing w:before="0" w:after="283"/>
              <w:jc w:val="left"/>
              <w:rPr/>
            </w:pPr>
            <w:r>
              <w:rPr/>
              <w:t> </w:t>
            </w:r>
          </w:p>
        </w:tc>
      </w:tr>
      <w:tr>
        <w:trPr/>
        <w:tc>
          <w:tcPr>
            <w:tcW w:w="9494" w:type="dxa"/>
            <w:tcBorders/>
          </w:tcPr>
          <w:p>
            <w:pPr>
              <w:pStyle w:val="TableContents"/>
              <w:bidi w:val="0"/>
              <w:spacing w:before="0" w:after="0"/>
              <w:jc w:val="left"/>
              <w:rPr/>
            </w:pPr>
            <w:hyperlink w:anchor="supprom755060_4">
              <w:r>
                <w:rPr>
                  <w:rStyle w:val="InternetLink"/>
                  <w:rFonts w:ascii="ARIAL" w:hAnsi="ARIAL"/>
                  <w:sz w:val="20"/>
                </w:rPr>
                <w:t>Risk Factors</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S-3</w:t>
            </w:r>
          </w:p>
        </w:tc>
        <w:tc>
          <w:tcPr>
            <w:tcW w:w="63" w:type="dxa"/>
            <w:tcBorders/>
            <w:vAlign w:val="bottom"/>
          </w:tcPr>
          <w:p>
            <w:pPr>
              <w:pStyle w:val="TableContents"/>
              <w:bidi w:val="0"/>
              <w:spacing w:before="0" w:after="283"/>
              <w:jc w:val="left"/>
              <w:rPr/>
            </w:pPr>
            <w:r>
              <w:rPr/>
              <w:t> </w:t>
            </w:r>
          </w:p>
        </w:tc>
      </w:tr>
      <w:tr>
        <w:trPr/>
        <w:tc>
          <w:tcPr>
            <w:tcW w:w="9494" w:type="dxa"/>
            <w:tcBorders/>
          </w:tcPr>
          <w:p>
            <w:pPr>
              <w:pStyle w:val="TableContents"/>
              <w:bidi w:val="0"/>
              <w:spacing w:before="0" w:after="0"/>
              <w:jc w:val="left"/>
              <w:rPr/>
            </w:pPr>
            <w:hyperlink w:anchor="supprom755060_5">
              <w:r>
                <w:rPr>
                  <w:rStyle w:val="InternetLink"/>
                  <w:rFonts w:ascii="ARIAL" w:hAnsi="ARIAL"/>
                  <w:sz w:val="20"/>
                </w:rPr>
                <w:t>Special Note Regarding Forward-Looking Statements</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S-5</w:t>
            </w:r>
          </w:p>
        </w:tc>
        <w:tc>
          <w:tcPr>
            <w:tcW w:w="63" w:type="dxa"/>
            <w:tcBorders/>
            <w:vAlign w:val="bottom"/>
          </w:tcPr>
          <w:p>
            <w:pPr>
              <w:pStyle w:val="TableContents"/>
              <w:bidi w:val="0"/>
              <w:spacing w:before="0" w:after="283"/>
              <w:jc w:val="left"/>
              <w:rPr/>
            </w:pPr>
            <w:r>
              <w:rPr/>
              <w:t> </w:t>
            </w:r>
          </w:p>
        </w:tc>
      </w:tr>
      <w:tr>
        <w:trPr/>
        <w:tc>
          <w:tcPr>
            <w:tcW w:w="9494" w:type="dxa"/>
            <w:tcBorders/>
          </w:tcPr>
          <w:p>
            <w:pPr>
              <w:pStyle w:val="TableContents"/>
              <w:bidi w:val="0"/>
              <w:spacing w:before="0" w:after="0"/>
              <w:jc w:val="left"/>
              <w:rPr/>
            </w:pPr>
            <w:hyperlink w:anchor="supprom755060_6">
              <w:r>
                <w:rPr>
                  <w:rStyle w:val="InternetLink"/>
                  <w:rFonts w:ascii="ARIAL" w:hAnsi="ARIAL"/>
                  <w:sz w:val="20"/>
                </w:rPr>
                <w:t>Use of Proceeds</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S-7</w:t>
            </w:r>
          </w:p>
        </w:tc>
        <w:tc>
          <w:tcPr>
            <w:tcW w:w="63" w:type="dxa"/>
            <w:tcBorders/>
            <w:vAlign w:val="bottom"/>
          </w:tcPr>
          <w:p>
            <w:pPr>
              <w:pStyle w:val="TableContents"/>
              <w:bidi w:val="0"/>
              <w:spacing w:before="0" w:after="283"/>
              <w:jc w:val="left"/>
              <w:rPr/>
            </w:pPr>
            <w:r>
              <w:rPr/>
              <w:t> </w:t>
            </w:r>
          </w:p>
        </w:tc>
      </w:tr>
      <w:tr>
        <w:trPr/>
        <w:tc>
          <w:tcPr>
            <w:tcW w:w="9494" w:type="dxa"/>
            <w:tcBorders/>
          </w:tcPr>
          <w:p>
            <w:pPr>
              <w:pStyle w:val="TableContents"/>
              <w:bidi w:val="0"/>
              <w:spacing w:before="0" w:after="0"/>
              <w:jc w:val="left"/>
              <w:rPr/>
            </w:pPr>
            <w:hyperlink w:anchor="supprom755060_7">
              <w:r>
                <w:rPr>
                  <w:rStyle w:val="InternetLink"/>
                  <w:rFonts w:ascii="ARIAL" w:hAnsi="ARIAL"/>
                  <w:sz w:val="20"/>
                </w:rPr>
                <w:t>Dividend Policy</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S-8</w:t>
            </w:r>
          </w:p>
        </w:tc>
        <w:tc>
          <w:tcPr>
            <w:tcW w:w="63" w:type="dxa"/>
            <w:tcBorders/>
            <w:vAlign w:val="bottom"/>
          </w:tcPr>
          <w:p>
            <w:pPr>
              <w:pStyle w:val="TableContents"/>
              <w:bidi w:val="0"/>
              <w:spacing w:before="0" w:after="283"/>
              <w:jc w:val="left"/>
              <w:rPr/>
            </w:pPr>
            <w:r>
              <w:rPr/>
              <w:t> </w:t>
            </w:r>
          </w:p>
        </w:tc>
      </w:tr>
      <w:tr>
        <w:trPr/>
        <w:tc>
          <w:tcPr>
            <w:tcW w:w="9494" w:type="dxa"/>
            <w:tcBorders/>
          </w:tcPr>
          <w:p>
            <w:pPr>
              <w:pStyle w:val="TableContents"/>
              <w:bidi w:val="0"/>
              <w:spacing w:before="0" w:after="0"/>
              <w:jc w:val="left"/>
              <w:rPr/>
            </w:pPr>
            <w:hyperlink w:anchor="supprom755060_8">
              <w:r>
                <w:rPr>
                  <w:rStyle w:val="InternetLink"/>
                  <w:rFonts w:ascii="ARIAL" w:hAnsi="ARIAL"/>
                  <w:sz w:val="20"/>
                </w:rPr>
                <w:t>Dilution</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S-9</w:t>
            </w:r>
          </w:p>
        </w:tc>
        <w:tc>
          <w:tcPr>
            <w:tcW w:w="63" w:type="dxa"/>
            <w:tcBorders/>
            <w:vAlign w:val="bottom"/>
          </w:tcPr>
          <w:p>
            <w:pPr>
              <w:pStyle w:val="TableContents"/>
              <w:bidi w:val="0"/>
              <w:spacing w:before="0" w:after="283"/>
              <w:jc w:val="left"/>
              <w:rPr/>
            </w:pPr>
            <w:r>
              <w:rPr/>
              <w:t> </w:t>
            </w:r>
          </w:p>
        </w:tc>
      </w:tr>
      <w:tr>
        <w:trPr/>
        <w:tc>
          <w:tcPr>
            <w:tcW w:w="9494" w:type="dxa"/>
            <w:tcBorders/>
          </w:tcPr>
          <w:p>
            <w:pPr>
              <w:pStyle w:val="TableContents"/>
              <w:bidi w:val="0"/>
              <w:spacing w:before="0" w:after="0"/>
              <w:jc w:val="left"/>
              <w:rPr/>
            </w:pPr>
            <w:hyperlink w:anchor="supprom755060_9">
              <w:r>
                <w:rPr>
                  <w:rStyle w:val="InternetLink"/>
                  <w:rFonts w:ascii="ARIAL" w:hAnsi="ARIAL"/>
                  <w:sz w:val="20"/>
                </w:rPr>
                <w:t>Underwriting</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S-11</w:t>
            </w:r>
          </w:p>
        </w:tc>
        <w:tc>
          <w:tcPr>
            <w:tcW w:w="63" w:type="dxa"/>
            <w:tcBorders/>
            <w:vAlign w:val="bottom"/>
          </w:tcPr>
          <w:p>
            <w:pPr>
              <w:pStyle w:val="TableContents"/>
              <w:bidi w:val="0"/>
              <w:spacing w:before="0" w:after="283"/>
              <w:jc w:val="left"/>
              <w:rPr/>
            </w:pPr>
            <w:r>
              <w:rPr/>
              <w:t> </w:t>
            </w:r>
          </w:p>
        </w:tc>
      </w:tr>
      <w:tr>
        <w:trPr/>
        <w:tc>
          <w:tcPr>
            <w:tcW w:w="9494" w:type="dxa"/>
            <w:tcBorders/>
          </w:tcPr>
          <w:p>
            <w:pPr>
              <w:pStyle w:val="TableContents"/>
              <w:bidi w:val="0"/>
              <w:spacing w:before="0" w:after="0"/>
              <w:jc w:val="left"/>
              <w:rPr/>
            </w:pPr>
            <w:hyperlink w:anchor="supprom755060_10">
              <w:r>
                <w:rPr>
                  <w:rStyle w:val="InternetLink"/>
                  <w:rFonts w:ascii="ARIAL" w:hAnsi="ARIAL"/>
                  <w:sz w:val="20"/>
                </w:rPr>
                <w:t>Legal Matters</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S-18</w:t>
            </w:r>
          </w:p>
        </w:tc>
        <w:tc>
          <w:tcPr>
            <w:tcW w:w="63" w:type="dxa"/>
            <w:tcBorders/>
            <w:vAlign w:val="bottom"/>
          </w:tcPr>
          <w:p>
            <w:pPr>
              <w:pStyle w:val="TableContents"/>
              <w:bidi w:val="0"/>
              <w:spacing w:before="0" w:after="283"/>
              <w:jc w:val="left"/>
              <w:rPr/>
            </w:pPr>
            <w:r>
              <w:rPr/>
              <w:t> </w:t>
            </w:r>
          </w:p>
        </w:tc>
      </w:tr>
      <w:tr>
        <w:trPr/>
        <w:tc>
          <w:tcPr>
            <w:tcW w:w="9494" w:type="dxa"/>
            <w:tcBorders/>
          </w:tcPr>
          <w:p>
            <w:pPr>
              <w:pStyle w:val="TableContents"/>
              <w:bidi w:val="0"/>
              <w:spacing w:before="0" w:after="0"/>
              <w:jc w:val="left"/>
              <w:rPr/>
            </w:pPr>
            <w:hyperlink w:anchor="supprom755060_11">
              <w:r>
                <w:rPr>
                  <w:rStyle w:val="InternetLink"/>
                  <w:rFonts w:ascii="ARIAL" w:hAnsi="ARIAL"/>
                  <w:sz w:val="20"/>
                </w:rPr>
                <w:t>Experts</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S-18</w:t>
            </w:r>
          </w:p>
        </w:tc>
        <w:tc>
          <w:tcPr>
            <w:tcW w:w="63" w:type="dxa"/>
            <w:tcBorders/>
            <w:vAlign w:val="bottom"/>
          </w:tcPr>
          <w:p>
            <w:pPr>
              <w:pStyle w:val="TableContents"/>
              <w:bidi w:val="0"/>
              <w:spacing w:before="0" w:after="283"/>
              <w:jc w:val="left"/>
              <w:rPr/>
            </w:pPr>
            <w:r>
              <w:rPr/>
              <w:t> </w:t>
            </w:r>
          </w:p>
        </w:tc>
      </w:tr>
      <w:tr>
        <w:trPr/>
        <w:tc>
          <w:tcPr>
            <w:tcW w:w="9494" w:type="dxa"/>
            <w:tcBorders/>
          </w:tcPr>
          <w:p>
            <w:pPr>
              <w:pStyle w:val="TableContents"/>
              <w:bidi w:val="0"/>
              <w:spacing w:before="0" w:after="0"/>
              <w:jc w:val="left"/>
              <w:rPr/>
            </w:pPr>
            <w:hyperlink w:anchor="supprom755060_12">
              <w:r>
                <w:rPr>
                  <w:rStyle w:val="InternetLink"/>
                  <w:rFonts w:ascii="ARIAL" w:hAnsi="ARIAL"/>
                  <w:sz w:val="20"/>
                </w:rPr>
                <w:t>Where You Can Find More Information</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S-18</w:t>
            </w:r>
          </w:p>
        </w:tc>
        <w:tc>
          <w:tcPr>
            <w:tcW w:w="63" w:type="dxa"/>
            <w:tcBorders/>
            <w:vAlign w:val="bottom"/>
          </w:tcPr>
          <w:p>
            <w:pPr>
              <w:pStyle w:val="TableContents"/>
              <w:bidi w:val="0"/>
              <w:spacing w:before="0" w:after="283"/>
              <w:jc w:val="left"/>
              <w:rPr/>
            </w:pPr>
            <w:r>
              <w:rPr/>
              <w:t> </w:t>
            </w:r>
          </w:p>
        </w:tc>
      </w:tr>
      <w:tr>
        <w:trPr/>
        <w:tc>
          <w:tcPr>
            <w:tcW w:w="9494" w:type="dxa"/>
            <w:tcBorders/>
          </w:tcPr>
          <w:p>
            <w:pPr>
              <w:pStyle w:val="TableContents"/>
              <w:bidi w:val="0"/>
              <w:spacing w:before="0" w:after="0"/>
              <w:jc w:val="left"/>
              <w:rPr/>
            </w:pPr>
            <w:hyperlink w:anchor="supprom755060_13">
              <w:r>
                <w:rPr>
                  <w:rStyle w:val="InternetLink"/>
                  <w:rFonts w:ascii="ARIAL" w:hAnsi="ARIAL"/>
                  <w:sz w:val="20"/>
                </w:rPr>
                <w:t>Incorporation of Information by Reference</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S-18</w:t>
            </w:r>
          </w:p>
        </w:tc>
        <w:tc>
          <w:tcPr>
            <w:tcW w:w="63" w:type="dxa"/>
            <w:tcBorders/>
            <w:vAlign w:val="bottom"/>
          </w:tcPr>
          <w:p>
            <w:pPr>
              <w:pStyle w:val="TableContents"/>
              <w:bidi w:val="0"/>
              <w:spacing w:before="0" w:after="283"/>
              <w:jc w:val="left"/>
              <w:rPr/>
            </w:pPr>
            <w:r>
              <w:rPr/>
              <w:t> </w:t>
            </w:r>
          </w:p>
        </w:tc>
      </w:tr>
      <w:tr>
        <w:trPr>
          <w:trHeight w:val="240" w:hRule="atLeast"/>
        </w:trPr>
        <w:tc>
          <w:tcPr>
            <w:tcW w:w="9494" w:type="dxa"/>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9494" w:type="dxa"/>
            <w:tcBorders/>
          </w:tcPr>
          <w:p>
            <w:pPr>
              <w:pStyle w:val="TableContents"/>
              <w:bidi w:val="0"/>
              <w:spacing w:before="0" w:after="0"/>
              <w:jc w:val="left"/>
              <w:rPr>
                <w:rFonts w:ascii="ARIAL" w:hAnsi="ARIAL"/>
                <w:b/>
                <w:sz w:val="20"/>
              </w:rPr>
            </w:pPr>
            <w:r>
              <w:rPr>
                <w:rFonts w:ascii="ARIAL" w:hAnsi="ARIAL"/>
                <w:b/>
                <w:sz w:val="20"/>
              </w:rPr>
              <w:t>Prospectus</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494" w:type="dxa"/>
            <w:tcBorders/>
            <w:vAlign w:val="bottom"/>
          </w:tcPr>
          <w:p>
            <w:pPr>
              <w:pStyle w:val="TableContents"/>
              <w:bidi w:val="0"/>
              <w:spacing w:before="0" w:after="0"/>
              <w:jc w:val="left"/>
              <w:rPr/>
            </w:pPr>
            <w:hyperlink w:anchor="toc755060_1">
              <w:r>
                <w:rPr>
                  <w:rStyle w:val="InternetLink"/>
                  <w:rFonts w:ascii="ARIAL" w:hAnsi="ARIAL"/>
                  <w:sz w:val="20"/>
                </w:rPr>
                <w:t>About This Prospectus</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494" w:type="dxa"/>
            <w:tcBorders/>
            <w:vAlign w:val="bottom"/>
          </w:tcPr>
          <w:p>
            <w:pPr>
              <w:pStyle w:val="TableContents"/>
              <w:bidi w:val="0"/>
              <w:spacing w:before="0" w:after="0"/>
              <w:jc w:val="left"/>
              <w:rPr/>
            </w:pPr>
            <w:hyperlink w:anchor="toc755060_2">
              <w:r>
                <w:rPr>
                  <w:rStyle w:val="InternetLink"/>
                  <w:rFonts w:ascii="ARIAL" w:hAnsi="ARIAL"/>
                  <w:sz w:val="20"/>
                </w:rPr>
                <w:t>Prospectus Summary</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494" w:type="dxa"/>
            <w:tcBorders/>
            <w:vAlign w:val="bottom"/>
          </w:tcPr>
          <w:p>
            <w:pPr>
              <w:pStyle w:val="TableContents"/>
              <w:bidi w:val="0"/>
              <w:spacing w:before="0" w:after="0"/>
              <w:jc w:val="left"/>
              <w:rPr/>
            </w:pPr>
            <w:hyperlink w:anchor="toc755060_3">
              <w:r>
                <w:rPr>
                  <w:rStyle w:val="InternetLink"/>
                  <w:rFonts w:ascii="ARIAL" w:hAnsi="ARIAL"/>
                  <w:sz w:val="20"/>
                </w:rPr>
                <w:t>Risk Factors</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494" w:type="dxa"/>
            <w:tcBorders/>
            <w:vAlign w:val="bottom"/>
          </w:tcPr>
          <w:p>
            <w:pPr>
              <w:pStyle w:val="TableContents"/>
              <w:bidi w:val="0"/>
              <w:spacing w:before="0" w:after="0"/>
              <w:jc w:val="left"/>
              <w:rPr/>
            </w:pPr>
            <w:hyperlink w:anchor="toc755060_4">
              <w:r>
                <w:rPr>
                  <w:rStyle w:val="InternetLink"/>
                  <w:rFonts w:ascii="ARIAL" w:hAnsi="ARIAL"/>
                  <w:sz w:val="20"/>
                </w:rPr>
                <w:t>Forward-Looking Statements</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494" w:type="dxa"/>
            <w:tcBorders/>
            <w:vAlign w:val="bottom"/>
          </w:tcPr>
          <w:p>
            <w:pPr>
              <w:pStyle w:val="TableContents"/>
              <w:bidi w:val="0"/>
              <w:spacing w:before="0" w:after="0"/>
              <w:jc w:val="left"/>
              <w:rPr/>
            </w:pPr>
            <w:hyperlink w:anchor="toc755060_5">
              <w:r>
                <w:rPr>
                  <w:rStyle w:val="InternetLink"/>
                  <w:rFonts w:ascii="ARIAL" w:hAnsi="ARIAL"/>
                  <w:sz w:val="20"/>
                </w:rPr>
                <w:t>Where You Can Find More Information</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494" w:type="dxa"/>
            <w:tcBorders/>
            <w:vAlign w:val="bottom"/>
          </w:tcPr>
          <w:p>
            <w:pPr>
              <w:pStyle w:val="TableContents"/>
              <w:bidi w:val="0"/>
              <w:spacing w:before="0" w:after="0"/>
              <w:jc w:val="left"/>
              <w:rPr/>
            </w:pPr>
            <w:hyperlink w:anchor="toc755060_6">
              <w:r>
                <w:rPr>
                  <w:rStyle w:val="InternetLink"/>
                  <w:rFonts w:ascii="ARIAL" w:hAnsi="ARIAL"/>
                  <w:sz w:val="20"/>
                </w:rPr>
                <w:t>Incorporation of Information by Reference</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494" w:type="dxa"/>
            <w:tcBorders/>
            <w:vAlign w:val="bottom"/>
          </w:tcPr>
          <w:p>
            <w:pPr>
              <w:pStyle w:val="TableContents"/>
              <w:bidi w:val="0"/>
              <w:spacing w:before="0" w:after="0"/>
              <w:jc w:val="left"/>
              <w:rPr/>
            </w:pPr>
            <w:hyperlink w:anchor="toc755060_7">
              <w:r>
                <w:rPr>
                  <w:rStyle w:val="InternetLink"/>
                  <w:rFonts w:ascii="ARIAL" w:hAnsi="ARIAL"/>
                  <w:sz w:val="20"/>
                </w:rPr>
                <w:t>Use of Proceeds</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494" w:type="dxa"/>
            <w:tcBorders/>
            <w:vAlign w:val="bottom"/>
          </w:tcPr>
          <w:p>
            <w:pPr>
              <w:pStyle w:val="TableContents"/>
              <w:bidi w:val="0"/>
              <w:spacing w:before="0" w:after="0"/>
              <w:jc w:val="left"/>
              <w:rPr/>
            </w:pPr>
            <w:hyperlink w:anchor="toc755060_7a">
              <w:r>
                <w:rPr>
                  <w:rStyle w:val="InternetLink"/>
                  <w:rFonts w:ascii="ARIAL" w:hAnsi="ARIAL"/>
                  <w:sz w:val="20"/>
                </w:rPr>
                <w:t>Dividend Policy</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494" w:type="dxa"/>
            <w:tcBorders/>
            <w:vAlign w:val="bottom"/>
          </w:tcPr>
          <w:p>
            <w:pPr>
              <w:pStyle w:val="TableContents"/>
              <w:bidi w:val="0"/>
              <w:spacing w:before="0" w:after="0"/>
              <w:jc w:val="left"/>
              <w:rPr/>
            </w:pPr>
            <w:hyperlink w:anchor="toc755060_8">
              <w:r>
                <w:rPr>
                  <w:rStyle w:val="InternetLink"/>
                  <w:rFonts w:ascii="ARIAL" w:hAnsi="ARIAL"/>
                  <w:sz w:val="20"/>
                </w:rPr>
                <w:t>Plan of Distribution</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494" w:type="dxa"/>
            <w:tcBorders/>
            <w:vAlign w:val="bottom"/>
          </w:tcPr>
          <w:p>
            <w:pPr>
              <w:pStyle w:val="TableContents"/>
              <w:bidi w:val="0"/>
              <w:spacing w:before="0" w:after="0"/>
              <w:jc w:val="left"/>
              <w:rPr/>
            </w:pPr>
            <w:hyperlink w:anchor="toc755060_9">
              <w:r>
                <w:rPr>
                  <w:rStyle w:val="InternetLink"/>
                  <w:rFonts w:ascii="ARIAL" w:hAnsi="ARIAL"/>
                  <w:sz w:val="20"/>
                </w:rPr>
                <w:t>Description of Capital Stock</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494" w:type="dxa"/>
            <w:tcBorders/>
            <w:vAlign w:val="bottom"/>
          </w:tcPr>
          <w:p>
            <w:pPr>
              <w:pStyle w:val="TableContents"/>
              <w:bidi w:val="0"/>
              <w:spacing w:before="0" w:after="0"/>
              <w:jc w:val="left"/>
              <w:rPr/>
            </w:pPr>
            <w:hyperlink w:anchor="toc755060_10">
              <w:r>
                <w:rPr>
                  <w:rStyle w:val="InternetLink"/>
                  <w:rFonts w:ascii="ARIAL" w:hAnsi="ARIAL"/>
                  <w:sz w:val="20"/>
                </w:rPr>
                <w:t>Description of Debt Securities</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494" w:type="dxa"/>
            <w:tcBorders/>
            <w:vAlign w:val="bottom"/>
          </w:tcPr>
          <w:p>
            <w:pPr>
              <w:pStyle w:val="TableContents"/>
              <w:bidi w:val="0"/>
              <w:spacing w:before="0" w:after="0"/>
              <w:jc w:val="left"/>
              <w:rPr/>
            </w:pPr>
            <w:hyperlink w:anchor="toc755060_11">
              <w:r>
                <w:rPr>
                  <w:rStyle w:val="InternetLink"/>
                  <w:rFonts w:ascii="ARIAL" w:hAnsi="ARIAL"/>
                  <w:sz w:val="20"/>
                </w:rPr>
                <w:t>Description of Warrants</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494" w:type="dxa"/>
            <w:tcBorders/>
            <w:vAlign w:val="bottom"/>
          </w:tcPr>
          <w:p>
            <w:pPr>
              <w:pStyle w:val="TableContents"/>
              <w:bidi w:val="0"/>
              <w:spacing w:before="0" w:after="0"/>
              <w:jc w:val="left"/>
              <w:rPr/>
            </w:pPr>
            <w:hyperlink w:anchor="toc755060_12">
              <w:r>
                <w:rPr>
                  <w:rStyle w:val="InternetLink"/>
                  <w:rFonts w:ascii="ARIAL" w:hAnsi="ARIAL"/>
                  <w:sz w:val="20"/>
                </w:rPr>
                <w:t>Description of Subscription Rights</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494" w:type="dxa"/>
            <w:tcBorders/>
            <w:vAlign w:val="bottom"/>
          </w:tcPr>
          <w:p>
            <w:pPr>
              <w:pStyle w:val="TableContents"/>
              <w:bidi w:val="0"/>
              <w:spacing w:before="0" w:after="0"/>
              <w:jc w:val="left"/>
              <w:rPr/>
            </w:pPr>
            <w:hyperlink w:anchor="toc755060_13">
              <w:r>
                <w:rPr>
                  <w:rStyle w:val="InternetLink"/>
                  <w:rFonts w:ascii="ARIAL" w:hAnsi="ARIAL"/>
                  <w:sz w:val="20"/>
                </w:rPr>
                <w:t>Description of Units</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494" w:type="dxa"/>
            <w:tcBorders/>
            <w:vAlign w:val="bottom"/>
          </w:tcPr>
          <w:p>
            <w:pPr>
              <w:pStyle w:val="TableContents"/>
              <w:bidi w:val="0"/>
              <w:spacing w:before="0" w:after="0"/>
              <w:jc w:val="left"/>
              <w:rPr/>
            </w:pPr>
            <w:hyperlink w:anchor="toc755060_14">
              <w:r>
                <w:rPr>
                  <w:rStyle w:val="InternetLink"/>
                  <w:rFonts w:ascii="ARIAL" w:hAnsi="ARIAL"/>
                  <w:sz w:val="20"/>
                </w:rPr>
                <w:t>Legal Matters</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494" w:type="dxa"/>
            <w:tcBorders/>
            <w:vAlign w:val="bottom"/>
          </w:tcPr>
          <w:p>
            <w:pPr>
              <w:pStyle w:val="TableContents"/>
              <w:bidi w:val="0"/>
              <w:spacing w:before="0" w:after="0"/>
              <w:jc w:val="left"/>
              <w:rPr/>
            </w:pPr>
            <w:hyperlink w:anchor="toc755060_15">
              <w:r>
                <w:rPr>
                  <w:rStyle w:val="InternetLink"/>
                  <w:rFonts w:ascii="ARIAL" w:hAnsi="ARIAL"/>
                  <w:sz w:val="20"/>
                </w:rPr>
                <w:t>Experts</w:t>
              </w:r>
            </w:hyperlink>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3" w:name="supprom755060_1"/>
      <w:bookmarkEnd w:id="3"/>
      <w:r>
        <w:rPr>
          <w:rFonts w:ascii="ARIAL" w:hAnsi="ARIAL"/>
          <w:b/>
          <w:sz w:val="20"/>
        </w:rPr>
        <w:t xml:space="preserve">ABOUT THIS PROSPECTUS SUPPLEMENT </w:t>
      </w:r>
    </w:p>
    <w:p>
      <w:pPr>
        <w:pStyle w:val="TextBody"/>
        <w:bidi w:val="0"/>
        <w:spacing w:before="360" w:after="0"/>
        <w:jc w:val="left"/>
        <w:rPr>
          <w:rFonts w:ascii="ARIAL" w:hAnsi="ARIAL"/>
          <w:sz w:val="20"/>
        </w:rPr>
      </w:pPr>
      <w:r>
        <w:rPr>
          <w:rFonts w:ascii="ARIAL" w:hAnsi="ARIAL"/>
          <w:sz w:val="20"/>
        </w:rPr>
        <w:t xml:space="preserve">This document is in two parts. The first part is this prospectus supplement, including the documents incorporated by reference herein, which describes the specific terms of this offering and also adds to and updates the information contained in the accompanying prospectus and the documents incorporated by reference therein. The second part, the accompanying prospectus, including the documents incorporated by reference therein, provides more general information, some of which may not apply to this offering. Generally, when we refer to the prospectus, we are referring to this prospectus supplement and the accompanying prospectus. Before you invest, you should carefully read this prospectus supplement, the accompanying prospectus and the information incorporated by reference herein and therein, as well as the additional information described in this prospectus supplement under Where You Can Find More Information.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the documents incorporated by reference therein. However, if any statement in one of the documents incorporated by reference herein is inconsistent with a statement in another document with a later date that is incorporated by reference herein, the statement in the document having the later date modifies and supersedes the earlier statement. </w:t>
      </w:r>
    </w:p>
    <w:p>
      <w:pPr>
        <w:pStyle w:val="TextBody"/>
        <w:bidi w:val="0"/>
        <w:spacing w:before="240" w:after="0"/>
        <w:jc w:val="left"/>
        <w:rPr>
          <w:rFonts w:ascii="ARIAL" w:hAnsi="ARIAL"/>
          <w:sz w:val="20"/>
        </w:rPr>
      </w:pPr>
      <w:r>
        <w:rPr>
          <w:rFonts w:ascii="ARIAL" w:hAnsi="ARIAL"/>
          <w:sz w:val="20"/>
        </w:rPr>
        <w:t xml:space="preserve">Neither we nor the underwriters have authorized anyone to provide you with any information or to make any representation, other than those contained or incorporated by reference in this prospectus supplement and the accompanying prospectus, or in any free writing prospectus prepared by us or on our behalf or to which we may provide to you in connection with this offering. Neither we nor the underwriters take any responsibility for, nor do we provide any assurance as to the reliability of, any other information that others may give you. You should assume that the information appearing in this prospectus supplement, the accompanying prospectus, the documents incorporated by reference into this prospectus supplement and the accompanying prospectus, and any free writing prospectus is accurate only as of the date of those respective documents. Our business, financial condition, results of operations and prospects may have changed since those dates. </w:t>
      </w:r>
    </w:p>
    <w:p>
      <w:pPr>
        <w:pStyle w:val="TextBody"/>
        <w:bidi w:val="0"/>
        <w:spacing w:before="240" w:after="0"/>
        <w:jc w:val="left"/>
        <w:rPr>
          <w:rFonts w:ascii="ARIAL" w:hAnsi="ARIAL"/>
          <w:sz w:val="20"/>
        </w:rPr>
      </w:pPr>
      <w:r>
        <w:rPr>
          <w:rFonts w:ascii="ARIAL" w:hAnsi="ARIAL"/>
          <w:sz w:val="20"/>
        </w:rPr>
        <w:t xml:space="preserve">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w:t>
      </w:r>
    </w:p>
    <w:p>
      <w:pPr>
        <w:pStyle w:val="TextBody"/>
        <w:bidi w:val="0"/>
        <w:spacing w:before="240" w:after="0"/>
        <w:jc w:val="left"/>
        <w:rPr>
          <w:rFonts w:ascii="ARIAL" w:hAnsi="ARIAL"/>
          <w:sz w:val="20"/>
        </w:rPr>
      </w:pPr>
      <w:r>
        <w:rPr>
          <w:rFonts w:ascii="ARIAL" w:hAnsi="ARIAL"/>
          <w:sz w:val="20"/>
        </w:rPr>
        <w:t xml:space="preserve">Unless the context indicates otherwise, as used in this prospectus supplement and the accompanying prospectus, the terms the Company, AnaptysBio, the Registrant, we, us and our refer to AnaptysBio, Inc., a Delaware corporation, unless otherwise noted. AnaptysBio and all product candidate names are our common law trademarks. This prospectus supplement, the accompanying prospectus and the information incorporated by reference herein and therein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ARIAL" w:hAnsi="ARIAL"/>
          <w:b/>
          <w:sz w:val="20"/>
          <w:bdr w:val="single" w:sz="2" w:space="1" w:color="000000"/>
        </w:rPr>
      </w:pPr>
      <w:bookmarkStart w:id="4" w:name="supprom755060_2"/>
      <w:bookmarkEnd w:id="4"/>
      <w:r>
        <w:rPr>
          <w:rFonts w:ascii="ARIAL" w:hAnsi="ARIAL"/>
          <w:b/>
          <w:sz w:val="20"/>
          <w:bdr w:val="single" w:sz="2" w:space="1" w:color="000000"/>
        </w:rPr>
        <w:t xml:space="preserve">PROSPECTUS SUPPLEMENT SUMMARY </w:t>
      </w:r>
    </w:p>
    <w:p>
      <w:pPr>
        <w:pStyle w:val="TextBody"/>
        <w:bidi w:val="0"/>
        <w:spacing w:before="360" w:after="0"/>
        <w:jc w:val="left"/>
        <w:rPr>
          <w:rFonts w:ascii="ARIAL" w:hAnsi="ARIAL"/>
          <w:i/>
          <w:sz w:val="20"/>
          <w:bdr w:val="single" w:sz="2" w:space="1" w:color="000000"/>
        </w:rPr>
      </w:pPr>
      <w:r>
        <w:rPr>
          <w:rFonts w:ascii="ARIAL" w:hAnsi="ARIAL"/>
          <w:i/>
          <w:sz w:val="20"/>
          <w:bdr w:val="single" w:sz="2" w:space="1" w:color="000000"/>
        </w:rPr>
        <w:t xml:space="preserve">This summary highlights selected information contained elsewhere in or incorporated by reference into this prospectus supplement and the accompanying prospectus and does not contain all of the information that you should consider in making your investment decision. Before investing in our common stock, you should carefully read the entire prospectus supplement and the accompanying prospectus and the documents incorporated by reference herein and therein, including the risk factors and the financial statements and related notes included or incorporated by reference herein and therein. Some of the statements in, or incorporated by reference in this prospectus supplement and the accompanying prospectus constitute forward-looking statements that involve risks and uncertainties. See the section entitled Special Note Regarding Forward-Looking Statements. </w:t>
      </w:r>
    </w:p>
    <w:p>
      <w:pPr>
        <w:pStyle w:val="TextBody"/>
        <w:bidi w:val="0"/>
        <w:spacing w:before="240" w:after="0"/>
        <w:jc w:val="left"/>
        <w:rPr>
          <w:rFonts w:ascii="ARIAL" w:hAnsi="ARIAL"/>
          <w:b/>
          <w:sz w:val="20"/>
          <w:bdr w:val="single" w:sz="2" w:space="1" w:color="000000"/>
        </w:rPr>
      </w:pPr>
      <w:r>
        <w:rPr>
          <w:rFonts w:ascii="ARIAL" w:hAnsi="ARIAL"/>
          <w:b/>
          <w:sz w:val="20"/>
          <w:bdr w:val="single" w:sz="2" w:space="1" w:color="000000"/>
        </w:rPr>
        <w:t xml:space="preserve">AnaptysBio, Inc. </w:t>
      </w:r>
    </w:p>
    <w:p>
      <w:pPr>
        <w:pStyle w:val="TextBody"/>
        <w:bidi w:val="0"/>
        <w:spacing w:before="80" w:after="0"/>
        <w:jc w:val="left"/>
        <w:rPr>
          <w:rFonts w:ascii="ARIAL" w:hAnsi="ARIAL"/>
          <w:sz w:val="20"/>
          <w:bdr w:val="single" w:sz="2" w:space="1" w:color="000000"/>
        </w:rPr>
      </w:pPr>
      <w:r>
        <w:rPr>
          <w:rFonts w:ascii="ARIAL" w:hAnsi="ARIAL"/>
          <w:sz w:val="20"/>
          <w:bdr w:val="single" w:sz="2" w:space="1" w:color="000000"/>
        </w:rPr>
        <w:t xml:space="preserve">We are a clinical-stage biotechnology company focused on delivering innovative immunology therapeutics. We are developing immune cell modulating antibodies, including two wholly owned checkpoint agonists in clinical-stage development, for autoimmune and inflammatory diseases: rosnilimab, our PD-1 agonist in a Phase 2b trial for the treatment of moderate-to-severe rheumatoid arthritis, and a Phase 2 trial for the treatment of moderate-to-severe ulcerative colitis; and ANB032, our BTLA agonist, in a Phase 2b trial for the treatment of moderate-to-severe atopic dermatitis. We also have other immune cell modulator candidates in our portfolio, including ANB033, an anti-CD122 antagonist antibody, entering a Phase 1 trial and ANB101, a BDCA2 modulator antibody, in preclinical development. In addition, we have developed two cytokine antagonists that we are exploring options for out-licensing: imsidolimab, our anti-IL-36R antibody, that has completed Phase 3 trials for the treatment of generalized pustular psoriasis, and etokimab, our anti-IL-33 antagonist that is Phase 2/3 ready. We have also discovered multiple therapeutic antibodies licensed to GlaxoSmithKline, Inc., or GSK, in a financial collaboration for immuno-oncology, including an anti-PD-1 antagonist antibody (Jemperli (dostarlimab-gxly) or Jemperli) and an anti-TIM-3 antagonist antibody (cobolimab, GSK4069889). We currently recognize revenue from milestones and royalties achieved under our immuno-oncology collaboration with GSK. </w:t>
      </w:r>
    </w:p>
    <w:p>
      <w:pPr>
        <w:pStyle w:val="TextBody"/>
        <w:bidi w:val="0"/>
        <w:spacing w:before="240" w:after="0"/>
        <w:jc w:val="left"/>
        <w:rPr>
          <w:rFonts w:ascii="ARIAL" w:hAnsi="ARIAL"/>
          <w:b/>
          <w:sz w:val="20"/>
          <w:bdr w:val="single" w:sz="2" w:space="1" w:color="000000"/>
        </w:rPr>
      </w:pPr>
      <w:r>
        <w:rPr>
          <w:rFonts w:ascii="ARIAL" w:hAnsi="ARIAL"/>
          <w:b/>
          <w:sz w:val="20"/>
          <w:bdr w:val="single" w:sz="2" w:space="1" w:color="000000"/>
        </w:rPr>
        <w:t xml:space="preserve">Corporate Information </w:t>
      </w:r>
    </w:p>
    <w:p>
      <w:pPr>
        <w:pStyle w:val="TextBody"/>
        <w:bidi w:val="0"/>
        <w:spacing w:before="80" w:after="0"/>
        <w:jc w:val="left"/>
        <w:rPr>
          <w:rFonts w:ascii="ARIAL" w:hAnsi="ARIAL"/>
          <w:sz w:val="20"/>
          <w:bdr w:val="single" w:sz="2" w:space="1" w:color="000000"/>
        </w:rPr>
      </w:pPr>
      <w:r>
        <w:rPr>
          <w:rFonts w:ascii="ARIAL" w:hAnsi="ARIAL"/>
          <w:sz w:val="20"/>
          <w:bdr w:val="single" w:sz="2" w:space="1" w:color="000000"/>
        </w:rPr>
        <w:t xml:space="preserve">We were incorporated under the laws of the State of Delaware in November 2005. Our principal executive offices are located at 10770 Wateridge Circle, Suite 210, San Diego, California 92121, and our telephone number is (858) 362-6295. Our website address is www.anaptysbio.com. The information contained on, or that can be accessed through, our website is not part of, and is not incorporated by reference into, this prospectus supplement or into the accompanying base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ARIAL" w:hAnsi="ARIAL"/>
          <w:b/>
          <w:sz w:val="20"/>
          <w:bdr w:val="single" w:sz="2" w:space="1" w:color="000000"/>
        </w:rPr>
      </w:pPr>
      <w:bookmarkStart w:id="5" w:name="supprom755060_3"/>
      <w:bookmarkEnd w:id="5"/>
      <w:r>
        <w:rPr>
          <w:rFonts w:ascii="ARIAL" w:hAnsi="ARIAL"/>
          <w:b/>
          <w:sz w:val="20"/>
          <w:bdr w:val="single" w:sz="2" w:space="1" w:color="000000"/>
        </w:rPr>
        <w:t xml:space="preserve">THE OFFERING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02"/>
        <w:gridCol w:w="5203"/>
      </w:tblGrid>
      <w:tr>
        <w:trPr/>
        <w:tc>
          <w:tcPr>
            <w:tcW w:w="5002" w:type="dxa"/>
            <w:tcBorders/>
          </w:tcPr>
          <w:p>
            <w:pPr>
              <w:pStyle w:val="TableContents"/>
              <w:bidi w:val="0"/>
              <w:spacing w:before="0" w:after="20"/>
              <w:jc w:val="left"/>
              <w:rPr>
                <w:rFonts w:ascii="ARIAL" w:hAnsi="ARIAL"/>
                <w:sz w:val="20"/>
              </w:rPr>
            </w:pPr>
            <w:r>
              <w:rPr>
                <w:rFonts w:ascii="ARIAL" w:hAnsi="ARIAL"/>
                <w:sz w:val="20"/>
              </w:rPr>
              <w:t xml:space="preserve">Common stock offered by us </w:t>
            </w:r>
          </w:p>
        </w:tc>
        <w:tc>
          <w:tcPr>
            <w:tcW w:w="5203" w:type="dxa"/>
            <w:tcBorders/>
          </w:tcPr>
          <w:p>
            <w:pPr>
              <w:pStyle w:val="TableContents"/>
              <w:bidi w:val="0"/>
              <w:spacing w:before="0" w:after="283"/>
              <w:jc w:val="left"/>
              <w:rPr/>
            </w:pPr>
            <w:r>
              <w:rPr/>
              <w:t xml:space="preserve">2,750,498 shares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01"/>
        <w:gridCol w:w="5204"/>
      </w:tblGrid>
      <w:tr>
        <w:trPr/>
        <w:tc>
          <w:tcPr>
            <w:tcW w:w="5001" w:type="dxa"/>
            <w:tcBorders/>
          </w:tcPr>
          <w:p>
            <w:pPr>
              <w:pStyle w:val="TableContents"/>
              <w:bidi w:val="0"/>
              <w:spacing w:before="0" w:after="20"/>
              <w:jc w:val="left"/>
              <w:rPr>
                <w:rFonts w:ascii="ARIAL" w:hAnsi="ARIAL"/>
                <w:sz w:val="20"/>
              </w:rPr>
            </w:pPr>
            <w:r>
              <w:rPr>
                <w:rFonts w:ascii="ARIAL" w:hAnsi="ARIAL"/>
                <w:sz w:val="20"/>
              </w:rPr>
              <w:t xml:space="preserve">Common stock to be outstanding immediately after this offering </w:t>
            </w:r>
          </w:p>
        </w:tc>
        <w:tc>
          <w:tcPr>
            <w:tcW w:w="5204" w:type="dxa"/>
            <w:tcBorders/>
          </w:tcPr>
          <w:p>
            <w:pPr>
              <w:pStyle w:val="TableContents"/>
              <w:bidi w:val="0"/>
              <w:spacing w:before="0" w:after="283"/>
              <w:jc w:val="left"/>
              <w:rPr/>
            </w:pPr>
            <w:r>
              <w:rPr/>
              <w:t xml:space="preserve">30,184,531 shares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00"/>
        <w:gridCol w:w="5205"/>
      </w:tblGrid>
      <w:tr>
        <w:trPr/>
        <w:tc>
          <w:tcPr>
            <w:tcW w:w="5000" w:type="dxa"/>
            <w:tcBorders/>
          </w:tcPr>
          <w:p>
            <w:pPr>
              <w:pStyle w:val="TableContents"/>
              <w:bidi w:val="0"/>
              <w:spacing w:before="0" w:after="20"/>
              <w:jc w:val="left"/>
              <w:rPr>
                <w:rFonts w:ascii="ARIAL" w:hAnsi="ARIAL"/>
                <w:sz w:val="20"/>
              </w:rPr>
            </w:pPr>
            <w:r>
              <w:rPr>
                <w:rFonts w:ascii="ARIAL" w:hAnsi="ARIAL"/>
                <w:sz w:val="20"/>
              </w:rPr>
              <w:t xml:space="preserve">Use of proceeds </w:t>
            </w:r>
          </w:p>
        </w:tc>
        <w:tc>
          <w:tcPr>
            <w:tcW w:w="5205" w:type="dxa"/>
            <w:tcBorders/>
          </w:tcPr>
          <w:p>
            <w:pPr>
              <w:pStyle w:val="TableContents"/>
              <w:bidi w:val="0"/>
              <w:spacing w:before="0" w:after="283"/>
              <w:jc w:val="left"/>
              <w:rPr/>
            </w:pPr>
            <w:r>
              <w:rPr/>
              <w:t xml:space="preserve">We estimate that the net proceeds of this offering, after deducting estimated underwriting discounts and commissions and estimated offering expenses, will be approximately $94.0 million.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999"/>
        <w:gridCol w:w="5206"/>
      </w:tblGrid>
      <w:tr>
        <w:trPr/>
        <w:tc>
          <w:tcPr>
            <w:tcW w:w="4999" w:type="dxa"/>
            <w:tcBorders/>
            <w:vAlign w:val="center"/>
          </w:tcPr>
          <w:p>
            <w:pPr>
              <w:pStyle w:val="TableContents"/>
              <w:bidi w:val="0"/>
              <w:spacing w:before="0" w:after="283"/>
              <w:jc w:val="left"/>
              <w:rPr/>
            </w:pPr>
            <w:r>
              <w:rPr/>
              <w:t> </w:t>
            </w:r>
          </w:p>
        </w:tc>
        <w:tc>
          <w:tcPr>
            <w:tcW w:w="5206" w:type="dxa"/>
            <w:tcBorders/>
          </w:tcPr>
          <w:p>
            <w:pPr>
              <w:pStyle w:val="TableContents"/>
              <w:bidi w:val="0"/>
              <w:spacing w:before="0" w:after="283"/>
              <w:jc w:val="left"/>
              <w:rPr/>
            </w:pPr>
            <w:r>
              <w:rPr/>
              <w:t xml:space="preserve">We currently intend to use the net proceeds of this offering primarily for general corporate purposes, which may include funding Phase III readiness of ANB032 and rosnilimab, working capital and general corporate purposes. See Use of Proceeds.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999"/>
        <w:gridCol w:w="5206"/>
      </w:tblGrid>
      <w:tr>
        <w:trPr/>
        <w:tc>
          <w:tcPr>
            <w:tcW w:w="4999" w:type="dxa"/>
            <w:tcBorders/>
          </w:tcPr>
          <w:p>
            <w:pPr>
              <w:pStyle w:val="TableContents"/>
              <w:bidi w:val="0"/>
              <w:spacing w:before="0" w:after="20"/>
              <w:jc w:val="left"/>
              <w:rPr>
                <w:rFonts w:ascii="ARIAL" w:hAnsi="ARIAL"/>
                <w:sz w:val="20"/>
              </w:rPr>
            </w:pPr>
            <w:r>
              <w:rPr>
                <w:rFonts w:ascii="ARIAL" w:hAnsi="ARIAL"/>
                <w:sz w:val="20"/>
              </w:rPr>
              <w:t xml:space="preserve">Risk factors </w:t>
            </w:r>
          </w:p>
        </w:tc>
        <w:tc>
          <w:tcPr>
            <w:tcW w:w="5206" w:type="dxa"/>
            <w:tcBorders/>
          </w:tcPr>
          <w:p>
            <w:pPr>
              <w:pStyle w:val="TableContents"/>
              <w:bidi w:val="0"/>
              <w:spacing w:before="0" w:after="283"/>
              <w:jc w:val="left"/>
              <w:rPr/>
            </w:pPr>
            <w:r>
              <w:rPr/>
              <w:t xml:space="preserve">You should read the sections entitled Risk Factors in this prospectus supplement, the accompanying prospectus and the documents incorporated by reference herein and therein for a discussion of factors to consider carefully before deciding to invest in shares of our common stock.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999"/>
        <w:gridCol w:w="5206"/>
      </w:tblGrid>
      <w:tr>
        <w:trPr/>
        <w:tc>
          <w:tcPr>
            <w:tcW w:w="4999" w:type="dxa"/>
            <w:tcBorders/>
          </w:tcPr>
          <w:p>
            <w:pPr>
              <w:pStyle w:val="TableContents"/>
              <w:bidi w:val="0"/>
              <w:spacing w:before="0" w:after="20"/>
              <w:jc w:val="left"/>
              <w:rPr>
                <w:rFonts w:ascii="ARIAL" w:hAnsi="ARIAL"/>
                <w:sz w:val="20"/>
              </w:rPr>
            </w:pPr>
            <w:r>
              <w:rPr>
                <w:rFonts w:ascii="ARIAL" w:hAnsi="ARIAL"/>
                <w:sz w:val="20"/>
              </w:rPr>
              <w:t xml:space="preserve">Nasdaq Global Select Market symbol </w:t>
            </w:r>
          </w:p>
        </w:tc>
        <w:tc>
          <w:tcPr>
            <w:tcW w:w="5206" w:type="dxa"/>
            <w:tcBorders/>
          </w:tcPr>
          <w:p>
            <w:pPr>
              <w:pStyle w:val="TableContents"/>
              <w:bidi w:val="0"/>
              <w:spacing w:before="0" w:after="283"/>
              <w:jc w:val="left"/>
              <w:rPr/>
            </w:pPr>
            <w:r>
              <w:rPr/>
              <w:t xml:space="preserve">ANAB </w:t>
            </w:r>
          </w:p>
        </w:tc>
      </w:tr>
    </w:tbl>
    <w:p>
      <w:pPr>
        <w:pStyle w:val="TextBody"/>
        <w:bidi w:val="0"/>
        <w:spacing w:before="240" w:after="0"/>
        <w:jc w:val="left"/>
        <w:rPr>
          <w:rFonts w:ascii="ARIAL" w:hAnsi="ARIAL"/>
          <w:sz w:val="20"/>
          <w:bdr w:val="single" w:sz="2" w:space="1" w:color="000000"/>
        </w:rPr>
      </w:pPr>
      <w:r>
        <w:rPr>
          <w:rFonts w:ascii="ARIAL" w:hAnsi="ARIAL"/>
          <w:sz w:val="20"/>
          <w:bdr w:val="single" w:sz="2" w:space="1" w:color="000000"/>
        </w:rPr>
        <w:t xml:space="preserve">The number of shares of our common stock to be outstanding immediately after this offering is based on 27,434,033 shares of common stock outstanding as of June 30, 2024 and excludes the following: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6,102,906 shares of common stock issuable upon exercise of options outstanding as of June 30, 2024, with a weighted-average exercise price of $25.19 per share;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42,806 shares of common stock issuable upon exercise of options granted after June 30, 2024, with a weighted-average exercise price of $34.48 per share;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1,204,349 shares of common stock issuable upon the vesting of restricted stock units as of June 30, 2024;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15,518 shares of common stock issuable upon the vesting of restricted stock units granted after June 30, 2024;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511,000 shares of common stock issuable upon the vesting of performance stock units granted after June 30, 2024; and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5,600,192 shares of common stock reserved and available for future issuance as of June 30, 2024, under our equity incentive plans, consisting of (1) 3,653,227 shares of common stock reserved and available for issuance under our Amended and Restated 2017 Equity Incentive Plan (which number is prior to the options granted after June 30, 2024 in the preceding bullet), and (2) 1,946,965 shares of common stock reserved for issuance under our 2017 Employee Stock Purchase Plan as of June 30, 2024. </w:t>
            </w:r>
          </w:p>
        </w:tc>
      </w:tr>
    </w:tbl>
    <w:p>
      <w:pPr>
        <w:pStyle w:val="TextBody"/>
        <w:bidi w:val="0"/>
        <w:spacing w:before="240" w:after="0"/>
        <w:jc w:val="left"/>
        <w:rPr>
          <w:rFonts w:ascii="ARIAL" w:hAnsi="ARIAL"/>
          <w:sz w:val="20"/>
          <w:bdr w:val="single" w:sz="2" w:space="1" w:color="000000"/>
        </w:rPr>
      </w:pPr>
      <w:r>
        <w:rPr>
          <w:rFonts w:ascii="ARIAL" w:hAnsi="ARIAL"/>
          <w:sz w:val="20"/>
          <w:bdr w:val="single" w:sz="2" w:space="1" w:color="000000"/>
        </w:rPr>
        <w:t xml:space="preserve">Except as otherwise indicated, all information in this prospectus supplement assumes no exercise of the outstanding options referred to above, and no vesting of restricted stock units referred to above.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6" w:name="supprom755060_4"/>
      <w:bookmarkEnd w:id="6"/>
      <w:r>
        <w:rPr>
          <w:rFonts w:ascii="ARIAL" w:hAnsi="ARIAL"/>
          <w:b/>
          <w:sz w:val="20"/>
        </w:rPr>
        <w:t xml:space="preserve">RISK FACTORS </w:t>
      </w:r>
    </w:p>
    <w:p>
      <w:pPr>
        <w:pStyle w:val="TextBody"/>
        <w:bidi w:val="0"/>
        <w:spacing w:before="360" w:after="0"/>
        <w:jc w:val="left"/>
        <w:rPr>
          <w:rFonts w:ascii="ARIAL" w:hAnsi="ARIAL"/>
          <w:i/>
          <w:sz w:val="20"/>
        </w:rPr>
      </w:pPr>
      <w:r>
        <w:rPr>
          <w:rFonts w:ascii="ARIAL" w:hAnsi="ARIAL"/>
          <w:i/>
          <w:sz w:val="20"/>
        </w:rPr>
        <w:t xml:space="preserve">An investment in our securities involves a high degree of risk. Prior to making a decision about investing in our securities, you should carefully consider the risk factors described below together with all of the risks, uncertainties and assumptions discussed under Part II, Item 1A, Risk Factors, in our Annual Report on Form 10-K for the year ended December 31, 2023 and in our Quarterly Reports on Form 10-Q for the quarters ended March 31, 2024 and June 30, 2024, which is incorporated herein by reference, and may be amended, supplemented or superseded from time to time by other reports we file with the SEC in the future. If any of the risks incorporated by reference or set forth below occurs, our business, operations and financial condition could suffer significantly. As a result, you could lose some or all of your investment in our common stock. The risks and uncertainties we have described are not the only ones we face. Additional risks and uncertainties not presently known to us or that we currently deem immaterial may also affect our business, operations and financial condition, or cause the value of our common stock to decline. </w:t>
      </w:r>
    </w:p>
    <w:p>
      <w:pPr>
        <w:pStyle w:val="TextBody"/>
        <w:bidi w:val="0"/>
        <w:spacing w:before="240" w:after="0"/>
        <w:jc w:val="left"/>
        <w:rPr>
          <w:rFonts w:ascii="ARIAL" w:hAnsi="ARIAL"/>
          <w:b/>
          <w:sz w:val="20"/>
        </w:rPr>
      </w:pPr>
      <w:r>
        <w:rPr>
          <w:rFonts w:ascii="ARIAL" w:hAnsi="ARIAL"/>
          <w:b/>
          <w:sz w:val="20"/>
        </w:rPr>
        <w:t xml:space="preserve">Risks Related to this Offering and Ownership of Our Common Stock </w:t>
      </w:r>
    </w:p>
    <w:p>
      <w:pPr>
        <w:pStyle w:val="TextBody"/>
        <w:bidi w:val="0"/>
        <w:spacing w:before="240" w:after="0"/>
        <w:jc w:val="left"/>
        <w:rPr>
          <w:rFonts w:ascii="ARIAL" w:hAnsi="ARIAL"/>
          <w:b/>
          <w:i/>
          <w:sz w:val="20"/>
        </w:rPr>
      </w:pPr>
      <w:r>
        <w:rPr>
          <w:rFonts w:ascii="ARIAL" w:hAnsi="ARIAL"/>
          <w:b/>
          <w:i/>
          <w:sz w:val="20"/>
        </w:rPr>
        <w:t xml:space="preserve">We have broad discretion in the use of the net proceeds from this offering and may not use them effectively. </w:t>
      </w:r>
    </w:p>
    <w:p>
      <w:pPr>
        <w:pStyle w:val="TextBody"/>
        <w:bidi w:val="0"/>
        <w:spacing w:before="80" w:after="0"/>
        <w:jc w:val="left"/>
        <w:rPr>
          <w:rFonts w:ascii="ARIAL" w:hAnsi="ARIAL"/>
          <w:sz w:val="20"/>
        </w:rPr>
      </w:pPr>
      <w:r>
        <w:rPr>
          <w:rFonts w:ascii="ARIAL" w:hAnsi="ARIAL"/>
          <w:sz w:val="20"/>
        </w:rPr>
        <w:t xml:space="preserve">Our management has broad discretion in the application of the net proceeds from this offering, and you will not have the opportunity as part of your investment decision to assess whether the net proceeds are being used appropriately. Our management could spend the net proceeds from this offering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w:t>
      </w:r>
    </w:p>
    <w:p>
      <w:pPr>
        <w:pStyle w:val="TextBody"/>
        <w:bidi w:val="0"/>
        <w:spacing w:before="240" w:after="0"/>
        <w:jc w:val="left"/>
        <w:rPr>
          <w:rFonts w:ascii="ARIAL" w:hAnsi="ARIAL"/>
          <w:b/>
          <w:i/>
          <w:sz w:val="20"/>
        </w:rPr>
      </w:pPr>
      <w:r>
        <w:rPr>
          <w:rFonts w:ascii="ARIAL" w:hAnsi="ARIAL"/>
          <w:b/>
          <w:i/>
          <w:sz w:val="20"/>
        </w:rPr>
        <w:t xml:space="preserve">If you purchase shares of common stock sold in this offering you will experience immediate and substantial dilution in your investment. You will experience further dilution if we issue additional equity securities in the future. </w:t>
      </w:r>
    </w:p>
    <w:p>
      <w:pPr>
        <w:pStyle w:val="TextBody"/>
        <w:bidi w:val="0"/>
        <w:spacing w:before="80" w:after="0"/>
        <w:jc w:val="left"/>
        <w:rPr>
          <w:rFonts w:ascii="ARIAL" w:hAnsi="ARIAL"/>
          <w:sz w:val="20"/>
        </w:rPr>
      </w:pPr>
      <w:r>
        <w:rPr>
          <w:rFonts w:ascii="ARIAL" w:hAnsi="ARIAL"/>
          <w:sz w:val="20"/>
        </w:rPr>
        <w:t xml:space="preserve">Since the price per share of our common stock being offered is higher than the net tangible book value per share of our common stock as of June 30, 2024, you will suffer dilution with respect to the net tangible book value of the shares of common stock you purchase in this offering. Based on the offering price of $36.50 per share and our net tangible book value as of June 30, 2024, if you purchase shares of common stock in this offering, you will suffer immediate dilution of $33.06 per share with respect to the net tangible book value of the common stock. Furthermore, if outstanding options are exercised and if outstanding restricted stock units vest, you could experience further dilution. See Dilution for a more detailed discussion of the dilution you will incur if you purchase shares of common stock in this offering. </w:t>
      </w:r>
    </w:p>
    <w:p>
      <w:pPr>
        <w:pStyle w:val="TextBody"/>
        <w:bidi w:val="0"/>
        <w:spacing w:before="240" w:after="0"/>
        <w:jc w:val="left"/>
        <w:rPr>
          <w:rFonts w:ascii="ARIAL" w:hAnsi="ARIAL"/>
          <w:b/>
          <w:i/>
          <w:sz w:val="20"/>
        </w:rPr>
      </w:pPr>
      <w:r>
        <w:rPr>
          <w:rFonts w:ascii="ARIAL" w:hAnsi="ARIAL"/>
          <w:b/>
          <w:i/>
          <w:sz w:val="20"/>
        </w:rPr>
        <w:t xml:space="preserve">A sale of a substantial number of shares of our common stock may cause the price of our common stock to decline. </w:t>
      </w:r>
    </w:p>
    <w:p>
      <w:pPr>
        <w:pStyle w:val="TextBody"/>
        <w:bidi w:val="0"/>
        <w:spacing w:before="80" w:after="0"/>
        <w:jc w:val="left"/>
        <w:rPr>
          <w:rFonts w:ascii="ARIAL" w:hAnsi="ARIAL"/>
          <w:sz w:val="20"/>
        </w:rPr>
      </w:pPr>
      <w:r>
        <w:rPr>
          <w:rFonts w:ascii="ARIAL" w:hAnsi="ARIAL"/>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t>
      </w:r>
    </w:p>
    <w:p>
      <w:pPr>
        <w:pStyle w:val="TextBody"/>
        <w:bidi w:val="0"/>
        <w:spacing w:before="240" w:after="0"/>
        <w:jc w:val="left"/>
        <w:rPr>
          <w:rFonts w:ascii="ARIAL" w:hAnsi="ARIAL"/>
          <w:sz w:val="20"/>
        </w:rPr>
      </w:pPr>
      <w:r>
        <w:rPr>
          <w:rFonts w:ascii="ARIAL" w:hAnsi="ARIAL"/>
          <w:sz w:val="20"/>
        </w:rPr>
        <w:t xml:space="preserve">We cannot predict what effect, if any, sales of our shares in the public market or the availability of shares for sale will have on the market price of our common stock. However, future sales of substantial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amounts of our common stock in the public market, including shares issued upon exercise of outstanding options, or the perception that such sales may occur, could adversely affect the market price of our common stock. </w:t>
      </w:r>
    </w:p>
    <w:p>
      <w:pPr>
        <w:pStyle w:val="TextBody"/>
        <w:bidi w:val="0"/>
        <w:spacing w:before="240" w:after="0"/>
        <w:jc w:val="left"/>
        <w:rPr>
          <w:rFonts w:ascii="ARIAL" w:hAnsi="ARIAL"/>
          <w:sz w:val="20"/>
        </w:rPr>
      </w:pPr>
      <w:r>
        <w:rPr>
          <w:rFonts w:ascii="ARIAL" w:hAnsi="ARIAL"/>
          <w:sz w:val="20"/>
        </w:rPr>
        <w:t xml:space="preserve">We may raise money through additional public or private offerings of our equity securities or equity-linked securities, including through the use of our at-the-market sales facility. Any sales of our equity or equity-linked securities could have a material adverse effect on the market price of our common stock. </w:t>
      </w:r>
    </w:p>
    <w:p>
      <w:pPr>
        <w:pStyle w:val="TextBody"/>
        <w:bidi w:val="0"/>
        <w:spacing w:before="240" w:after="0"/>
        <w:jc w:val="left"/>
        <w:rPr>
          <w:rFonts w:ascii="ARIAL" w:hAnsi="ARIAL"/>
          <w:sz w:val="20"/>
        </w:rPr>
      </w:pPr>
      <w:r>
        <w:rPr>
          <w:rFonts w:ascii="ARIAL" w:hAnsi="ARIAL"/>
          <w:sz w:val="20"/>
        </w:rPr>
        <w:t xml:space="preserve">In connection with this offering, we, our directors and executive officers and certain of our stockholders have entered into lock-up agreements for a period of 90 days following this offering. The lock-up agreements are subject to various exceptions, and we, our directors and executive officers and certain of our stockholders may be released from the lock-up agreements prior to the expiration of the lock-up period at the sole discretion of the representatives. See Underwriting. Upon expiration or earlier release of the lock-up agreements, we, our directors and executive officers and certain of our stockholders may sell shares into the market, which could adversely affect the market price of shares of our common stock. </w:t>
      </w:r>
    </w:p>
    <w:p>
      <w:pPr>
        <w:pStyle w:val="TextBody"/>
        <w:bidi w:val="0"/>
        <w:spacing w:before="240" w:after="0"/>
        <w:jc w:val="left"/>
        <w:rPr>
          <w:rFonts w:ascii="ARIAL" w:hAnsi="ARIAL"/>
          <w:sz w:val="20"/>
        </w:rPr>
      </w:pPr>
      <w:r>
        <w:rPr>
          <w:rFonts w:ascii="ARIAL" w:hAnsi="ARIAL"/>
          <w:sz w:val="20"/>
        </w:rPr>
        <w:t xml:space="preserve">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 </w:t>
      </w:r>
    </w:p>
    <w:p>
      <w:pPr>
        <w:pStyle w:val="TextBody"/>
        <w:bidi w:val="0"/>
        <w:spacing w:before="240" w:after="0"/>
        <w:jc w:val="left"/>
        <w:rPr>
          <w:rFonts w:ascii="ARIAL" w:hAnsi="ARIAL"/>
          <w:sz w:val="20"/>
        </w:rPr>
      </w:pPr>
      <w:r>
        <w:rPr>
          <w:rFonts w:ascii="ARIAL" w:hAnsi="ARIAL"/>
          <w:sz w:val="20"/>
        </w:rPr>
        <w:t xml:space="preserve">In addition, we have a significant number of stock options and unvested restricted stock units outstanding, and may also choose to issue additional common stock, or securities convertible into or exchangeable for common stock, in the future in connection with a financing, an acquisition, a litigation settlement, employee arrangements or otherwise. In the event that the outstanding options are exercised, or that we make additional issuances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7" w:name="supprom755060_5"/>
      <w:bookmarkEnd w:id="7"/>
      <w:r>
        <w:rPr>
          <w:rFonts w:ascii="ARIAL" w:hAnsi="ARIAL"/>
          <w:b/>
          <w:sz w:val="20"/>
        </w:rPr>
        <w:t xml:space="preserve">SPECIAL NOTE REGARDING FORWARD-LOOKING STATEMENTS </w:t>
      </w:r>
    </w:p>
    <w:p>
      <w:pPr>
        <w:pStyle w:val="TextBody"/>
        <w:bidi w:val="0"/>
        <w:spacing w:before="360" w:after="0"/>
        <w:jc w:val="left"/>
        <w:rPr>
          <w:rFonts w:ascii="ARIAL" w:hAnsi="ARIAL"/>
          <w:sz w:val="20"/>
        </w:rPr>
      </w:pPr>
      <w:r>
        <w:rPr>
          <w:rFonts w:ascii="ARIAL" w:hAnsi="ARIAL"/>
          <w:sz w:val="20"/>
        </w:rPr>
        <w:t xml:space="preserve">This prospectus supplement, the accompanying prospectus and the documents incorporated by reference therein and herein contain forward-looking statements within the meaning of the Private Securities Litigation Reform Act of 1995. All statements contained in this prospectus supplement, the accompanying prospectus, and documents incorporated by reference herein and therein other than statements of historical fact, including statements regarding our future results of operations and financial position, and statements including, but not the success, cost, and timing of our product candidate development activities and ongoing and planned clinical trials, our plans to develop and commercialize antibodies, including our two checkpoint agonists in clinical-stage development: rosnilimab and ANB032, our ability to develop our market candidates, the likelihood that the clinical data generated in any study we performed, are performing, or plan to perform in a non-U.S. jurisdiction will be subsequently accepted by the U.S. Food and Drug Administration and/or by foreign regulatory authorities outside of the jurisdiction where the study was being performed, the potential benefits and advantages of our product candidates and approaches versus those of our competitors, the success of competing therapies that are or may become available, the timing of and the ability to obtain and maintain regulatory approvals for our product candidates, partnered product candidates and/or product candidates for which we may receive royalties, the rate and degree of market acceptance and clinical utility of any approved product candidates, the size and growth potential of the markets for any approved product candidates, and our ability to serve those markets, our commercialization, marketing, and manufacturing capabilities and strategy, our expectations regarding our ability to obtain and maintain intellectual property protection for our product candidates, regulatory developments in the U.S. and foreign countries, the impact of political, economic or public health events on our business and the United States and global economies, our ability to attract and retain key scientific or management personnel, general macro-economic factors, including volatility in equity markets, and fluctuations in interest rates and foreign exchange rates, our ability to obtain funding for our operations on favorable terms or at all, including funding necessary to complete further development and commercialization of our product candidates, our ability to find a licensing partner for imsidolimab and etokimab, the timing and ability of our collaborators to develop and commercialize our partnered product candidates, our use of the net proceeds from this offering and other financing transactions and our estimates regarding expenses, future revenue, capital requirements, and needs for additional financing,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 </w:t>
      </w:r>
    </w:p>
    <w:p>
      <w:pPr>
        <w:pStyle w:val="TextBody"/>
        <w:bidi w:val="0"/>
        <w:spacing w:before="240" w:after="0"/>
        <w:jc w:val="left"/>
        <w:rPr>
          <w:rFonts w:ascii="ARIAL" w:hAnsi="ARIAL"/>
          <w:sz w:val="20"/>
        </w:rPr>
      </w:pPr>
      <w:r>
        <w:rPr>
          <w:rFonts w:ascii="ARIAL" w:hAnsi="ARIAL"/>
          <w:sz w:val="20"/>
        </w:rPr>
        <w:t xml:space="preserve">These forward-looking statements are subject to a number of risks, uncertainties and assumptions, including those described in Part II, Item 1A, Risk Factors in in our Annual Report on Form 10-K for the year ended December 31, 2023 and in our Quarterly Reports on Form 10-Q for the quarters ended March 31, 2024 and June 30, 2024, as well as those discussed in this prospectus supplement, the accompanying prospectus, the documents incorporated by reference into this prospectus supplement and accompanying prospectus and any free writing prospectus.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supplement, the accompanying prospectus, and documents incorporated by reference herein and therein may not occur and actual results could differ materially and adversely from those anticipated or implied in the forward-looking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prospectus supplement, the accompanying prospectus, and documents incorporated by reference herein and therein with the understanding that our actual future results, levels of activity, performance and events and circumstances may be materially different from what we expect.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8" w:name="supprom755060_6"/>
      <w:bookmarkEnd w:id="8"/>
      <w:r>
        <w:rPr>
          <w:rFonts w:ascii="ARIAL" w:hAnsi="ARIAL"/>
          <w:b/>
          <w:sz w:val="20"/>
        </w:rPr>
        <w:t xml:space="preserve">USE OF PROCEEDS </w:t>
      </w:r>
    </w:p>
    <w:p>
      <w:pPr>
        <w:pStyle w:val="TextBody"/>
        <w:bidi w:val="0"/>
        <w:spacing w:before="360" w:after="0"/>
        <w:jc w:val="left"/>
        <w:rPr>
          <w:rFonts w:ascii="ARIAL" w:hAnsi="ARIAL"/>
          <w:sz w:val="20"/>
        </w:rPr>
      </w:pPr>
      <w:r>
        <w:rPr>
          <w:rFonts w:ascii="ARIAL" w:hAnsi="ARIAL"/>
          <w:sz w:val="20"/>
        </w:rPr>
        <w:t xml:space="preserve">We estimate that the net proceeds to us from this offering, after deducting estimated underwriting discounts and commissions and estimated offering expenses, will be approximately $94 million. </w:t>
      </w:r>
    </w:p>
    <w:p>
      <w:pPr>
        <w:pStyle w:val="TextBody"/>
        <w:bidi w:val="0"/>
        <w:spacing w:before="240" w:after="0"/>
        <w:jc w:val="left"/>
        <w:rPr>
          <w:rFonts w:ascii="ARIAL" w:hAnsi="ARIAL"/>
          <w:sz w:val="20"/>
        </w:rPr>
      </w:pPr>
      <w:r>
        <w:rPr>
          <w:rFonts w:ascii="ARIAL" w:hAnsi="ARIAL"/>
          <w:sz w:val="20"/>
        </w:rPr>
        <w:t xml:space="preserve">We currently intend to use the net proceeds of this offering primarily for general corporate purposes, which may include funding Phase III readiness of ANB032 and rosnilimab, working capital and general corporate purposes. However, we have no current commitments or obligations to do so. </w:t>
      </w:r>
    </w:p>
    <w:p>
      <w:pPr>
        <w:pStyle w:val="TextBody"/>
        <w:bidi w:val="0"/>
        <w:spacing w:before="240" w:after="0"/>
        <w:jc w:val="left"/>
        <w:rPr>
          <w:rFonts w:ascii="ARIAL" w:hAnsi="ARIAL"/>
          <w:sz w:val="20"/>
        </w:rPr>
      </w:pPr>
      <w:r>
        <w:rPr>
          <w:rFonts w:ascii="ARIAL" w:hAnsi="ARIAL"/>
          <w:sz w:val="20"/>
        </w:rPr>
        <w:t xml:space="preserve">The expected net proceeds from this offering may not be sufficient for us to fund any of our product candidates through regulatory approval, and we may need to raise substantial additional capital to complete the development and commercialization of our product candidates. </w:t>
      </w:r>
    </w:p>
    <w:p>
      <w:pPr>
        <w:pStyle w:val="TextBody"/>
        <w:bidi w:val="0"/>
        <w:spacing w:before="240" w:after="0"/>
        <w:jc w:val="left"/>
        <w:rPr>
          <w:rFonts w:ascii="ARIAL" w:hAnsi="ARIAL"/>
          <w:sz w:val="20"/>
        </w:rPr>
      </w:pPr>
      <w:r>
        <w:rPr>
          <w:rFonts w:ascii="ARIAL" w:hAnsi="ARIAL"/>
          <w:sz w:val="20"/>
        </w:rPr>
        <w:t xml:space="preserve">The amount and timing of our actual expenditures will depend on numerous factors, including the progress of our clinical trials and other development efforts and other factors described under Risk Factors in this prospectus supplement and the documents incorporated by reference herein, as well as the amount of cash used in our operations. As a result, our management will have broad discretion over the uses of the net proceeds, if any, we receive in connection with securities offered pursuant to this prospectus supplement and investors will be relying on the judgment of our management regarding the application of the proceeds from this offering. </w:t>
      </w:r>
    </w:p>
    <w:p>
      <w:pPr>
        <w:pStyle w:val="TextBody"/>
        <w:bidi w:val="0"/>
        <w:spacing w:before="240" w:after="0"/>
        <w:jc w:val="left"/>
        <w:rPr>
          <w:rFonts w:ascii="ARIAL" w:hAnsi="ARIAL"/>
          <w:sz w:val="20"/>
        </w:rPr>
      </w:pPr>
      <w:r>
        <w:rPr>
          <w:rFonts w:ascii="ARIAL" w:hAnsi="ARIAL"/>
          <w:sz w:val="20"/>
        </w:rPr>
        <w:t xml:space="preserve">Pending these uses, we intend to invest the net proceeds from this offering in short-term or long-term, investment-grade, interest-bearing securities.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9" w:name="supprom755060_7"/>
      <w:bookmarkEnd w:id="9"/>
      <w:r>
        <w:rPr>
          <w:rFonts w:ascii="ARIAL" w:hAnsi="ARIAL"/>
          <w:b/>
          <w:sz w:val="20"/>
        </w:rPr>
        <w:t xml:space="preserve">DIVIDEND POLICY </w:t>
      </w:r>
    </w:p>
    <w:p>
      <w:pPr>
        <w:pStyle w:val="TextBody"/>
        <w:bidi w:val="0"/>
        <w:spacing w:before="360" w:after="0"/>
        <w:jc w:val="left"/>
        <w:rPr>
          <w:rFonts w:ascii="ARIAL" w:hAnsi="ARIAL"/>
          <w:sz w:val="20"/>
        </w:rPr>
      </w:pPr>
      <w:r>
        <w:rPr>
          <w:rFonts w:ascii="ARIAL" w:hAnsi="ARIAL"/>
          <w:sz w:val="20"/>
        </w:rPr>
        <w:t xml:space="preserve">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0" w:name="supprom755060_8"/>
      <w:bookmarkEnd w:id="10"/>
      <w:r>
        <w:rPr>
          <w:rFonts w:ascii="ARIAL" w:hAnsi="ARIAL"/>
          <w:b/>
          <w:sz w:val="20"/>
        </w:rPr>
        <w:t xml:space="preserve">DILUTION </w:t>
      </w:r>
    </w:p>
    <w:p>
      <w:pPr>
        <w:pStyle w:val="TextBody"/>
        <w:bidi w:val="0"/>
        <w:spacing w:before="360" w:after="0"/>
        <w:jc w:val="left"/>
        <w:rPr>
          <w:rFonts w:ascii="ARIAL" w:hAnsi="ARIAL"/>
          <w:sz w:val="20"/>
        </w:rPr>
      </w:pPr>
      <w:r>
        <w:rPr>
          <w:rFonts w:ascii="ARIAL" w:hAnsi="ARIAL"/>
          <w:sz w:val="20"/>
        </w:rPr>
        <w:t xml:space="preserve">If you invest in our common stock in this offering, your interest will be diluted to the extent of the difference between the offering price per share of our common stock and the as adjusted net tangible book value per share of our common stock immediately after this offering. </w:t>
      </w:r>
    </w:p>
    <w:p>
      <w:pPr>
        <w:pStyle w:val="TextBody"/>
        <w:bidi w:val="0"/>
        <w:spacing w:before="240" w:after="0"/>
        <w:jc w:val="left"/>
        <w:rPr>
          <w:rFonts w:ascii="ARIAL" w:hAnsi="ARIAL"/>
          <w:sz w:val="20"/>
        </w:rPr>
      </w:pPr>
      <w:r>
        <w:rPr>
          <w:rFonts w:ascii="ARIAL" w:hAnsi="ARIAL"/>
          <w:sz w:val="20"/>
        </w:rPr>
        <w:t xml:space="preserve">Our net tangible book value as of June 30, 2024 was approximately $9.9 million, or $0.36 per share of common stock. Net tangible book value per share is determined by dividing our total tangible assets, less total liabilities, by the number of shares of our common stock outstanding as of June 30, 2024. Dilution with respect to net tangible book value per share of common stock represents the difference between the amount per share paid by purchasers of shares of common stock in this offering and the net tangible book value per share of our common stock immediately after this offering. </w:t>
      </w:r>
    </w:p>
    <w:p>
      <w:pPr>
        <w:pStyle w:val="TextBody"/>
        <w:bidi w:val="0"/>
        <w:spacing w:before="240" w:after="0"/>
        <w:jc w:val="left"/>
        <w:rPr>
          <w:rFonts w:ascii="ARIAL" w:hAnsi="ARIAL"/>
          <w:sz w:val="20"/>
        </w:rPr>
      </w:pPr>
      <w:r>
        <w:rPr>
          <w:rFonts w:ascii="ARIAL" w:hAnsi="ARIAL"/>
          <w:sz w:val="20"/>
        </w:rPr>
        <w:t xml:space="preserve">After giving effect to the sale of shares of our common stock at the offering price of $36.50 per share of common stock and after deducting estimated underwriting discounts and commissions and estimated offering expenses, our as adjusted net tangible book value as of June 30, 2024 would have been approximately $103.8 million, or $3.44 per share of common stock. This represents an immediate increase in net tangible book value of $3.08 per share to existing stockholders and immediate dilution of $33.06 per share to investors purchasing our common stock in this offering at the offering price. The following table illustrates this dilution on a per share basis: </w:t>
      </w:r>
    </w:p>
    <w:p>
      <w:pPr>
        <w:pStyle w:val="TextBody"/>
        <w:bidi w:val="0"/>
        <w:spacing w:before="0" w:after="0"/>
        <w:jc w:val="left"/>
        <w:rPr/>
      </w:pPr>
      <w:r>
        <w:rPr/>
        <w:t> </w:t>
      </w:r>
    </w:p>
    <w:tbl>
      <w:tblPr>
        <w:tblW w:w="4700" w:type="pct"/>
        <w:jc w:val="center"/>
        <w:tblInd w:w="0" w:type="dxa"/>
        <w:tblLayout w:type="fixed"/>
        <w:tblCellMar>
          <w:top w:w="0" w:type="dxa"/>
          <w:left w:w="0" w:type="dxa"/>
          <w:bottom w:w="0" w:type="dxa"/>
          <w:right w:w="0" w:type="dxa"/>
        </w:tblCellMar>
      </w:tblPr>
      <w:tblGrid>
        <w:gridCol w:w="7773"/>
        <w:gridCol w:w="196"/>
        <w:gridCol w:w="144"/>
        <w:gridCol w:w="440"/>
        <w:gridCol w:w="60"/>
        <w:gridCol w:w="196"/>
        <w:gridCol w:w="144"/>
        <w:gridCol w:w="576"/>
        <w:gridCol w:w="63"/>
      </w:tblGrid>
      <w:tr>
        <w:trPr/>
        <w:tc>
          <w:tcPr>
            <w:tcW w:w="7773"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773" w:type="dxa"/>
            <w:tcBorders/>
            <w:shd w:fill="CCEEFF" w:val="clear"/>
          </w:tcPr>
          <w:p>
            <w:pPr>
              <w:pStyle w:val="TableContents"/>
              <w:bidi w:val="0"/>
              <w:spacing w:before="0" w:after="0"/>
              <w:jc w:val="left"/>
              <w:rPr>
                <w:rFonts w:ascii="ARIAL" w:hAnsi="ARIAL"/>
                <w:sz w:val="20"/>
              </w:rPr>
            </w:pPr>
            <w:r>
              <w:rPr>
                <w:rFonts w:ascii="ARIAL" w:hAnsi="ARIAL"/>
                <w:sz w:val="20"/>
              </w:rPr>
              <w:t>Offering price per share</w:t>
            </w:r>
          </w:p>
        </w:tc>
        <w:tc>
          <w:tcPr>
            <w:tcW w:w="19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576" w:type="dxa"/>
            <w:tcBorders/>
            <w:shd w:fill="CCEEFF" w:val="clear"/>
            <w:vAlign w:val="bottom"/>
          </w:tcPr>
          <w:p>
            <w:pPr>
              <w:pStyle w:val="TableContents"/>
              <w:bidi w:val="0"/>
              <w:spacing w:before="0" w:after="283"/>
              <w:jc w:val="right"/>
              <w:rPr/>
            </w:pPr>
            <w:r>
              <w:rPr/>
              <w:t>36.50</w:t>
            </w:r>
          </w:p>
        </w:tc>
        <w:tc>
          <w:tcPr>
            <w:tcW w:w="63" w:type="dxa"/>
            <w:tcBorders/>
            <w:shd w:fill="CCEEFF" w:val="clear"/>
            <w:vAlign w:val="bottom"/>
          </w:tcPr>
          <w:p>
            <w:pPr>
              <w:pStyle w:val="TableContents"/>
              <w:bidi w:val="0"/>
              <w:spacing w:before="0" w:after="283"/>
              <w:jc w:val="left"/>
              <w:rPr/>
            </w:pPr>
            <w:r>
              <w:rPr/>
              <w:t> </w:t>
            </w:r>
          </w:p>
        </w:tc>
      </w:tr>
      <w:tr>
        <w:trPr/>
        <w:tc>
          <w:tcPr>
            <w:tcW w:w="7773" w:type="dxa"/>
            <w:tcBorders/>
          </w:tcPr>
          <w:p>
            <w:pPr>
              <w:pStyle w:val="TableContents"/>
              <w:bidi w:val="0"/>
              <w:spacing w:before="0" w:after="0"/>
              <w:jc w:val="left"/>
              <w:rPr>
                <w:rFonts w:ascii="ARIAL" w:hAnsi="ARIAL"/>
                <w:sz w:val="20"/>
              </w:rPr>
            </w:pPr>
            <w:r>
              <w:rPr>
                <w:rFonts w:ascii="ARIAL" w:hAnsi="ARIAL"/>
                <w:sz w:val="20"/>
              </w:rPr>
              <w:t>Net tangible book value per share as of June 30, 2024</w:t>
            </w:r>
          </w:p>
        </w:tc>
        <w:tc>
          <w:tcPr>
            <w:tcW w:w="19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440" w:type="dxa"/>
            <w:tcBorders/>
            <w:vAlign w:val="bottom"/>
          </w:tcPr>
          <w:p>
            <w:pPr>
              <w:pStyle w:val="TableContents"/>
              <w:bidi w:val="0"/>
              <w:spacing w:before="0" w:after="283"/>
              <w:jc w:val="right"/>
              <w:rPr/>
            </w:pPr>
            <w:r>
              <w:rPr/>
              <w:t>0.36</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773" w:type="dxa"/>
            <w:tcBorders/>
            <w:shd w:fill="CCEEFF" w:val="clear"/>
          </w:tcPr>
          <w:p>
            <w:pPr>
              <w:pStyle w:val="TableContents"/>
              <w:bidi w:val="0"/>
              <w:spacing w:before="0" w:after="0"/>
              <w:jc w:val="left"/>
              <w:rPr>
                <w:rFonts w:ascii="ARIAL" w:hAnsi="ARIAL"/>
                <w:sz w:val="20"/>
              </w:rPr>
            </w:pPr>
            <w:r>
              <w:rPr>
                <w:rFonts w:ascii="ARIAL" w:hAnsi="ARIAL"/>
                <w:sz w:val="20"/>
              </w:rPr>
              <w:t>Increase in net tangible book value per share attributable to investors purchasing our common stock in this offering</w:t>
            </w:r>
          </w:p>
        </w:tc>
        <w:tc>
          <w:tcPr>
            <w:tcW w:w="19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3.08</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57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773"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4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773" w:type="dxa"/>
            <w:tcBorders/>
          </w:tcPr>
          <w:p>
            <w:pPr>
              <w:pStyle w:val="TableContents"/>
              <w:bidi w:val="0"/>
              <w:spacing w:before="0" w:after="0"/>
              <w:jc w:val="left"/>
              <w:rPr>
                <w:rFonts w:ascii="ARIAL" w:hAnsi="ARIAL"/>
                <w:sz w:val="20"/>
              </w:rPr>
            </w:pPr>
            <w:r>
              <w:rPr>
                <w:rFonts w:ascii="ARIAL" w:hAnsi="ARIAL"/>
                <w:sz w:val="20"/>
              </w:rPr>
              <w:t>As adjusted net tangible book value per share after giving effect to this offering</w:t>
            </w:r>
          </w:p>
        </w:tc>
        <w:tc>
          <w:tcPr>
            <w:tcW w:w="19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773" w:type="dxa"/>
            <w:tcBorders/>
            <w:shd w:fill="CCEEFF" w:val="clear"/>
          </w:tcPr>
          <w:p>
            <w:pPr>
              <w:pStyle w:val="TableContents"/>
              <w:bidi w:val="0"/>
              <w:spacing w:before="0" w:after="0"/>
              <w:jc w:val="left"/>
              <w:rPr>
                <w:rFonts w:ascii="ARIAL" w:hAnsi="ARIAL"/>
                <w:sz w:val="20"/>
              </w:rPr>
            </w:pPr>
            <w:r>
              <w:rPr>
                <w:rFonts w:ascii="ARIAL" w:hAnsi="ARIAL"/>
                <w:sz w:val="20"/>
              </w:rPr>
              <w:t>Dilution per share to investors purchasing shares of our common stock in this offering</w:t>
            </w:r>
          </w:p>
        </w:tc>
        <w:tc>
          <w:tcPr>
            <w:tcW w:w="19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3.44</w:t>
            </w:r>
          </w:p>
        </w:tc>
        <w:tc>
          <w:tcPr>
            <w:tcW w:w="63" w:type="dxa"/>
            <w:tcBorders/>
            <w:shd w:fill="CCEEFF" w:val="clear"/>
            <w:vAlign w:val="bottom"/>
          </w:tcPr>
          <w:p>
            <w:pPr>
              <w:pStyle w:val="TableContents"/>
              <w:bidi w:val="0"/>
              <w:spacing w:before="0" w:after="283"/>
              <w:jc w:val="left"/>
              <w:rPr/>
            </w:pPr>
            <w:r>
              <w:rPr/>
              <w:t> </w:t>
            </w:r>
          </w:p>
        </w:tc>
      </w:tr>
      <w:tr>
        <w:trPr/>
        <w:tc>
          <w:tcPr>
            <w:tcW w:w="7773"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773" w:type="dxa"/>
            <w:tcBorders/>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576" w:type="dxa"/>
            <w:tcBorders/>
            <w:vAlign w:val="bottom"/>
          </w:tcPr>
          <w:p>
            <w:pPr>
              <w:pStyle w:val="TableContents"/>
              <w:bidi w:val="0"/>
              <w:spacing w:before="0" w:after="283"/>
              <w:jc w:val="right"/>
              <w:rPr/>
            </w:pPr>
            <w:r>
              <w:rPr/>
              <w:t>33.06</w:t>
            </w:r>
          </w:p>
        </w:tc>
        <w:tc>
          <w:tcPr>
            <w:tcW w:w="63" w:type="dxa"/>
            <w:tcBorders/>
            <w:vAlign w:val="bottom"/>
          </w:tcPr>
          <w:p>
            <w:pPr>
              <w:pStyle w:val="TableContents"/>
              <w:bidi w:val="0"/>
              <w:spacing w:before="0" w:after="283"/>
              <w:jc w:val="left"/>
              <w:rPr/>
            </w:pPr>
            <w:r>
              <w:rPr/>
              <w:t> </w:t>
            </w:r>
          </w:p>
        </w:tc>
      </w:tr>
      <w:tr>
        <w:trPr/>
        <w:tc>
          <w:tcPr>
            <w:tcW w:w="7773"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57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foregoing tables and calculations (other than the net tangible book value calculation) are based on 27,434,033 shares of common stock outstanding as of June 30, 2024 and excludes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6,102,906 shares of common stock issuable upon exercise of options outstanding as of June 30, 2024, with a weighted-average exercise price of $25.19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42,806 shares of common stock issuable upon exercise of options granted after June 30, 2024, with a weighted-average exercise price of $34.48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1,204,349 shares of common stock issuable upon the vesting of restricted stock units as of June 30,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15,518 shares of common stock issuable upon the vesting of restricted stock units granted after June 30,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511,000 shares of common stock issuable upon the vesting of performance stock units granted after June 30,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5,600,192 shares of common stock reserved and available for future issuance as of June 30, 2024, under our equity incentive plans, consisting of (1) 3,653,227 shares of common stock reserved and available for issuance under our Amended and Restated 2017 Equity Incentive Plan (which number is prior to the options granted after June 30, 2024 in the preceding bullet), and (2) 1,946,965 shares of common stock reserved for issuance under our 2017 Employee Stock Purchase Plan as of June 30, 2024.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To the extent that outstanding options have been or may be exercised, or restricted stock units have vested or may vest, or other shares are issued, investors purchasing our common stock in this offering may experience further dilution. In addition, we may choose to issue additional common stock, or securities convertible into or exchangeable for common stock, in the future. The issuance of these securities could result in further dilution for investors purchasing our common stock in this offering.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1" w:name="supprom755060_9"/>
      <w:bookmarkEnd w:id="11"/>
      <w:r>
        <w:rPr>
          <w:rFonts w:ascii="ARIAL" w:hAnsi="ARIAL"/>
          <w:b/>
          <w:sz w:val="20"/>
        </w:rPr>
        <w:t xml:space="preserve">UNDERWRITING </w:t>
      </w:r>
    </w:p>
    <w:p>
      <w:pPr>
        <w:pStyle w:val="TextBody"/>
        <w:bidi w:val="0"/>
        <w:spacing w:before="360" w:after="0"/>
        <w:jc w:val="left"/>
        <w:rPr>
          <w:rFonts w:ascii="ARIAL" w:hAnsi="ARIAL"/>
          <w:sz w:val="20"/>
        </w:rPr>
      </w:pPr>
      <w:r>
        <w:rPr>
          <w:rFonts w:ascii="ARIAL" w:hAnsi="ARIAL"/>
          <w:sz w:val="20"/>
        </w:rPr>
        <w:t xml:space="preserve">We and the underwriters for the offering named below have entered into an underwriting agreement with respect to the common stock being offered. Subject to the terms and conditions of the underwriting agreement, each underwriter has severally agreed to purchase from us the number of shares of our common stock set forth opposite its name below. TD Securities (USA) LLC and Leerink Partners LLC are the representatives of the underwriters. </w:t>
      </w:r>
    </w:p>
    <w:p>
      <w:pPr>
        <w:pStyle w:val="TextBody"/>
        <w:bidi w:val="0"/>
        <w:spacing w:before="0" w:after="0"/>
        <w:jc w:val="left"/>
        <w:rPr/>
      </w:pPr>
      <w:r>
        <w:rPr/>
        <w:t> </w:t>
      </w:r>
    </w:p>
    <w:tbl>
      <w:tblPr>
        <w:tblW w:w="4700" w:type="pct"/>
        <w:jc w:val="center"/>
        <w:tblInd w:w="0" w:type="dxa"/>
        <w:tblLayout w:type="fixed"/>
        <w:tblCellMar>
          <w:top w:w="0" w:type="dxa"/>
          <w:left w:w="0" w:type="dxa"/>
          <w:bottom w:w="0" w:type="dxa"/>
          <w:right w:w="0" w:type="dxa"/>
        </w:tblCellMar>
      </w:tblPr>
      <w:tblGrid>
        <w:gridCol w:w="8254"/>
        <w:gridCol w:w="106"/>
        <w:gridCol w:w="65"/>
        <w:gridCol w:w="1104"/>
        <w:gridCol w:w="63"/>
      </w:tblGrid>
      <w:tr>
        <w:trPr/>
        <w:tc>
          <w:tcPr>
            <w:tcW w:w="825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254"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Underwriter</w:t>
            </w:r>
          </w:p>
        </w:tc>
        <w:tc>
          <w:tcPr>
            <w:tcW w:w="106" w:type="dxa"/>
            <w:tcBorders/>
            <w:vAlign w:val="bottom"/>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3" w:type="dxa"/>
            <w:tcBorders/>
            <w:vAlign w:val="bottom"/>
          </w:tcPr>
          <w:p>
            <w:pPr>
              <w:pStyle w:val="TableContents"/>
              <w:bidi w:val="0"/>
              <w:spacing w:before="0" w:after="283"/>
              <w:jc w:val="left"/>
              <w:rPr/>
            </w:pPr>
            <w:r>
              <w:rPr/>
              <w:t> </w:t>
            </w:r>
          </w:p>
        </w:tc>
      </w:tr>
      <w:tr>
        <w:trPr/>
        <w:tc>
          <w:tcPr>
            <w:tcW w:w="8254" w:type="dxa"/>
            <w:tcBorders/>
            <w:shd w:fill="CCEEFF" w:val="clear"/>
          </w:tcPr>
          <w:p>
            <w:pPr>
              <w:pStyle w:val="TableContents"/>
              <w:bidi w:val="0"/>
              <w:spacing w:before="0" w:after="0"/>
              <w:jc w:val="left"/>
              <w:rPr>
                <w:rFonts w:ascii="ARIAL" w:hAnsi="ARIAL"/>
                <w:sz w:val="20"/>
              </w:rPr>
            </w:pPr>
            <w:r>
              <w:rPr>
                <w:rFonts w:ascii="ARIAL" w:hAnsi="ARIAL"/>
                <w:sz w:val="20"/>
              </w:rPr>
              <w:t>TD Securities (USA) LLC</w:t>
            </w:r>
          </w:p>
        </w:tc>
        <w:tc>
          <w:tcPr>
            <w:tcW w:w="10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825,150</w:t>
            </w:r>
          </w:p>
        </w:tc>
        <w:tc>
          <w:tcPr>
            <w:tcW w:w="63" w:type="dxa"/>
            <w:tcBorders/>
            <w:shd w:fill="CCEEFF" w:val="clear"/>
            <w:vAlign w:val="bottom"/>
          </w:tcPr>
          <w:p>
            <w:pPr>
              <w:pStyle w:val="TableContents"/>
              <w:bidi w:val="0"/>
              <w:spacing w:before="0" w:after="283"/>
              <w:jc w:val="left"/>
              <w:rPr/>
            </w:pPr>
            <w:r>
              <w:rPr/>
              <w:t> </w:t>
            </w:r>
          </w:p>
        </w:tc>
      </w:tr>
      <w:tr>
        <w:trPr/>
        <w:tc>
          <w:tcPr>
            <w:tcW w:w="8254" w:type="dxa"/>
            <w:tcBorders/>
          </w:tcPr>
          <w:p>
            <w:pPr>
              <w:pStyle w:val="TableContents"/>
              <w:bidi w:val="0"/>
              <w:spacing w:before="0" w:after="0"/>
              <w:jc w:val="left"/>
              <w:rPr>
                <w:rFonts w:ascii="ARIAL" w:hAnsi="ARIAL"/>
                <w:sz w:val="20"/>
              </w:rPr>
            </w:pPr>
            <w:r>
              <w:rPr>
                <w:rFonts w:ascii="ARIAL" w:hAnsi="ARIAL"/>
                <w:sz w:val="20"/>
              </w:rPr>
              <w:t>Leerink Partners LLC</w:t>
            </w:r>
          </w:p>
        </w:tc>
        <w:tc>
          <w:tcPr>
            <w:tcW w:w="10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825,150</w:t>
            </w:r>
          </w:p>
        </w:tc>
        <w:tc>
          <w:tcPr>
            <w:tcW w:w="63" w:type="dxa"/>
            <w:tcBorders/>
            <w:vAlign w:val="bottom"/>
          </w:tcPr>
          <w:p>
            <w:pPr>
              <w:pStyle w:val="TableContents"/>
              <w:bidi w:val="0"/>
              <w:spacing w:before="0" w:after="283"/>
              <w:jc w:val="left"/>
              <w:rPr/>
            </w:pPr>
            <w:r>
              <w:rPr/>
              <w:t> </w:t>
            </w:r>
          </w:p>
        </w:tc>
      </w:tr>
      <w:tr>
        <w:trPr/>
        <w:tc>
          <w:tcPr>
            <w:tcW w:w="8254" w:type="dxa"/>
            <w:tcBorders/>
            <w:shd w:fill="CCEEFF" w:val="clear"/>
          </w:tcPr>
          <w:p>
            <w:pPr>
              <w:pStyle w:val="TableContents"/>
              <w:bidi w:val="0"/>
              <w:spacing w:before="0" w:after="0"/>
              <w:jc w:val="left"/>
              <w:rPr>
                <w:rFonts w:ascii="ARIAL" w:hAnsi="ARIAL"/>
                <w:sz w:val="20"/>
              </w:rPr>
            </w:pPr>
            <w:r>
              <w:rPr>
                <w:rFonts w:ascii="ARIAL" w:hAnsi="ARIAL"/>
                <w:sz w:val="20"/>
              </w:rPr>
              <w:t>Piper Sandler &amp; Co.</w:t>
            </w:r>
          </w:p>
        </w:tc>
        <w:tc>
          <w:tcPr>
            <w:tcW w:w="10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618,862</w:t>
            </w:r>
          </w:p>
        </w:tc>
        <w:tc>
          <w:tcPr>
            <w:tcW w:w="63" w:type="dxa"/>
            <w:tcBorders/>
            <w:shd w:fill="CCEEFF" w:val="clear"/>
            <w:vAlign w:val="bottom"/>
          </w:tcPr>
          <w:p>
            <w:pPr>
              <w:pStyle w:val="TableContents"/>
              <w:bidi w:val="0"/>
              <w:spacing w:before="0" w:after="283"/>
              <w:jc w:val="left"/>
              <w:rPr/>
            </w:pPr>
            <w:r>
              <w:rPr/>
              <w:t> </w:t>
            </w:r>
          </w:p>
        </w:tc>
      </w:tr>
      <w:tr>
        <w:trPr/>
        <w:tc>
          <w:tcPr>
            <w:tcW w:w="8254" w:type="dxa"/>
            <w:tcBorders/>
          </w:tcPr>
          <w:p>
            <w:pPr>
              <w:pStyle w:val="TableContents"/>
              <w:bidi w:val="0"/>
              <w:spacing w:before="0" w:after="0"/>
              <w:jc w:val="left"/>
              <w:rPr>
                <w:rFonts w:ascii="ARIAL" w:hAnsi="ARIAL"/>
                <w:sz w:val="20"/>
              </w:rPr>
            </w:pPr>
            <w:r>
              <w:rPr>
                <w:rFonts w:ascii="ARIAL" w:hAnsi="ARIAL"/>
                <w:sz w:val="20"/>
              </w:rPr>
              <w:t>Guggenheim Securities, LLC</w:t>
            </w:r>
          </w:p>
        </w:tc>
        <w:tc>
          <w:tcPr>
            <w:tcW w:w="10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481,336</w:t>
            </w:r>
          </w:p>
        </w:tc>
        <w:tc>
          <w:tcPr>
            <w:tcW w:w="63" w:type="dxa"/>
            <w:tcBorders/>
            <w:vAlign w:val="bottom"/>
          </w:tcPr>
          <w:p>
            <w:pPr>
              <w:pStyle w:val="TableContents"/>
              <w:bidi w:val="0"/>
              <w:spacing w:before="0" w:after="283"/>
              <w:jc w:val="left"/>
              <w:rPr/>
            </w:pPr>
            <w:r>
              <w:rPr/>
              <w:t> </w:t>
            </w:r>
          </w:p>
        </w:tc>
      </w:tr>
      <w:tr>
        <w:trPr/>
        <w:tc>
          <w:tcPr>
            <w:tcW w:w="8254"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254"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10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2,750,498</w:t>
            </w:r>
          </w:p>
        </w:tc>
        <w:tc>
          <w:tcPr>
            <w:tcW w:w="63" w:type="dxa"/>
            <w:tcBorders/>
            <w:shd w:fill="CCEEFF" w:val="clear"/>
            <w:vAlign w:val="bottom"/>
          </w:tcPr>
          <w:p>
            <w:pPr>
              <w:pStyle w:val="TableContents"/>
              <w:bidi w:val="0"/>
              <w:spacing w:before="0" w:after="283"/>
              <w:jc w:val="left"/>
              <w:rPr/>
            </w:pPr>
            <w:r>
              <w:rPr/>
              <w:t> </w:t>
            </w:r>
          </w:p>
        </w:tc>
      </w:tr>
      <w:tr>
        <w:trPr/>
        <w:tc>
          <w:tcPr>
            <w:tcW w:w="8254"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underwriting agreement provides that the obligations of the underwriters are subject to certain conditions precedent and that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ARIAL" w:hAnsi="ARIAL"/>
          <w:sz w:val="20"/>
        </w:rPr>
      </w:pPr>
      <w:r>
        <w:rPr>
          <w:rFonts w:ascii="ARIAL" w:hAnsi="ARIAL"/>
          <w:sz w:val="20"/>
        </w:rPr>
        <w:t xml:space="preserve">We have agreed to indemnify the underwriters against specified liabilities, including liabilities under the Securities Act of 1933, as amended, or the Securities Act, and to contribute to payments the underwriters may be required to make in respect thereof. </w:t>
      </w:r>
    </w:p>
    <w:p>
      <w:pPr>
        <w:pStyle w:val="TextBody"/>
        <w:bidi w:val="0"/>
        <w:spacing w:before="240" w:after="0"/>
        <w:jc w:val="left"/>
        <w:rPr>
          <w:rFonts w:ascii="ARIAL" w:hAnsi="ARIAL"/>
          <w:sz w:val="20"/>
        </w:rPr>
      </w:pPr>
      <w:r>
        <w:rPr>
          <w:rFonts w:ascii="ARIAL" w:hAnsi="ARIAL"/>
          <w:sz w:val="20"/>
        </w:rPr>
        <w:t xml:space="preserve">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 </w:t>
      </w:r>
    </w:p>
    <w:p>
      <w:pPr>
        <w:pStyle w:val="TextBody"/>
        <w:bidi w:val="0"/>
        <w:spacing w:before="240" w:after="0"/>
        <w:jc w:val="left"/>
        <w:rPr>
          <w:rFonts w:ascii="ARIAL" w:hAnsi="ARIAL"/>
          <w:sz w:val="20"/>
        </w:rPr>
      </w:pPr>
      <w:r>
        <w:rPr>
          <w:rFonts w:ascii="ARIAL" w:hAnsi="ARIAL"/>
          <w:b/>
          <w:sz w:val="20"/>
        </w:rPr>
        <w:t>Discounts and Commissions. </w:t>
      </w:r>
      <w:r>
        <w:rPr>
          <w:rFonts w:ascii="ARIAL" w:hAnsi="ARIAL"/>
          <w:sz w:val="20"/>
        </w:rPr>
        <w:t xml:space="preserve">The following table shows the offering price, underwriting discounts and commissions and proceeds, before expenses to us. </w:t>
      </w:r>
    </w:p>
    <w:p>
      <w:pPr>
        <w:pStyle w:val="TextBody"/>
        <w:bidi w:val="0"/>
        <w:spacing w:before="240" w:after="0"/>
        <w:jc w:val="left"/>
        <w:rPr>
          <w:rFonts w:ascii="ARIAL" w:hAnsi="ARIAL"/>
          <w:sz w:val="20"/>
        </w:rPr>
      </w:pPr>
      <w:r>
        <w:rPr>
          <w:rFonts w:ascii="ARIAL" w:hAnsi="ARIAL"/>
          <w:sz w:val="20"/>
        </w:rPr>
        <w:t xml:space="preserve">We estimate that the total expenses of the offering, excluding underwriting discounts and commissions, will be approximately $400,000 and are payable by us. We have agreed to reimburse the underwriters for up to $15,000 for their FINRA counsel fee. In accordance with FINRA Rule 5110, this reimbursed fee is deemed underwriting compensation for this offering. The underwriters have agreed to reimburse us for certain offering expenses. </w:t>
      </w:r>
    </w:p>
    <w:p>
      <w:pPr>
        <w:pStyle w:val="TextBody"/>
        <w:bidi w:val="0"/>
        <w:spacing w:before="0" w:after="0"/>
        <w:jc w:val="left"/>
        <w:rPr/>
      </w:pPr>
      <w:r>
        <w:rPr/>
        <w:t> </w:t>
      </w:r>
    </w:p>
    <w:tbl>
      <w:tblPr>
        <w:tblW w:w="4700" w:type="pct"/>
        <w:jc w:val="center"/>
        <w:tblInd w:w="0" w:type="dxa"/>
        <w:tblLayout w:type="fixed"/>
        <w:tblCellMar>
          <w:top w:w="0" w:type="dxa"/>
          <w:left w:w="0" w:type="dxa"/>
          <w:bottom w:w="0" w:type="dxa"/>
          <w:right w:w="0" w:type="dxa"/>
        </w:tblCellMar>
      </w:tblPr>
      <w:tblGrid>
        <w:gridCol w:w="6039"/>
        <w:gridCol w:w="252"/>
        <w:gridCol w:w="210"/>
        <w:gridCol w:w="983"/>
        <w:gridCol w:w="60"/>
        <w:gridCol w:w="364"/>
        <w:gridCol w:w="164"/>
        <w:gridCol w:w="1456"/>
        <w:gridCol w:w="64"/>
      </w:tblGrid>
      <w:tr>
        <w:trPr/>
        <w:tc>
          <w:tcPr>
            <w:tcW w:w="6039"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03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6039" w:type="dxa"/>
            <w:tcBorders/>
            <w:shd w:fill="CCEEFF" w:val="clear"/>
          </w:tcPr>
          <w:p>
            <w:pPr>
              <w:pStyle w:val="TableContents"/>
              <w:bidi w:val="0"/>
              <w:spacing w:before="0" w:after="0"/>
              <w:jc w:val="left"/>
              <w:rPr>
                <w:rFonts w:ascii="ARIAL" w:hAnsi="ARIAL"/>
                <w:sz w:val="20"/>
              </w:rPr>
            </w:pPr>
            <w:r>
              <w:rPr>
                <w:rFonts w:ascii="ARIAL" w:hAnsi="ARIAL"/>
                <w:sz w:val="20"/>
              </w:rPr>
              <w:t>Offering price</w:t>
            </w:r>
          </w:p>
        </w:tc>
        <w:tc>
          <w:tcPr>
            <w:tcW w:w="25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36.50</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1456" w:type="dxa"/>
            <w:tcBorders/>
            <w:shd w:fill="CCEEFF" w:val="clear"/>
            <w:vAlign w:val="bottom"/>
          </w:tcPr>
          <w:p>
            <w:pPr>
              <w:pStyle w:val="TableContents"/>
              <w:bidi w:val="0"/>
              <w:spacing w:before="0" w:after="283"/>
              <w:jc w:val="right"/>
              <w:rPr/>
            </w:pPr>
            <w:r>
              <w:rPr/>
              <w:t>100,393,177</w:t>
            </w:r>
          </w:p>
        </w:tc>
        <w:tc>
          <w:tcPr>
            <w:tcW w:w="64" w:type="dxa"/>
            <w:tcBorders/>
            <w:shd w:fill="CCEEFF" w:val="clear"/>
            <w:vAlign w:val="bottom"/>
          </w:tcPr>
          <w:p>
            <w:pPr>
              <w:pStyle w:val="TableContents"/>
              <w:bidi w:val="0"/>
              <w:spacing w:before="0" w:after="283"/>
              <w:jc w:val="left"/>
              <w:rPr/>
            </w:pPr>
            <w:r>
              <w:rPr/>
              <w:t> </w:t>
            </w:r>
          </w:p>
        </w:tc>
      </w:tr>
      <w:tr>
        <w:trPr/>
        <w:tc>
          <w:tcPr>
            <w:tcW w:w="6039" w:type="dxa"/>
            <w:tcBorders/>
          </w:tcPr>
          <w:p>
            <w:pPr>
              <w:pStyle w:val="TableContents"/>
              <w:bidi w:val="0"/>
              <w:spacing w:before="0" w:after="0"/>
              <w:jc w:val="left"/>
              <w:rPr>
                <w:rFonts w:ascii="ARIAL" w:hAnsi="ARIAL"/>
                <w:sz w:val="20"/>
              </w:rPr>
            </w:pPr>
            <w:r>
              <w:rPr>
                <w:rFonts w:ascii="ARIAL" w:hAnsi="ARIAL"/>
                <w:sz w:val="20"/>
              </w:rPr>
              <w:t>Underwriting discounts and commissions</w:t>
            </w:r>
          </w:p>
        </w:tc>
        <w:tc>
          <w:tcPr>
            <w:tcW w:w="252"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2.19</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1456" w:type="dxa"/>
            <w:tcBorders/>
            <w:vAlign w:val="bottom"/>
          </w:tcPr>
          <w:p>
            <w:pPr>
              <w:pStyle w:val="TableContents"/>
              <w:bidi w:val="0"/>
              <w:spacing w:before="0" w:after="283"/>
              <w:jc w:val="right"/>
              <w:rPr/>
            </w:pPr>
            <w:r>
              <w:rPr/>
              <w:t>6,023,591</w:t>
            </w:r>
          </w:p>
        </w:tc>
        <w:tc>
          <w:tcPr>
            <w:tcW w:w="64" w:type="dxa"/>
            <w:tcBorders/>
            <w:vAlign w:val="bottom"/>
          </w:tcPr>
          <w:p>
            <w:pPr>
              <w:pStyle w:val="TableContents"/>
              <w:bidi w:val="0"/>
              <w:spacing w:before="0" w:after="283"/>
              <w:jc w:val="left"/>
              <w:rPr/>
            </w:pPr>
            <w:r>
              <w:rPr/>
              <w:t> </w:t>
            </w:r>
          </w:p>
        </w:tc>
      </w:tr>
      <w:tr>
        <w:trPr/>
        <w:tc>
          <w:tcPr>
            <w:tcW w:w="6039" w:type="dxa"/>
            <w:tcBorders/>
            <w:shd w:fill="CCEEFF" w:val="clear"/>
          </w:tcPr>
          <w:p>
            <w:pPr>
              <w:pStyle w:val="TableContents"/>
              <w:bidi w:val="0"/>
              <w:spacing w:before="0" w:after="0"/>
              <w:jc w:val="left"/>
              <w:rPr>
                <w:rFonts w:ascii="ARIAL" w:hAnsi="ARIAL"/>
                <w:sz w:val="20"/>
              </w:rPr>
            </w:pPr>
            <w:r>
              <w:rPr>
                <w:rFonts w:ascii="ARIAL" w:hAnsi="ARIAL"/>
                <w:sz w:val="20"/>
              </w:rPr>
              <w:t>Proceeds, before expenses, to us</w:t>
            </w:r>
          </w:p>
        </w:tc>
        <w:tc>
          <w:tcPr>
            <w:tcW w:w="25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34.31</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1456" w:type="dxa"/>
            <w:tcBorders/>
            <w:shd w:fill="CCEEFF" w:val="clear"/>
            <w:vAlign w:val="bottom"/>
          </w:tcPr>
          <w:p>
            <w:pPr>
              <w:pStyle w:val="TableContents"/>
              <w:bidi w:val="0"/>
              <w:spacing w:before="0" w:after="283"/>
              <w:jc w:val="right"/>
              <w:rPr/>
            </w:pPr>
            <w:r>
              <w:rPr/>
              <w:t>94,369,586</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underwriters propose to offer the shares of common stock at the offering price set forth on the cover of this prospectus supplement. The underwriters may offer the shares of common stock to securities dealers at the offering price less a concession not in excess of $1.314 per share. If all of the shares are not sold at the offering price, the underwriters may change the offering price and other selling terms. Sales of any shares of common stock may be made by affiliates of the underwriters. </w:t>
      </w:r>
    </w:p>
    <w:p>
      <w:pPr>
        <w:pStyle w:val="TextBody"/>
        <w:bidi w:val="0"/>
        <w:spacing w:before="240" w:after="0"/>
        <w:jc w:val="left"/>
        <w:rPr>
          <w:rFonts w:ascii="ARIAL" w:hAnsi="ARIAL"/>
          <w:sz w:val="20"/>
        </w:rPr>
      </w:pPr>
      <w:r>
        <w:rPr>
          <w:rFonts w:ascii="ARIAL" w:hAnsi="ARIAL"/>
          <w:b/>
          <w:sz w:val="20"/>
        </w:rPr>
        <w:t>Discretionary Accounts. </w:t>
      </w:r>
      <w:r>
        <w:rPr>
          <w:rFonts w:ascii="ARIAL" w:hAnsi="ARIAL"/>
          <w:sz w:val="20"/>
        </w:rPr>
        <w:t xml:space="preserve">The underwriters do not intend to confirm sales of the shares to any accounts over which they have discretionary authority.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b/>
          <w:sz w:val="20"/>
        </w:rPr>
        <w:t>Market Information. </w:t>
      </w:r>
      <w:r>
        <w:rPr>
          <w:rFonts w:ascii="ARIAL" w:hAnsi="ARIAL"/>
          <w:sz w:val="20"/>
        </w:rPr>
        <w:t xml:space="preserve">Our common stock is listed on the Nasdaq Global Select Market under the symbol ANAB. </w:t>
      </w:r>
    </w:p>
    <w:p>
      <w:pPr>
        <w:pStyle w:val="TextBody"/>
        <w:bidi w:val="0"/>
        <w:spacing w:before="240" w:after="0"/>
        <w:jc w:val="left"/>
        <w:rPr>
          <w:rFonts w:ascii="ARIAL" w:hAnsi="ARIAL"/>
          <w:sz w:val="20"/>
        </w:rPr>
      </w:pPr>
      <w:r>
        <w:rPr>
          <w:rFonts w:ascii="ARIAL" w:hAnsi="ARIAL"/>
          <w:b/>
          <w:sz w:val="20"/>
        </w:rPr>
        <w:t>Stabilization. </w:t>
      </w:r>
      <w:r>
        <w:rPr>
          <w:rFonts w:ascii="ARIAL" w:hAnsi="ARIAL"/>
          <w:sz w:val="20"/>
        </w:rPr>
        <w:t xml:space="preserve">In connection with this offering, the underwriters (and their affiliates) may engage in stabilizing transactions, penalty bids and purchases to cover positions created by short sales.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Penalty bids permit the representatives to reclaim a selling concession from a syndicate member when the common stock originally sold by that syndicate member is purchased in stabilizing or syndicate covering transactions to cover syndicate short positions. </w:t>
            </w:r>
          </w:p>
        </w:tc>
      </w:tr>
    </w:tbl>
    <w:p>
      <w:pPr>
        <w:pStyle w:val="TextBody"/>
        <w:bidi w:val="0"/>
        <w:spacing w:before="240" w:after="0"/>
        <w:jc w:val="left"/>
        <w:rPr>
          <w:rFonts w:ascii="ARIAL" w:hAnsi="ARIAL"/>
          <w:sz w:val="20"/>
        </w:rPr>
      </w:pPr>
      <w:r>
        <w:rPr>
          <w:rFonts w:ascii="ARIAL" w:hAnsi="ARIAL"/>
          <w:sz w:val="20"/>
        </w:rPr>
        <w:t xml:space="preserve">These stabilizing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underwriters make any representation or prediction as to the effect that the transactions described above may have on the price of our common stock. These transactions may be effected on the Nasdaq Stock Market, in the over-the-counter market or otherwise and, if commenced, may be discontinued at any time. </w:t>
      </w:r>
    </w:p>
    <w:p>
      <w:pPr>
        <w:pStyle w:val="TextBody"/>
        <w:bidi w:val="0"/>
        <w:spacing w:before="240" w:after="0"/>
        <w:jc w:val="left"/>
        <w:rPr>
          <w:rFonts w:ascii="ARIAL" w:hAnsi="ARIAL"/>
          <w:sz w:val="20"/>
        </w:rPr>
      </w:pPr>
      <w:r>
        <w:rPr>
          <w:rFonts w:ascii="ARIAL" w:hAnsi="ARIAL"/>
          <w:b/>
          <w:sz w:val="20"/>
        </w:rPr>
        <w:t>Passive Market Making. </w:t>
      </w:r>
      <w:r>
        <w:rPr>
          <w:rFonts w:ascii="ARIAL" w:hAnsi="ARIAL"/>
          <w:sz w:val="20"/>
        </w:rPr>
        <w:t xml:space="preserve">In connection with this offering, the underwriters (and their affiliates) may engage in passive market making transactions in our common stock on the Nasdaq Stock Market in accordance with Rule 103 of Regulation M under the Securities Exchange Act of 1934, as amended, during a period before the commencement of offers or sales of common stock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 </w:t>
      </w:r>
    </w:p>
    <w:p>
      <w:pPr>
        <w:pStyle w:val="TextBody"/>
        <w:bidi w:val="0"/>
        <w:spacing w:before="240" w:after="0"/>
        <w:jc w:val="left"/>
        <w:rPr>
          <w:rFonts w:ascii="ARIAL" w:hAnsi="ARIAL"/>
          <w:sz w:val="20"/>
        </w:rPr>
      </w:pPr>
      <w:r>
        <w:rPr>
          <w:rFonts w:ascii="ARIAL" w:hAnsi="ARIAL"/>
          <w:b/>
          <w:sz w:val="20"/>
        </w:rPr>
        <w:t>Lock-Up Agreements. </w:t>
      </w:r>
      <w:r>
        <w:rPr>
          <w:rFonts w:ascii="ARIAL" w:hAnsi="ARIAL"/>
          <w:sz w:val="20"/>
        </w:rPr>
        <w:t xml:space="preserve">Pursuant to certain lock-up agreements, we and our executive officers, directors and certain of our other stockholders, have agreed, subject to certain exceptions, not to and will not cause or direct any of its affiliates to offer, sell, assign, transfer, pledge, contract to sell, or otherwise dispose of or announce the intention to otherwise dispose of, or enter into, or announce the intention to enter into, any swap, hedge or similar agreement or arrangement (including, without limitation, the purchase or sale of, or entry into, any put or call option, or combination thereof, forward, swap or any other derivative transaction or instrument, however described or defined) that transfers, is designed to transfer or reasonably could be expected to transfer (whether by the stockholder or someone other than the stockholder) that transfers, in whole or in part, directly or indirectly, the economic consequence of ownership of, directly or indirectly, or make any demand or request or exercise any right with respect to the registration of, or file with the SEC a registration statement under the Securities Act relating to, any common stock or securities convertible into or exchangeable or exercisable for any common stock without the prior written consent of the representatives, for a period of 90 days after the date of the pricing of the offering. </w:t>
      </w:r>
    </w:p>
    <w:p>
      <w:pPr>
        <w:pStyle w:val="TextBody"/>
        <w:bidi w:val="0"/>
        <w:spacing w:before="240" w:after="0"/>
        <w:jc w:val="left"/>
        <w:rPr>
          <w:rFonts w:ascii="ARIAL" w:hAnsi="ARIAL"/>
          <w:sz w:val="20"/>
        </w:rPr>
      </w:pPr>
      <w:r>
        <w:rPr>
          <w:rFonts w:ascii="ARIAL" w:hAnsi="ARIAL"/>
          <w:sz w:val="20"/>
        </w:rPr>
        <w:t xml:space="preserve">The lock-up provisions apply to common stock and to securities convertible into or exchangeable or exercisable for common stock. It also applies to common stock owned now or acquired later by the person executing the agreement or for which the person executing the agreement later acquires the power of disposition. The exceptions permit us, among other things and subject to certain restrictions, to: (a) issue common stock or options pursuant to employee benefit plans, (b) issue common stock upon exercise of outstanding options or warrants, (c) file registration statements on Form S-8, (d) enter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into an agreement providing for the issuance of common stock or securities convertible into or exercisable for shares of common stock in connection with any acquisition, joint venture, collaboration, licensing, commercial relationship or other strategic transaction, provided that the aggregate number of shares of common stock, or any securities convertible into or exercisable or exchangeable for common stock, shall not exceed 5% of the total outstanding shares of common stock immediately following the issuance of the shares of common stock pursuant to this prospectus supplement, (e) beginning 30 days after the date of this prospectus supplement, issue shares of common stock pursuant to our at-the-market offering program sales agreement with Cowen and Company, LLC, as described below, and (f) beginning 75 days after the date of this prospectus supplement, file a registration statement on Form S-3 under the Securities Act to register the offer and sale of securities to be issued and issue securities pursuant to such registration statement. The exceptions permit parties to the lock-up agreements, among other things and subject to certain restrictions, to: (a) make certain gifts, (b) if the party is a corporation, partnership, limited liability company or other business entity, make transfers to any shareholders, partners, members of, or owners of similar equity interests in, the party, or to an affiliate of the party, if such transfer is not for value, (c) if the party is a corporation, partnership, limited liability company or other business entity, make transfers in connection with the sale or transfer of all of the partys capital stock, partnership interests, membership interests or other similar equity interests, as the case may be, or all or substantially all of the partys assets, in any such case not undertaken for the purpose of avoiding the restrictions imposed by the lock-up agreement, (d) initiate transactions relating to our securities acquired in open market transactions after the completion of this offering, (e) enter into 10b5-1 trading plans after the date of this prospectus supplement, (f) exercise options or warrants or settle restricted stock units and (g) sell shares of common stock pursuant to Rule 10b5-1 trading plans in effect as of this prospectus supplement. In addition, the lock-up provision will not restrict broker-dealers from engaging in market making and similar activities conducted in the ordinary course of their business. </w:t>
      </w:r>
    </w:p>
    <w:p>
      <w:pPr>
        <w:pStyle w:val="TextBody"/>
        <w:bidi w:val="0"/>
        <w:spacing w:before="240" w:after="0"/>
        <w:jc w:val="left"/>
        <w:rPr>
          <w:rFonts w:ascii="ARIAL" w:hAnsi="ARIAL"/>
          <w:sz w:val="20"/>
        </w:rPr>
      </w:pPr>
      <w:r>
        <w:rPr>
          <w:rFonts w:ascii="ARIAL" w:hAnsi="ARIAL"/>
          <w:sz w:val="20"/>
        </w:rPr>
        <w:t xml:space="preserve">The representatives in their sole discretion, may release our common stock and other securities subject to the lock-up agreements described above in whole or in part at any time. When determining whether or not to release our common stock and other securities from lock-up agreements, the representatives will consider, among other factors, the holders reasons for requesting the release, the number of shares for which the release is being requested and market conditions at the time of the request. </w:t>
      </w:r>
    </w:p>
    <w:p>
      <w:pPr>
        <w:pStyle w:val="TextBody"/>
        <w:bidi w:val="0"/>
        <w:spacing w:before="240" w:after="0"/>
        <w:jc w:val="left"/>
        <w:rPr>
          <w:rFonts w:ascii="ARIAL" w:hAnsi="ARIAL"/>
          <w:sz w:val="20"/>
          <w:u w:val="single"/>
        </w:rPr>
      </w:pPr>
      <w:r>
        <w:rPr>
          <w:rFonts w:ascii="ARIAL" w:hAnsi="ARIAL"/>
          <w:sz w:val="20"/>
          <w:u w:val="single"/>
        </w:rPr>
        <w:t xml:space="preserve">Selling Restrictions </w:t>
      </w:r>
    </w:p>
    <w:p>
      <w:pPr>
        <w:pStyle w:val="TextBody"/>
        <w:bidi w:val="0"/>
        <w:spacing w:before="160" w:after="0"/>
        <w:jc w:val="left"/>
        <w:rPr>
          <w:rFonts w:ascii="ARIAL" w:hAnsi="ARIAL"/>
          <w:sz w:val="20"/>
        </w:rPr>
      </w:pPr>
      <w:r>
        <w:rPr>
          <w:rFonts w:ascii="ARIAL" w:hAnsi="ARIAL"/>
          <w:b/>
          <w:sz w:val="20"/>
        </w:rPr>
        <w:t>Canada</w:t>
      </w:r>
      <w:r>
        <w:rPr>
          <w:rFonts w:ascii="ARIAL" w:hAnsi="ARIAL"/>
          <w:sz w:val="20"/>
        </w:rPr>
        <w:t xml:space="preserve">. The common stock may be sold only to purchasers purchasing, or deemed to be purchasing, as principal that are accredited investors, as defined in National Instrument 45-106 </w:t>
      </w:r>
      <w:r>
        <w:rPr>
          <w:rFonts w:ascii="ARIAL" w:hAnsi="ARIAL"/>
          <w:i/>
          <w:sz w:val="20"/>
        </w:rPr>
        <w:t>Prospectus Exemptions</w:t>
      </w:r>
      <w:r>
        <w:rPr>
          <w:rFonts w:ascii="ARIAL" w:hAnsi="ARIAL"/>
          <w:sz w:val="20"/>
        </w:rPr>
        <w:t xml:space="preserve"> or subsection 73.3(1) of the </w:t>
      </w:r>
      <w:r>
        <w:rPr>
          <w:rFonts w:ascii="ARIAL" w:hAnsi="ARIAL"/>
          <w:i/>
          <w:sz w:val="20"/>
        </w:rPr>
        <w:t xml:space="preserve">Securities Act </w:t>
      </w:r>
      <w:r>
        <w:rPr>
          <w:rFonts w:ascii="ARIAL" w:hAnsi="ARIAL"/>
          <w:sz w:val="20"/>
        </w:rPr>
        <w:t xml:space="preserve">(Ontario), and are permitted clients, as defined in National Instrument 31-103 </w:t>
      </w:r>
      <w:r>
        <w:rPr>
          <w:rFonts w:ascii="ARIAL" w:hAnsi="ARIAL"/>
          <w:i/>
          <w:sz w:val="20"/>
        </w:rPr>
        <w:t>Registration Requirements, Exemptions and Ongoing Registrant Obligations</w:t>
      </w:r>
      <w:r>
        <w:rPr>
          <w:rFonts w:ascii="ARIAL" w:hAnsi="ARIAL"/>
          <w:sz w:val="20"/>
        </w:rPr>
        <w:t xml:space="preserve">. Any resale of the common stock must be made in accordance with an exemption from, or in a transaction not subject to, the prospectus requirements of applicable securities laws. </w:t>
      </w:r>
    </w:p>
    <w:p>
      <w:pPr>
        <w:pStyle w:val="TextBody"/>
        <w:bidi w:val="0"/>
        <w:spacing w:before="240" w:after="0"/>
        <w:jc w:val="left"/>
        <w:rPr>
          <w:rFonts w:ascii="ARIAL" w:hAnsi="ARIAL"/>
          <w:sz w:val="20"/>
        </w:rPr>
      </w:pPr>
      <w:r>
        <w:rPr>
          <w:rFonts w:ascii="ARIAL" w:hAnsi="ARIAL"/>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ARIAL" w:hAnsi="ARIAL"/>
          <w:sz w:val="20"/>
        </w:rPr>
      </w:pPr>
      <w:r>
        <w:rPr>
          <w:rFonts w:ascii="ARIAL" w:hAnsi="ARIAL"/>
          <w:sz w:val="20"/>
        </w:rPr>
        <w:t xml:space="preserve">Pursuant to section 3A.3 of National Instrument 33-105 </w:t>
      </w:r>
      <w:r>
        <w:rPr>
          <w:rFonts w:ascii="ARIAL" w:hAnsi="ARIAL"/>
          <w:i/>
          <w:sz w:val="20"/>
        </w:rPr>
        <w:t xml:space="preserve">Underwriting Conflicts </w:t>
      </w:r>
      <w:r>
        <w:rPr>
          <w:rFonts w:ascii="ARIAL" w:hAnsi="ARIAL"/>
          <w:sz w:val="20"/>
        </w:rPr>
        <w:t xml:space="preserve">(NI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b/>
          <w:sz w:val="20"/>
        </w:rPr>
        <w:t>Switzerland. </w:t>
      </w:r>
      <w:r>
        <w:rPr>
          <w:rFonts w:ascii="ARIAL" w:hAnsi="ARIAL"/>
          <w:sz w:val="20"/>
        </w:rPr>
        <w:t xml:space="preserve">The securities will not be offered, directly or indirectly, to the public in Switzerland and this prospectus does not constitute a public offering prospectus as that term is understood pursuant to article 652a or 1156 of the Swiss Federal Code of Obligations. </w:t>
      </w:r>
    </w:p>
    <w:p>
      <w:pPr>
        <w:pStyle w:val="TextBody"/>
        <w:bidi w:val="0"/>
        <w:spacing w:before="240" w:after="0"/>
        <w:jc w:val="left"/>
        <w:rPr>
          <w:rFonts w:ascii="ARIAL" w:hAnsi="ARIAL"/>
          <w:sz w:val="20"/>
        </w:rPr>
      </w:pPr>
      <w:r>
        <w:rPr>
          <w:rFonts w:ascii="ARIAL" w:hAnsi="ARIAL"/>
          <w:b/>
          <w:sz w:val="20"/>
        </w:rPr>
        <w:t>European Economic Area. </w:t>
      </w:r>
      <w:r>
        <w:rPr>
          <w:rFonts w:ascii="ARIAL" w:hAnsi="ARIAL"/>
          <w:sz w:val="20"/>
        </w:rPr>
        <w:t xml:space="preserve">In relation to each Member State of the European Economic Area, or a Member State,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shares may be offered to the public in that Member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9389"/>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9389" w:type="dxa"/>
            <w:tcBorders/>
          </w:tcPr>
          <w:p>
            <w:pPr>
              <w:pStyle w:val="TableContents"/>
              <w:bidi w:val="0"/>
              <w:spacing w:before="0" w:after="0"/>
              <w:jc w:val="left"/>
              <w:rPr>
                <w:rFonts w:ascii="ARIAL" w:hAnsi="ARIAL"/>
                <w:sz w:val="20"/>
              </w:rPr>
            </w:pPr>
            <w:r>
              <w:rPr>
                <w:rFonts w:ascii="ARIAL" w:hAnsi="ARIAL"/>
                <w:sz w:val="20"/>
              </w:rPr>
              <w:t xml:space="preserve">to any legal entity which is a qualified investor as defined under Article 2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9392"/>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to fewer than 150 natural or legal persons (other than qualified investors as defined under Article 2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93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9390" w:type="dxa"/>
            <w:tcBorders/>
          </w:tcPr>
          <w:p>
            <w:pPr>
              <w:pStyle w:val="TableContents"/>
              <w:bidi w:val="0"/>
              <w:spacing w:before="0" w:after="0"/>
              <w:jc w:val="left"/>
              <w:rPr>
                <w:rFonts w:ascii="ARIAL" w:hAnsi="ARIAL"/>
                <w:sz w:val="20"/>
              </w:rPr>
            </w:pPr>
            <w:r>
              <w:rPr>
                <w:rFonts w:ascii="ARIAL" w:hAnsi="ARIAL"/>
                <w:sz w:val="20"/>
              </w:rPr>
              <w:t xml:space="preserve">in any other circumstances falling within Article 1(4) of the Prospectus Regulation, </w:t>
            </w:r>
          </w:p>
        </w:tc>
      </w:tr>
    </w:tbl>
    <w:p>
      <w:pPr>
        <w:pStyle w:val="TextBody"/>
        <w:bidi w:val="0"/>
        <w:spacing w:before="240" w:after="0"/>
        <w:jc w:val="left"/>
        <w:rPr>
          <w:rFonts w:ascii="ARIAL" w:hAnsi="ARIAL"/>
          <w:sz w:val="20"/>
        </w:rPr>
      </w:pPr>
      <w:r>
        <w:rPr>
          <w:rFonts w:ascii="ARIAL" w:hAnsi="ARIAL"/>
          <w:sz w:val="20"/>
        </w:rPr>
        <w:t xml:space="preserve">provided that no such offer of the shares shall require us or any of the representatives to publish a prospectus pursuant to Article 3 of the Prospectus Regulation or supplement a prospectus pursuant to Article 23 of the Prospectus Regulation. </w:t>
      </w:r>
    </w:p>
    <w:p>
      <w:pPr>
        <w:pStyle w:val="TextBody"/>
        <w:bidi w:val="0"/>
        <w:spacing w:before="240" w:after="0"/>
        <w:jc w:val="left"/>
        <w:rPr>
          <w:rFonts w:ascii="ARIAL" w:hAnsi="ARIAL"/>
          <w:sz w:val="20"/>
        </w:rPr>
      </w:pPr>
      <w:r>
        <w:rPr>
          <w:rFonts w:ascii="ARIAL" w:hAnsi="ARIAL"/>
          <w:sz w:val="20"/>
        </w:rPr>
        <w:t xml:space="preserve">For the purposes of this provision, the expression an offer to the public in relation to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240" w:after="0"/>
        <w:jc w:val="left"/>
        <w:rPr>
          <w:rFonts w:ascii="ARIAL" w:hAnsi="ARIAL"/>
          <w:sz w:val="20"/>
        </w:rPr>
      </w:pPr>
      <w:r>
        <w:rPr>
          <w:rFonts w:ascii="ARIAL" w:hAnsi="ARIAL"/>
          <w:b/>
          <w:sz w:val="20"/>
        </w:rPr>
        <w:t>United Kingdom. </w:t>
      </w:r>
      <w:r>
        <w:rPr>
          <w:rFonts w:ascii="ARIAL" w:hAnsi="ARIAL"/>
          <w:sz w:val="20"/>
        </w:rPr>
        <w:t xml:space="preserve">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9389"/>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9389" w:type="dxa"/>
            <w:tcBorders/>
          </w:tcPr>
          <w:p>
            <w:pPr>
              <w:pStyle w:val="TableContents"/>
              <w:bidi w:val="0"/>
              <w:spacing w:before="0" w:after="0"/>
              <w:jc w:val="left"/>
              <w:rPr>
                <w:rFonts w:ascii="ARIAL" w:hAnsi="ARIAL"/>
                <w:sz w:val="20"/>
              </w:rPr>
            </w:pPr>
            <w:r>
              <w:rPr>
                <w:rFonts w:ascii="ARIAL" w:hAnsi="ARIAL"/>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9392"/>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93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9390" w:type="dxa"/>
            <w:tcBorders/>
          </w:tcPr>
          <w:p>
            <w:pPr>
              <w:pStyle w:val="TableContents"/>
              <w:bidi w:val="0"/>
              <w:spacing w:before="0" w:after="0"/>
              <w:jc w:val="left"/>
              <w:rPr>
                <w:rFonts w:ascii="ARIAL" w:hAnsi="ARIAL"/>
                <w:sz w:val="20"/>
              </w:rPr>
            </w:pPr>
            <w:r>
              <w:rPr>
                <w:rFonts w:ascii="ARIAL" w:hAnsi="ARIAL"/>
                <w:sz w:val="20"/>
              </w:rPr>
              <w:t xml:space="preserve">in any other circumstances falling within Section 86 of the FSMA, </w:t>
            </w:r>
          </w:p>
        </w:tc>
      </w:tr>
    </w:tbl>
    <w:p>
      <w:pPr>
        <w:pStyle w:val="TextBody"/>
        <w:bidi w:val="0"/>
        <w:spacing w:before="240" w:after="0"/>
        <w:jc w:val="left"/>
        <w:rPr>
          <w:rFonts w:ascii="ARIAL" w:hAnsi="ARIAL"/>
          <w:sz w:val="20"/>
        </w:rPr>
      </w:pPr>
      <w:r>
        <w:rPr>
          <w:rFonts w:ascii="ARIAL" w:hAnsi="ARIAL"/>
          <w:sz w:val="20"/>
        </w:rPr>
        <w:t xml:space="preserve">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240" w:after="0"/>
        <w:jc w:val="left"/>
        <w:rPr>
          <w:rFonts w:ascii="ARIAL" w:hAnsi="ARIAL"/>
          <w:sz w:val="20"/>
        </w:rPr>
      </w:pPr>
      <w:r>
        <w:rPr>
          <w:rFonts w:ascii="ARIAL" w:hAnsi="ARIAL"/>
          <w:b/>
          <w:sz w:val="20"/>
        </w:rPr>
        <w:t>Hong Kong. </w:t>
      </w:r>
      <w:r>
        <w:rPr>
          <w:rFonts w:ascii="ARIAL" w:hAnsi="ARIAL"/>
          <w:sz w:val="20"/>
        </w:rPr>
        <w:t xml:space="preserve">The shares have not been offered or sold and will not be offered or sold in Hong Kong, by means of any document, other than (a) to professional investors as defined in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 </w:t>
      </w:r>
    </w:p>
    <w:p>
      <w:pPr>
        <w:pStyle w:val="TextBody"/>
        <w:bidi w:val="0"/>
        <w:spacing w:before="240" w:after="0"/>
        <w:jc w:val="left"/>
        <w:rPr>
          <w:rFonts w:ascii="ARIAL" w:hAnsi="ARIAL"/>
          <w:sz w:val="20"/>
        </w:rPr>
      </w:pPr>
      <w:r>
        <w:rPr>
          <w:rFonts w:ascii="ARIAL" w:hAnsi="ARIAL"/>
          <w:b/>
          <w:sz w:val="20"/>
        </w:rPr>
        <w:t>Singapore. </w:t>
      </w:r>
      <w:r>
        <w:rPr>
          <w:rFonts w:ascii="ARIAL" w:hAnsi="ARIAL"/>
          <w:sz w:val="20"/>
        </w:rPr>
        <w:t xml:space="preserve">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93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9391" w:type="dxa"/>
            <w:tcBorders/>
          </w:tcPr>
          <w:p>
            <w:pPr>
              <w:pStyle w:val="TableContents"/>
              <w:bidi w:val="0"/>
              <w:spacing w:before="0" w:after="0"/>
              <w:jc w:val="left"/>
              <w:rPr>
                <w:rFonts w:ascii="ARIAL" w:hAnsi="ARIAL"/>
                <w:sz w:val="20"/>
              </w:rPr>
            </w:pPr>
            <w:r>
              <w:rPr>
                <w:rFonts w:ascii="ARIAL" w:hAnsi="ARIAL"/>
                <w:sz w:val="20"/>
              </w:rPr>
              <w:t xml:space="preserve">to an institutional investor (as defined in Section 4A of the Securities and Futures Act (Chapter 289) of Singapore, as modified or amended from time to time, or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9392"/>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93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9390" w:type="dxa"/>
            <w:tcBorders/>
          </w:tcPr>
          <w:p>
            <w:pPr>
              <w:pStyle w:val="TableContents"/>
              <w:bidi w:val="0"/>
              <w:spacing w:before="0" w:after="0"/>
              <w:jc w:val="left"/>
              <w:rPr>
                <w:rFonts w:ascii="ARIAL" w:hAnsi="ARIAL"/>
                <w:sz w:val="20"/>
              </w:rPr>
            </w:pPr>
            <w:r>
              <w:rPr>
                <w:rFonts w:ascii="ARIAL" w:hAnsi="ARIAL"/>
                <w:sz w:val="20"/>
              </w:rPr>
              <w:t xml:space="preserve">otherwise pursuant to, and in accordance with the conditions of, any other applicable provision of the SFA. </w:t>
            </w:r>
          </w:p>
        </w:tc>
      </w:tr>
    </w:tbl>
    <w:p>
      <w:pPr>
        <w:pStyle w:val="TextBody"/>
        <w:bidi w:val="0"/>
        <w:spacing w:before="240" w:after="0"/>
        <w:jc w:val="left"/>
        <w:rPr>
          <w:rFonts w:ascii="ARIAL" w:hAnsi="ARIAL"/>
          <w:sz w:val="20"/>
        </w:rPr>
      </w:pPr>
      <w:r>
        <w:rPr>
          <w:rFonts w:ascii="ARIAL" w:hAnsi="ARIAL"/>
          <w:sz w:val="20"/>
        </w:rPr>
        <w:t xml:space="preserve">Where the shares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93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9391" w:type="dxa"/>
            <w:tcBorders/>
          </w:tcPr>
          <w:p>
            <w:pPr>
              <w:pStyle w:val="TableContents"/>
              <w:bidi w:val="0"/>
              <w:spacing w:before="0" w:after="0"/>
              <w:jc w:val="left"/>
              <w:rPr>
                <w:rFonts w:ascii="ARIAL" w:hAnsi="ARIAL"/>
                <w:sz w:val="20"/>
              </w:rPr>
            </w:pPr>
            <w:r>
              <w:rPr>
                <w:rFonts w:ascii="ARIAL" w:hAnsi="ARIAL"/>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93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9391" w:type="dxa"/>
            <w:tcBorders/>
          </w:tcPr>
          <w:p>
            <w:pPr>
              <w:pStyle w:val="TableContents"/>
              <w:bidi w:val="0"/>
              <w:spacing w:before="0" w:after="0"/>
              <w:jc w:val="left"/>
              <w:rPr>
                <w:rFonts w:ascii="ARIAL" w:hAnsi="ARIAL"/>
                <w:sz w:val="20"/>
              </w:rPr>
            </w:pPr>
            <w:r>
              <w:rPr>
                <w:rFonts w:ascii="ARIAL" w:hAnsi="ARIAL"/>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ARIAL" w:hAnsi="ARIAL"/>
          <w:sz w:val="20"/>
        </w:rPr>
      </w:pPr>
      <w:r>
        <w:rPr>
          <w:rFonts w:ascii="ARIAL" w:hAnsi="ARIAL"/>
          <w:sz w:val="20"/>
        </w:rPr>
        <w:t xml:space="preserve">securities or securities-based derivatives contracts (each term as defined in Section 2(1) of the SFA) of that corporation or the beneficiaries rights and interest (however described) in that trust shall not be transferred within six months after that corporation or that trust has acquired the shares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93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9391" w:type="dxa"/>
            <w:tcBorders/>
          </w:tcPr>
          <w:p>
            <w:pPr>
              <w:pStyle w:val="TableContents"/>
              <w:bidi w:val="0"/>
              <w:spacing w:before="0" w:after="0"/>
              <w:jc w:val="left"/>
              <w:rPr>
                <w:rFonts w:ascii="ARIAL" w:hAnsi="ARIAL"/>
                <w:sz w:val="20"/>
              </w:rPr>
            </w:pPr>
            <w:r>
              <w:rPr>
                <w:rFonts w:ascii="ARIAL" w:hAnsi="ARIAL"/>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93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9390" w:type="dxa"/>
            <w:tcBorders/>
          </w:tcPr>
          <w:p>
            <w:pPr>
              <w:pStyle w:val="TableContents"/>
              <w:bidi w:val="0"/>
              <w:spacing w:before="0" w:after="0"/>
              <w:jc w:val="left"/>
              <w:rPr>
                <w:rFonts w:ascii="ARIAL" w:hAnsi="ARIAL"/>
                <w:sz w:val="20"/>
              </w:rPr>
            </w:pPr>
            <w:r>
              <w:rPr>
                <w:rFonts w:ascii="ARIAL" w:hAnsi="ARIAL"/>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93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9390" w:type="dxa"/>
            <w:tcBorders/>
          </w:tcPr>
          <w:p>
            <w:pPr>
              <w:pStyle w:val="TableContents"/>
              <w:bidi w:val="0"/>
              <w:spacing w:before="0" w:after="0"/>
              <w:jc w:val="left"/>
              <w:rPr>
                <w:rFonts w:ascii="ARIAL" w:hAnsi="ARIAL"/>
                <w:sz w:val="20"/>
              </w:rPr>
            </w:pPr>
            <w:r>
              <w:rPr>
                <w:rFonts w:ascii="ARIAL" w:hAnsi="ARIAL"/>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93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9390" w:type="dxa"/>
            <w:tcBorders/>
          </w:tcPr>
          <w:p>
            <w:pPr>
              <w:pStyle w:val="TableContents"/>
              <w:bidi w:val="0"/>
              <w:spacing w:before="0" w:after="0"/>
              <w:jc w:val="left"/>
              <w:rPr>
                <w:rFonts w:ascii="ARIAL" w:hAnsi="ARIAL"/>
                <w:sz w:val="20"/>
              </w:rPr>
            </w:pPr>
            <w:r>
              <w:rPr>
                <w:rFonts w:ascii="ARIAL" w:hAnsi="ARIAL"/>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9392"/>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9392" w:type="dxa"/>
            <w:tcBorders/>
          </w:tcPr>
          <w:p>
            <w:pPr>
              <w:pStyle w:val="TableContents"/>
              <w:bidi w:val="0"/>
              <w:spacing w:before="0" w:after="0"/>
              <w:jc w:val="left"/>
              <w:rPr>
                <w:rFonts w:ascii="ARIAL" w:hAnsi="ARIAL"/>
                <w:sz w:val="20"/>
              </w:rPr>
            </w:pPr>
            <w:r>
              <w:rPr>
                <w:rFonts w:ascii="ARIAL" w:hAnsi="ARIAL"/>
                <w:sz w:val="20"/>
              </w:rPr>
              <w:t xml:space="preserve">as specified in Regulation 37A of the Securities and Futures (Offers of Investments) (Securities and Securities-based Derivatives Contracts) Regulations 2018.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Singapore SFA Product ClassificationIn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240" w:after="0"/>
        <w:jc w:val="left"/>
        <w:rPr>
          <w:rFonts w:ascii="ARIAL" w:hAnsi="ARIAL"/>
          <w:sz w:val="20"/>
        </w:rPr>
      </w:pPr>
      <w:r>
        <w:rPr>
          <w:rFonts w:ascii="ARIAL" w:hAnsi="ARIAL"/>
          <w:b/>
          <w:sz w:val="20"/>
        </w:rPr>
        <w:t>Israel. </w:t>
      </w:r>
      <w:r>
        <w:rPr>
          <w:rFonts w:ascii="ARIAL" w:hAnsi="ARIAL"/>
          <w:sz w:val="20"/>
        </w:rPr>
        <w:t xml:space="preserve">In the State of Israel this prospectus supplement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 </w:t>
      </w:r>
    </w:p>
    <w:p>
      <w:pPr>
        <w:pStyle w:val="TextBody"/>
        <w:bidi w:val="0"/>
        <w:spacing w:before="240" w:after="0"/>
        <w:jc w:val="left"/>
        <w:rPr>
          <w:rFonts w:ascii="ARIAL" w:hAnsi="ARIAL"/>
          <w:sz w:val="20"/>
        </w:rPr>
      </w:pPr>
      <w:r>
        <w:rPr>
          <w:rFonts w:ascii="ARIAL" w:hAnsi="ARIAL"/>
          <w:sz w:val="20"/>
        </w:rPr>
        <w:t xml:space="preserve">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240" w:after="0"/>
        <w:jc w:val="left"/>
        <w:rPr>
          <w:rFonts w:ascii="ARIAL" w:hAnsi="ARIAL"/>
          <w:sz w:val="20"/>
        </w:rPr>
      </w:pPr>
      <w:r>
        <w:rPr>
          <w:rFonts w:ascii="ARIAL" w:hAnsi="ARIAL"/>
          <w:sz w:val="20"/>
        </w:rPr>
        <w:t xml:space="preserve">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 Accordingly, no purchaser of the shares, other than the underwriters, is authorized to make any further offer of shares on our behalf or on behalf of the underwriters. </w:t>
      </w:r>
    </w:p>
    <w:p>
      <w:pPr>
        <w:pStyle w:val="TextBody"/>
        <w:bidi w:val="0"/>
        <w:spacing w:before="240" w:after="0"/>
        <w:jc w:val="left"/>
        <w:rPr>
          <w:rFonts w:ascii="ARIAL" w:hAnsi="ARIAL"/>
          <w:sz w:val="20"/>
        </w:rPr>
      </w:pPr>
      <w:r>
        <w:rPr>
          <w:rFonts w:ascii="ARIAL" w:hAnsi="ARIAL"/>
          <w:b/>
          <w:sz w:val="20"/>
        </w:rPr>
        <w:t>Electronic Offer, Sale and Distribution of Shares. </w:t>
      </w:r>
      <w:r>
        <w:rPr>
          <w:rFonts w:ascii="ARIAL" w:hAnsi="ARIAL"/>
          <w:sz w:val="20"/>
        </w:rPr>
        <w:t xml:space="preserve">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for sale to their online brokerage account holders. Internet distributions will be allocated by the underwriters that will make internet distributions on the same basis as other allocations. Other than the prospectus in electronic format, the information on these websites is not part of this prospectus or the registration statement of which this prospectus forms a part, has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not been approved or endorsed by us or any underwriter in its capacity as underwriter, and should not be relied upon by investors. </w:t>
      </w:r>
    </w:p>
    <w:p>
      <w:pPr>
        <w:pStyle w:val="TextBody"/>
        <w:bidi w:val="0"/>
        <w:spacing w:before="240" w:after="0"/>
        <w:jc w:val="left"/>
        <w:rPr>
          <w:rFonts w:ascii="ARIAL" w:hAnsi="ARIAL"/>
          <w:sz w:val="20"/>
        </w:rPr>
      </w:pPr>
      <w:r>
        <w:rPr>
          <w:rFonts w:ascii="ARIAL" w:hAnsi="ARIAL"/>
          <w:b/>
          <w:sz w:val="20"/>
        </w:rPr>
        <w:t>Other Relationships. </w:t>
      </w:r>
      <w:r>
        <w:rPr>
          <w:rFonts w:ascii="ARIAL" w:hAnsi="ARIAL"/>
          <w:sz w:val="20"/>
        </w:rPr>
        <w:t xml:space="preserve">Certain of the underwriters and their affiliates have provided, and may in the future provide, various investment banking, commercial banking and other financial services for us and our affiliates for which they have received, and may in the future receive, customary fees. In addition, we entered into an at-the-market offering program sales agreement with Cowen and Company, LLC, an affiliate of TD Securities (USA) LLC, on November 8, 2022, pursuant to which, we may offer and sell, from time to time at our discretion, shares of our common stock having an aggregate offering price of up to $150 million through Cowen and Company, LLC as our sales agent, for which Cowen and Company, LLC has received customary fees and expenses.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2" w:name="supprom755060_10"/>
      <w:bookmarkEnd w:id="12"/>
      <w:r>
        <w:rPr>
          <w:rFonts w:ascii="ARIAL" w:hAnsi="ARIAL"/>
          <w:b/>
          <w:sz w:val="20"/>
        </w:rPr>
        <w:t xml:space="preserve">LEGAL MATTERS </w:t>
      </w:r>
    </w:p>
    <w:p>
      <w:pPr>
        <w:pStyle w:val="TextBody"/>
        <w:bidi w:val="0"/>
        <w:spacing w:before="360" w:after="0"/>
        <w:jc w:val="left"/>
        <w:rPr>
          <w:rFonts w:ascii="ARIAL" w:hAnsi="ARIAL"/>
          <w:sz w:val="20"/>
        </w:rPr>
      </w:pPr>
      <w:r>
        <w:rPr>
          <w:rFonts w:ascii="ARIAL" w:hAnsi="ARIAL"/>
          <w:sz w:val="20"/>
        </w:rPr>
        <w:t xml:space="preserve">The validity of the common stock offered hereby and certain legal matters in connection with this offering will be passed upon by Fenwick &amp; West LLP, San Francisco, California. Certain legal matters with respect to the securities offered hereby will be passed upon for the underwriters by Mintz, Levin, Cohn, Ferris, Glovsky and Popeo, P.C., Boston, Massachusetts. </w:t>
      </w:r>
    </w:p>
    <w:p>
      <w:pPr>
        <w:pStyle w:val="TextBody"/>
        <w:bidi w:val="0"/>
        <w:spacing w:before="480" w:after="0"/>
        <w:jc w:val="center"/>
        <w:rPr>
          <w:rFonts w:ascii="ARIAL" w:hAnsi="ARIAL"/>
          <w:b/>
          <w:sz w:val="20"/>
        </w:rPr>
      </w:pPr>
      <w:bookmarkStart w:id="13" w:name="supprom755060_11"/>
      <w:bookmarkEnd w:id="13"/>
      <w:r>
        <w:rPr>
          <w:rFonts w:ascii="ARIAL" w:hAnsi="ARIAL"/>
          <w:b/>
          <w:sz w:val="20"/>
        </w:rPr>
        <w:t xml:space="preserve">EXPERTS </w:t>
      </w:r>
    </w:p>
    <w:p>
      <w:pPr>
        <w:pStyle w:val="TextBody"/>
        <w:bidi w:val="0"/>
        <w:spacing w:before="360" w:after="0"/>
        <w:jc w:val="left"/>
        <w:rPr>
          <w:rFonts w:ascii="ARIAL" w:hAnsi="ARIAL"/>
          <w:sz w:val="20"/>
        </w:rPr>
      </w:pPr>
      <w:r>
        <w:rPr>
          <w:rFonts w:ascii="ARIAL" w:hAnsi="ARIAL"/>
          <w:sz w:val="20"/>
        </w:rPr>
        <w:t xml:space="preserve">The consolidated financial statements of AnaptysBio, Inc. as of December 31, 2023 and 2022, and for each of the years in the three-year period ended December 31, 2023, have been incorporated by reference herein and in the registration statement in reliance upon the report of KPMG LLP, independent registered public accounting firm, incorporated by reference herein, and upon the authority of said firm as experts in accounting and auditing. </w:t>
      </w:r>
    </w:p>
    <w:p>
      <w:pPr>
        <w:pStyle w:val="TextBody"/>
        <w:bidi w:val="0"/>
        <w:spacing w:before="480" w:after="0"/>
        <w:jc w:val="center"/>
        <w:rPr>
          <w:rFonts w:ascii="ARIAL" w:hAnsi="ARIAL"/>
          <w:b/>
          <w:sz w:val="20"/>
        </w:rPr>
      </w:pPr>
      <w:bookmarkStart w:id="14" w:name="supprom755060_12"/>
      <w:bookmarkEnd w:id="14"/>
      <w:r>
        <w:rPr>
          <w:rFonts w:ascii="ARIAL" w:hAnsi="ARIAL"/>
          <w:b/>
          <w:sz w:val="20"/>
        </w:rPr>
        <w:t xml:space="preserve">WHERE YOU CAN FIND MORE INFORMATION </w:t>
      </w:r>
    </w:p>
    <w:p>
      <w:pPr>
        <w:pStyle w:val="TextBody"/>
        <w:bidi w:val="0"/>
        <w:spacing w:before="360" w:after="0"/>
        <w:jc w:val="left"/>
        <w:rPr>
          <w:rFonts w:ascii="ARIAL" w:hAnsi="ARIAL"/>
          <w:sz w:val="20"/>
        </w:rPr>
      </w:pPr>
      <w:r>
        <w:rPr>
          <w:rFonts w:ascii="ARIAL" w:hAnsi="ARIAL"/>
          <w:sz w:val="20"/>
        </w:rPr>
        <w:t xml:space="preserve">We have filed with the SEC a registration statement on Form S-3 under the Securities Act with respect to the securities offered hereby. This prospectus supplement, which constitutes a part of the registration statement, does not contain all of the information set forth in the registration statement or the exhibits filed therewith. For further information about us and the securities offered hereby, reference is made to the accompanying prospectus and registration statement of which it is a part and the exhibits filed therewith. Statements contained in this prospectus supplement regarding the contents of any contract or any other document that is filed as an exhibit to the accompanying prospectus and the registration statement of which it is a part are not necessarily complete, and in each instance we refer you to the copy of such contract or other document filed as an exhibit to the registration statement or the exhibits to the reports or other documents incorporated by reference in this prospectus for a copy of such contract or other document. </w:t>
      </w:r>
    </w:p>
    <w:p>
      <w:pPr>
        <w:pStyle w:val="TextBody"/>
        <w:bidi w:val="0"/>
        <w:spacing w:before="240" w:after="0"/>
        <w:jc w:val="left"/>
        <w:rPr>
          <w:rFonts w:ascii="ARIAL" w:hAnsi="ARIAL"/>
          <w:sz w:val="20"/>
        </w:rPr>
      </w:pPr>
      <w:r>
        <w:rPr>
          <w:rFonts w:ascii="ARIAL" w:hAnsi="ARIAL"/>
          <w:sz w:val="20"/>
        </w:rPr>
        <w:t xml:space="preserve">We are subject to the informational requirements of the Securities Exchange Act of 1934, as amended, or the Exchange Act, and are required to file annual, quarterly and other reports, proxy statements and other information with the SEC. The SEC maintains an Internet site (http://www.sec.gov) that contains reports, proxy and information statements, and various other information about us. You may also inspect the documents described herein at our principal executive offices, 10770 Wateridge Circle, Suite 210, San Diego, California 92121, during normal business hours. </w:t>
      </w:r>
    </w:p>
    <w:p>
      <w:pPr>
        <w:pStyle w:val="TextBody"/>
        <w:bidi w:val="0"/>
        <w:spacing w:before="240" w:after="0"/>
        <w:jc w:val="left"/>
        <w:rPr>
          <w:rFonts w:ascii="ARIAL" w:hAnsi="ARIAL"/>
          <w:sz w:val="20"/>
        </w:rPr>
      </w:pPr>
      <w:r>
        <w:rPr>
          <w:rFonts w:ascii="ARIAL" w:hAnsi="ARIAL"/>
          <w:sz w:val="20"/>
        </w:rPr>
        <w:t xml:space="preserve">Information about us is also available at our website at http:// www.anaptysbio.com. However, the information on our website is not a part of this prospectus supplement and is not incorporated by reference into this prospectus supplement. </w:t>
      </w:r>
    </w:p>
    <w:p>
      <w:pPr>
        <w:pStyle w:val="TextBody"/>
        <w:bidi w:val="0"/>
        <w:spacing w:before="480" w:after="0"/>
        <w:jc w:val="center"/>
        <w:rPr>
          <w:rFonts w:ascii="ARIAL" w:hAnsi="ARIAL"/>
          <w:b/>
          <w:sz w:val="20"/>
        </w:rPr>
      </w:pPr>
      <w:bookmarkStart w:id="15" w:name="supprom755060_13"/>
      <w:bookmarkEnd w:id="15"/>
      <w:r>
        <w:rPr>
          <w:rFonts w:ascii="ARIAL" w:hAnsi="ARIAL"/>
          <w:b/>
          <w:sz w:val="20"/>
        </w:rPr>
        <w:t xml:space="preserve">INCORPORATION OF INFORMATION BY REFERENCE </w:t>
      </w:r>
    </w:p>
    <w:p>
      <w:pPr>
        <w:pStyle w:val="TextBody"/>
        <w:bidi w:val="0"/>
        <w:spacing w:before="360" w:after="0"/>
        <w:jc w:val="left"/>
        <w:rPr>
          <w:rFonts w:ascii="ARIAL" w:hAnsi="ARIAL"/>
          <w:sz w:val="20"/>
        </w:rPr>
      </w:pPr>
      <w:r>
        <w:rPr>
          <w:rFonts w:ascii="ARIAL" w:hAnsi="ARIAL"/>
          <w:sz w:val="20"/>
        </w:rPr>
        <w:t xml:space="preserve">The SEC allows us to incorporate by reference information that we file with the SEC, which means that we can disclose important information to you by referring you to those other documents. The information incorporated by reference is an important part of this prospectus supplement and the accompanying prospectus, and information we file later with the SEC will automatically update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supersede this information. A Current Report (or portion thereof) furnished, but not filed, on Form 8-K shall not be incorporated by reference into this prospectus supplement and the accompanying prospectus. We incorporate by reference the documents listed below and any future filings we make with the SEC under Section 13(a), 13(c), 14, or 15(d) of the Exchange Act prior to the termination of any offering of securities made by this prospectus supplement and accompanying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7"/>
        <w:gridCol w:w="8983"/>
      </w:tblGrid>
      <w:tr>
        <w:trPr/>
        <w:tc>
          <w:tcPr>
            <w:tcW w:w="815"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8983" w:type="dxa"/>
            <w:tcBorders/>
          </w:tcPr>
          <w:p>
            <w:pPr>
              <w:pStyle w:val="TableContents"/>
              <w:bidi w:val="0"/>
              <w:spacing w:before="0" w:after="0"/>
              <w:jc w:val="left"/>
              <w:rPr/>
            </w:pPr>
            <w:r>
              <w:rPr>
                <w:rFonts w:ascii="ARIAL" w:hAnsi="ARIAL"/>
                <w:sz w:val="20"/>
              </w:rPr>
              <w:t xml:space="preserve">our Annual Report on Form 10-K for the fiscal year ended December 31, 2023 filed with the SEC on </w:t>
            </w:r>
            <w:hyperlink r:id="rId3">
              <w:r>
                <w:rPr>
                  <w:rStyle w:val="InternetLink"/>
                  <w:rFonts w:ascii="ARIAL" w:hAnsi="ARIAL"/>
                  <w:sz w:val="20"/>
                </w:rPr>
                <w:t>March 11, 2024</w:t>
              </w:r>
            </w:hyperlink>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6"/>
        <w:gridCol w:w="8984"/>
      </w:tblGrid>
      <w:tr>
        <w:trPr/>
        <w:tc>
          <w:tcPr>
            <w:tcW w:w="81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w:t>
            </w:r>
          </w:p>
        </w:tc>
        <w:tc>
          <w:tcPr>
            <w:tcW w:w="8984" w:type="dxa"/>
            <w:tcBorders/>
          </w:tcPr>
          <w:p>
            <w:pPr>
              <w:pStyle w:val="TableContents"/>
              <w:bidi w:val="0"/>
              <w:spacing w:before="0" w:after="0"/>
              <w:jc w:val="left"/>
              <w:rPr/>
            </w:pPr>
            <w:r>
              <w:rPr>
                <w:rFonts w:ascii="ARIAL" w:hAnsi="ARIAL"/>
                <w:sz w:val="20"/>
              </w:rPr>
              <w:t xml:space="preserve">our Quarterly Reports on Form 10-Q for the fiscal quarter ended March 31, 2024 filed with the SEC on </w:t>
            </w:r>
            <w:hyperlink r:id="rId4">
              <w:r>
                <w:rPr>
                  <w:rStyle w:val="InternetLink"/>
                  <w:rFonts w:ascii="ARIAL" w:hAnsi="ARIAL"/>
                  <w:sz w:val="20"/>
                </w:rPr>
                <w:t>May 9, 2024</w:t>
              </w:r>
            </w:hyperlink>
            <w:r>
              <w:rPr>
                <w:rFonts w:ascii="ARIAL" w:hAnsi="ARIAL"/>
                <w:sz w:val="20"/>
              </w:rPr>
              <w:t xml:space="preserve"> and the fiscal quarter ended June  30, 2024 filed with the SEC on </w:t>
            </w:r>
            <w:hyperlink r:id="rId5">
              <w:r>
                <w:rPr>
                  <w:rStyle w:val="InternetLink"/>
                  <w:rFonts w:ascii="ARIAL" w:hAnsi="ARIAL"/>
                  <w:sz w:val="20"/>
                </w:rPr>
                <w:t>August 5, 2024</w:t>
              </w:r>
            </w:hyperlink>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6"/>
        <w:gridCol w:w="8984"/>
      </w:tblGrid>
      <w:tr>
        <w:trPr/>
        <w:tc>
          <w:tcPr>
            <w:tcW w:w="81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w:t>
            </w:r>
          </w:p>
        </w:tc>
        <w:tc>
          <w:tcPr>
            <w:tcW w:w="8984" w:type="dxa"/>
            <w:tcBorders/>
          </w:tcPr>
          <w:p>
            <w:pPr>
              <w:pStyle w:val="TableContents"/>
              <w:bidi w:val="0"/>
              <w:spacing w:before="0" w:after="0"/>
              <w:jc w:val="left"/>
              <w:rPr/>
            </w:pPr>
            <w:r>
              <w:rPr>
                <w:rFonts w:ascii="ARIAL" w:hAnsi="ARIAL"/>
                <w:sz w:val="20"/>
              </w:rPr>
              <w:t xml:space="preserve">the portions of our definitive proxy statement on Schedule 14A filed with the SEC on </w:t>
            </w:r>
            <w:hyperlink r:id="rId6">
              <w:r>
                <w:rPr>
                  <w:rStyle w:val="InternetLink"/>
                  <w:rFonts w:ascii="ARIAL" w:hAnsi="ARIAL"/>
                  <w:sz w:val="20"/>
                </w:rPr>
                <w:t>April 24, 2024</w:t>
              </w:r>
            </w:hyperlink>
            <w:r>
              <w:rPr>
                <w:rFonts w:ascii="ARIAL" w:hAnsi="ARIAL"/>
                <w:sz w:val="20"/>
              </w:rPr>
              <w:t xml:space="preserve"> that are deemed filed with the SEC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8"/>
        <w:gridCol w:w="8982"/>
      </w:tblGrid>
      <w:tr>
        <w:trPr/>
        <w:tc>
          <w:tcPr>
            <w:tcW w:w="81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8982" w:type="dxa"/>
            <w:tcBorders/>
          </w:tcPr>
          <w:p>
            <w:pPr>
              <w:pStyle w:val="TableContents"/>
              <w:bidi w:val="0"/>
              <w:spacing w:before="0" w:after="0"/>
              <w:jc w:val="left"/>
              <w:rPr/>
            </w:pPr>
            <w:r>
              <w:rPr>
                <w:rFonts w:ascii="ARIAL" w:hAnsi="ARIAL"/>
                <w:sz w:val="20"/>
              </w:rPr>
              <w:t xml:space="preserve">our Current Report on Form 8-K filed on </w:t>
            </w:r>
            <w:hyperlink r:id="rId7">
              <w:r>
                <w:rPr>
                  <w:rStyle w:val="InternetLink"/>
                  <w:rFonts w:ascii="ARIAL" w:hAnsi="ARIAL"/>
                  <w:sz w:val="20"/>
                </w:rPr>
                <w:t>June  12, 2024</w:t>
              </w:r>
            </w:hyperlink>
            <w:r>
              <w:rPr>
                <w:rFonts w:ascii="ARIAL" w:hAnsi="ARIAL"/>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8"/>
        <w:gridCol w:w="8982"/>
      </w:tblGrid>
      <w:tr>
        <w:trPr/>
        <w:tc>
          <w:tcPr>
            <w:tcW w:w="81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8982" w:type="dxa"/>
            <w:tcBorders/>
          </w:tcPr>
          <w:p>
            <w:pPr>
              <w:pStyle w:val="TableContents"/>
              <w:bidi w:val="0"/>
              <w:spacing w:before="0" w:after="0"/>
              <w:jc w:val="left"/>
              <w:rPr/>
            </w:pPr>
            <w:r>
              <w:rPr>
                <w:rFonts w:ascii="ARIAL" w:hAnsi="ARIAL"/>
                <w:sz w:val="20"/>
              </w:rPr>
              <w:t xml:space="preserve">the description of our common stock contained in our registration statement on Form  8-A filed with the SEC on </w:t>
            </w:r>
            <w:hyperlink r:id="rId8">
              <w:r>
                <w:rPr>
                  <w:rStyle w:val="InternetLink"/>
                  <w:rFonts w:ascii="ARIAL" w:hAnsi="ARIAL"/>
                  <w:sz w:val="20"/>
                </w:rPr>
                <w:t>January 17, 2017</w:t>
              </w:r>
            </w:hyperlink>
            <w:r>
              <w:rPr>
                <w:rFonts w:ascii="ARIAL" w:hAnsi="ARIAL"/>
                <w:sz w:val="20"/>
              </w:rPr>
              <w:t xml:space="preserve"> under Section  12 of the Exchange Act, as further amended by </w:t>
            </w:r>
            <w:hyperlink r:id="rId9">
              <w:r>
                <w:rPr>
                  <w:rStyle w:val="InternetLink"/>
                  <w:rFonts w:ascii="ARIAL" w:hAnsi="ARIAL"/>
                  <w:sz w:val="20"/>
                </w:rPr>
                <w:t>Exhibit 4.3</w:t>
              </w:r>
            </w:hyperlink>
            <w:r>
              <w:rPr>
                <w:rFonts w:ascii="ARIAL" w:hAnsi="ARIAL"/>
                <w:sz w:val="20"/>
              </w:rPr>
              <w:t xml:space="preserve"> (Description of the Registrants Securities Registered Pursuant to Section 12 of the Securities Exchange Act of 1934) to our Annual Report on Form 10-K for the fiscal year ended December  31, 2019 and filed with the SEC on </w:t>
            </w:r>
            <w:hyperlink r:id="rId10">
              <w:r>
                <w:rPr>
                  <w:rStyle w:val="InternetLink"/>
                  <w:rFonts w:ascii="ARIAL" w:hAnsi="ARIAL"/>
                  <w:sz w:val="20"/>
                </w:rPr>
                <w:t>March 2, 2020</w:t>
              </w:r>
            </w:hyperlink>
            <w:r>
              <w:rPr>
                <w:rFonts w:ascii="ARIAL" w:hAnsi="ARIAL"/>
                <w:sz w:val="20"/>
              </w:rPr>
              <w:t xml:space="preserve">, including any amendment or report filed for the purpose of updating such description. </w:t>
            </w:r>
          </w:p>
        </w:tc>
      </w:tr>
    </w:tbl>
    <w:p>
      <w:pPr>
        <w:pStyle w:val="TextBody"/>
        <w:bidi w:val="0"/>
        <w:spacing w:before="240" w:after="0"/>
        <w:jc w:val="left"/>
        <w:rPr>
          <w:rFonts w:ascii="ARIAL" w:hAnsi="ARIAL"/>
          <w:sz w:val="20"/>
        </w:rPr>
      </w:pPr>
      <w:r>
        <w:rPr>
          <w:rFonts w:ascii="ARIAL" w:hAnsi="ARIAL"/>
          <w:sz w:val="20"/>
        </w:rPr>
        <w:t xml:space="preserve">We will furnish without charge to you, on written or oral request, a copy of any or all of such documents that have been incorporated herein by reference (other than exhibits to such documents unless such exhibits are specifically incorporated by reference into the documents that this prospectus incorporates). Written or oral requests for copies should be directed to AnaptysBio, Inc., Attn: Investor Relations, 10770 Wateridge Circle, Suite 210, San Diego, California 92121, telephone number (858) 362-6295. See the section of this prospectus supplement entitled Where You Can Find More Information for information concerning how to read and obtain copies of materials that we file with the SEC. </w:t>
      </w:r>
    </w:p>
    <w:p>
      <w:pPr>
        <w:pStyle w:val="TextBody"/>
        <w:bidi w:val="0"/>
        <w:spacing w:before="240" w:after="0"/>
        <w:jc w:val="left"/>
        <w:rPr>
          <w:rFonts w:ascii="ARIAL" w:hAnsi="ARIAL"/>
          <w:sz w:val="20"/>
        </w:rPr>
      </w:pPr>
      <w:r>
        <w:rPr>
          <w:rFonts w:ascii="ARIAL" w:hAnsi="ARIAL"/>
          <w:sz w:val="20"/>
        </w:rPr>
        <w:t xml:space="preserve">Any statement contained in this prospectus supplement, or in a document all or a portion of which is incorporated by reference, shall be modified or superseded for purposes of this prospectus supplement to the extent that a statement contained in this prospectus supplement or any document incorporated by reference modifies or supersedes such statement. Any such statement so modified or superseded shall not, except as so modified or superseded, constitute a part of this 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36"/>
        </w:rPr>
      </w:pPr>
      <w:r>
        <w:rPr>
          <w:rFonts w:ascii="Times New Roman" w:hAnsi="Times New Roman"/>
          <w:b/>
          <w:sz w:val="36"/>
        </w:rPr>
        <w:t xml:space="preserve">$300,000,000 </w:t>
      </w:r>
    </w:p>
    <w:p>
      <w:pPr>
        <w:pStyle w:val="TextBody"/>
        <w:bidi w:val="0"/>
        <w:spacing w:before="240" w:after="0"/>
        <w:jc w:val="center"/>
        <w:rPr>
          <w:rFonts w:ascii="Times New Roman" w:hAnsi="Times New Roman"/>
          <w:b/>
          <w:sz w:val="48"/>
        </w:rPr>
      </w:pPr>
      <w:r>
        <w:rPr>
          <w:rFonts w:ascii="Times New Roman" w:hAnsi="Times New Roman"/>
          <w:b/>
          <w:sz w:val="48"/>
        </w:rPr>
        <w:t xml:space="preserve">AnaptysBio,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Warrants, Subscription Rights and Units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offer up to $300,000,000 aggregate dollar amount of shares of our common stock or preferred stock, debt securities, warrants to purchase our common stock, preferred stock or debt securities, subscription rights to purchase our common stock, preferred stock or debt securities and/or units consisting of some or all of these securities, in any combination, together or separately, in one or more offerings, in amounts, at prices and on the terms that we will determine at the time of the offering and which will be set forth in a prospectus supplement and any related free writing prospectus. The prospectus supplement and any related free writing prospectus may also add, update or change information contained in this prospectus. The total amount of these securities will have an initial aggregate offering price of up to $300,000,000.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the information incorporated, or deemed to be incorporated, by reference in this prospectus, and any applicable prospectus supplement and related free writing prospectus carefully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traded on the Nasdaq Global Market under the symbol ANAB. On December 28, 2021 the last reported sales price for our common stock was $35.93 per share. None of the other securities we may offer are currently traded on any securities exchange. The applicable prospectus supplement and any related free writing prospectus will contain information, where applicable, as to any other listing on The Nasdaq Global Market or any securities market or exchange of the securities covered by the prospectus supplement and any related free writing prospectus.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Times New Roman" w:hAnsi="Times New Roman"/>
          <w:b/>
          <w:sz w:val="24"/>
        </w:rPr>
        <w:t>An investment in our securities involves a high degree of risk. You should carefully consider the information under the heading </w:t>
      </w:r>
      <w:hyperlink w:anchor="toc755060_3">
        <w:r>
          <w:rPr>
            <w:rStyle w:val="InternetLink"/>
            <w:rFonts w:ascii="Times New Roman" w:hAnsi="Times New Roman"/>
            <w:b/>
            <w:sz w:val="24"/>
          </w:rPr>
          <w:t>Risk Factors</w:t>
        </w:r>
      </w:hyperlink>
      <w:r>
        <w:rPr>
          <w:rFonts w:ascii="Times New Roman" w:hAnsi="Times New Roman"/>
          <w:b/>
          <w:sz w:val="24"/>
        </w:rPr>
        <w:t xml:space="preserve"> beginning on page 4 of this prospectus before investing in our securities. </w:t>
      </w:r>
    </w:p>
    <w:p>
      <w:pPr>
        <w:pStyle w:val="TextBody"/>
        <w:bidi w:val="0"/>
        <w:spacing w:before="120" w:after="0"/>
        <w:jc w:val="left"/>
        <w:rPr>
          <w:rFonts w:ascii="Times New Roman" w:hAnsi="Times New Roman"/>
          <w:sz w:val="20"/>
        </w:rPr>
      </w:pPr>
      <w:r>
        <w:rPr>
          <w:rFonts w:ascii="Times New Roman" w:hAnsi="Times New Roman"/>
          <w:sz w:val="20"/>
        </w:rPr>
        <w:t xml:space="preserve">Common stock, preferred stock, debt securities, warrants, subscription rights and/or units may be sold by us to or through underwriters or dealers, directly to purchasers or through agents designated from time to time. For additional information on the methods of sale, you should refer to the section entitled Plan of Distribution in this prospectus. If any underwriters, dealers or agents are involved in the sale of any securities with respect to which this prospectus is being delivered, the names of such underwriters or agents and any applicable fees, discounts or commissions, details regarding over-allotment options, if any, and the net proceeds to us will be set forth in a prospectus supplement. The price to the public of such securities and the net proceeds we expect to receive from such sale will also be set forth in a 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The date of this prospectus is January 11, 2022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
      <w:bookmarkEnd w:id="16"/>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16"/>
        <w:gridCol w:w="418"/>
        <w:gridCol w:w="130"/>
        <w:gridCol w:w="579"/>
        <w:gridCol w:w="62"/>
      </w:tblGrid>
      <w:tr>
        <w:trPr/>
        <w:tc>
          <w:tcPr>
            <w:tcW w:w="9016"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01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755060_1">
              <w:r>
                <w:rPr>
                  <w:rStyle w:val="InternetLink"/>
                  <w:rFonts w:ascii="Times New Roman" w:hAnsi="Times New Roman"/>
                  <w:sz w:val="20"/>
                </w:rPr>
                <w:t>ABOUT THIS PROSPECTUS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755060_2">
              <w:r>
                <w:rPr>
                  <w:rStyle w:val="InternetLink"/>
                  <w:rFonts w:ascii="Times New Roman" w:hAnsi="Times New Roman"/>
                  <w:sz w:val="20"/>
                </w:rPr>
                <w:t>PROSPECTUS SUMMARY</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755060_3">
              <w:r>
                <w:rPr>
                  <w:rStyle w:val="InternetLink"/>
                  <w:rFonts w:ascii="Times New Roman" w:hAnsi="Times New Roman"/>
                  <w:sz w:val="20"/>
                </w:rPr>
                <w:t>RISK FACTORS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755060_4">
              <w:r>
                <w:rPr>
                  <w:rStyle w:val="InternetLink"/>
                  <w:rFonts w:ascii="Times New Roman" w:hAnsi="Times New Roman"/>
                  <w:sz w:val="20"/>
                </w:rPr>
                <w:t>FORWARD-LOOKING STATEMENTS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755060_5">
              <w:r>
                <w:rPr>
                  <w:rStyle w:val="InternetLink"/>
                  <w:rFonts w:ascii="Times New Roman" w:hAnsi="Times New Roman"/>
                  <w:sz w:val="20"/>
                </w:rPr>
                <w:t>WHERE YOU CAN FIND MORE INFORMATION</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755060_6">
              <w:r>
                <w:rPr>
                  <w:rStyle w:val="InternetLink"/>
                  <w:rFonts w:ascii="Times New Roman" w:hAnsi="Times New Roman"/>
                  <w:sz w:val="20"/>
                </w:rPr>
                <w:t>INCORPORATION OF INFORMATION BY REFERENCE</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755060_7">
              <w:r>
                <w:rPr>
                  <w:rStyle w:val="InternetLink"/>
                  <w:rFonts w:ascii="Times New Roman" w:hAnsi="Times New Roman"/>
                  <w:sz w:val="20"/>
                </w:rPr>
                <w:t>USE OF PROCEEDS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755060_7a">
              <w:r>
                <w:rPr>
                  <w:rStyle w:val="InternetLink"/>
                  <w:rFonts w:ascii="Times New Roman" w:hAnsi="Times New Roman"/>
                  <w:sz w:val="20"/>
                </w:rPr>
                <w:t>DIVIDEND POLICY</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755060_8">
              <w:r>
                <w:rPr>
                  <w:rStyle w:val="InternetLink"/>
                  <w:rFonts w:ascii="Times New Roman" w:hAnsi="Times New Roman"/>
                  <w:sz w:val="20"/>
                </w:rPr>
                <w:t>PLAN OF DISTRIBUTION</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755060_9">
              <w:r>
                <w:rPr>
                  <w:rStyle w:val="InternetLink"/>
                  <w:rFonts w:ascii="Times New Roman" w:hAnsi="Times New Roman"/>
                  <w:sz w:val="20"/>
                </w:rPr>
                <w:t>DESCRIPTION OF CAPITAL STOCK</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755060_10">
              <w:r>
                <w:rPr>
                  <w:rStyle w:val="InternetLink"/>
                  <w:rFonts w:ascii="Times New Roman" w:hAnsi="Times New Roman"/>
                  <w:sz w:val="20"/>
                </w:rPr>
                <w:t>DESCRIPTION OF DEBT SECURITIES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755060_11">
              <w:r>
                <w:rPr>
                  <w:rStyle w:val="InternetLink"/>
                  <w:rFonts w:ascii="Times New Roman" w:hAnsi="Times New Roman"/>
                  <w:sz w:val="20"/>
                </w:rPr>
                <w:t>DESCRIPTION OF WARRANTS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755060_12">
              <w:r>
                <w:rPr>
                  <w:rStyle w:val="InternetLink"/>
                  <w:rFonts w:ascii="Times New Roman" w:hAnsi="Times New Roman"/>
                  <w:sz w:val="20"/>
                </w:rPr>
                <w:t>DESCRIPTION OF SUBSCRIPTION RIGHTS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755060_13">
              <w:r>
                <w:rPr>
                  <w:rStyle w:val="InternetLink"/>
                  <w:rFonts w:ascii="Times New Roman" w:hAnsi="Times New Roman"/>
                  <w:sz w:val="20"/>
                </w:rPr>
                <w:t>DESCRIPTION OF UNITS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755060_14">
              <w:r>
                <w:rPr>
                  <w:rStyle w:val="InternetLink"/>
                  <w:rFonts w:ascii="Times New Roman" w:hAnsi="Times New Roman"/>
                  <w:sz w:val="20"/>
                </w:rPr>
                <w:t>LEGAL MATTERS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755060_15">
              <w:r>
                <w:rPr>
                  <w:rStyle w:val="InternetLink"/>
                  <w:rFonts w:ascii="Times New Roman" w:hAnsi="Times New Roman"/>
                  <w:sz w:val="20"/>
                </w:rPr>
                <w:t>EXPERTS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755060_1"/>
      <w:bookmarkEnd w:id="17"/>
      <w:r>
        <w:rPr>
          <w:rFonts w:ascii="Times New Roman" w:hAnsi="Times New Roman"/>
          <w:b/>
          <w:sz w:val="20"/>
        </w:rPr>
        <w:t>ABOUT THIS PROSPECTUS</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(the SEC), using a shelf registration process. Under this shelf registration process, from time to time, we may sell any combination of the securities described in this prospectus in one or more offerings, up to a total dollar amount of $300,000,000. Each time we offer our securities under this prospectus, we will provide a prospectus supplement that will contain more specific information about the terms of the offering. We may also add, update or change in a prospectus supplement any of the information contained in this prospectus or in documents we have incorporated by reference into this prospectus.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This prospectus, together with the applicable prospectus supplements and the documents incorporated by reference into this prospectus, includes all material information relating to this offering. You should carefully read both this prospectus and the applicable prospectus supplement, together with the additional information described under the headings Incorporation of Information by Reference and Where You Can Find More Information before buying any of our securities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into this prospectus or any applicable prospectus supplement. No dealer, salesperson or any other person is authorized to give any information or to make any representation other than the information and representations contained in or incorporated by reference into this prospectus or any applicable prospectus supplement. If different information is given or different representations are made, you may not rely on that information or those representations as having been authorized by us. You may not imply from the delivery of this prospectus and any applicable prospectus supplement, nor from a sale made under this prospectus and any applicable prospectus supplement, that our affairs are unchanged since the date of this prospectus and any applicable prospectus supplement or that the information contained in any document incorporated by reference is accurate as of any date other than the date of the document incorporated by reference, regardless of the time of delivery of this prospectus and any applicable prospectus supplement or any sale of a security. This prospectus and any applicable prospectus supplement may only be used where it is legal to sell the securities.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THIS PROSPECTUS MAY NOT BE USED TO OFFER AND SELL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unless the context otherwise requires, the terms AnaptysBio, the Company, we, us, and our refer to AnaptysBio, Inc., a Delaware corporation. This prospectus supplement, the accompanying prospectus and the information incorporated by reference herein and therein may contain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8" w:name="toc755060_2"/>
      <w:bookmarkEnd w:id="18"/>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may not contain all the information that you should consider before investing in securities. You should read the entire prospectus and the information incorporated by reference in this prospectus carefully, including Risk Factors and the financial data and related notes and other information incorporated by reference,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 stage biotechnology company developing first-in-class immunology therapeutic product candidates focused on emerging immune control mechanisms applicable to inflammation and immuno-oncology indications. We develop our product candidates to address emerging biological targets using our proprietary antibody discovery technology platform, which is based upon a breakthrough understanding of the natural process of antibody generation, known as somatic hypermutation (SHM) and replicates this natural process of antibody generation in vitro. Our strategy is to advance the development of our proprietary product candidates, and where applicable, establish partnerships with leading biopharmaceutical companies where we retain certain development and commercialization rights. Our most advanced wholly-owned antibody programs, imsidolimab, rosnilimab and ANB032, are designed to modulate therapeutic targets that are genetically associated with human inflammatory disorders.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in November 2005. Our principal executive offices are located at 10770 Wateridge Circle, Suite 210, San Diego, California 92121, and our telephone number is (858) 362-6295. Our website address is www.anaptysbio.com. The information contained on, or that can be accessed through, our website is not part of, and is not incorporated by reference into,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We May Offer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With this prospectus, we may offer common stock, preferred stock, debt securities, warrants, subscription rights to purchase our common stock, preferred stock or debt securities, and/or units consisting of some or all of these securities in any combination. The aggregate offering price of securities that we offer with this prospectus will not exceed $300,000,000. Each time we offer securities with this prospectus, we will provide offerees with a prospectus supplement that will contain the specific terms of the securities being offered. The following is a summary of the securities we may offer with this prospectus.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shares of our common stock, par value $0.001 per share.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Preferred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shares of our preferred stock, par value $0.001 per share, in one or more series. Our board of directors or a committee designated by the board will determine the dividend, voting, conversion and other rights of the series of shares of preferred stock being offered. Each series of preferred stock will be more fully described in the particular prospectus supplement that will accompany this prospectus, including redemption provisions, rights in the event of our liquidation, dissolution or the winding up, voting rights and rights to convert into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Debt Securities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general obligations, which may be secured or unsecured, senior or subordinated and convertible into shares of our common stock or preferred stock. In this prospectus, we refer to the senior debt securities and the subordinated debt securities together as the debt securities. Our board of directors will determine the terms of each series of debt securities being offered.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issue the debt securities under an indenture between us and a trustee. In this document, we have summarized general features of the debt securities from the indenture. We encourage you to read the indenture, which is an exhibit to the registration statement of which this prospectus is a part.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Warrants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warrants for the purchase of debt securities, shares of preferred stock or shares of common stock. We may issue warrants independently or together with other securities. Our board of directors will determine the terms of the warrants.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Subscription Rights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subscription rights for the purchase of common stock, preferred stock or debt securities. We may issue subscription rights independently or together with other securities. Our board of directors will determine the terms of the subscription rights.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Units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 </w:t>
      </w:r>
    </w:p>
    <w:p>
      <w:pPr>
        <w:pStyle w:val="TextBody"/>
        <w:bidi w:val="0"/>
        <w:spacing w:before="240" w:after="0"/>
        <w:jc w:val="center"/>
        <w:rPr>
          <w:rFonts w:ascii="Times New Roman" w:hAnsi="Times New Roman"/>
          <w:sz w:val="20"/>
          <w:bdr w:val="single" w:sz="8" w:space="1" w:color="000000"/>
        </w:rPr>
      </w:pPr>
      <w:r>
        <w:rPr>
          <w:rFonts w:ascii="Times New Roman" w:hAnsi="Times New Roman"/>
          <w:sz w:val="20"/>
          <w:bdr w:val="single" w:sz="8" w:space="1" w:color="00000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755060_3"/>
      <w:bookmarkEnd w:id="19"/>
      <w:r>
        <w:rPr>
          <w:rFonts w:ascii="Times New Roman" w:hAnsi="Times New Roman"/>
          <w:b/>
          <w:sz w:val="20"/>
        </w:rPr>
        <w:t>RISK FACTORS</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a high degree of risk. The prospectus supplement applicable to each offering of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Part II, Item 1A, Risk Factors, in our Quarterly Report on Form 10-Q for the quarterly period ended September 30, 2021,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755060_4"/>
      <w:bookmarkEnd w:id="20"/>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documents incorporated herein by reference contain forward-looking statements within the meaning of the Private Securities Litigation Reform Act of 1995.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Such statements include, but are not limited to, statements about future financial and operating results, plans, objectives, expectations and intentions, costs and expenses, interest rates, outcome of contingencies, financial condition, results of operations, liquidity, cost savings, objectives of management, business strategies, debt financing, clinical trial timing and plans, the achievement of clinical and commercial milestones, the advancement of our technologies and our proprietary and partnered products and product candidates, and other statements that are not historical facts. You can find many of these statements by looking for words like believes, expects, anticipates, estimates, may, might, should, will, could, plan, intend, project, seek or similar expressions in this prospectus or in documents incorporated by reference into this prospectus. We intend that such forward-looking statements be subject to the safe harbors created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the current beliefs and expectations of our management and are subject to significant risks and uncertainties. If underlying assumptions prove inaccurate or unknown risks or uncertainties materialize, actual results may differ materially from current expectations and projections. Factors that might cause such a difference include those discussed in Part II, Item 1A, Risk Factors, in our Quarterly Report on Form 10-Q for the quarterly period ended September 30, 2021, as well as those discussed in this prospectus and in the documents incorporated by reference into this prospectus. You are cautioned not to place undue reliance on these forward-looking statements, which speak only as of the date of this prospectus or, in the case of documents referred to or incorporated by reference, the date of those documents. </w:t>
      </w:r>
    </w:p>
    <w:p>
      <w:pPr>
        <w:pStyle w:val="TextBody"/>
        <w:bidi w:val="0"/>
        <w:spacing w:before="240" w:after="0"/>
        <w:jc w:val="left"/>
        <w:rPr>
          <w:rFonts w:ascii="Times New Roman" w:hAnsi="Times New Roman"/>
          <w:sz w:val="20"/>
        </w:rPr>
      </w:pPr>
      <w:r>
        <w:rPr>
          <w:rFonts w:ascii="Times New Roman" w:hAnsi="Times New Roman"/>
          <w:sz w:val="20"/>
        </w:rPr>
        <w:t xml:space="preserve">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755060_5"/>
      <w:bookmarkEnd w:id="2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Securities Exchange Act of 1934, as amended (the Exchange Act) and are required to file annual, quarterly and other reports, proxy statements and other information with the SEC. The SEC maintains an Internet site (http://www.sec.gov) that contains reports, proxy and information statements, and various other information about us.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us is also available at our website at http://www.anaptysbio.com. However, the information on our website is not a part of this prospectus and is not incorporated by reference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755060_6"/>
      <w:bookmarkEnd w:id="22"/>
      <w:r>
        <w:rPr>
          <w:rFonts w:ascii="Times New Roman" w:hAnsi="Times New Roman"/>
          <w:b/>
          <w:sz w:val="20"/>
        </w:rPr>
        <w:t xml:space="preserve">INCORPORATION OF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the SEC, which means that we can disclose important information to you by referring you to those other documents. The information incorporated by reference is an important part of this prospectus, and information we file later with the SEC will automatically update and supersede this information. A Current Report (or portion thereof) furnished, but not filed, on Form 8-K shall not be incorporated by reference into this prospectus. We incorporate by reference the documents listed below and any future filings we make with the SEC under Section 13(a), 13(c), 14, or 15(d) of the Exchange Act prior to the termination of any offering of securities made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rFonts w:ascii="Times New Roman" w:hAnsi="Times New Roman"/>
                <w:sz w:val="20"/>
              </w:rPr>
              <w:t xml:space="preserve">our Annual Report on </w:t>
            </w:r>
            <w:hyperlink r:id="rId11">
              <w:r>
                <w:rPr>
                  <w:rStyle w:val="InternetLink"/>
                  <w:rFonts w:ascii="Times New Roman" w:hAnsi="Times New Roman"/>
                  <w:sz w:val="20"/>
                </w:rPr>
                <w:t>Form 10-K</w:t>
              </w:r>
            </w:hyperlink>
            <w:r>
              <w:rPr>
                <w:rFonts w:ascii="Times New Roman" w:hAnsi="Times New Roman"/>
                <w:sz w:val="20"/>
              </w:rPr>
              <w:t xml:space="preserve"> for the fiscal year ended December 31, 2020 filed with the SEC on February 25, 2021, including those portions of our  Definitive Proxy Statement on </w:t>
            </w:r>
            <w:hyperlink r:id="rId12">
              <w:r>
                <w:rPr>
                  <w:rStyle w:val="InternetLink"/>
                  <w:rFonts w:ascii="Times New Roman" w:hAnsi="Times New Roman"/>
                  <w:sz w:val="20"/>
                </w:rPr>
                <w:t>Schedule 14A</w:t>
              </w:r>
            </w:hyperlink>
            <w:r>
              <w:rPr>
                <w:rFonts w:ascii="Times New Roman" w:hAnsi="Times New Roman"/>
                <w:sz w:val="20"/>
              </w:rPr>
              <w:t xml:space="preserve"> filed with the SEC on April 26, 2021 that are specifically incorporated by reference into such Annual Report on Form 10-K;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rFonts w:ascii="Times New Roman" w:hAnsi="Times New Roman"/>
                <w:sz w:val="20"/>
              </w:rPr>
              <w:t xml:space="preserve">our Quarterly Report on </w:t>
            </w:r>
            <w:hyperlink r:id="rId13">
              <w:r>
                <w:rPr>
                  <w:rStyle w:val="InternetLink"/>
                  <w:rFonts w:ascii="Times New Roman" w:hAnsi="Times New Roman"/>
                  <w:sz w:val="20"/>
                </w:rPr>
                <w:t>Form 10-Q</w:t>
              </w:r>
            </w:hyperlink>
            <w:r>
              <w:rPr>
                <w:rFonts w:ascii="Times New Roman" w:hAnsi="Times New Roman"/>
                <w:sz w:val="20"/>
              </w:rPr>
              <w:t xml:space="preserve"> for the quarter ended March 31, 2021 and filed with the SEC on May 4,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rFonts w:ascii="Times New Roman" w:hAnsi="Times New Roman"/>
                <w:sz w:val="20"/>
              </w:rPr>
              <w:t xml:space="preserve">our Quarterly Report on </w:t>
            </w:r>
            <w:hyperlink r:id="rId14">
              <w:r>
                <w:rPr>
                  <w:rStyle w:val="InternetLink"/>
                  <w:rFonts w:ascii="Times New Roman" w:hAnsi="Times New Roman"/>
                  <w:sz w:val="20"/>
                </w:rPr>
                <w:t>Form 10-Q</w:t>
              </w:r>
            </w:hyperlink>
            <w:r>
              <w:rPr>
                <w:rFonts w:ascii="Times New Roman" w:hAnsi="Times New Roman"/>
                <w:sz w:val="20"/>
              </w:rPr>
              <w:t xml:space="preserve"> for the quarter ended June 30, 2021 and filed with the SEC on August 9,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rFonts w:ascii="Times New Roman" w:hAnsi="Times New Roman"/>
                <w:sz w:val="20"/>
              </w:rPr>
              <w:t xml:space="preserve">our Quarterly Report on </w:t>
            </w:r>
            <w:hyperlink r:id="rId15">
              <w:r>
                <w:rPr>
                  <w:rStyle w:val="InternetLink"/>
                  <w:rFonts w:ascii="Times New Roman" w:hAnsi="Times New Roman"/>
                  <w:sz w:val="20"/>
                </w:rPr>
                <w:t>Form 10-Q</w:t>
              </w:r>
            </w:hyperlink>
            <w:r>
              <w:rPr>
                <w:rFonts w:ascii="Times New Roman" w:hAnsi="Times New Roman"/>
                <w:sz w:val="20"/>
              </w:rPr>
              <w:t xml:space="preserve"> for the quarter ended September 30, 2021 and filed with the SEC on November 4,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16">
              <w:r>
                <w:rPr>
                  <w:rStyle w:val="InternetLink"/>
                  <w:rFonts w:ascii="Times New Roman" w:hAnsi="Times New Roman"/>
                  <w:sz w:val="20"/>
                </w:rPr>
                <w:t>January  19, 2021</w:t>
              </w:r>
            </w:hyperlink>
            <w:r>
              <w:rPr>
                <w:rFonts w:ascii="Times New Roman" w:hAnsi="Times New Roman"/>
                <w:sz w:val="20"/>
              </w:rPr>
              <w:t xml:space="preserve">, </w:t>
            </w:r>
            <w:hyperlink r:id="rId17">
              <w:r>
                <w:rPr>
                  <w:rStyle w:val="InternetLink"/>
                  <w:rFonts w:ascii="Times New Roman" w:hAnsi="Times New Roman"/>
                  <w:sz w:val="20"/>
                </w:rPr>
                <w:t>April  12, 2021</w:t>
              </w:r>
            </w:hyperlink>
            <w:r>
              <w:rPr>
                <w:rFonts w:ascii="Times New Roman" w:hAnsi="Times New Roman"/>
                <w:sz w:val="20"/>
              </w:rPr>
              <w:t xml:space="preserve">, </w:t>
            </w:r>
            <w:hyperlink r:id="rId18">
              <w:r>
                <w:rPr>
                  <w:rStyle w:val="InternetLink"/>
                  <w:rFonts w:ascii="Times New Roman" w:hAnsi="Times New Roman"/>
                  <w:sz w:val="20"/>
                </w:rPr>
                <w:t>June  17, 2021</w:t>
              </w:r>
            </w:hyperlink>
            <w:r>
              <w:rPr>
                <w:rFonts w:ascii="Times New Roman" w:hAnsi="Times New Roman"/>
                <w:sz w:val="20"/>
              </w:rPr>
              <w:t xml:space="preserve">, </w:t>
            </w:r>
            <w:hyperlink r:id="rId19">
              <w:r>
                <w:rPr>
                  <w:rStyle w:val="InternetLink"/>
                  <w:rFonts w:ascii="Times New Roman" w:hAnsi="Times New Roman"/>
                  <w:sz w:val="20"/>
                </w:rPr>
                <w:t>October  25, 2021</w:t>
              </w:r>
            </w:hyperlink>
            <w:r>
              <w:rPr>
                <w:rFonts w:ascii="Times New Roman" w:hAnsi="Times New Roman"/>
                <w:sz w:val="20"/>
              </w:rPr>
              <w:t xml:space="preserve">, </w:t>
            </w:r>
            <w:hyperlink r:id="rId20">
              <w:r>
                <w:rPr>
                  <w:rStyle w:val="InternetLink"/>
                  <w:rFonts w:ascii="Times New Roman" w:hAnsi="Times New Roman"/>
                  <w:sz w:val="20"/>
                </w:rPr>
                <w:t>November  29, 2021</w:t>
              </w:r>
            </w:hyperlink>
            <w:r>
              <w:rPr>
                <w:rFonts w:ascii="Times New Roman" w:hAnsi="Times New Roman"/>
                <w:sz w:val="20"/>
              </w:rPr>
              <w:t xml:space="preserve"> and </w:t>
            </w:r>
            <w:hyperlink r:id="rId21">
              <w:r>
                <w:rPr>
                  <w:rStyle w:val="InternetLink"/>
                  <w:rFonts w:ascii="Times New Roman" w:hAnsi="Times New Roman"/>
                  <w:sz w:val="20"/>
                </w:rPr>
                <w:t>December 1, 2021</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22">
              <w:r>
                <w:rPr>
                  <w:rStyle w:val="InternetLink"/>
                  <w:rFonts w:ascii="Times New Roman" w:hAnsi="Times New Roman"/>
                  <w:sz w:val="20"/>
                </w:rPr>
                <w:t>Form 8-A</w:t>
              </w:r>
            </w:hyperlink>
            <w:r>
              <w:rPr>
                <w:rFonts w:ascii="Times New Roman" w:hAnsi="Times New Roman"/>
                <w:sz w:val="20"/>
              </w:rPr>
              <w:t xml:space="preserve"> filed with the SEC on January 17, 2017 under Section  12 of the Exchange Act, as further amended by </w:t>
            </w:r>
            <w:hyperlink r:id="rId23">
              <w:r>
                <w:rPr>
                  <w:rStyle w:val="InternetLink"/>
                  <w:rFonts w:ascii="Times New Roman" w:hAnsi="Times New Roman"/>
                  <w:sz w:val="20"/>
                </w:rPr>
                <w:t>Exhibit 4.3</w:t>
              </w:r>
            </w:hyperlink>
            <w:r>
              <w:rPr>
                <w:rFonts w:ascii="Times New Roman" w:hAnsi="Times New Roman"/>
                <w:sz w:val="20"/>
              </w:rPr>
              <w:t xml:space="preserve"> (Description of the Registrants Securities Registered Pursuant to Section  12 of the Securities Exchange Act of 1934) to our Annual Report on </w:t>
            </w:r>
            <w:hyperlink r:id="rId24">
              <w:r>
                <w:rPr>
                  <w:rStyle w:val="InternetLink"/>
                  <w:rFonts w:ascii="Times New Roman" w:hAnsi="Times New Roman"/>
                  <w:sz w:val="20"/>
                </w:rPr>
                <w:t>Form  10-K</w:t>
              </w:r>
            </w:hyperlink>
            <w:r>
              <w:rPr>
                <w:rFonts w:ascii="Times New Roman" w:hAnsi="Times New Roman"/>
                <w:sz w:val="20"/>
              </w:rPr>
              <w:t xml:space="preserve"> for the fiscal year ended December 31, 2019 and filed with the SEC on March 2, 2020,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written or oral request, we will provide without charge to each person, including any beneficial owner, to whom this prospectus is delivered, a copy of any or all of such information that has been incorporated herein by reference (other than exhibits to such documents unless such exhibits are specifically incorporated by reference into the documents that this prospectus incorporates). Written or oral requests for copies should be directed to AnaptysBio, Inc., Attn: Investor Relations, 10770 Wateridge Circle, Suite 210, telephone number (858) 362-6295. See the section of this prospectus entitled Where You Can Find More Information for information concerning how to read and obtain copies of materials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or in a document all or a portion of which is incorporated by reference, shall be modified or superseded for purposes of this prospectus to the extent that a statement contained in this prospectus, any prospectus supplement or any document incorporated by reference modifies or supersedes such statement. Any such statement so modified or superseded shall not, except as so modified or superseded, constitute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755060_7"/>
      <w:bookmarkEnd w:id="23"/>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to us from the sale of our securities under this prospectus. Unless otherwise provided in the applicable prospectus supplement, we intend to use the net proceeds from the sale of securities under this prospectus for general corporate purposes, which may include funding research and development for our clinical development and ongoing preclinical, discovery and research programs, increasing our working capital, acquisitions or investments in businesses, products or technologies that are complementary to our own and capital expenditures. We will set forth in the prospectus supplement our intended use for the net proceeds received from the sale of any securities. Pending the application of the net proceeds, we intend to invest the net proceeds in short-term or long-term, investment-grade, interest-bearing securities. </w:t>
      </w:r>
    </w:p>
    <w:p>
      <w:pPr>
        <w:pStyle w:val="TextBody"/>
        <w:bidi w:val="0"/>
        <w:spacing w:before="480" w:after="0"/>
        <w:jc w:val="center"/>
        <w:rPr>
          <w:rFonts w:ascii="Times New Roman" w:hAnsi="Times New Roman"/>
          <w:b/>
          <w:sz w:val="20"/>
        </w:rPr>
      </w:pPr>
      <w:bookmarkStart w:id="24" w:name="toc755060_7a"/>
      <w:bookmarkEnd w:id="24"/>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755060_8"/>
      <w:bookmarkEnd w:id="2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covered by this prospectus to one or more underwriters for public offering and sale by them, and may also sell the securities to investors directly, including our affiliates, through agents or through a combination of any of these methods. We will name any underwriter or agent involved in the offer and sale of securities in the applicable prospectus supplement. We have reserved the right to sell or exchange securities directly to investors on our own behalf in jurisdictions where we are authorized to do so. We may distribute the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the securities being offered by this prospectus. We may also designate agents to solicit offers to purchase the securities from time to time. We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 </w:t>
      </w:r>
    </w:p>
    <w:p>
      <w:pPr>
        <w:pStyle w:val="TextBody"/>
        <w:bidi w:val="0"/>
        <w:spacing w:before="240" w:after="0"/>
        <w:jc w:val="left"/>
        <w:rPr>
          <w:rFonts w:ascii="Times New Roman" w:hAnsi="Times New Roman"/>
          <w:sz w:val="20"/>
        </w:rPr>
      </w:pPr>
      <w:r>
        <w:rPr>
          <w:rFonts w:ascii="Times New Roman" w:hAnsi="Times New Roman"/>
          <w:sz w:val="20"/>
        </w:rPr>
        <w:t xml:space="preserve">If we utilize an underwriter in the sale of the securities being offered by this prospectus, we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or commissions from the purchasers for whom they may act as agent.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in the applicable prospectus supplement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of 1933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and to reimburse them for certain expenses. We may grant underwriters who participate in the distribution of our securities under this prospectus an option to purchase additional securities to cover any over-allotments in connection with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we offer under this prospectus may or may not be listed through the Nasdaq Global Market or any other securities exchange. To facilitate the offering of securities, certain persons participating in the offering may engage in transactions that stabilize, maintain or otherwise affect the price of the securities. This may include short sales of the securities, which involves the sale by persons participating in the offering of more securities than we sold to them. In these circumstances, these persons would cover such short positions by making purchases in the open market or by exercising their option to purchase additional securities.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file a prospectus supplement to describe the terms of any offering of our securities covered by this prospectus. The prospectus supplement will disclose: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including any managing underwriters, as well as any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to us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or other options under which underwriters, if any,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commissions or other items constituting underwriters compensation, and any commissions paid to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 subscription rights offering, whether we have engaged dealer-managers to facilitate the offering or subscription, including their name or names and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facts material to the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bear all or substantially all of the costs, expenses and fees in connection with the registration of our securities under this prospectus. The underwriters, dealers and agents may engage in transactions with us, or perform services for us,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755060_9"/>
      <w:bookmarkEnd w:id="26"/>
      <w:r>
        <w:rPr>
          <w:rFonts w:ascii="Times New Roman" w:hAnsi="Times New Roman"/>
          <w:b/>
          <w:sz w:val="20"/>
        </w:rPr>
        <w:t>DESCRIPTION OF CAPITAL STOCK</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our common stock, together with the additional information we include in any applicable prospectus supplement, summarizes the material terms and provisions of the common stock that we may offer from time to time pursuant to this prospectus. While the terms we have summarized below will apply generally to any future shares of common stock that we may offer, we will describe the particular terms of any offering in more detail in the applicable prospectus supplement. The following description of our common stock and provisions of our Amended and Restated Certificate of Incorporation are summaries and are qualified in its entirety by reference to applicable Delaware law and our Amended and Restated Certificate of Incorporation, a copy of which has been filed as Exhibit 3.1 to our Quarterly Report on Form 10-Q for the quarterly period March 31, 2017 and filed with the SEC on May 12, 2017. </w:t>
      </w:r>
    </w:p>
    <w:p>
      <w:pPr>
        <w:pStyle w:val="TextBody"/>
        <w:bidi w:val="0"/>
        <w:spacing w:before="240" w:after="0"/>
        <w:jc w:val="left"/>
        <w:rPr>
          <w:rFonts w:ascii="Times New Roman" w:hAnsi="Times New Roman"/>
          <w:sz w:val="20"/>
        </w:rPr>
      </w:pPr>
      <w:r>
        <w:rPr>
          <w:rFonts w:ascii="Times New Roman" w:hAnsi="Times New Roman"/>
          <w:sz w:val="20"/>
        </w:rPr>
        <w:t xml:space="preserve">We are authorized to issue 510,000,000 shares of all classes of capital stock, of which 500,000,000 shares are common stock, $0.001 par value per share, and 10,000,000 shares are preferred stock, $0.001 par value per share. Our capital is stated in U.S. dollars. As of December 28, 2021 we had 27,644,726 outstanding shares of common stock and no outstanding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sz w:val="20"/>
        </w:rPr>
      </w:pPr>
      <w:r>
        <w:rPr>
          <w:rFonts w:ascii="Times New Roman" w:hAnsi="Times New Roman"/>
          <w:b/>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holders of a majority of the shares of our common stock can elect all of our directors. Our restated certificate of incorporation establishes a classified board of directors, divided into three classes with staggered three-year terms. Only one class of directors is elected at each annual meeting of our stockholders, with the other classes continuing for the remainder of their respective three-year terms. </w:t>
      </w:r>
    </w:p>
    <w:p>
      <w:pPr>
        <w:pStyle w:val="TextBody"/>
        <w:bidi w:val="0"/>
        <w:spacing w:before="360" w:after="0"/>
        <w:jc w:val="left"/>
        <w:rPr>
          <w:rFonts w:ascii="Times New Roman" w:hAnsi="Times New Roman"/>
          <w:b/>
          <w:sz w:val="20"/>
        </w:rPr>
      </w:pPr>
      <w:r>
        <w:rPr>
          <w:rFonts w:ascii="Times New Roman" w:hAnsi="Times New Roman"/>
          <w:b/>
          <w:sz w:val="20"/>
        </w:rPr>
        <w:t xml:space="preserve">No Preemptive or Similar Rights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not entitled to preemptive rights, and is not subject to conversion, redemption or sinking fund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Right to Receive Liquidation Distributions </w:t>
      </w:r>
    </w:p>
    <w:p>
      <w:pPr>
        <w:pStyle w:val="TextBody"/>
        <w:bidi w:val="0"/>
        <w:spacing w:before="120" w:after="0"/>
        <w:jc w:val="left"/>
        <w:rPr>
          <w:rFonts w:ascii="Times New Roman" w:hAnsi="Times New Roman"/>
          <w:sz w:val="20"/>
        </w:rPr>
      </w:pPr>
      <w:r>
        <w:rPr>
          <w:rFonts w:ascii="Times New Roman" w:hAnsi="Times New Roman"/>
          <w:sz w:val="20"/>
        </w:rPr>
        <w:t xml:space="preserve">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terms of our amended and restated investors rights agreement entered into in July 2015, as amended by Amendment No. 1 our amended and restated investors rights agreement entered into on May 8. 2018, certain of our common stockholders are entitled to demand, piggyback and Form S-3 registration rights. </w:t>
      </w:r>
    </w:p>
    <w:p>
      <w:pPr>
        <w:pStyle w:val="TextBody"/>
        <w:bidi w:val="0"/>
        <w:spacing w:before="240" w:after="0"/>
        <w:jc w:val="left"/>
        <w:rPr>
          <w:rFonts w:ascii="Times New Roman" w:hAnsi="Times New Roman"/>
          <w:sz w:val="20"/>
        </w:rPr>
      </w:pPr>
      <w:r>
        <w:rPr>
          <w:rFonts w:ascii="Times New Roman" w:hAnsi="Times New Roman"/>
          <w:i/>
          <w:sz w:val="20"/>
        </w:rPr>
        <w:t>Demand Registration Rights.</w:t>
      </w:r>
      <w:r>
        <w:rPr>
          <w:rFonts w:ascii="Times New Roman" w:hAnsi="Times New Roman"/>
          <w:sz w:val="20"/>
        </w:rPr>
        <w:t xml:space="preserve"> At any point, the holders of at least a majority of the then-outstanding registrable securities may make a written request to us for the registration of any of the registrable securities under the Securities Act. Within 30 days of such request, we are obligated to provide written notice of such request to all stockholders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total period of not more than 60 days if our board of directors determines in its good faith judgment that it would be seriously detrimental to us and our stockholders for such registration statement to be effected at such time. </w:t>
      </w:r>
    </w:p>
    <w:p>
      <w:pPr>
        <w:pStyle w:val="TextBody"/>
        <w:bidi w:val="0"/>
        <w:spacing w:before="240" w:after="0"/>
        <w:jc w:val="left"/>
        <w:rPr>
          <w:rFonts w:ascii="Times New Roman" w:hAnsi="Times New Roman"/>
          <w:sz w:val="20"/>
        </w:rPr>
      </w:pPr>
      <w:r>
        <w:rPr>
          <w:rFonts w:ascii="Times New Roman" w:hAnsi="Times New Roman"/>
          <w:i/>
          <w:sz w:val="20"/>
        </w:rPr>
        <w:t>Piggyback Registration Rights.</w:t>
      </w:r>
      <w:r>
        <w:rPr>
          <w:rFonts w:ascii="Times New Roman" w:hAnsi="Times New Roman"/>
          <w:sz w:val="20"/>
        </w:rPr>
        <w:t xml:space="preserve"> If we register any of our securities for public sale in an offering, holders of registrable securities will have the right to include their shares in the registration statement. However, this right does not apply to a registration relating to employee benefit plans, a registration relating to a corporate reorganization or a registration of only common stock issuable upon conversion of debt securities that are also being registered. We have the right to terminate any registration we have initiated before the effective date of such registration, whether or not any holder has elected to include registrable securities in such registration. The underwriters of any underwritten offering will have the right to limit the number of shares registered by these holders if they determine in good faith that marketing factors require limitation, in which case the number of shares to be registered will be apportioned pro rata among these holders, according to the total amount of securities entitled to be included by each holder, or in a manner mutually agreed upon by the holders. However, in any underwriting not in connection with an initial public offering, the number of shares to be registered by these holders cannot be reduced below 30% of the total shares covered by the registration statement. </w:t>
      </w:r>
    </w:p>
    <w:p>
      <w:pPr>
        <w:pStyle w:val="TextBody"/>
        <w:bidi w:val="0"/>
        <w:spacing w:before="240" w:after="0"/>
        <w:jc w:val="left"/>
        <w:rPr>
          <w:rFonts w:ascii="Times New Roman" w:hAnsi="Times New Roman"/>
          <w:sz w:val="20"/>
        </w:rPr>
      </w:pPr>
      <w:r>
        <w:rPr>
          <w:rFonts w:ascii="Times New Roman" w:hAnsi="Times New Roman"/>
          <w:i/>
          <w:sz w:val="20"/>
        </w:rPr>
        <w:t>Form S-3 Registration Rights.</w:t>
      </w:r>
      <w:r>
        <w:rPr>
          <w:rFonts w:ascii="Times New Roman" w:hAnsi="Times New Roman"/>
          <w:sz w:val="20"/>
        </w:rPr>
        <w:t xml:space="preserve"> Any holder of then-outstanding registrable securities can request that we register all or part of their shares on Form S-3 if we are eligible to file a registration statement on Form S-3 and if the aggregate price to the public of the shares offered is at least $2,000,000. The stockholders may only require us to effect two registration statements on Form S-3 in a 12-month period. We may postpone taking action with respect to such filing once during any 12-month period for a total cumulative period of not more than 90 days if our board of directors determines in its good faith judgment that the filing would be materially detrimental to us and our stockholders. </w:t>
      </w:r>
    </w:p>
    <w:p>
      <w:pPr>
        <w:pStyle w:val="TextBody"/>
        <w:bidi w:val="0"/>
        <w:spacing w:before="240" w:after="0"/>
        <w:jc w:val="left"/>
        <w:rPr>
          <w:rFonts w:ascii="Times New Roman" w:hAnsi="Times New Roman"/>
          <w:sz w:val="20"/>
        </w:rPr>
      </w:pPr>
      <w:r>
        <w:rPr>
          <w:rFonts w:ascii="Times New Roman" w:hAnsi="Times New Roman"/>
          <w:i/>
          <w:sz w:val="20"/>
        </w:rPr>
        <w:t>Expenses of Registration.</w:t>
      </w:r>
      <w:r>
        <w:rPr>
          <w:rFonts w:ascii="Times New Roman" w:hAnsi="Times New Roman"/>
          <w:sz w:val="20"/>
        </w:rPr>
        <w:t xml:space="preserve"> We generally will pay all expenses, other than underwriting discounts and commissions. </w:t>
      </w:r>
    </w:p>
    <w:p>
      <w:pPr>
        <w:pStyle w:val="TextBody"/>
        <w:bidi w:val="0"/>
        <w:spacing w:before="240" w:after="0"/>
        <w:jc w:val="left"/>
        <w:rPr>
          <w:rFonts w:ascii="Times New Roman" w:hAnsi="Times New Roman"/>
          <w:sz w:val="20"/>
        </w:rPr>
      </w:pPr>
      <w:r>
        <w:rPr>
          <w:rFonts w:ascii="Times New Roman" w:hAnsi="Times New Roman"/>
          <w:i/>
          <w:sz w:val="20"/>
        </w:rPr>
        <w:t>Expiration of Registration Right</w:t>
      </w:r>
      <w:r>
        <w:rPr>
          <w:rFonts w:ascii="Times New Roman" w:hAnsi="Times New Roman"/>
          <w:sz w:val="20"/>
        </w:rPr>
        <w:t xml:space="preserve">s. The registration rights described above will expire, with respect to any particular holder of these rights, on the earlier of the fifth anniversary of the closing of our initial public offering, and such time as we have completed our initial public offering and all registrable securities issuable or issued upon conversion of our shares held by and issuable to a holder with such registration rights (and its affiliates) may be sold pursuant to Rule 144 during any 90-day period.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2021, no shares of our preferred stock are issued and outstanding and no such shares were subject to outstanding options or other rights to purchase or acquire. However, shares of preferred stock may be issued in one or more series from time to time by our board of directors, and the board of directors is expressly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authorized to fix by resolution or resolutions the designations and the powers, preferences and rights, and the qualifications, limitations and restrictions thereof, of the shares of each series of preferred stock. Subject to the determination of our board of directors, any shares of our preferred stock that may be issued in the future would generally have preferences over our common stock with respect to the payment of dividends and the distribution of assets in the event of our liquidation, dissolution or winding up.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 of Unissued Shares of Capital Stock </w:t>
      </w:r>
    </w:p>
    <w:p>
      <w:pPr>
        <w:pStyle w:val="TextBody"/>
        <w:bidi w:val="0"/>
        <w:spacing w:before="120" w:after="0"/>
        <w:jc w:val="left"/>
        <w:rPr>
          <w:rFonts w:ascii="Times New Roman" w:hAnsi="Times New Roman"/>
          <w:sz w:val="20"/>
        </w:rPr>
      </w:pPr>
      <w:r>
        <w:rPr>
          <w:rFonts w:ascii="Times New Roman" w:hAnsi="Times New Roman"/>
          <w:i/>
          <w:sz w:val="20"/>
        </w:rPr>
        <w:t>Common Stock.</w:t>
      </w:r>
      <w:r>
        <w:rPr>
          <w:rFonts w:ascii="Times New Roman" w:hAnsi="Times New Roman"/>
          <w:sz w:val="20"/>
        </w:rPr>
        <w:t xml:space="preserve"> Our shares of authorized and unissued common stock are available for future issuance without additional stockholder approval. While these additional shares are not designed to deter or prevent a change of control, under some circumstances we could use the additional shares to create voting impediments or to frustrate persons seeking to effect a takeover or otherwise gain control by, for example, issuing those shares in private placements to purchasers who might side with our board of directors in opposing a hostile takeover bid. </w:t>
      </w:r>
    </w:p>
    <w:p>
      <w:pPr>
        <w:pStyle w:val="TextBody"/>
        <w:bidi w:val="0"/>
        <w:spacing w:before="240" w:after="0"/>
        <w:jc w:val="left"/>
        <w:rPr>
          <w:rFonts w:ascii="Times New Roman" w:hAnsi="Times New Roman"/>
          <w:sz w:val="20"/>
        </w:rPr>
      </w:pPr>
      <w:r>
        <w:rPr>
          <w:rFonts w:ascii="Times New Roman" w:hAnsi="Times New Roman"/>
          <w:i/>
          <w:sz w:val="20"/>
        </w:rPr>
        <w:t>Preferred Stock.</w:t>
      </w:r>
      <w:r>
        <w:rPr>
          <w:rFonts w:ascii="Times New Roman" w:hAnsi="Times New Roman"/>
          <w:sz w:val="20"/>
        </w:rPr>
        <w:t xml:space="preserve"> Our certificate of incorporation grants our board of directors the authority, without any further vote or action by our stockholders, to issue preferred stock in one or more series and to fix the number of shares constituting any such series and the preferences, limitations and relative rights, including dividend rights, dividend rate, voting rights, terms of redemption, redemption price or prices, conversion rights and liquidation preferences of the shares constituting any series. The existence of authorized but unissued preferred stock could reduce our attractiveness as a target for an unsolicited takeover bid since we could, for example, issue shares of preferred stock to parties who might oppose such a takeover bid or shares that contain terms the potential acquirer may find unattractive. This may have the effect of delaying or preventing a change in control, may discourage bids for the common stock at a premium over the market price of the common stock, and may adversely affect the market price of, and the voting and other rights of the holders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Delaware law, our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Delaware General Corporation Law regulating corporate takeovers. This section prevents some Delaware corporations, including us,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date of the transaction,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such time that the stockholder became an interested stockholder, the business combination is approved by the board of directors and authorized at an annual or special meeting of stockholders by at least two-thirds of the outstanding voting stock not owned by the interested stockholder.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and do not plan to opt out of these provisions. The statute could prohibit or delay mergers or other takeover or change in control attempts and, accordingly, may discourage attempts to acquire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Restated Certificate of Incorporation and Restated Bylaw Provisions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and our restated bylaws include a number of provisions that may have the effect of deterring hostile takeovers or delaying or preventing changes in control,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Board of Directors Vacancies.</w:t>
            </w:r>
            <w:r>
              <w:rPr>
                <w:rFonts w:ascii="Times New Roman" w:hAnsi="Times New Roman"/>
                <w:sz w:val="20"/>
              </w:rPr>
              <w:t xml:space="preserve"> Our restated certificate of incorporation and restated bylaws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Classified Board.</w:t>
            </w:r>
            <w:r>
              <w:rPr>
                <w:rFonts w:ascii="Times New Roman" w:hAnsi="Times New Roman"/>
                <w:sz w:val="20"/>
              </w:rPr>
              <w:t xml:space="preserve"> Our restated certificate of incorporation and restated bylaws provide that our board is classified into 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Stockholder Action; Special Meetings of Stockholders.</w:t>
            </w:r>
            <w:r>
              <w:rPr>
                <w:rFonts w:ascii="Times New Roman" w:hAnsi="Times New Roman"/>
                <w:sz w:val="20"/>
              </w:rPr>
              <w:t xml:space="preserve"> Our restated certificate of incorporation provides that our stockholders may not take 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Advance Notice Requirements for Stockholder Proposals and Director Nominations.</w:t>
            </w:r>
            <w:r>
              <w:rPr>
                <w:rFonts w:ascii="Times New Roman" w:hAnsi="Times New Roman"/>
                <w:sz w:val="20"/>
              </w:rPr>
              <w:t xml:space="preserve"> Our restated bylaws provide advance notice procedures for 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No Cumulative Voting.</w:t>
            </w:r>
            <w:r>
              <w:rPr>
                <w:rFonts w:ascii="Times New Roman" w:hAnsi="Times New Roman"/>
                <w:sz w:val="20"/>
              </w:rPr>
              <w:t xml:space="preserve"> The Delaware General Corporation Law provides that stockholders are not entitled to the right to cumulate votes in the election of directors unless a corporations certificate of incorporation provides otherwise. Our restated certificate of incorporation and restated bylaws do not provide for cumulative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Directors Removed Only for Cause.</w:t>
            </w:r>
            <w:r>
              <w:rPr>
                <w:rFonts w:ascii="Times New Roman" w:hAnsi="Times New Roman"/>
                <w:sz w:val="20"/>
              </w:rPr>
              <w:t xml:space="preserve"> Our restated certificate of incorporation provides that stockholders may remove directors only for cause and only by the affirmative vote of the holders of at least two-thirds of our outstanding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Amendment to Certificate of Incorporation and Bylaws.</w:t>
            </w:r>
            <w:r>
              <w:rPr>
                <w:rFonts w:ascii="Times New Roman" w:hAnsi="Times New Roman"/>
                <w:sz w:val="20"/>
              </w:rPr>
              <w:t xml:space="preserve"> Any amendment of the above provisions in our restated certificate of incorporation and restated bylaws requires approval by holders of at least two-thirds of our then-outstanding capital stock entitled to vote in the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Issuance of Undesignated Preferred Stock.</w:t>
            </w:r>
            <w:r>
              <w:rPr>
                <w:rFonts w:ascii="Times New Roman" w:hAnsi="Times New Roman"/>
                <w:sz w:val="20"/>
              </w:rPr>
              <w:t xml:space="preserve"> Our board of directors has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i/>
                <w:sz w:val="20"/>
              </w:rPr>
              <w:t>Choice of Forum.</w:t>
            </w:r>
            <w:r>
              <w:rPr>
                <w:rFonts w:ascii="Times New Roman" w:hAnsi="Times New Roman"/>
                <w:sz w:val="20"/>
              </w:rPr>
              <w:t xml:space="preserve"> Our restated certificate of incorporation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The enforceability of similar choice of forum provisions in other companies certificates of incorporation has been challenged in legal proceedings, and although our restated certificate contains the choice of forum provision described above, it is possible that a court could rule that such a provision is inapplicable for a particular claim or action or that such provision is unenforceable. These provisions may limit a stockholders ability to bring a claim in a judicial forum of their choosing for disputes with us or our directors, officers, or other employees, which may discourage lawsuits against us and our directors, officers, and other employees.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America Stock Transfer &amp; Trust Company, LLC.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quoted on the Nasdaq Global Market under the trading symbol ANAB.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755060_10"/>
      <w:bookmarkEnd w:id="27"/>
      <w:r>
        <w:rPr>
          <w:rFonts w:ascii="Times New Roman" w:hAnsi="Times New Roman"/>
          <w:b/>
          <w:sz w:val="20"/>
        </w:rPr>
        <w:t xml:space="preserve">DESCRIPTION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 Unless otherwise specified in the applicable prospectus supplement, the debt securities will represent our direct, unsecured obligations and will rank equally with all of our other unsecured indebtedness. </w:t>
      </w:r>
    </w:p>
    <w:p>
      <w:pPr>
        <w:pStyle w:val="TextBody"/>
        <w:bidi w:val="0"/>
        <w:spacing w:before="120" w:after="0"/>
        <w:jc w:val="left"/>
        <w:rPr>
          <w:rFonts w:ascii="Times New Roman" w:hAnsi="Times New Roman"/>
          <w:sz w:val="20"/>
        </w:rPr>
      </w:pPr>
      <w:r>
        <w:rPr>
          <w:rFonts w:ascii="Times New Roman" w:hAnsi="Times New Roman"/>
          <w:sz w:val="20"/>
        </w:rPr>
        <w:t xml:space="preserve">We may offer under this prospectus up to an aggregate principal amount of $300,000,000 in debt securities, or if debt securities are issued at a discount, or in a foreign currency, foreign currency units or composite currency, the principal amount as may be sold for an aggregate public offering price of up to $300,000,000. Unless otherwise specified in the applicable prospectus supplement, the debt securities will represent our direct, unsecured obligations and will rank equally with all of our other unsecured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The prospectus supplement relating to the particular series of debt securities being offered will specify the particular amounts, prices and terms of those debt securities. These terms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and, if a series, the total amount authorized and the total amount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 price or prices, expressed as a percentage of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principal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if applicable, the method used to determine such rate or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interest, if any, will be payable and any regular record date for the interest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and, if applicable, premium and interest,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upon which we may, or the holders may require us to, redeem or repurchase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such debt securities may be issuable, if other than denominations of $1,000 or any integral multiple of that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to be issuable in the form of certificated securities (as described below) or global securities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that will be payable upon declaration of acceleration of the maturity date if other than the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and, if applicable, premium and interest, will be made;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and, if applicable, premium or interest, on the debt securities are to be made in one or more currencies or currency units other than the currency of denomination, the manner in which the exchange rate with respect to such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any collateral provided for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change in the covenants and/or the acceleration provisions described in this prospectus or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if not otherwise described below under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for conversion into or exchange for shares of our common stock or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the debt securities shall be subordinated in right of payment to our other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offered under this prospectus and any prospectus supplement will be subordinated in right of payment to certain of our outstanding senior indebtedness. In addition, we will seek the consent of the holders of any such senior indebtedness prior to issuing any debt securities under this prospectus to the extent required by the agreements evidencing such senior indebtedness.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Registrar and Paying Agent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may be presented for registration of transfer or for exchange at the corporate trust office of the security registrar or at any other office or agency that we maintain for those purposes. In addition, the debt securities may be presented for payment of principal, interest and any premium at the office of the paying agent or at any office or agency that we maintain for those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may be convertible into or exchangeable for shares of our common stock. The terms and conditions of conversion or exchange will be stated in the applicable prospectus supplement. The terms will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or exchange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or exchange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regarding the convertibility or exchangeability of the debt securities, including who may convert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requiring adjustment to the conversion or exchange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affecting conversion or exchange in the event of our redemption of the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anti-dilution provisions, if applicable.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Registered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will describe the specific terms of the depositary arrangement for debt securities of a series that are issued in global form. None of us,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Consolidation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form of indenture provides that we will not consolidate with or merge into any other person or convey, transfer, sell or lease our properties and assets substantially as an entirety to any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person of such merger or consolidation, or if we are not the surviving person, 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has expressly assumed all of our obligations, including the payment of the principal of and, premium, if any, and interest on the debt securities and the performance of the other covenants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before and immediately after giving effect to the transaction on a pro forma basis, no event of default, and no event which, after notice or lapse of time or both, would become an event of default, has occurred and is continuing under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prospectus supplement, the following events will be events of default under the indenture with respect to debt securities of any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to pay any principal or premium, if any, when it becomes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to pay any interest within 30 days after it becomes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to observe or perform any other covenant in the debt securities or the indenture for 60 days after written notice specifying the failure from the trustee or the holders of not less than 25% in aggregate principal amount of the outstanding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involving bankruptcy, insolvency or reorganization of us or any of our significant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 any time after the acceleration, but before a judgment or decree based on such acceleration is obtained by the trustee, the holders of a majority in aggregate principal amount of outstanding debt securities of such series may rescind and annul such acceleration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events of default (other than nonpayment of accelerated principal, premium or interest) have been cured or waived;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lawful interest on overdue interest and overdue principal has been paid;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rescission would not conflict with any judgment or decree.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the acceleration occurs at any time when we have outstanding indebtedness that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resulting from certain events of bankruptcy, insolvency or reorganization occurs, the principal, premium and interest amount with respect to all of the debt securities of any series will be due and payable immediately without any declaration or other act on the part of the trustee or the holders of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 series will have any right to institute any proceeding with respect to the indenture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gives to the trustee written notice of a continuing event of default;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the affected series make a written request and offer reasonable indemnity to the trustee to institute a proceeding as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fails to institute a proceeding within 60 days after such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in aggregate principal amount of the outstanding debt securities of the affected series do not give the trustee a direction inconsistent with such request during such 60-day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however, apply to a suit instituted for payment on debt securities of any series on or after the due dates expressed in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deliver certificates to the trustee regarding our compliance with our obligations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and the trustee may, without the consent of holders of the debt securities of one or more series, amend the indenture or the debt securities of one or more series, or supplement the indenture, for certain specified purposes,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that the surviving entity following a change of control permitted under the indenture will assume all of our obligations under the indenture and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certificated debt securities in addition to uncertificated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under the Trust Indenture Act of 1939;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or make any other change that does not materially and adversely affect the rights of any 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appoint a successor trustee under the indenture with respect to one or more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From time to time we and the trustee may, with the consent of holders of at least a majority in principal amount of an outstanding series of debt securities, amend or supplement the indenture or the debt securities series, or waive compliance in a particular instance by us with any provision of the indenture or the debt securities. We may not, however, without the consent of each holder affected by such action, modify or supplement the indenture or the debt securities or waive compliance with any provision of the indenture or the debt securities in order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to the indenture or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change the time for payment of interest or reduce the amount of or postpone the date for payment of sinking fund or analogous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change the stated maturity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debt security payable in money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amount or time of any payment required or reduce the premium payable upon any redemption, or change the time before which no such redemption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if any, or interest on the debt securities or a redemption payment;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securities or change any provision with respect to redemption of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other action otherwise prohibited by the indenture to be taken without the consent of each holder affected by the action.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permits us, at any time, to elect to discharge our obligations with respect to one or more series of debt securities by following certain procedures described in the indenture. These procedures will allow us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defease and be discharged from any and all of our obligations with respect to any debt securities except for the following obligations (which discharge is referred to as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register the transfer or exchange of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replace temporary or mutilated, destroyed, lost or stolen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compensate and indemnify the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maintain an office or agency in respect of the debt securities and to hold monies for payment in trust;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released from our obligations with respect to the debt securities under certain covenants contained in the indenture, as well as any additional covenants which may be contained in the applicable supplemental indenture (which release is referred to as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exercise either defeasance option, we must irrevocably deposit with the trustee or other qualifying trustee, in trust for that purpose: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Government Obligations (as described below) or Foreign Government Obligations (as described below) that through the scheduled payment of principal and interest in accordance with their terms will provide money; or a combination of money and/or U.S. Government Obligations and/or Foreign Government Obligations sufficient in the written opinion of a nationally-recognized firm of independent accountants to provide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in each case specified above, provides a sufficient amount to pay the principal of, premium, if any, and interest, if any, on the debt securities of the series, on the scheduled due dates or on a selected date of redemption in accordance with the terms of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defeasance may be effected only if,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covenant defeasance, we deliver to the trustee an opinion of counsel to the effect that the holders of the outstanding debt securities will not recognize income, gain or loss for U.S. federal income tax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purposes as a result of covenant defeasance and will be subject to U.S. federal income tax on the same amounts, in the same manner and at the same times as would have been the case if covenant defeasance had not occurred;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conditions described in the indenture are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fail to comply with our remaining obligations under the indenture and applicable supplemental indenture after a covenant defeasance of the indenture and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 </w:t>
      </w:r>
    </w:p>
    <w:p>
      <w:pPr>
        <w:pStyle w:val="TextBody"/>
        <w:bidi w:val="0"/>
        <w:spacing w:before="240" w:after="0"/>
        <w:jc w:val="left"/>
        <w:rPr>
          <w:rFonts w:ascii="Times New Roman" w:hAnsi="Times New Roman"/>
          <w:sz w:val="20"/>
        </w:rPr>
      </w:pPr>
      <w:r>
        <w:rPr>
          <w:rFonts w:ascii="Times New Roman" w:hAnsi="Times New Roman"/>
          <w:sz w:val="20"/>
        </w:rPr>
        <w:t xml:space="preserve">The term U.S. Government Obligations as used in the above discussion means securities that are direct obligations of or non-callable obligations guaranteed by the United States of America for the payment of which obligation or guarantee the full faith and credit of the United States of America is pledged. </w:t>
      </w:r>
    </w:p>
    <w:p>
      <w:pPr>
        <w:pStyle w:val="TextBody"/>
        <w:bidi w:val="0"/>
        <w:spacing w:before="240" w:after="0"/>
        <w:jc w:val="left"/>
        <w:rPr>
          <w:rFonts w:ascii="Times New Roman" w:hAnsi="Times New Roman"/>
          <w:sz w:val="20"/>
        </w:rPr>
      </w:pPr>
      <w:r>
        <w:rPr>
          <w:rFonts w:ascii="Times New Roman" w:hAnsi="Times New Roman"/>
          <w:sz w:val="20"/>
        </w:rPr>
        <w:t xml:space="preserve">The term Foreign Government Obligations as used in the above discussion means, with respect to debt securities of any series that are denominated in a currency other than U.S. dollars, (1) 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 </w:t>
      </w:r>
    </w:p>
    <w:p>
      <w:pPr>
        <w:pStyle w:val="TextBody"/>
        <w:bidi w:val="0"/>
        <w:spacing w:before="360" w:after="0"/>
        <w:jc w:val="left"/>
        <w:rPr>
          <w:rFonts w:ascii="Times New Roman" w:hAnsi="Times New Roman"/>
          <w:b/>
          <w:sz w:val="20"/>
        </w:rPr>
      </w:pPr>
      <w:r>
        <w:rPr>
          <w:rFonts w:ascii="Times New Roman" w:hAnsi="Times New Roman"/>
          <w:b/>
          <w:sz w:val="20"/>
        </w:rPr>
        <w:t xml:space="preserve">Regarding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We will identify the trustee with respect to any series of debt securities in the prospectus supplement relating to the applicable debt securities. You should note that if the trustee becomes a creditor of ours,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No Individual Liability of Incorporators, Stockholders, Officers or Directors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no incorporator and no past, present or future stockholder, officer or director of our company or any successor corporation in those capacities will have any individual liability for any of our obligations, covenants or agreements under the debt securities or such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755060_11"/>
      <w:bookmarkEnd w:id="28"/>
      <w:r>
        <w:rPr>
          <w:rFonts w:ascii="Times New Roman" w:hAnsi="Times New Roman"/>
          <w:b/>
          <w:sz w:val="20"/>
        </w:rPr>
        <w:t xml:space="preserve">DESCRIPTION OF WARRANTS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for the purchase of our debt securities, preferred stock,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 </w:t>
      </w:r>
    </w:p>
    <w:p>
      <w:pPr>
        <w:pStyle w:val="TextBody"/>
        <w:bidi w:val="0"/>
        <w:spacing w:before="360" w:after="0"/>
        <w:jc w:val="left"/>
        <w:rPr>
          <w:rFonts w:ascii="Times New Roman" w:hAnsi="Times New Roman"/>
          <w:b/>
          <w:sz w:val="20"/>
        </w:rPr>
      </w:pPr>
      <w:r>
        <w:rPr>
          <w:rFonts w:ascii="Times New Roman" w:hAnsi="Times New Roman"/>
          <w:b/>
          <w:sz w:val="20"/>
        </w:rPr>
        <w:t xml:space="preserve">Debt Warrants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relating to a particular issue of warrants to purchase debt securities will describe the terms of the debt warrants,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for the debt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the debt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debt securities, including any conversion rights, purchasable upon exercise of the debt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the debt warrants and any debt securities issued with them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debt securities that may be purchased upon exercise of a debt warrant and the exercise price for the warrants, which may be payable in cash, securities or other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debt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debt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warrants represented by the debt warrant certificates or debt securities that may be issued upon exercise of the debt warrants will be issued in registered or bearer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material U.S. federal income tax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the debt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or call provisions, if any, applicable to the debt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with respect to the holders right to require us to repurchase the debt warrants upon a change in control or similar event;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debt warrants, including procedures and limitations relating to the exchange, exercise, and settlement of the debt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Equity Warrants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relating to a particular series of warrants to purchase our common stock or preferred stock will describe the terms of the warrants,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for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common stock or preferred stock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the warrants and any securities issued with the warrants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preferred stock that may be purchased upon exercise of a warrant and the exercise price for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shall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material U.S. federal income tax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or call provisions, if any,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with respect to a holders right to require us to repurchase the warrants upon a change in control or similar event;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procedures and limitations relating to the exchange, exercise and settlement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equity warrants will not be entitled: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consent, or receive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notice as stockholders with respect to any meeting of stockholders for the election of our directors or any other matter;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rights as stockholders.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755060_12"/>
      <w:bookmarkEnd w:id="29"/>
      <w:r>
        <w:rPr>
          <w:rFonts w:ascii="Times New Roman" w:hAnsi="Times New Roman"/>
          <w:b/>
          <w:sz w:val="20"/>
        </w:rPr>
        <w:t xml:space="preserve">DESCRIPTION OF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subscription rights to purchase our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subscription rights we offer, if any, will, to the extent applicable, include specific terms relating to the offering, including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if any, for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payable for our common stock, preferred stock or debt securities upon the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subscription rights to be issued to each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terms of our common stock, preferred stock or debt securities which may be purchased per each subscription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are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subscription rights, including the terms, procedures and limitations relating to the exchange and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subscription rights shall commence, and the date on which the subscription rights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may include an over-subscription privilege with respect to unsubscribed securities or an over-allotment privilege to the extent the securities are fully subscribed;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material terms of any standby underwriting or purchase arrangement which may be entered into by us in connection with the offering of subscription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755060_13"/>
      <w:bookmarkEnd w:id="30"/>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oc755060_14"/>
      <w:bookmarkEnd w:id="3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Fenwick &amp; West LLP, Mountain View, California, will issue an opinion about certain legal matters with respect to the securities. Any underwriters or agents will be advised about legal matters relating to any offering by their own counsel. </w:t>
      </w:r>
    </w:p>
    <w:p>
      <w:pPr>
        <w:pStyle w:val="TextBody"/>
        <w:bidi w:val="0"/>
        <w:spacing w:before="480" w:after="0"/>
        <w:jc w:val="center"/>
        <w:rPr>
          <w:rFonts w:ascii="Times New Roman" w:hAnsi="Times New Roman"/>
          <w:b/>
          <w:sz w:val="20"/>
        </w:rPr>
      </w:pPr>
      <w:bookmarkStart w:id="32" w:name="toc755060_15"/>
      <w:bookmarkEnd w:id="3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AnaptysBio, Inc. as of December 31, 2020 and 2019, and for each of the years in the three-year period ended December 31, 2020, have been incorporated by reference herein and in the registration statement in reliance upon the report of KPMG LLP, independent registered public accounting firm,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pBdr>
          <w:bottom w:val="single" w:sz="24" w:space="1" w:color="334998"/>
        </w:pBdr>
        <w:bidi w:val="0"/>
        <w:spacing w:lineRule="atLeast" w:line="142" w:before="0" w:after="40"/>
        <w:jc w:val="left"/>
        <w:rPr/>
      </w:pPr>
      <w:r>
        <w:rPr/>
        <w:t> </w:t>
      </w:r>
    </w:p>
    <w:p>
      <w:pPr>
        <w:pStyle w:val="TextBody"/>
        <w:bidi w:val="0"/>
        <w:spacing w:before="2400" w:after="0"/>
        <w:jc w:val="center"/>
        <w:rPr>
          <w:rFonts w:ascii="ARIAL" w:hAnsi="ARIAL"/>
          <w:b/>
          <w:sz w:val="28"/>
        </w:rPr>
      </w:pPr>
      <w:r>
        <w:rPr>
          <w:rFonts w:ascii="ARIAL" w:hAnsi="ARIAL"/>
          <w:b/>
          <w:sz w:val="28"/>
        </w:rPr>
        <w:t xml:space="preserve">2,750,498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2877185" cy="6769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5"/>
                    <a:stretch>
                      <a:fillRect/>
                    </a:stretch>
                  </pic:blipFill>
                  <pic:spPr bwMode="auto">
                    <a:xfrm>
                      <a:off x="0" y="0"/>
                      <a:ext cx="2877185" cy="676910"/>
                    </a:xfrm>
                    <a:prstGeom prst="rect">
                      <a:avLst/>
                    </a:prstGeom>
                  </pic:spPr>
                </pic:pic>
              </a:graphicData>
            </a:graphic>
          </wp:inline>
        </w:drawing>
      </w:r>
      <w:r>
        <w:rPr/>
        <w:t xml:space="preserve"> </w:t>
      </w:r>
    </w:p>
    <w:p>
      <w:pPr>
        <w:pStyle w:val="TextBody"/>
        <w:bidi w:val="0"/>
        <w:spacing w:before="1200" w:after="0"/>
        <w:jc w:val="center"/>
        <w:rPr>
          <w:rFonts w:ascii="ARIAL" w:hAnsi="ARIAL"/>
          <w:b/>
          <w:sz w:val="28"/>
        </w:rPr>
      </w:pPr>
      <w:r>
        <w:rPr>
          <w:rFonts w:ascii="ARIAL" w:hAnsi="ARIAL"/>
          <w:b/>
          <w:sz w:val="28"/>
        </w:rPr>
        <w:t xml:space="preserve">Common Stock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ARIAL" w:hAnsi="ARIAL"/>
          <w:b/>
          <w:sz w:val="24"/>
        </w:rPr>
      </w:pPr>
      <w:r>
        <w:rPr>
          <w:rFonts w:ascii="ARIAL" w:hAnsi="ARIAL"/>
          <w:b/>
          <w:sz w:val="24"/>
        </w:rPr>
        <w:t xml:space="preserve">PROSPECTUS SUPPLEMENT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530"/>
        <w:gridCol w:w="101"/>
        <w:gridCol w:w="2960"/>
        <w:gridCol w:w="102"/>
        <w:gridCol w:w="2245"/>
        <w:gridCol w:w="102"/>
        <w:gridCol w:w="3165"/>
      </w:tblGrid>
      <w:tr>
        <w:trPr/>
        <w:tc>
          <w:tcPr>
            <w:tcW w:w="153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b/>
              </w:rPr>
            </w:pPr>
            <w:r>
              <w:rPr>
                <w:b/>
              </w:rPr>
              <w:t>TD Cowen</w:t>
            </w:r>
          </w:p>
        </w:tc>
        <w:tc>
          <w:tcPr>
            <w:tcW w:w="101"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b/>
              </w:rPr>
            </w:pPr>
            <w:r>
              <w:rPr>
                <w:b/>
              </w:rPr>
              <w:t>Leerink Partners</w:t>
            </w:r>
          </w:p>
        </w:tc>
        <w:tc>
          <w:tcPr>
            <w:tcW w:w="102" w:type="dxa"/>
            <w:tcBorders/>
            <w:vAlign w:val="bottom"/>
          </w:tcPr>
          <w:p>
            <w:pPr>
              <w:pStyle w:val="TableContents"/>
              <w:bidi w:val="0"/>
              <w:spacing w:before="0" w:after="283"/>
              <w:jc w:val="left"/>
              <w:rPr/>
            </w:pPr>
            <w:r>
              <w:rPr/>
              <w:t> </w:t>
            </w:r>
          </w:p>
        </w:tc>
        <w:tc>
          <w:tcPr>
            <w:tcW w:w="2245" w:type="dxa"/>
            <w:tcBorders/>
          </w:tcPr>
          <w:p>
            <w:pPr>
              <w:pStyle w:val="TableContents"/>
              <w:bidi w:val="0"/>
              <w:spacing w:before="0" w:after="283"/>
              <w:jc w:val="center"/>
              <w:rPr>
                <w:b/>
              </w:rPr>
            </w:pPr>
            <w:r>
              <w:rPr>
                <w:b/>
              </w:rPr>
              <w:t>Piper Sandler</w:t>
            </w:r>
          </w:p>
        </w:tc>
        <w:tc>
          <w:tcPr>
            <w:tcW w:w="102"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right"/>
              <w:rPr>
                <w:b/>
              </w:rPr>
            </w:pPr>
            <w:r>
              <w:rPr>
                <w:b/>
              </w:rPr>
              <w:t>Guggenheim Securities</w:t>
            </w:r>
          </w:p>
        </w:tc>
      </w:tr>
    </w:tbl>
    <w:p>
      <w:pPr>
        <w:pStyle w:val="TextBody"/>
        <w:bidi w:val="0"/>
        <w:spacing w:before="1200" w:after="0"/>
        <w:jc w:val="center"/>
        <w:rPr>
          <w:rFonts w:ascii="ARIAL" w:hAnsi="ARIAL"/>
          <w:sz w:val="20"/>
        </w:rPr>
      </w:pPr>
      <w:r>
        <w:rPr>
          <w:rFonts w:ascii="ARIAL" w:hAnsi="ARIAL"/>
          <w:sz w:val="20"/>
        </w:rPr>
        <w:t xml:space="preserve">August 13, 2024 </w:t>
      </w:r>
    </w:p>
    <w:p>
      <w:pPr>
        <w:pStyle w:val="TextBody"/>
        <w:bidi w:val="0"/>
        <w:spacing w:before="0" w:after="0"/>
        <w:jc w:val="left"/>
        <w:rPr/>
      </w:pPr>
      <w:r>
        <w:rPr/>
        <w:t> </w:t>
      </w:r>
    </w:p>
    <w:p>
      <w:pPr>
        <w:pStyle w:val="TextBody"/>
        <w:pBdr>
          <w:bottom w:val="single" w:sz="24" w:space="1" w:color="334998"/>
        </w:pBdr>
        <w:bidi w:val="0"/>
        <w:spacing w:lineRule="atLeast" w:line="142" w:before="0" w:after="4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370053/000137005324000011/anab-20231231.htm" TargetMode="External"/><Relationship Id="rId4" Type="http://schemas.openxmlformats.org/officeDocument/2006/relationships/hyperlink" Target="http://www.sec.gov/Archives/edgar/data/../../../ix?doc=/Archives/edgar/data/1370053/000137005324000027/anab-20240331.htm" TargetMode="External"/><Relationship Id="rId5" Type="http://schemas.openxmlformats.org/officeDocument/2006/relationships/hyperlink" Target="http://www.sec.gov/Archives/edgar/data/../../../ix?doc=/Archives/edgar/data/1370053/000137005324000041/anab-20240630.htm" TargetMode="External"/><Relationship Id="rId6" Type="http://schemas.openxmlformats.org/officeDocument/2006/relationships/hyperlink" Target="http://www.sec.gov/Archives/edgar/data/1370053/000137005324000019/proxystatementfy2023_def14a.htm" TargetMode="External"/><Relationship Id="rId7" Type="http://schemas.openxmlformats.org/officeDocument/2006/relationships/hyperlink" Target="http://www.sec.gov/Archives/edgar/data/../../../ix?doc=/Archives/edgar/data/0001370053/000137005324000029/anab-20240612.htm" TargetMode="External"/><Relationship Id="rId8" Type="http://schemas.openxmlformats.org/officeDocument/2006/relationships/hyperlink" Target="http://www.sec.gov/Archives/edgar/data/1370053/000119312517010791/d284961d8a12b.htm" TargetMode="External"/><Relationship Id="rId9" Type="http://schemas.openxmlformats.org/officeDocument/2006/relationships/hyperlink" Target="http://www.sec.gov/Archives/edgar/data/1370053/000137005320000009/anaptys-10xkfy2019xexh.htm" TargetMode="External"/><Relationship Id="rId10" Type="http://schemas.openxmlformats.org/officeDocument/2006/relationships/hyperlink" Target="http://www.sec.gov/Archives/edgar/data/../../../ix?doc=/Archives/edgar/data/0001370053/000137005320000009/anab-12311910k.htm" TargetMode="External"/><Relationship Id="rId11" Type="http://schemas.openxmlformats.org/officeDocument/2006/relationships/hyperlink" Target="http://www.sec.gov/Archives/edgar/data/../../../ix?doc=/Archives/edgar/data/1370053/000137005321000019/anab-20201231.htm" TargetMode="External"/><Relationship Id="rId12" Type="http://schemas.openxmlformats.org/officeDocument/2006/relationships/hyperlink" Target="http://www.sec.gov/Archives/edgar/data/1370053/000137005321000031/proxystatementfy2020.htm" TargetMode="External"/><Relationship Id="rId13" Type="http://schemas.openxmlformats.org/officeDocument/2006/relationships/hyperlink" Target="http://www.sec.gov/Archives/edgar/data/../../../ix?doc=/Archives/edgar/data/1370053/000137005321000041/anab-20210331.htm" TargetMode="External"/><Relationship Id="rId14" Type="http://schemas.openxmlformats.org/officeDocument/2006/relationships/hyperlink" Target="http://www.sec.gov/Archives/edgar/data/../../../ix?doc=/Archives/edgar/data/1370053/000137005321000056/anab-20210630.htm" TargetMode="External"/><Relationship Id="rId15" Type="http://schemas.openxmlformats.org/officeDocument/2006/relationships/hyperlink" Target="http://www.sec.gov/Archives/edgar/data/../../../ix?doc=/Archives/edgar/data/1370053/000137005321000069/anab-20210930.htm" TargetMode="External"/><Relationship Id="rId16" Type="http://schemas.openxmlformats.org/officeDocument/2006/relationships/hyperlink" Target="http://www.sec.gov/Archives/edgar/data/../../../ix?doc=/Archives/edgar/data/1370053/000137005321000010/anab-20210118.htm" TargetMode="External"/><Relationship Id="rId17" Type="http://schemas.openxmlformats.org/officeDocument/2006/relationships/hyperlink" Target="http://www.sec.gov/Archives/edgar/data/../../../ix?doc=/Archives/edgar/data/1370053/000137005321000025/anab-20210408.htm" TargetMode="External"/><Relationship Id="rId18" Type="http://schemas.openxmlformats.org/officeDocument/2006/relationships/hyperlink" Target="http://www.sec.gov/Archives/edgar/data/../../../ix?doc=/Archives/edgar/data/1370053/000137005321000049/anab-20210617.htm" TargetMode="External"/><Relationship Id="rId19" Type="http://schemas.openxmlformats.org/officeDocument/2006/relationships/hyperlink" Target="http://www.sec.gov/Archives/edgar/data/../../../ix?doc=/Archives/edgar/data/1370053/000137005321000063/anab-20211025.htm" TargetMode="External"/><Relationship Id="rId20" Type="http://schemas.openxmlformats.org/officeDocument/2006/relationships/hyperlink" Target="http://www.sec.gov/Archives/edgar/data/../../../ix?doc=/Archives/edgar/data/1370053/000137005321000075/anab-20211126.htm" TargetMode="External"/><Relationship Id="rId21" Type="http://schemas.openxmlformats.org/officeDocument/2006/relationships/hyperlink" Target="http://www.sec.gov/Archives/edgar/data/../../../ix?doc=/Archives/edgar/data/1370053/000137005321000079/anab-20211201.htm" TargetMode="External"/><Relationship Id="rId22" Type="http://schemas.openxmlformats.org/officeDocument/2006/relationships/hyperlink" Target="http://www.sec.gov/Archives/edgar/data/1370053/000119312517010791/d284961d8a12b.htm" TargetMode="External"/><Relationship Id="rId23" Type="http://schemas.openxmlformats.org/officeDocument/2006/relationships/hyperlink" Target="http://www.sec.gov/Archives/edgar/data/1370053/000137005320000009/anaptys-10xkfy2019xexh.htm" TargetMode="External"/><Relationship Id="rId24" Type="http://schemas.openxmlformats.org/officeDocument/2006/relationships/hyperlink" Target="http://www.sec.gov/Archives/edgar/data/../../../ix?doc=/Archives/edgar/data/1370053/000137005320000009/anab-12311910k.htm" TargetMode="External"/><Relationship Id="rId25" Type="http://schemas.openxmlformats.org/officeDocument/2006/relationships/image" Target="media/image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70</Pages>
  <Words>22786</Words>
  <Characters>119582</Characters>
  <CharactersWithSpaces>142588</CharactersWithSpaces>
  <Paragraphs>1763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