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Arial" w:cs="Arial" w:eastAsia="Arial" w:hAnsi="Arial"/>
          <w:sz w:val="18"/>
          <w:szCs w:val="18"/>
          <w:b w:val="1"/>
          <w:bCs w:val="1"/>
          <w:color w:val="auto"/>
        </w:rPr>
        <w:t>UNITED STATES</w:t>
      </w:r>
    </w:p>
    <w:p>
      <w:pPr>
        <w:spacing w:after="0" w:line="25"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80"/>
        <w:spacing w:after="0"/>
        <w:rPr>
          <w:sz w:val="20"/>
          <w:szCs w:val="20"/>
          <w:color w:val="auto"/>
        </w:rPr>
      </w:pPr>
      <w:r>
        <w:rPr>
          <w:rFonts w:ascii="Arial" w:cs="Arial" w:eastAsia="Arial" w:hAnsi="Arial"/>
          <w:sz w:val="18"/>
          <w:szCs w:val="18"/>
          <w:b w:val="1"/>
          <w:bCs w:val="1"/>
          <w:color w:val="auto"/>
        </w:rPr>
        <w:t>Washington, D.C. 20549</w:t>
      </w:r>
    </w:p>
    <w:p>
      <w:pPr>
        <w:spacing w:after="0" w:line="164"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13G</w:t>
      </w:r>
    </w:p>
    <w:p>
      <w:pPr>
        <w:spacing w:after="0" w:line="20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w:t>
      </w:r>
    </w:p>
    <w:p>
      <w:pPr>
        <w:spacing w:after="0" w:line="225"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032724106</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-130810</wp:posOffset>
            </wp:positionV>
            <wp:extent cx="2246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8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jc w:val="both"/>
        <w:ind w:right="9860" w:firstLine="8"/>
        <w:spacing w:after="0" w:line="659" w:lineRule="auto"/>
        <w:tabs>
          <w:tab w:leader="none" w:pos="487"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2" w:lineRule="exact"/>
        <w:rPr>
          <w:sz w:val="24"/>
          <w:szCs w:val="24"/>
          <w:color w:val="auto"/>
        </w:rPr>
      </w:pPr>
    </w:p>
    <w:p>
      <w:pPr>
        <w:ind w:firstLine="656"/>
        <w:spacing w:after="0" w:line="259" w:lineRule="auto"/>
        <w:tabs>
          <w:tab w:leader="none" w:pos="8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4" w:lineRule="exact"/>
        <w:rPr>
          <w:sz w:val="24"/>
          <w:szCs w:val="24"/>
          <w:color w:val="auto"/>
        </w:rPr>
      </w:pPr>
    </w:p>
    <w:p>
      <w:pPr>
        <w:ind w:right="80" w:firstLine="810"/>
        <w:spacing w:after="0" w:line="22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1" w:name="page2"/>
    <w:bookmarkEnd w:id="1"/>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6500"/>
        <w:spacing w:after="0" w:line="572"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0" w:hanging="792"/>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7960" w:hanging="792"/>
        <w:spacing w:after="0" w:line="52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152400</wp:posOffset>
            </wp:positionV>
            <wp:extent cx="5969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1,046,502 shares (1)</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1,046,502 shares (1)</w:t>
      </w:r>
    </w:p>
    <w:p>
      <w:pPr>
        <w:spacing w:after="0" w:line="200" w:lineRule="exact"/>
        <w:rPr>
          <w:sz w:val="20"/>
          <w:szCs w:val="20"/>
          <w:color w:val="auto"/>
        </w:rPr>
      </w:pPr>
    </w:p>
    <w:p>
      <w:pPr>
        <w:sectPr>
          <w:pgSz w:w="11900" w:h="16838" w:orient="portrait"/>
          <w:cols w:equalWidth="0" w:num="2">
            <w:col w:w="1460" w:space="560"/>
            <w:col w:w="9400"/>
          </w:cols>
          <w:pgMar w:left="240" w:top="193"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p>
        </w:tc>
        <w:tc>
          <w:tcPr>
            <w:tcW w:w="10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940" w:type="dxa"/>
            <w:vAlign w:val="bottom"/>
          </w:tcPr>
          <w:p>
            <w:pPr>
              <w:ind w:left="3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480" w:type="dxa"/>
            <w:vAlign w:val="bottom"/>
          </w:tcPr>
          <w:p>
            <w:pPr>
              <w:spacing w:after="0"/>
              <w:rPr>
                <w:sz w:val="24"/>
                <w:szCs w:val="24"/>
                <w:color w:val="auto"/>
              </w:rPr>
            </w:pPr>
          </w:p>
        </w:tc>
        <w:tc>
          <w:tcPr>
            <w:tcW w:w="10940" w:type="dxa"/>
            <w:vAlign w:val="bottom"/>
          </w:tcPr>
          <w:p>
            <w:pPr>
              <w:ind w:left="320"/>
              <w:spacing w:after="0"/>
              <w:rPr>
                <w:sz w:val="20"/>
                <w:szCs w:val="20"/>
                <w:color w:val="auto"/>
              </w:rPr>
            </w:pPr>
            <w:r>
              <w:rPr>
                <w:rFonts w:ascii="Arial" w:cs="Arial" w:eastAsia="Arial" w:hAnsi="Arial"/>
                <w:sz w:val="18"/>
                <w:szCs w:val="18"/>
                <w:color w:val="auto"/>
              </w:rPr>
              <w:t>1,046,502 shares (1)</w:t>
            </w:r>
          </w:p>
        </w:tc>
      </w:tr>
      <w:tr>
        <w:trPr>
          <w:trHeight w:val="486"/>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40" w:lineRule="exact"/>
        <w:rPr>
          <w:sz w:val="20"/>
          <w:szCs w:val="20"/>
          <w:color w:val="auto"/>
        </w:rPr>
      </w:pPr>
    </w:p>
    <w:p>
      <w:pPr>
        <w:ind w:left="800" w:right="6740" w:hanging="792"/>
        <w:spacing w:after="0" w:line="52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4.45% (1)</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hanging="792"/>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PN (Partnership)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 Assumes the exercise of currently exercisable options. See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type w:val="continuous"/>
        </w:sectPr>
      </w:pPr>
    </w:p>
    <w:bookmarkStart w:id="2" w:name="page3"/>
    <w:bookmarkEnd w:id="2"/>
    <w:p>
      <w:pPr>
        <w:ind w:left="800" w:hanging="792"/>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5299"/>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6759" w:hanging="792"/>
        <w:spacing w:after="0" w:line="52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1,046,502 shares (1)</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1,046,502 shares (1)</w:t>
      </w:r>
    </w:p>
    <w:p>
      <w:pPr>
        <w:spacing w:after="0" w:line="200" w:lineRule="exact"/>
        <w:rPr>
          <w:sz w:val="20"/>
          <w:szCs w:val="20"/>
          <w:color w:val="auto"/>
        </w:rPr>
      </w:pPr>
    </w:p>
    <w:p>
      <w:pPr>
        <w:sectPr>
          <w:pgSz w:w="11900" w:h="16838" w:orient="portrait"/>
          <w:cols w:equalWidth="0" w:num="2">
            <w:col w:w="1460" w:space="560"/>
            <w:col w:w="8199"/>
          </w:cols>
          <w:pgMar w:left="240" w:top="409" w:right="1440" w:bottom="1440" w:gutter="0" w:footer="0" w:header="0"/>
          <w:type w:val="continuous"/>
        </w:sectPr>
      </w:pPr>
    </w:p>
    <w:p>
      <w:pPr>
        <w:spacing w:after="0" w:line="29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4619" w:hanging="792"/>
        <w:spacing w:after="0" w:line="52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1,046,502 shares (1)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320" w:type="dxa"/>
            <w:vAlign w:val="bottom"/>
          </w:tcPr>
          <w:p>
            <w:pPr>
              <w:ind w:left="380"/>
              <w:spacing w:after="0"/>
              <w:rPr>
                <w:sz w:val="20"/>
                <w:szCs w:val="20"/>
                <w:color w:val="auto"/>
              </w:rPr>
            </w:pPr>
            <w:r>
              <w:rPr>
                <w:rFonts w:ascii="Arial" w:cs="Arial" w:eastAsia="Arial" w:hAnsi="Arial"/>
                <w:sz w:val="18"/>
                <w:szCs w:val="18"/>
                <w:color w:val="auto"/>
              </w:rPr>
              <w:t>Refer to Item 4 below.</w:t>
            </w:r>
          </w:p>
        </w:tc>
      </w:tr>
      <w:tr>
        <w:trPr>
          <w:trHeight w:val="284"/>
        </w:trPr>
        <w:tc>
          <w:tcPr>
            <w:tcW w:w="48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320" w:type="dxa"/>
            <w:vAlign w:val="bottom"/>
          </w:tcPr>
          <w:p>
            <w:pPr>
              <w:ind w:left="320"/>
              <w:spacing w:after="0"/>
              <w:rPr>
                <w:sz w:val="20"/>
                <w:szCs w:val="20"/>
                <w:color w:val="auto"/>
              </w:rPr>
            </w:pPr>
            <w:r>
              <w:rPr>
                <w:rFonts w:ascii="Arial" w:cs="Arial" w:eastAsia="Arial" w:hAnsi="Arial"/>
                <w:sz w:val="18"/>
                <w:szCs w:val="18"/>
                <w:color w:val="auto"/>
                <w:w w:val="92"/>
              </w:rPr>
              <w:t>Check if the Aggregate Amount in Row (9) Excludes Certain Shares (See Instructions)   [ ]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800" w:right="5539" w:hanging="792"/>
        <w:spacing w:after="0" w:line="52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4.45% (1)</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hanging="79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1100" w:hanging="309"/>
        <w:spacing w:after="0"/>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(Limited Liability Company)</w:t>
      </w:r>
    </w:p>
    <w:p>
      <w:pPr>
        <w:spacing w:after="0" w:line="238"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the exercise of currently exercisable options. See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type w:val="continuous"/>
        </w:sectPr>
      </w:pPr>
    </w:p>
    <w:bookmarkStart w:id="3" w:name="page4"/>
    <w:bookmarkEnd w:id="3"/>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6500"/>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7960" w:hanging="792"/>
        <w:spacing w:after="0" w:line="52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152400</wp:posOffset>
            </wp:positionV>
            <wp:extent cx="5969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1,254,185 shares (1)</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1,254,185 shares (1)</w:t>
      </w:r>
    </w:p>
    <w:p>
      <w:pPr>
        <w:spacing w:after="0" w:line="200" w:lineRule="exact"/>
        <w:rPr>
          <w:sz w:val="20"/>
          <w:szCs w:val="20"/>
          <w:color w:val="auto"/>
        </w:rPr>
      </w:pPr>
    </w:p>
    <w:p>
      <w:pPr>
        <w:sectPr>
          <w:pgSz w:w="11900" w:h="16838" w:orient="portrait"/>
          <w:cols w:equalWidth="0" w:num="2">
            <w:col w:w="1460" w:space="560"/>
            <w:col w:w="9400"/>
          </w:cols>
          <w:pgMar w:left="240" w:top="625"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p>
        </w:tc>
        <w:tc>
          <w:tcPr>
            <w:tcW w:w="10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940" w:type="dxa"/>
            <w:vAlign w:val="bottom"/>
          </w:tcPr>
          <w:p>
            <w:pPr>
              <w:ind w:left="3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480" w:type="dxa"/>
            <w:vAlign w:val="bottom"/>
          </w:tcPr>
          <w:p>
            <w:pPr>
              <w:spacing w:after="0"/>
              <w:rPr>
                <w:sz w:val="24"/>
                <w:szCs w:val="24"/>
                <w:color w:val="auto"/>
              </w:rPr>
            </w:pPr>
          </w:p>
        </w:tc>
        <w:tc>
          <w:tcPr>
            <w:tcW w:w="10940" w:type="dxa"/>
            <w:vAlign w:val="bottom"/>
          </w:tcPr>
          <w:p>
            <w:pPr>
              <w:ind w:left="320"/>
              <w:spacing w:after="0"/>
              <w:rPr>
                <w:sz w:val="20"/>
                <w:szCs w:val="20"/>
                <w:color w:val="auto"/>
              </w:rPr>
            </w:pPr>
            <w:r>
              <w:rPr>
                <w:rFonts w:ascii="Arial" w:cs="Arial" w:eastAsia="Arial" w:hAnsi="Arial"/>
                <w:sz w:val="18"/>
                <w:szCs w:val="18"/>
                <w:color w:val="auto"/>
              </w:rPr>
              <w:t>1,254,185 shares (1)</w:t>
            </w:r>
          </w:p>
        </w:tc>
      </w:tr>
      <w:tr>
        <w:trPr>
          <w:trHeight w:val="486"/>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40" w:lineRule="exact"/>
        <w:rPr>
          <w:sz w:val="20"/>
          <w:szCs w:val="20"/>
          <w:color w:val="auto"/>
        </w:rPr>
      </w:pPr>
    </w:p>
    <w:p>
      <w:pPr>
        <w:ind w:left="800" w:right="6740" w:hanging="792"/>
        <w:spacing w:after="0" w:line="563"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5.34% (1)</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hanging="79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1100" w:hanging="309"/>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(Limited Liability Company)</w:t>
      </w:r>
    </w:p>
    <w:p>
      <w:pPr>
        <w:spacing w:after="0" w:line="238"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the exercise of currently exercisable options. See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type w:val="continuous"/>
        </w:sectPr>
      </w:pPr>
    </w:p>
    <w:bookmarkStart w:id="4" w:name="page5"/>
    <w:bookmarkEnd w:id="4"/>
    <w:p>
      <w:pPr>
        <w:ind w:left="800" w:hanging="79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Names of Reporting Persons.</w:t>
      </w:r>
    </w:p>
    <w:p>
      <w:pPr>
        <w:spacing w:after="0" w:line="63" w:lineRule="exact"/>
        <w:rPr>
          <w:rFonts w:ascii="Arial" w:cs="Arial" w:eastAsia="Arial" w:hAnsi="Arial"/>
          <w:sz w:val="18"/>
          <w:szCs w:val="18"/>
          <w:color w:val="auto"/>
        </w:rPr>
      </w:pPr>
    </w:p>
    <w:p>
      <w:pPr>
        <w:ind w:left="800" w:right="6500"/>
        <w:spacing w:after="0" w:line="52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6" w:lineRule="exact"/>
        <w:rPr>
          <w:rFonts w:ascii="Arial" w:cs="Arial" w:eastAsia="Arial" w:hAnsi="Arial"/>
          <w:sz w:val="16"/>
          <w:szCs w:val="16"/>
          <w:color w:val="auto"/>
        </w:rPr>
      </w:pPr>
    </w:p>
    <w:p>
      <w:pPr>
        <w:ind w:left="1260" w:hanging="469"/>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1280" w:hanging="489"/>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800" w:hanging="792"/>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800" w:right="7960" w:hanging="792"/>
        <w:spacing w:after="0" w:line="52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152400</wp:posOffset>
            </wp:positionV>
            <wp:extent cx="5969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Number</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Shares</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Beneficially</w:t>
      </w:r>
    </w:p>
    <w:p>
      <w:pPr>
        <w:spacing w:after="0" w:line="7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Owned by</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Each</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Reporting</w:t>
      </w:r>
    </w:p>
    <w:p>
      <w:pPr>
        <w:spacing w:after="0" w:line="6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1,254,185 shares (1)</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69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969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1,254,185 shares (1)</w:t>
      </w:r>
    </w:p>
    <w:p>
      <w:pPr>
        <w:spacing w:after="0" w:line="200" w:lineRule="exact"/>
        <w:rPr>
          <w:sz w:val="20"/>
          <w:szCs w:val="20"/>
          <w:color w:val="auto"/>
        </w:rPr>
      </w:pPr>
    </w:p>
    <w:p>
      <w:pPr>
        <w:sectPr>
          <w:pgSz w:w="11900" w:h="16838" w:orient="portrait"/>
          <w:cols w:equalWidth="0" w:num="2">
            <w:col w:w="1460" w:space="560"/>
            <w:col w:w="9400"/>
          </w:cols>
          <w:pgMar w:left="240" w:top="625"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p>
        </w:tc>
        <w:tc>
          <w:tcPr>
            <w:tcW w:w="10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940" w:type="dxa"/>
            <w:vAlign w:val="bottom"/>
          </w:tcPr>
          <w:p>
            <w:pPr>
              <w:ind w:left="32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480" w:type="dxa"/>
            <w:vAlign w:val="bottom"/>
          </w:tcPr>
          <w:p>
            <w:pPr>
              <w:spacing w:after="0"/>
              <w:rPr>
                <w:sz w:val="24"/>
                <w:szCs w:val="24"/>
                <w:color w:val="auto"/>
              </w:rPr>
            </w:pPr>
          </w:p>
        </w:tc>
        <w:tc>
          <w:tcPr>
            <w:tcW w:w="10940" w:type="dxa"/>
            <w:vAlign w:val="bottom"/>
          </w:tcPr>
          <w:p>
            <w:pPr>
              <w:ind w:left="320"/>
              <w:spacing w:after="0"/>
              <w:rPr>
                <w:sz w:val="20"/>
                <w:szCs w:val="20"/>
                <w:color w:val="auto"/>
              </w:rPr>
            </w:pPr>
            <w:r>
              <w:rPr>
                <w:rFonts w:ascii="Arial" w:cs="Arial" w:eastAsia="Arial" w:hAnsi="Arial"/>
                <w:sz w:val="18"/>
                <w:szCs w:val="18"/>
                <w:color w:val="auto"/>
              </w:rPr>
              <w:t>1,254,185 shares (1)</w:t>
            </w:r>
          </w:p>
        </w:tc>
      </w:tr>
      <w:tr>
        <w:trPr>
          <w:trHeight w:val="486"/>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Refer to Item 4 below.</w:t>
            </w:r>
          </w:p>
        </w:tc>
      </w:tr>
      <w:tr>
        <w:trPr>
          <w:trHeight w:val="26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40" w:lineRule="exact"/>
        <w:rPr>
          <w:sz w:val="20"/>
          <w:szCs w:val="20"/>
          <w:color w:val="auto"/>
        </w:rPr>
      </w:pPr>
    </w:p>
    <w:p>
      <w:pPr>
        <w:ind w:left="800" w:right="6740" w:hanging="792"/>
        <w:spacing w:after="0" w:line="52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5.34% (1)</w:t>
      </w:r>
    </w:p>
    <w:p>
      <w:pPr>
        <w:spacing w:after="0" w:line="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6" w:lineRule="exact"/>
        <w:rPr>
          <w:rFonts w:ascii="Arial" w:cs="Arial" w:eastAsia="Arial" w:hAnsi="Arial"/>
          <w:sz w:val="18"/>
          <w:szCs w:val="18"/>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(Individual)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 Assumes the exercise of currently exercisable options. See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right="8179" w:hanging="812"/>
        <w:spacing w:after="0" w:line="483"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Name of Issuer AnaptysBio, Inc.</w:t>
      </w:r>
    </w:p>
    <w:p>
      <w:pPr>
        <w:spacing w:after="0" w:line="15" w:lineRule="exact"/>
        <w:rPr>
          <w:rFonts w:ascii="Arial" w:cs="Arial" w:eastAsia="Arial" w:hAnsi="Arial"/>
          <w:sz w:val="16"/>
          <w:szCs w:val="16"/>
          <w:color w:val="auto"/>
        </w:rPr>
      </w:pPr>
    </w:p>
    <w:p>
      <w:pPr>
        <w:ind w:left="820" w:hanging="812"/>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San Diego, CA 92121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hanging="812"/>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820" w:right="5999"/>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Asset Management, LLC</w:t>
      </w:r>
    </w:p>
    <w:p>
      <w:pPr>
        <w:ind w:left="82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820" w:hanging="812"/>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w:t>
      </w:r>
    </w:p>
    <w:p>
      <w:pPr>
        <w:spacing w:after="0" w:line="236" w:lineRule="exact"/>
        <w:rPr>
          <w:rFonts w:ascii="Arial" w:cs="Arial" w:eastAsia="Arial" w:hAnsi="Arial"/>
          <w:sz w:val="17"/>
          <w:szCs w:val="17"/>
          <w:color w:val="auto"/>
        </w:rPr>
      </w:pPr>
    </w:p>
    <w:p>
      <w:pPr>
        <w:ind w:left="820" w:right="6979"/>
        <w:spacing w:after="0" w:line="277" w:lineRule="auto"/>
        <w:rPr>
          <w:rFonts w:ascii="Arial" w:cs="Arial" w:eastAsia="Arial" w:hAnsi="Arial"/>
          <w:sz w:val="17"/>
          <w:szCs w:val="17"/>
          <w:color w:val="auto"/>
        </w:rPr>
      </w:pPr>
      <w:r>
        <w:rPr>
          <w:rFonts w:ascii="Arial" w:cs="Arial" w:eastAsia="Arial" w:hAnsi="Arial"/>
          <w:sz w:val="18"/>
          <w:szCs w:val="18"/>
          <w:color w:val="auto"/>
        </w:rPr>
        <w:t>200 Clarendon Street, 52nd Floor Boston, MA 02116</w:t>
      </w:r>
    </w:p>
    <w:p>
      <w:pPr>
        <w:spacing w:after="0" w:line="170" w:lineRule="exact"/>
        <w:rPr>
          <w:rFonts w:ascii="Arial" w:cs="Arial" w:eastAsia="Arial" w:hAnsi="Arial"/>
          <w:sz w:val="17"/>
          <w:szCs w:val="17"/>
          <w:color w:val="auto"/>
        </w:rPr>
      </w:pPr>
    </w:p>
    <w:p>
      <w:pPr>
        <w:ind w:left="820" w:hanging="812"/>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20" w:right="4699"/>
        <w:spacing w:after="0" w:line="256"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Asset Management, LLC - Delaware</w:t>
      </w:r>
    </w:p>
    <w:p>
      <w:pPr>
        <w:ind w:left="82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820" w:right="7479" w:hanging="812"/>
        <w:spacing w:after="0" w:line="483"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 w:lineRule="exact"/>
        <w:rPr>
          <w:rFonts w:ascii="Arial" w:cs="Arial" w:eastAsia="Arial" w:hAnsi="Arial"/>
          <w:sz w:val="16"/>
          <w:szCs w:val="16"/>
          <w:color w:val="auto"/>
        </w:rPr>
      </w:pPr>
    </w:p>
    <w:p>
      <w:pPr>
        <w:ind w:left="820" w:right="8259" w:hanging="812"/>
        <w:spacing w:after="0" w:line="342"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CUSIP Number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00" w:type="dxa"/>
            <w:vAlign w:val="bottom"/>
          </w:tcPr>
          <w:p>
            <w:pPr>
              <w:spacing w:after="0"/>
              <w:rPr>
                <w:sz w:val="20"/>
                <w:szCs w:val="20"/>
                <w:color w:val="auto"/>
              </w:rPr>
            </w:pPr>
          </w:p>
        </w:tc>
        <w:tc>
          <w:tcPr>
            <w:tcW w:w="10460" w:type="dxa"/>
            <w:vAlign w:val="bottom"/>
          </w:tcPr>
          <w:p>
            <w:pPr>
              <w:ind w:left="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864"/>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Bank as defined in section 3(a)(6) of the Act (15 U.S.C. 78c).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Insurance Company as defined in Section 3(a)(19) of the Act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(e)</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An investment adviser in accordance with §240.13d-1(b)(1)(ii)(E);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(g)</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(i)</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 Investment Company Act of</w:t>
            </w: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60" w:type="dxa"/>
            <w:vAlign w:val="bottom"/>
          </w:tcPr>
          <w:p>
            <w:pPr>
              <w:ind w:left="600"/>
              <w:spacing w:after="0"/>
              <w:rPr>
                <w:sz w:val="20"/>
                <w:szCs w:val="20"/>
                <w:color w:val="auto"/>
              </w:rPr>
            </w:pPr>
            <w:r>
              <w:rPr>
                <w:rFonts w:ascii="Arial" w:cs="Arial" w:eastAsia="Arial" w:hAnsi="Arial"/>
                <w:sz w:val="18"/>
                <w:szCs w:val="18"/>
                <w:color w:val="auto"/>
              </w:rPr>
              <w:t>1940 (15 U.S.C. 80a-3);</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(j)</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A non-U.S. institution in accordance with §240.13d–1(b)(1)(ii)(J);</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(k)</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460" w:type="dxa"/>
            <w:vAlign w:val="bottom"/>
          </w:tcPr>
          <w:p>
            <w:pPr>
              <w:ind w:left="600"/>
              <w:spacing w:after="0"/>
              <w:rPr>
                <w:sz w:val="20"/>
                <w:szCs w:val="20"/>
                <w:color w:val="auto"/>
              </w:rPr>
            </w:pPr>
            <w:r>
              <w:rPr>
                <w:rFonts w:ascii="Arial" w:cs="Arial" w:eastAsia="Arial" w:hAnsi="Arial"/>
                <w:sz w:val="18"/>
                <w:szCs w:val="18"/>
                <w:color w:val="auto"/>
              </w:rPr>
              <w:t>Group, in accordance with §240.13d-1(b)(1)(ii)(K).</w:t>
            </w:r>
          </w:p>
        </w:tc>
      </w:tr>
    </w:tbl>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41" w:lineRule="exact"/>
        <w:rPr>
          <w:sz w:val="20"/>
          <w:szCs w:val="20"/>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800" w:right="5840"/>
        <w:spacing w:after="0" w:line="288"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1,046,502 shares Cormorant Global Healthcare GP, LLC - 1,046,502 shares Cormorant Asset Management, LLC – 1,254,185 shares</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 – 1,254,185 shares</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800" w:right="6580"/>
        <w:spacing w:after="0" w:line="265"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4.45% Cormorant Global Healthcare GP, LLC – 4.45% Cormorant Asset Management, LLC – 5.34%</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 – 5.34%</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80" w:hanging="789"/>
        <w:spacing w:after="0"/>
        <w:tabs>
          <w:tab w:leader="none" w:pos="15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580" w:right="572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LLC - 0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80" w:hanging="789"/>
        <w:spacing w:after="0"/>
        <w:tabs>
          <w:tab w:leader="none" w:pos="15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80" w:right="5060"/>
        <w:spacing w:after="0" w:line="288" w:lineRule="auto"/>
        <w:rPr>
          <w:rFonts w:ascii="Arial" w:cs="Arial" w:eastAsia="Arial" w:hAnsi="Arial"/>
          <w:sz w:val="18"/>
          <w:szCs w:val="18"/>
          <w:color w:val="auto"/>
        </w:rPr>
      </w:pPr>
      <w:r>
        <w:rPr>
          <w:rFonts w:ascii="Arial" w:cs="Arial" w:eastAsia="Arial" w:hAnsi="Arial"/>
          <w:sz w:val="16"/>
          <w:szCs w:val="16"/>
          <w:color w:val="auto"/>
        </w:rPr>
        <w:t>Cormorant Global Healthcare Master Fund, LP – 1,046,502 shares Cormorant Global Healthcare GP, LLC - 1,046,502 shares Cormorant Asset Management, LLC – 1,254,185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- 1,254,185 shares</w:t>
      </w:r>
    </w:p>
    <w:p>
      <w:pPr>
        <w:spacing w:after="0" w:line="210" w:lineRule="exact"/>
        <w:rPr>
          <w:rFonts w:ascii="Arial" w:cs="Arial" w:eastAsia="Arial" w:hAnsi="Arial"/>
          <w:sz w:val="18"/>
          <w:szCs w:val="18"/>
          <w:color w:val="auto"/>
        </w:rPr>
      </w:pPr>
    </w:p>
    <w:p>
      <w:pPr>
        <w:ind w:left="1580" w:hanging="789"/>
        <w:spacing w:after="0"/>
        <w:tabs>
          <w:tab w:leader="none" w:pos="15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580" w:right="572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LLC - 0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80" w:hanging="789"/>
        <w:spacing w:after="0"/>
        <w:tabs>
          <w:tab w:leader="none" w:pos="15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80" w:right="506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1,046,502 shares Cormorant Global Healthcare GP, LLC - 1,046,502 shares Cormorant Asset Management, LLC - 1,254,185 shares</w:t>
      </w:r>
    </w:p>
    <w:p>
      <w:pPr>
        <w:ind w:left="1580"/>
        <w:spacing w:after="0"/>
        <w:rPr>
          <w:rFonts w:ascii="Arial" w:cs="Arial" w:eastAsia="Arial" w:hAnsi="Arial"/>
          <w:sz w:val="18"/>
          <w:szCs w:val="18"/>
          <w:color w:val="auto"/>
        </w:rPr>
      </w:pPr>
      <w:r>
        <w:rPr>
          <w:rFonts w:ascii="Arial" w:cs="Arial" w:eastAsia="Arial" w:hAnsi="Arial"/>
          <w:sz w:val="18"/>
          <w:szCs w:val="18"/>
          <w:color w:val="auto"/>
        </w:rPr>
        <w:t>Bihua Chen - 1,254,185 shares</w:t>
      </w:r>
    </w:p>
    <w:p>
      <w:pPr>
        <w:spacing w:after="0" w:line="372" w:lineRule="exact"/>
        <w:rPr>
          <w:rFonts w:ascii="Arial" w:cs="Arial" w:eastAsia="Arial" w:hAnsi="Arial"/>
          <w:sz w:val="18"/>
          <w:szCs w:val="18"/>
          <w:color w:val="auto"/>
        </w:rPr>
      </w:pPr>
    </w:p>
    <w:p>
      <w:pPr>
        <w:jc w:val="both"/>
        <w:ind w:left="660" w:hanging="4"/>
        <w:spacing w:after="0" w:line="297" w:lineRule="auto"/>
        <w:tabs>
          <w:tab w:leader="none" w:pos="981" w:val="left"/>
        </w:tabs>
        <w:numPr>
          <w:ilvl w:val="1"/>
          <w:numId w:val="30"/>
        </w:numPr>
        <w:rPr>
          <w:rFonts w:ascii="Arial" w:cs="Arial" w:eastAsia="Arial" w:hAnsi="Arial"/>
          <w:sz w:val="16"/>
          <w:szCs w:val="16"/>
          <w:color w:val="auto"/>
        </w:rPr>
      </w:pPr>
      <w:r>
        <w:rPr>
          <w:rFonts w:ascii="Arial" w:cs="Arial" w:eastAsia="Arial" w:hAnsi="Arial"/>
          <w:sz w:val="16"/>
          <w:szCs w:val="16"/>
          <w:color w:val="auto"/>
        </w:rPr>
        <w:t>Shares reported herein for Cormorant Asset Management, LLC represent shares which are beneficially owned by Cormorant Global Healthcare Master Fund, LP (the “Fund”), as reported herein, and shares which are beneficially owned by a managed account (the “Account”). Cormorant Global Healthcare GP, LLC serves as the general partner of the Fund, and Cormorant Asset Management, LLC serves as the investment manager to both the Fund and the Account. Bihua Chen serves as the managing member of Cormorant Global Healthcare GP, LLC and Cormorant Asset Management, LLC. Each of the Reporting Persons disclaims beneficial ownership of the shares reported herein except to the extent of its or his</w:t>
      </w:r>
    </w:p>
    <w:p>
      <w:pPr>
        <w:sectPr>
          <w:pgSz w:w="11900" w:h="16860" w:orient="portrait"/>
          <w:cols w:equalWidth="0" w:num="1">
            <w:col w:w="11420"/>
          </w:cols>
          <w:pgMar w:left="240" w:top="121" w:right="239" w:bottom="0" w:gutter="0" w:footer="0" w:header="0"/>
        </w:sectPr>
      </w:pPr>
    </w:p>
    <w:bookmarkStart w:id="7" w:name="page8"/>
    <w:bookmarkEnd w:id="7"/>
    <w:p>
      <w:pPr>
        <w:jc w:val="both"/>
        <w:ind w:left="660"/>
        <w:spacing w:after="0" w:line="257" w:lineRule="auto"/>
        <w:rPr>
          <w:sz w:val="20"/>
          <w:szCs w:val="20"/>
          <w:color w:val="auto"/>
        </w:rPr>
      </w:pPr>
      <w:r>
        <w:rPr>
          <w:rFonts w:ascii="Arial" w:cs="Arial" w:eastAsia="Arial" w:hAnsi="Arial"/>
          <w:sz w:val="18"/>
          <w:szCs w:val="18"/>
          <w:color w:val="auto"/>
        </w:rPr>
        <w:t>pecuniary interest therein. Shares of Common Stock reported herein as of December 31, 2017, include (i) for the Fund, 1,044,252 shares of Common Stock and options to acquire an additional 2,250 shares of Common Stock, and (ii) for the Account, 207,233 shares of Common Stock and options to acquire an additional 450 shares of Common Stock. Percentage calculations herein are based upon the statement in the Issuer's Quarterly Report for the quarter ended September 30, 2017, as filed with the Securities and Exchange Commission on November 7, 2017, that there were 23,497,680 shares of Common Stock outstanding as of November 3, 2017.</w:t>
      </w: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2018</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GLOBAL HEALTHCARE MASTER FUND, LP</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Cormorant Global Healthcare GP, LLC</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GLOBAL HEALTHCARE GP, LLC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CORMORANT ASSET MANAGEMENT, LLC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 Managing Member</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Bihua Chen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Bihua Chen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Roman"/>
      <w:start w:val="10"/>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2"/>
      <w:numFmt w:val="bullet"/>
      <w:start w:val="1"/>
    </w:lvl>
    <w:lvl w:ilvl="1">
      <w:lvlJc w:val="left"/>
      <w:lvlText w:val="(%2)"/>
      <w:numFmt w:val="lowerLetter"/>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4"/>
      <w:numFmt w:val="bullet"/>
      <w:start w:val="1"/>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2"/>
      <w:numFmt w:val="bullet"/>
      <w:start w:val="1"/>
    </w:lvl>
    <w:lvl w:ilvl="1">
      <w:lvlJc w:val="left"/>
      <w:lvlText w:val="(%2)"/>
      <w:numFmt w:val="lowerLetter"/>
      <w:start w:val="1"/>
    </w:lvl>
  </w:abstractNum>
  <w:abstractNum w:abstractNumId="9">
    <w:nsid w:val="62BBD95A"/>
    <w:multiLevelType w:val="hybridMultilevel"/>
    <w:lvl w:ilvl="0">
      <w:lvlJc w:val="left"/>
      <w:lvlText w:val="3"/>
      <w:numFmt w:val="bullet"/>
      <w:start w:val="1"/>
    </w:lvl>
  </w:abstractNum>
  <w:abstractNum w:abstractNumId="10">
    <w:nsid w:val="436C6125"/>
    <w:multiLevelType w:val="hybridMultilevel"/>
    <w:lvl w:ilvl="0">
      <w:lvlJc w:val="left"/>
      <w:lvlText w:val="4"/>
      <w:numFmt w:val="bullet"/>
      <w:start w:val="1"/>
    </w:lvl>
  </w:abstractNum>
  <w:abstractNum w:abstractNumId="11">
    <w:nsid w:val="628C895D"/>
    <w:multiLevelType w:val="hybridMultilevel"/>
    <w:lvl w:ilvl="0">
      <w:lvlJc w:val="left"/>
      <w:lvlText w:val="9"/>
      <w:numFmt w:val="bullet"/>
      <w:start w:val="1"/>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
    </w:lvl>
    <w:lvl w:ilvl="1">
      <w:lvlJc w:val="left"/>
      <w:lvlText w:val="%2"/>
      <w:numFmt w:val="upperLetter"/>
      <w:start w:val="41"/>
    </w:lvl>
  </w:abstractNum>
  <w:abstractNum w:abstractNumId="14">
    <w:nsid w:val="2443A858"/>
    <w:multiLevelType w:val="hybridMultilevel"/>
    <w:lvl w:ilvl="0">
      <w:lvlJc w:val="left"/>
      <w:lvlText w:val="(%1)"/>
      <w:numFmt w:val="decimal"/>
      <w:start w:val="1"/>
    </w:lvl>
    <w:lvl w:ilvl="1">
      <w:lvlJc w:val="left"/>
      <w:lvlText w:val="%2"/>
      <w:numFmt w:val="upperLetter"/>
      <w:start w:val="1"/>
    </w:lvl>
  </w:abstractNum>
  <w:abstractNum w:abstractNumId="15">
    <w:nsid w:val="2D1D5AE9"/>
    <w:multiLevelType w:val="hybridMultilevel"/>
    <w:lvl w:ilvl="0">
      <w:lvlJc w:val="left"/>
      <w:lvlText w:val="1"/>
      <w:numFmt w:val="bullet"/>
      <w:start w:val="1"/>
    </w:lvl>
  </w:abstractNum>
  <w:abstractNum w:abstractNumId="16">
    <w:nsid w:val="6763845E"/>
    <w:multiLevelType w:val="hybridMultilevel"/>
    <w:lvl w:ilvl="0">
      <w:lvlJc w:val="left"/>
      <w:lvlText w:val="2"/>
      <w:numFmt w:val="bullet"/>
      <w:start w:val="1"/>
    </w:lvl>
    <w:lvl w:ilvl="1">
      <w:lvlJc w:val="left"/>
      <w:lvlText w:val="(%2)"/>
      <w:numFmt w:val="lowerLetter"/>
      <w:start w:val="1"/>
    </w:lvl>
  </w:abstractNum>
  <w:abstractNum w:abstractNumId="17">
    <w:nsid w:val="75A2A8D4"/>
    <w:multiLevelType w:val="hybridMultilevel"/>
    <w:lvl w:ilvl="0">
      <w:lvlJc w:val="left"/>
      <w:lvlText w:val="3"/>
      <w:numFmt w:val="bullet"/>
      <w:start w:val="1"/>
    </w:lvl>
  </w:abstractNum>
  <w:abstractNum w:abstractNumId="18">
    <w:nsid w:val="8EDBDAB"/>
    <w:multiLevelType w:val="hybridMultilevel"/>
    <w:lvl w:ilvl="0">
      <w:lvlJc w:val="left"/>
      <w:lvlText w:val="4"/>
      <w:numFmt w:val="bullet"/>
      <w:start w:val="1"/>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
    </w:lvl>
    <w:lvl w:ilvl="1">
      <w:lvlJc w:val="left"/>
      <w:lvlText w:val="%2"/>
      <w:numFmt w:val="upperLetter"/>
      <w:start w:val="41"/>
    </w:lvl>
  </w:abstractNum>
  <w:abstractNum w:abstractNumId="21">
    <w:nsid w:val="B03E0C6"/>
    <w:multiLevelType w:val="hybridMultilevel"/>
    <w:lvl w:ilvl="0">
      <w:lvlJc w:val="left"/>
      <w:lvlText w:val="(%1)"/>
      <w:numFmt w:val="decimal"/>
      <w:start w:val="1"/>
    </w:lvl>
    <w:lvl w:ilvl="1">
      <w:lvlJc w:val="left"/>
      <w:lvlText w:val="%2"/>
      <w:numFmt w:val="upperLetter"/>
      <w:start w:val="1"/>
    </w:lvl>
  </w:abstractNum>
  <w:abstractNum w:abstractNumId="22">
    <w:nsid w:val="189A769B"/>
    <w:multiLevelType w:val="hybridMultilevel"/>
    <w:lvl w:ilvl="0">
      <w:lvlJc w:val="left"/>
      <w:lvlText w:val="1"/>
      <w:numFmt w:val="bullet"/>
      <w:start w:val="1"/>
    </w:lvl>
  </w:abstractNum>
  <w:abstractNum w:abstractNumId="23">
    <w:nsid w:val="54E49EB4"/>
    <w:multiLevelType w:val="hybridMultilevel"/>
    <w:lvl w:ilvl="0">
      <w:lvlJc w:val="left"/>
      <w:lvlText w:val="2"/>
      <w:numFmt w:val="bullet"/>
      <w:start w:val="1"/>
    </w:lvl>
    <w:lvl w:ilvl="1">
      <w:lvlJc w:val="left"/>
      <w:lvlText w:val="(%2)"/>
      <w:numFmt w:val="lowerLetter"/>
      <w:start w:val="1"/>
    </w:lvl>
  </w:abstractNum>
  <w:abstractNum w:abstractNumId="24">
    <w:nsid w:val="71F32454"/>
    <w:multiLevelType w:val="hybridMultilevel"/>
    <w:lvl w:ilvl="0">
      <w:lvlJc w:val="left"/>
      <w:lvlText w:val="3"/>
      <w:numFmt w:val="bullet"/>
      <w:start w:val="1"/>
    </w:lvl>
  </w:abstractNum>
  <w:abstractNum w:abstractNumId="25">
    <w:nsid w:val="2CA88611"/>
    <w:multiLevelType w:val="hybridMultilevel"/>
    <w:lvl w:ilvl="0">
      <w:lvlJc w:val="left"/>
      <w:lvlText w:val="4"/>
      <w:numFmt w:val="bullet"/>
      <w:start w:val="1"/>
    </w:lvl>
  </w:abstractNum>
  <w:abstractNum w:abstractNumId="26">
    <w:nsid w:val="836C40E"/>
    <w:multiLevelType w:val="hybridMultilevel"/>
    <w:lvl w:ilvl="0">
      <w:lvlJc w:val="left"/>
      <w:lvlText w:val="%1"/>
      <w:numFmt w:val="decimal"/>
      <w:start w:val="1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2019-12-07T05:25:41Z</dcterms:created>
  <dcterms:modified xsi:type="dcterms:W3CDTF">2019-12-07T05:25:41Z</dcterms:modified>
</cp:coreProperties>
</file>