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2"/>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ind w:right="-62"/>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62"/>
        <w:spacing w:after="0"/>
        <w:rPr>
          <w:sz w:val="20"/>
          <w:szCs w:val="20"/>
          <w:color w:val="auto"/>
        </w:rPr>
      </w:pPr>
      <w:r>
        <w:rPr>
          <w:rFonts w:ascii="Arial" w:cs="Arial" w:eastAsia="Arial" w:hAnsi="Arial"/>
          <w:sz w:val="20"/>
          <w:szCs w:val="20"/>
          <w:b w:val="1"/>
          <w:bCs w:val="1"/>
          <w:color w:val="auto"/>
        </w:rPr>
        <w:t>Washington, D.C. 20549</w:t>
      </w:r>
    </w:p>
    <w:p>
      <w:pPr>
        <w:spacing w:after="0" w:line="194" w:lineRule="exact"/>
        <w:rPr>
          <w:sz w:val="24"/>
          <w:szCs w:val="24"/>
          <w:color w:val="auto"/>
        </w:rPr>
      </w:pPr>
    </w:p>
    <w:p>
      <w:pPr>
        <w:jc w:val="center"/>
        <w:ind w:right="-62"/>
        <w:spacing w:after="0"/>
        <w:rPr>
          <w:sz w:val="20"/>
          <w:szCs w:val="20"/>
          <w:color w:val="auto"/>
        </w:rPr>
      </w:pPr>
      <w:r>
        <w:rPr>
          <w:rFonts w:ascii="Arial" w:cs="Arial" w:eastAsia="Arial" w:hAnsi="Arial"/>
          <w:sz w:val="20"/>
          <w:szCs w:val="20"/>
          <w:b w:val="1"/>
          <w:bCs w:val="1"/>
          <w:color w:val="auto"/>
        </w:rPr>
        <w:t>SCHEDULE 13D</w:t>
      </w:r>
    </w:p>
    <w:p>
      <w:pPr>
        <w:spacing w:after="0" w:line="229" w:lineRule="exact"/>
        <w:rPr>
          <w:sz w:val="24"/>
          <w:szCs w:val="24"/>
          <w:color w:val="auto"/>
        </w:rPr>
      </w:pPr>
    </w:p>
    <w:p>
      <w:pPr>
        <w:jc w:val="center"/>
        <w:ind w:right="-62"/>
        <w:spacing w:after="0"/>
        <w:rPr>
          <w:sz w:val="20"/>
          <w:szCs w:val="20"/>
          <w:color w:val="auto"/>
        </w:rPr>
      </w:pPr>
      <w:r>
        <w:rPr>
          <w:rFonts w:ascii="Arial" w:cs="Arial" w:eastAsia="Arial" w:hAnsi="Arial"/>
          <w:sz w:val="20"/>
          <w:szCs w:val="20"/>
          <w:b w:val="1"/>
          <w:bCs w:val="1"/>
          <w:color w:val="auto"/>
        </w:rPr>
        <w:t>Under the Securities Exchange Act of 1934</w:t>
      </w:r>
    </w:p>
    <w:p>
      <w:pPr>
        <w:spacing w:after="0" w:line="22" w:lineRule="exact"/>
        <w:rPr>
          <w:sz w:val="24"/>
          <w:szCs w:val="24"/>
          <w:color w:val="auto"/>
        </w:rPr>
      </w:pPr>
    </w:p>
    <w:p>
      <w:pPr>
        <w:jc w:val="center"/>
        <w:ind w:right="-62"/>
        <w:spacing w:after="0"/>
        <w:rPr>
          <w:sz w:val="20"/>
          <w:szCs w:val="20"/>
          <w:color w:val="auto"/>
        </w:rPr>
      </w:pPr>
      <w:r>
        <w:rPr>
          <w:rFonts w:ascii="Arial" w:cs="Arial" w:eastAsia="Arial" w:hAnsi="Arial"/>
          <w:sz w:val="20"/>
          <w:szCs w:val="20"/>
          <w:b w:val="1"/>
          <w:bCs w:val="1"/>
          <w:color w:val="auto"/>
        </w:rPr>
        <w:t>(Amendment No. 1)*</w:t>
      </w:r>
    </w:p>
    <w:p>
      <w:pPr>
        <w:spacing w:after="0" w:line="200" w:lineRule="exact"/>
        <w:rPr>
          <w:sz w:val="24"/>
          <w:szCs w:val="24"/>
          <w:color w:val="auto"/>
        </w:rPr>
      </w:pPr>
    </w:p>
    <w:p>
      <w:pPr>
        <w:spacing w:after="0" w:line="223" w:lineRule="exact"/>
        <w:rPr>
          <w:sz w:val="24"/>
          <w:szCs w:val="24"/>
          <w:color w:val="auto"/>
        </w:rPr>
      </w:pPr>
    </w:p>
    <w:p>
      <w:pPr>
        <w:ind w:left="4523"/>
        <w:spacing w:after="0"/>
        <w:rPr>
          <w:sz w:val="20"/>
          <w:szCs w:val="20"/>
          <w:color w:val="auto"/>
        </w:rPr>
      </w:pPr>
      <w:r>
        <w:rPr>
          <w:rFonts w:ascii="Arial" w:cs="Arial" w:eastAsia="Arial" w:hAnsi="Arial"/>
          <w:sz w:val="20"/>
          <w:szCs w:val="20"/>
          <w:b w:val="1"/>
          <w:bCs w:val="1"/>
          <w:color w:val="auto"/>
        </w:rPr>
        <w:t>AnaptysBio, Inc.</w:t>
      </w:r>
    </w:p>
    <w:p>
      <w:pPr>
        <w:spacing w:after="0" w:line="22" w:lineRule="exact"/>
        <w:rPr>
          <w:sz w:val="24"/>
          <w:szCs w:val="24"/>
          <w:color w:val="auto"/>
        </w:rPr>
      </w:pPr>
    </w:p>
    <w:p>
      <w:pPr>
        <w:ind w:left="4563"/>
        <w:spacing w:after="0"/>
        <w:rPr>
          <w:sz w:val="20"/>
          <w:szCs w:val="20"/>
          <w:color w:val="auto"/>
        </w:rPr>
      </w:pPr>
      <w:r>
        <w:rPr>
          <w:rFonts w:ascii="Arial" w:cs="Arial" w:eastAsia="Arial" w:hAnsi="Arial"/>
          <w:sz w:val="20"/>
          <w:szCs w:val="20"/>
          <w:color w:val="auto"/>
        </w:rPr>
        <w:t>(Name of Issuer)</w:t>
      </w:r>
    </w:p>
    <w:p>
      <w:pPr>
        <w:spacing w:after="0" w:line="207" w:lineRule="exact"/>
        <w:rPr>
          <w:sz w:val="24"/>
          <w:szCs w:val="24"/>
          <w:color w:val="auto"/>
        </w:rPr>
      </w:pPr>
    </w:p>
    <w:p>
      <w:pPr>
        <w:jc w:val="center"/>
        <w:ind w:right="-62"/>
        <w:spacing w:after="0"/>
        <w:rPr>
          <w:sz w:val="20"/>
          <w:szCs w:val="20"/>
          <w:color w:val="auto"/>
        </w:rPr>
      </w:pPr>
      <w:r>
        <w:rPr>
          <w:rFonts w:ascii="Arial" w:cs="Arial" w:eastAsia="Arial" w:hAnsi="Arial"/>
          <w:sz w:val="20"/>
          <w:szCs w:val="20"/>
          <w:b w:val="1"/>
          <w:bCs w:val="1"/>
          <w:color w:val="auto"/>
        </w:rPr>
        <w:t>Common Stock, $0.001 par value</w:t>
      </w:r>
    </w:p>
    <w:p>
      <w:pPr>
        <w:spacing w:after="0" w:line="22" w:lineRule="exact"/>
        <w:rPr>
          <w:sz w:val="24"/>
          <w:szCs w:val="24"/>
          <w:color w:val="auto"/>
        </w:rPr>
      </w:pPr>
    </w:p>
    <w:p>
      <w:pPr>
        <w:jc w:val="center"/>
        <w:ind w:right="-62"/>
        <w:spacing w:after="0"/>
        <w:rPr>
          <w:sz w:val="20"/>
          <w:szCs w:val="20"/>
          <w:color w:val="auto"/>
        </w:rPr>
      </w:pPr>
      <w:r>
        <w:rPr>
          <w:rFonts w:ascii="Arial" w:cs="Arial" w:eastAsia="Arial" w:hAnsi="Arial"/>
          <w:sz w:val="20"/>
          <w:szCs w:val="20"/>
          <w:color w:val="auto"/>
        </w:rPr>
        <w:t>(Title of Class of Securities)</w:t>
      </w:r>
    </w:p>
    <w:p>
      <w:pPr>
        <w:spacing w:after="0" w:line="207" w:lineRule="exact"/>
        <w:rPr>
          <w:sz w:val="24"/>
          <w:szCs w:val="24"/>
          <w:color w:val="auto"/>
        </w:rPr>
      </w:pPr>
    </w:p>
    <w:p>
      <w:pPr>
        <w:jc w:val="center"/>
        <w:ind w:right="-62"/>
        <w:spacing w:after="0"/>
        <w:rPr>
          <w:sz w:val="20"/>
          <w:szCs w:val="20"/>
          <w:color w:val="auto"/>
        </w:rPr>
      </w:pPr>
      <w:r>
        <w:rPr>
          <w:rFonts w:ascii="Arial" w:cs="Arial" w:eastAsia="Arial" w:hAnsi="Arial"/>
          <w:sz w:val="20"/>
          <w:szCs w:val="20"/>
          <w:b w:val="1"/>
          <w:bCs w:val="1"/>
          <w:color w:val="auto"/>
        </w:rPr>
        <w:t>032724106</w:t>
      </w:r>
    </w:p>
    <w:p>
      <w:pPr>
        <w:spacing w:after="0" w:line="22" w:lineRule="exact"/>
        <w:rPr>
          <w:sz w:val="24"/>
          <w:szCs w:val="24"/>
          <w:color w:val="auto"/>
        </w:rPr>
      </w:pPr>
    </w:p>
    <w:p>
      <w:pPr>
        <w:jc w:val="center"/>
        <w:ind w:right="-62"/>
        <w:spacing w:after="0"/>
        <w:rPr>
          <w:sz w:val="20"/>
          <w:szCs w:val="20"/>
          <w:color w:val="auto"/>
        </w:rPr>
      </w:pPr>
      <w:r>
        <w:rPr>
          <w:rFonts w:ascii="Arial" w:cs="Arial" w:eastAsia="Arial" w:hAnsi="Arial"/>
          <w:sz w:val="20"/>
          <w:szCs w:val="20"/>
          <w:color w:val="auto"/>
        </w:rPr>
        <w:t>(CUSIP Number)</w:t>
      </w:r>
    </w:p>
    <w:p>
      <w:pPr>
        <w:spacing w:after="0" w:line="207" w:lineRule="exact"/>
        <w:rPr>
          <w:sz w:val="24"/>
          <w:szCs w:val="24"/>
          <w:color w:val="auto"/>
        </w:rPr>
      </w:pPr>
    </w:p>
    <w:p>
      <w:pPr>
        <w:jc w:val="center"/>
        <w:ind w:right="-62"/>
        <w:spacing w:after="0"/>
        <w:rPr>
          <w:sz w:val="20"/>
          <w:szCs w:val="20"/>
          <w:color w:val="auto"/>
        </w:rPr>
      </w:pPr>
      <w:r>
        <w:rPr>
          <w:rFonts w:ascii="Arial" w:cs="Arial" w:eastAsia="Arial" w:hAnsi="Arial"/>
          <w:sz w:val="20"/>
          <w:szCs w:val="20"/>
          <w:b w:val="1"/>
          <w:bCs w:val="1"/>
          <w:color w:val="auto"/>
        </w:rPr>
        <w:t>James J. Frolik, Esq.</w:t>
      </w:r>
    </w:p>
    <w:p>
      <w:pPr>
        <w:spacing w:after="0" w:line="21" w:lineRule="exact"/>
        <w:rPr>
          <w:sz w:val="24"/>
          <w:szCs w:val="24"/>
          <w:color w:val="auto"/>
        </w:rPr>
      </w:pPr>
    </w:p>
    <w:p>
      <w:pPr>
        <w:jc w:val="center"/>
        <w:ind w:right="-62"/>
        <w:spacing w:after="0"/>
        <w:rPr>
          <w:sz w:val="20"/>
          <w:szCs w:val="20"/>
          <w:color w:val="auto"/>
        </w:rPr>
      </w:pPr>
      <w:r>
        <w:rPr>
          <w:rFonts w:ascii="Arial" w:cs="Arial" w:eastAsia="Arial" w:hAnsi="Arial"/>
          <w:sz w:val="20"/>
          <w:szCs w:val="20"/>
          <w:b w:val="1"/>
          <w:bCs w:val="1"/>
          <w:color w:val="auto"/>
        </w:rPr>
        <w:t>Anthony J. Caldwell, Esq.</w:t>
      </w:r>
    </w:p>
    <w:p>
      <w:pPr>
        <w:jc w:val="center"/>
        <w:ind w:right="-62"/>
        <w:spacing w:after="0"/>
        <w:rPr>
          <w:sz w:val="20"/>
          <w:szCs w:val="20"/>
          <w:color w:val="auto"/>
        </w:rPr>
      </w:pPr>
      <w:r>
        <w:rPr>
          <w:rFonts w:ascii="Arial" w:cs="Arial" w:eastAsia="Arial" w:hAnsi="Arial"/>
          <w:sz w:val="20"/>
          <w:szCs w:val="20"/>
          <w:b w:val="1"/>
          <w:bCs w:val="1"/>
          <w:color w:val="auto"/>
        </w:rPr>
        <w:t>Shartsis Friese LLP</w:t>
      </w:r>
    </w:p>
    <w:p>
      <w:pPr>
        <w:jc w:val="center"/>
        <w:ind w:right="-62"/>
        <w:spacing w:after="0"/>
        <w:rPr>
          <w:sz w:val="20"/>
          <w:szCs w:val="20"/>
          <w:color w:val="auto"/>
        </w:rPr>
      </w:pPr>
      <w:r>
        <w:rPr>
          <w:rFonts w:ascii="Arial" w:cs="Arial" w:eastAsia="Arial" w:hAnsi="Arial"/>
          <w:sz w:val="20"/>
          <w:szCs w:val="20"/>
          <w:b w:val="1"/>
          <w:bCs w:val="1"/>
          <w:color w:val="auto"/>
        </w:rPr>
        <w:t>One Maritime Plaza, 18th Floor</w:t>
      </w:r>
    </w:p>
    <w:p>
      <w:pPr>
        <w:jc w:val="center"/>
        <w:ind w:right="-62"/>
        <w:spacing w:after="0"/>
        <w:rPr>
          <w:sz w:val="20"/>
          <w:szCs w:val="20"/>
          <w:color w:val="auto"/>
        </w:rPr>
      </w:pPr>
      <w:r>
        <w:rPr>
          <w:rFonts w:ascii="Arial" w:cs="Arial" w:eastAsia="Arial" w:hAnsi="Arial"/>
          <w:sz w:val="20"/>
          <w:szCs w:val="20"/>
          <w:b w:val="1"/>
          <w:bCs w:val="1"/>
          <w:color w:val="auto"/>
        </w:rPr>
        <w:t>San Francisco, CA 94111</w:t>
      </w:r>
    </w:p>
    <w:p>
      <w:pPr>
        <w:jc w:val="center"/>
        <w:ind w:right="-62"/>
        <w:spacing w:after="0"/>
        <w:rPr>
          <w:sz w:val="20"/>
          <w:szCs w:val="20"/>
          <w:color w:val="auto"/>
        </w:rPr>
      </w:pPr>
      <w:r>
        <w:rPr>
          <w:rFonts w:ascii="Arial" w:cs="Arial" w:eastAsia="Arial" w:hAnsi="Arial"/>
          <w:sz w:val="20"/>
          <w:szCs w:val="20"/>
          <w:color w:val="auto"/>
        </w:rPr>
        <w:t>(Name, Address and Telephone Number of Person</w:t>
      </w:r>
    </w:p>
    <w:p>
      <w:pPr>
        <w:jc w:val="center"/>
        <w:ind w:right="-62"/>
        <w:spacing w:after="0"/>
        <w:rPr>
          <w:sz w:val="20"/>
          <w:szCs w:val="20"/>
          <w:color w:val="auto"/>
        </w:rPr>
      </w:pPr>
      <w:r>
        <w:rPr>
          <w:rFonts w:ascii="Arial" w:cs="Arial" w:eastAsia="Arial" w:hAnsi="Arial"/>
          <w:sz w:val="20"/>
          <w:szCs w:val="20"/>
          <w:color w:val="auto"/>
        </w:rPr>
        <w:t>Authorized to Receive Notices and Communications)</w:t>
      </w:r>
    </w:p>
    <w:p>
      <w:pPr>
        <w:spacing w:after="0" w:line="207" w:lineRule="exact"/>
        <w:rPr>
          <w:sz w:val="24"/>
          <w:szCs w:val="24"/>
          <w:color w:val="auto"/>
        </w:rPr>
      </w:pPr>
    </w:p>
    <w:p>
      <w:pPr>
        <w:jc w:val="center"/>
        <w:ind w:right="-62"/>
        <w:spacing w:after="0"/>
        <w:rPr>
          <w:sz w:val="20"/>
          <w:szCs w:val="20"/>
          <w:color w:val="auto"/>
        </w:rPr>
      </w:pPr>
      <w:r>
        <w:rPr>
          <w:rFonts w:ascii="Arial" w:cs="Arial" w:eastAsia="Arial" w:hAnsi="Arial"/>
          <w:sz w:val="20"/>
          <w:szCs w:val="20"/>
          <w:b w:val="1"/>
          <w:bCs w:val="1"/>
          <w:color w:val="auto"/>
        </w:rPr>
        <w:t>April 8, 2021</w:t>
      </w:r>
    </w:p>
    <w:p>
      <w:pPr>
        <w:spacing w:after="0" w:line="22" w:lineRule="exact"/>
        <w:rPr>
          <w:sz w:val="24"/>
          <w:szCs w:val="24"/>
          <w:color w:val="auto"/>
        </w:rPr>
      </w:pPr>
    </w:p>
    <w:p>
      <w:pPr>
        <w:jc w:val="center"/>
        <w:ind w:right="-62"/>
        <w:spacing w:after="0"/>
        <w:rPr>
          <w:sz w:val="20"/>
          <w:szCs w:val="20"/>
          <w:color w:val="auto"/>
        </w:rPr>
      </w:pPr>
      <w:r>
        <w:rPr>
          <w:rFonts w:ascii="Arial" w:cs="Arial" w:eastAsia="Arial" w:hAnsi="Arial"/>
          <w:sz w:val="20"/>
          <w:szCs w:val="20"/>
          <w:color w:val="auto"/>
        </w:rPr>
        <w:t>(Date of Event Which Requires Filing of this Statement)</w:t>
      </w:r>
    </w:p>
    <w:p>
      <w:pPr>
        <w:spacing w:after="0" w:line="213" w:lineRule="exact"/>
        <w:rPr>
          <w:sz w:val="24"/>
          <w:szCs w:val="24"/>
          <w:color w:val="auto"/>
        </w:rPr>
      </w:pPr>
    </w:p>
    <w:p>
      <w:pPr>
        <w:ind w:left="3" w:right="260"/>
        <w:spacing w:after="0" w:line="365" w:lineRule="auto"/>
        <w:rPr>
          <w:sz w:val="20"/>
          <w:szCs w:val="20"/>
          <w:color w:val="auto"/>
        </w:rPr>
      </w:pPr>
      <w:r>
        <w:rPr>
          <w:rFonts w:ascii="Arial" w:cs="Arial" w:eastAsia="Arial" w:hAnsi="Arial"/>
          <w:sz w:val="16"/>
          <w:szCs w:val="16"/>
          <w:color w:val="auto"/>
        </w:rPr>
        <w:t>If the filing person has previously filed a statement on Schedule 13G to report the acquisition that is the subject of this Schedule 13D, and is filing this schedule because of sections 240.13d-1(e), 240.13d-1(f) or 140.13d-1(g), check the following box. [ ]</w:t>
      </w:r>
    </w:p>
    <w:p>
      <w:pPr>
        <w:spacing w:after="0" w:line="1" w:lineRule="exact"/>
        <w:rPr>
          <w:sz w:val="24"/>
          <w:szCs w:val="24"/>
          <w:color w:val="auto"/>
        </w:rPr>
      </w:pPr>
    </w:p>
    <w:p>
      <w:pPr>
        <w:ind w:left="3" w:right="320"/>
        <w:spacing w:after="0" w:line="267" w:lineRule="auto"/>
        <w:rPr>
          <w:sz w:val="20"/>
          <w:szCs w:val="20"/>
          <w:color w:val="auto"/>
        </w:rPr>
      </w:pPr>
      <w:r>
        <w:rPr>
          <w:rFonts w:ascii="Arial" w:cs="Arial" w:eastAsia="Arial" w:hAnsi="Arial"/>
          <w:sz w:val="20"/>
          <w:szCs w:val="20"/>
          <w:b w:val="1"/>
          <w:bCs w:val="1"/>
          <w:color w:val="auto"/>
        </w:rPr>
        <w:t xml:space="preserve">Note: </w:t>
      </w:r>
      <w:r>
        <w:rPr>
          <w:rFonts w:ascii="Arial" w:cs="Arial" w:eastAsia="Arial" w:hAnsi="Arial"/>
          <w:sz w:val="20"/>
          <w:szCs w:val="20"/>
          <w:color w:val="auto"/>
        </w:rPr>
        <w:t>Schedules filed in paper format shall include a signed original and five copies of the schedule, including all exhibits. See</w:t>
      </w:r>
      <w:r>
        <w:rPr>
          <w:rFonts w:ascii="Arial" w:cs="Arial" w:eastAsia="Arial" w:hAnsi="Arial"/>
          <w:sz w:val="20"/>
          <w:szCs w:val="20"/>
          <w:b w:val="1"/>
          <w:bCs w:val="1"/>
          <w:color w:val="auto"/>
        </w:rPr>
        <w:t xml:space="preserve"> </w:t>
      </w:r>
      <w:r>
        <w:rPr>
          <w:rFonts w:ascii="Arial" w:cs="Arial" w:eastAsia="Arial" w:hAnsi="Arial"/>
          <w:sz w:val="20"/>
          <w:szCs w:val="20"/>
          <w:color w:val="auto"/>
        </w:rPr>
        <w:t>section 240.13d-7 for other parties to whom copies are to be sent.</w:t>
      </w:r>
    </w:p>
    <w:p>
      <w:pPr>
        <w:spacing w:after="0" w:line="61" w:lineRule="exact"/>
        <w:rPr>
          <w:sz w:val="24"/>
          <w:szCs w:val="24"/>
          <w:color w:val="auto"/>
        </w:rPr>
      </w:pPr>
    </w:p>
    <w:p>
      <w:pPr>
        <w:ind w:left="3" w:hanging="3"/>
        <w:spacing w:after="0" w:line="250" w:lineRule="auto"/>
        <w:tabs>
          <w:tab w:leader="none" w:pos="152" w:val="left"/>
        </w:tabs>
        <w:numPr>
          <w:ilvl w:val="0"/>
          <w:numId w:val="1"/>
        </w:numPr>
        <w:rPr>
          <w:rFonts w:ascii="Arial" w:cs="Arial" w:eastAsia="Arial" w:hAnsi="Arial"/>
          <w:sz w:val="20"/>
          <w:szCs w:val="20"/>
          <w:color w:val="auto"/>
        </w:rPr>
      </w:pPr>
      <w:r>
        <w:rPr>
          <w:rFonts w:ascii="Arial" w:cs="Arial" w:eastAsia="Arial" w:hAnsi="Arial"/>
          <w:sz w:val="20"/>
          <w:szCs w:val="20"/>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78" w:lineRule="exact"/>
        <w:rPr>
          <w:sz w:val="24"/>
          <w:szCs w:val="24"/>
          <w:color w:val="auto"/>
        </w:rPr>
      </w:pPr>
    </w:p>
    <w:p>
      <w:pPr>
        <w:ind w:left="3" w:right="60"/>
        <w:spacing w:after="0" w:line="250" w:lineRule="auto"/>
        <w:rPr>
          <w:sz w:val="20"/>
          <w:szCs w:val="20"/>
          <w:color w:val="auto"/>
        </w:rPr>
      </w:pPr>
      <w:r>
        <w:rPr>
          <w:rFonts w:ascii="Arial" w:cs="Arial" w:eastAsia="Arial" w:hAnsi="Arial"/>
          <w:sz w:val="20"/>
          <w:szCs w:val="20"/>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72" w:lineRule="exact"/>
        <w:rPr>
          <w:sz w:val="24"/>
          <w:szCs w:val="24"/>
          <w:color w:val="auto"/>
        </w:rPr>
      </w:pPr>
    </w:p>
    <w:p>
      <w:pPr>
        <w:ind w:left="3" w:right="340"/>
        <w:spacing w:after="0" w:line="267" w:lineRule="auto"/>
        <w:rPr>
          <w:sz w:val="20"/>
          <w:szCs w:val="20"/>
          <w:color w:val="auto"/>
        </w:rPr>
      </w:pPr>
      <w:r>
        <w:rPr>
          <w:rFonts w:ascii="Arial" w:cs="Arial" w:eastAsia="Arial" w:hAnsi="Arial"/>
          <w:sz w:val="20"/>
          <w:szCs w:val="20"/>
          <w:b w:val="1"/>
          <w:bCs w:val="1"/>
          <w:color w:val="auto"/>
        </w:rPr>
        <w:t>Potential persons who are to respond to the collection of information contained in this form are not required to respond unless the form displays a currently valid OMB control number.</w:t>
      </w:r>
    </w:p>
    <w:p>
      <w:pPr>
        <w:spacing w:after="0" w:line="64" w:lineRule="exact"/>
        <w:rPr>
          <w:sz w:val="24"/>
          <w:szCs w:val="24"/>
          <w:color w:val="auto"/>
        </w:rPr>
      </w:pPr>
    </w:p>
    <w:p>
      <w:pPr>
        <w:jc w:val="center"/>
        <w:ind w:right="-82"/>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383"/>
          </w:cols>
          <w:pgMar w:left="717" w:top="225" w:right="79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032724106</w:t>
      </w:r>
    </w:p>
    <w:p>
      <w:pPr>
        <w:spacing w:after="0" w:line="200" w:lineRule="exact"/>
        <w:rPr>
          <w:sz w:val="20"/>
          <w:szCs w:val="20"/>
          <w:color w:val="auto"/>
        </w:rPr>
      </w:pPr>
    </w:p>
    <w:p>
      <w:pPr>
        <w:spacing w:after="0" w:line="266" w:lineRule="exact"/>
        <w:rPr>
          <w:sz w:val="20"/>
          <w:szCs w:val="20"/>
          <w:color w:val="auto"/>
        </w:rPr>
      </w:pPr>
    </w:p>
    <w:p>
      <w:pPr>
        <w:ind w:left="1300" w:hanging="644"/>
        <w:spacing w:after="0"/>
        <w:tabs>
          <w:tab w:leader="none" w:pos="1300" w:val="left"/>
        </w:tabs>
        <w:numPr>
          <w:ilvl w:val="0"/>
          <w:numId w:val="2"/>
        </w:numPr>
        <w:rPr>
          <w:rFonts w:ascii="Arial" w:cs="Arial" w:eastAsia="Arial" w:hAnsi="Arial"/>
          <w:sz w:val="20"/>
          <w:szCs w:val="20"/>
          <w:color w:val="auto"/>
        </w:rPr>
      </w:pPr>
      <w:r>
        <w:rPr>
          <w:rFonts w:ascii="Arial" w:cs="Arial" w:eastAsia="Arial" w:hAnsi="Arial"/>
          <w:sz w:val="20"/>
          <w:szCs w:val="20"/>
          <w:color w:val="auto"/>
        </w:rPr>
        <w:t>Names of Reporting Persons.</w:t>
      </w:r>
    </w:p>
    <w:p>
      <w:pPr>
        <w:spacing w:after="0" w:line="223"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EcoR1 Capital, LLC</w:t>
      </w:r>
    </w:p>
    <w:p>
      <w:pPr>
        <w:spacing w:after="0" w:line="235" w:lineRule="exact"/>
        <w:rPr>
          <w:rFonts w:ascii="Arial" w:cs="Arial" w:eastAsia="Arial" w:hAnsi="Arial"/>
          <w:sz w:val="20"/>
          <w:szCs w:val="20"/>
          <w:color w:val="auto"/>
        </w:rPr>
      </w:pPr>
    </w:p>
    <w:p>
      <w:pPr>
        <w:ind w:left="1300" w:hanging="644"/>
        <w:spacing w:after="0"/>
        <w:tabs>
          <w:tab w:leader="none" w:pos="1300" w:val="left"/>
        </w:tabs>
        <w:numPr>
          <w:ilvl w:val="0"/>
          <w:numId w:val="2"/>
        </w:numPr>
        <w:rPr>
          <w:rFonts w:ascii="Arial" w:cs="Arial" w:eastAsia="Arial" w:hAnsi="Arial"/>
          <w:sz w:val="20"/>
          <w:szCs w:val="20"/>
          <w:color w:val="auto"/>
        </w:rPr>
      </w:pPr>
      <w:r>
        <w:rPr>
          <w:rFonts w:ascii="Arial" w:cs="Arial" w:eastAsia="Arial" w:hAnsi="Arial"/>
          <w:sz w:val="20"/>
          <w:szCs w:val="20"/>
          <w:color w:val="auto"/>
        </w:rPr>
        <w:t>Check the Appropriate Box if a Member of a Group (See Instructions)</w:t>
      </w:r>
    </w:p>
    <w:p>
      <w:pPr>
        <w:spacing w:after="0" w:line="15" w:lineRule="exact"/>
        <w:rPr>
          <w:rFonts w:ascii="Arial" w:cs="Arial" w:eastAsia="Arial" w:hAnsi="Arial"/>
          <w:sz w:val="20"/>
          <w:szCs w:val="20"/>
          <w:color w:val="auto"/>
        </w:rPr>
      </w:pPr>
    </w:p>
    <w:p>
      <w:pPr>
        <w:ind w:left="1580" w:hanging="276"/>
        <w:spacing w:after="0"/>
        <w:tabs>
          <w:tab w:leader="none" w:pos="1580" w:val="left"/>
        </w:tabs>
        <w:numPr>
          <w:ilvl w:val="1"/>
          <w:numId w:val="2"/>
        </w:numPr>
        <w:rPr>
          <w:rFonts w:ascii="Arial" w:cs="Arial" w:eastAsia="Arial" w:hAnsi="Arial"/>
          <w:sz w:val="20"/>
          <w:szCs w:val="20"/>
          <w:color w:val="auto"/>
        </w:rPr>
      </w:pPr>
      <w:r>
        <w:rPr>
          <w:rFonts w:ascii="Arial" w:cs="Arial" w:eastAsia="Arial" w:hAnsi="Arial"/>
          <w:sz w:val="20"/>
          <w:szCs w:val="20"/>
          <w:b w:val="1"/>
          <w:bCs w:val="1"/>
          <w:color w:val="auto"/>
        </w:rPr>
        <w:t>X</w:t>
      </w:r>
    </w:p>
    <w:p>
      <w:pPr>
        <w:ind w:left="1580" w:hanging="276"/>
        <w:spacing w:after="0"/>
        <w:tabs>
          <w:tab w:leader="none" w:pos="1580" w:val="left"/>
        </w:tabs>
        <w:numPr>
          <w:ilvl w:val="1"/>
          <w:numId w:val="2"/>
        </w:numPr>
        <w:rPr>
          <w:rFonts w:ascii="Arial" w:cs="Arial" w:eastAsia="Arial" w:hAnsi="Arial"/>
          <w:sz w:val="20"/>
          <w:szCs w:val="20"/>
          <w:color w:val="auto"/>
        </w:rPr>
      </w:pPr>
      <w:r>
        <w:rPr>
          <w:rFonts w:ascii="Arial" w:cs="Arial" w:eastAsia="Arial" w:hAnsi="Arial"/>
          <w:sz w:val="20"/>
          <w:szCs w:val="20"/>
          <w:color w:val="auto"/>
        </w:rPr>
        <w:t>______</w:t>
      </w:r>
    </w:p>
    <w:p>
      <w:pPr>
        <w:spacing w:after="0" w:line="213" w:lineRule="exact"/>
        <w:rPr>
          <w:rFonts w:ascii="Arial" w:cs="Arial" w:eastAsia="Arial" w:hAnsi="Arial"/>
          <w:sz w:val="20"/>
          <w:szCs w:val="20"/>
          <w:color w:val="auto"/>
        </w:rPr>
      </w:pPr>
    </w:p>
    <w:p>
      <w:pPr>
        <w:ind w:left="1300" w:hanging="644"/>
        <w:spacing w:after="0"/>
        <w:tabs>
          <w:tab w:leader="none" w:pos="1300" w:val="left"/>
        </w:tabs>
        <w:numPr>
          <w:ilvl w:val="0"/>
          <w:numId w:val="2"/>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200" w:lineRule="exact"/>
        <w:rPr>
          <w:rFonts w:ascii="Arial" w:cs="Arial" w:eastAsia="Arial" w:hAnsi="Arial"/>
          <w:sz w:val="20"/>
          <w:szCs w:val="20"/>
          <w:color w:val="auto"/>
        </w:rPr>
      </w:pPr>
    </w:p>
    <w:p>
      <w:pPr>
        <w:spacing w:after="0" w:line="252" w:lineRule="exact"/>
        <w:rPr>
          <w:rFonts w:ascii="Arial" w:cs="Arial" w:eastAsia="Arial" w:hAnsi="Arial"/>
          <w:sz w:val="20"/>
          <w:szCs w:val="20"/>
          <w:color w:val="auto"/>
        </w:rPr>
      </w:pPr>
    </w:p>
    <w:p>
      <w:pPr>
        <w:ind w:left="1300" w:hanging="644"/>
        <w:spacing w:after="0"/>
        <w:tabs>
          <w:tab w:leader="none" w:pos="1300" w:val="left"/>
        </w:tabs>
        <w:numPr>
          <w:ilvl w:val="0"/>
          <w:numId w:val="2"/>
        </w:numPr>
        <w:rPr>
          <w:rFonts w:ascii="Arial" w:cs="Arial" w:eastAsia="Arial" w:hAnsi="Arial"/>
          <w:sz w:val="20"/>
          <w:szCs w:val="20"/>
          <w:color w:val="auto"/>
        </w:rPr>
      </w:pPr>
      <w:r>
        <w:rPr>
          <w:rFonts w:ascii="Arial" w:cs="Arial" w:eastAsia="Arial" w:hAnsi="Arial"/>
          <w:sz w:val="20"/>
          <w:szCs w:val="20"/>
          <w:color w:val="auto"/>
        </w:rPr>
        <w:t xml:space="preserve">Source of Funds (See Instructions) </w:t>
      </w:r>
      <w:r>
        <w:rPr>
          <w:rFonts w:ascii="Arial" w:cs="Arial" w:eastAsia="Arial" w:hAnsi="Arial"/>
          <w:sz w:val="20"/>
          <w:szCs w:val="20"/>
          <w:b w:val="1"/>
          <w:bCs w:val="1"/>
          <w:color w:val="auto"/>
        </w:rPr>
        <w:t>AF</w:t>
      </w:r>
    </w:p>
    <w:p>
      <w:pPr>
        <w:spacing w:after="0" w:line="235" w:lineRule="exact"/>
        <w:rPr>
          <w:rFonts w:ascii="Arial" w:cs="Arial" w:eastAsia="Arial" w:hAnsi="Arial"/>
          <w:sz w:val="20"/>
          <w:szCs w:val="20"/>
          <w:color w:val="auto"/>
        </w:rPr>
      </w:pPr>
    </w:p>
    <w:p>
      <w:pPr>
        <w:ind w:left="1300" w:hanging="644"/>
        <w:spacing w:after="0"/>
        <w:tabs>
          <w:tab w:leader="none" w:pos="1300" w:val="left"/>
        </w:tabs>
        <w:numPr>
          <w:ilvl w:val="0"/>
          <w:numId w:val="2"/>
        </w:numPr>
        <w:rPr>
          <w:rFonts w:ascii="Arial" w:cs="Arial" w:eastAsia="Arial" w:hAnsi="Arial"/>
          <w:sz w:val="20"/>
          <w:szCs w:val="20"/>
          <w:color w:val="auto"/>
        </w:rPr>
      </w:pPr>
      <w:r>
        <w:rPr>
          <w:rFonts w:ascii="Arial" w:cs="Arial" w:eastAsia="Arial" w:hAnsi="Arial"/>
          <w:sz w:val="20"/>
          <w:szCs w:val="20"/>
          <w:color w:val="auto"/>
        </w:rPr>
        <w:t>Check if Disclosure of Legal Proceedings Is Required Pursuant to Items 2(d) or 2(e) ____</w:t>
      </w:r>
    </w:p>
    <w:p>
      <w:pPr>
        <w:spacing w:after="0" w:line="223" w:lineRule="exact"/>
        <w:rPr>
          <w:rFonts w:ascii="Arial" w:cs="Arial" w:eastAsia="Arial" w:hAnsi="Arial"/>
          <w:sz w:val="20"/>
          <w:szCs w:val="20"/>
          <w:color w:val="auto"/>
        </w:rPr>
      </w:pPr>
    </w:p>
    <w:p>
      <w:pPr>
        <w:ind w:left="1300" w:hanging="644"/>
        <w:spacing w:after="0"/>
        <w:tabs>
          <w:tab w:leader="none" w:pos="1300" w:val="left"/>
        </w:tabs>
        <w:numPr>
          <w:ilvl w:val="0"/>
          <w:numId w:val="2"/>
        </w:numPr>
        <w:rPr>
          <w:rFonts w:ascii="Arial" w:cs="Arial" w:eastAsia="Arial" w:hAnsi="Arial"/>
          <w:sz w:val="20"/>
          <w:szCs w:val="20"/>
          <w:color w:val="auto"/>
        </w:rPr>
      </w:pPr>
      <w:r>
        <w:rPr>
          <w:rFonts w:ascii="Arial" w:cs="Arial" w:eastAsia="Arial" w:hAnsi="Arial"/>
          <w:sz w:val="20"/>
          <w:szCs w:val="20"/>
          <w:color w:val="auto"/>
        </w:rPr>
        <w:t xml:space="preserve">Citizenship or Place of Organization </w:t>
      </w:r>
      <w:r>
        <w:rPr>
          <w:rFonts w:ascii="Arial" w:cs="Arial" w:eastAsia="Arial" w:hAnsi="Arial"/>
          <w:sz w:val="20"/>
          <w:szCs w:val="20"/>
          <w:b w:val="1"/>
          <w:bCs w:val="1"/>
          <w:color w:val="auto"/>
        </w:rPr>
        <w:t>Delaware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160" w:type="dxa"/>
            <w:vAlign w:val="bottom"/>
            <w:tcBorders>
              <w:top w:val="single" w:sz="8" w:color="auto"/>
            </w:tcBorders>
          </w:tcPr>
          <w:p>
            <w:pPr>
              <w:ind w:left="100"/>
              <w:spacing w:after="0" w:line="227" w:lineRule="exact"/>
              <w:rPr>
                <w:sz w:val="20"/>
                <w:szCs w:val="20"/>
                <w:color w:val="auto"/>
              </w:rPr>
            </w:pPr>
            <w:r>
              <w:rPr>
                <w:rFonts w:ascii="Arial" w:cs="Arial" w:eastAsia="Arial" w:hAnsi="Arial"/>
                <w:sz w:val="20"/>
                <w:szCs w:val="20"/>
                <w:color w:val="auto"/>
              </w:rPr>
              <w:t>Number of</w:t>
            </w:r>
          </w:p>
        </w:tc>
        <w:tc>
          <w:tcPr>
            <w:tcW w:w="260" w:type="dxa"/>
            <w:vAlign w:val="bottom"/>
            <w:tcBorders>
              <w:top w:val="single" w:sz="8" w:color="auto"/>
            </w:tcBorders>
          </w:tcPr>
          <w:p>
            <w:pPr>
              <w:ind w:left="100"/>
              <w:spacing w:after="0" w:line="227" w:lineRule="exact"/>
              <w:rPr>
                <w:sz w:val="20"/>
                <w:szCs w:val="20"/>
                <w:color w:val="auto"/>
              </w:rPr>
            </w:pPr>
            <w:r>
              <w:rPr>
                <w:rFonts w:ascii="Arial" w:cs="Arial" w:eastAsia="Arial" w:hAnsi="Arial"/>
                <w:sz w:val="20"/>
                <w:szCs w:val="20"/>
                <w:color w:val="auto"/>
                <w:w w:val="83"/>
              </w:rPr>
              <w:t>7.</w:t>
            </w:r>
          </w:p>
        </w:tc>
        <w:tc>
          <w:tcPr>
            <w:tcW w:w="8820" w:type="dxa"/>
            <w:vAlign w:val="bottom"/>
            <w:tcBorders>
              <w:top w:val="single" w:sz="8" w:color="auto"/>
            </w:tcBorders>
          </w:tcPr>
          <w:p>
            <w:pPr>
              <w:ind w:left="20"/>
              <w:spacing w:after="0" w:line="227" w:lineRule="exact"/>
              <w:rPr>
                <w:sz w:val="20"/>
                <w:szCs w:val="20"/>
                <w:color w:val="auto"/>
              </w:rPr>
            </w:pPr>
            <w:r>
              <w:rPr>
                <w:rFonts w:ascii="Arial" w:cs="Arial" w:eastAsia="Arial" w:hAnsi="Arial"/>
                <w:sz w:val="20"/>
                <w:szCs w:val="20"/>
                <w:color w:val="auto"/>
              </w:rPr>
              <w:t xml:space="preserve">Sole Voting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240"/>
        </w:trPr>
        <w:tc>
          <w:tcPr>
            <w:tcW w:w="2160" w:type="dxa"/>
            <w:vAlign w:val="bottom"/>
          </w:tcPr>
          <w:p>
            <w:pPr>
              <w:ind w:left="100"/>
              <w:spacing w:after="0"/>
              <w:rPr>
                <w:sz w:val="20"/>
                <w:szCs w:val="20"/>
                <w:color w:val="auto"/>
              </w:rPr>
            </w:pPr>
            <w:r>
              <w:rPr>
                <w:rFonts w:ascii="Arial" w:cs="Arial" w:eastAsia="Arial" w:hAnsi="Arial"/>
                <w:sz w:val="20"/>
                <w:szCs w:val="20"/>
                <w:color w:val="auto"/>
              </w:rPr>
              <w:t>Shares</w:t>
            </w:r>
          </w:p>
        </w:tc>
        <w:tc>
          <w:tcPr>
            <w:tcW w:w="260" w:type="dxa"/>
            <w:vAlign w:val="bottom"/>
            <w:tcBorders>
              <w:bottom w:val="single" w:sz="8" w:color="auto"/>
            </w:tcBorders>
          </w:tcPr>
          <w:p>
            <w:pPr>
              <w:spacing w:after="0"/>
              <w:rPr>
                <w:sz w:val="20"/>
                <w:szCs w:val="20"/>
                <w:color w:val="auto"/>
              </w:rPr>
            </w:pPr>
          </w:p>
        </w:tc>
        <w:tc>
          <w:tcPr>
            <w:tcW w:w="8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160" w:type="dxa"/>
            <w:vAlign w:val="bottom"/>
          </w:tcPr>
          <w:p>
            <w:pPr>
              <w:ind w:left="100"/>
              <w:spacing w:after="0" w:line="199" w:lineRule="exact"/>
              <w:rPr>
                <w:sz w:val="20"/>
                <w:szCs w:val="20"/>
                <w:color w:val="auto"/>
              </w:rPr>
            </w:pPr>
            <w:r>
              <w:rPr>
                <w:rFonts w:ascii="Arial" w:cs="Arial" w:eastAsia="Arial" w:hAnsi="Arial"/>
                <w:sz w:val="20"/>
                <w:szCs w:val="20"/>
                <w:color w:val="auto"/>
              </w:rPr>
              <w:t>Beneficially</w:t>
            </w:r>
          </w:p>
        </w:tc>
        <w:tc>
          <w:tcPr>
            <w:tcW w:w="260" w:type="dxa"/>
            <w:vAlign w:val="bottom"/>
          </w:tcPr>
          <w:p>
            <w:pPr>
              <w:ind w:left="100"/>
              <w:spacing w:after="0" w:line="199" w:lineRule="exact"/>
              <w:rPr>
                <w:sz w:val="20"/>
                <w:szCs w:val="20"/>
                <w:color w:val="auto"/>
              </w:rPr>
            </w:pPr>
            <w:r>
              <w:rPr>
                <w:rFonts w:ascii="Arial" w:cs="Arial" w:eastAsia="Arial" w:hAnsi="Arial"/>
                <w:sz w:val="20"/>
                <w:szCs w:val="20"/>
                <w:color w:val="auto"/>
                <w:w w:val="83"/>
              </w:rPr>
              <w:t>8.</w:t>
            </w:r>
          </w:p>
        </w:tc>
        <w:tc>
          <w:tcPr>
            <w:tcW w:w="8820" w:type="dxa"/>
            <w:vAlign w:val="bottom"/>
          </w:tcPr>
          <w:p>
            <w:pPr>
              <w:ind w:left="20"/>
              <w:spacing w:after="0" w:line="199" w:lineRule="exact"/>
              <w:rPr>
                <w:sz w:val="20"/>
                <w:szCs w:val="20"/>
                <w:color w:val="auto"/>
              </w:rPr>
            </w:pPr>
            <w:r>
              <w:rPr>
                <w:rFonts w:ascii="Arial" w:cs="Arial" w:eastAsia="Arial" w:hAnsi="Arial"/>
                <w:sz w:val="20"/>
                <w:szCs w:val="20"/>
                <w:color w:val="auto"/>
              </w:rPr>
              <w:t xml:space="preserve">Shared Voting Power </w:t>
            </w:r>
            <w:r>
              <w:rPr>
                <w:rFonts w:ascii="Arial" w:cs="Arial" w:eastAsia="Arial" w:hAnsi="Arial"/>
                <w:sz w:val="20"/>
                <w:szCs w:val="20"/>
                <w:b w:val="1"/>
                <w:bCs w:val="1"/>
                <w:color w:val="auto"/>
              </w:rPr>
              <w:t>7,151,624</w:t>
            </w:r>
          </w:p>
        </w:tc>
        <w:tc>
          <w:tcPr>
            <w:tcW w:w="0" w:type="dxa"/>
            <w:vAlign w:val="bottom"/>
          </w:tcPr>
          <w:p>
            <w:pPr>
              <w:spacing w:after="0"/>
              <w:rPr>
                <w:sz w:val="1"/>
                <w:szCs w:val="1"/>
                <w:color w:val="auto"/>
              </w:rPr>
            </w:pPr>
          </w:p>
        </w:tc>
      </w:tr>
      <w:tr>
        <w:trPr>
          <w:trHeight w:val="230"/>
        </w:trPr>
        <w:tc>
          <w:tcPr>
            <w:tcW w:w="2160" w:type="dxa"/>
            <w:vAlign w:val="bottom"/>
          </w:tcPr>
          <w:p>
            <w:pPr>
              <w:ind w:left="100"/>
              <w:spacing w:after="0"/>
              <w:rPr>
                <w:sz w:val="20"/>
                <w:szCs w:val="20"/>
                <w:color w:val="auto"/>
              </w:rPr>
            </w:pPr>
            <w:r>
              <w:rPr>
                <w:rFonts w:ascii="Arial" w:cs="Arial" w:eastAsia="Arial" w:hAnsi="Arial"/>
                <w:sz w:val="20"/>
                <w:szCs w:val="20"/>
                <w:color w:val="auto"/>
              </w:rPr>
              <w:t>Owned by</w:t>
            </w:r>
          </w:p>
        </w:tc>
        <w:tc>
          <w:tcPr>
            <w:tcW w:w="260" w:type="dxa"/>
            <w:vAlign w:val="bottom"/>
          </w:tcPr>
          <w:p>
            <w:pPr>
              <w:spacing w:after="0"/>
              <w:rPr>
                <w:sz w:val="19"/>
                <w:szCs w:val="19"/>
                <w:color w:val="auto"/>
              </w:rPr>
            </w:pPr>
          </w:p>
        </w:tc>
        <w:tc>
          <w:tcPr>
            <w:tcW w:w="8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
        </w:trPr>
        <w:tc>
          <w:tcPr>
            <w:tcW w:w="2160" w:type="dxa"/>
            <w:vAlign w:val="bottom"/>
            <w:vMerge w:val="restart"/>
          </w:tcPr>
          <w:p>
            <w:pPr>
              <w:ind w:left="100"/>
              <w:spacing w:after="0"/>
              <w:rPr>
                <w:sz w:val="20"/>
                <w:szCs w:val="20"/>
                <w:color w:val="auto"/>
              </w:rPr>
            </w:pPr>
            <w:r>
              <w:rPr>
                <w:rFonts w:ascii="Arial" w:cs="Arial" w:eastAsia="Arial" w:hAnsi="Arial"/>
                <w:sz w:val="20"/>
                <w:szCs w:val="20"/>
                <w:color w:val="auto"/>
              </w:rPr>
              <w:t>Each Reporting</w:t>
            </w:r>
          </w:p>
        </w:tc>
        <w:tc>
          <w:tcPr>
            <w:tcW w:w="260" w:type="dxa"/>
            <w:vAlign w:val="bottom"/>
            <w:tcBorders>
              <w:bottom w:val="single" w:sz="8" w:color="auto"/>
            </w:tcBorders>
          </w:tcPr>
          <w:p>
            <w:pPr>
              <w:spacing w:after="0"/>
              <w:rPr>
                <w:sz w:val="2"/>
                <w:szCs w:val="2"/>
                <w:color w:val="auto"/>
              </w:rPr>
            </w:pPr>
          </w:p>
        </w:tc>
        <w:tc>
          <w:tcPr>
            <w:tcW w:w="8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2160" w:type="dxa"/>
            <w:vAlign w:val="bottom"/>
            <w:vMerge w:val="continue"/>
          </w:tcPr>
          <w:p>
            <w:pPr>
              <w:spacing w:after="0"/>
              <w:rPr>
                <w:sz w:val="15"/>
                <w:szCs w:val="15"/>
                <w:color w:val="auto"/>
              </w:rPr>
            </w:pPr>
          </w:p>
        </w:tc>
        <w:tc>
          <w:tcPr>
            <w:tcW w:w="260" w:type="dxa"/>
            <w:vAlign w:val="bottom"/>
          </w:tcPr>
          <w:p>
            <w:pPr>
              <w:ind w:left="100"/>
              <w:spacing w:after="0" w:line="179" w:lineRule="exact"/>
              <w:rPr>
                <w:sz w:val="20"/>
                <w:szCs w:val="20"/>
                <w:color w:val="auto"/>
              </w:rPr>
            </w:pPr>
            <w:r>
              <w:rPr>
                <w:rFonts w:ascii="Arial" w:cs="Arial" w:eastAsia="Arial" w:hAnsi="Arial"/>
                <w:sz w:val="20"/>
                <w:szCs w:val="20"/>
                <w:color w:val="auto"/>
                <w:w w:val="83"/>
              </w:rPr>
              <w:t>9.</w:t>
            </w:r>
          </w:p>
        </w:tc>
        <w:tc>
          <w:tcPr>
            <w:tcW w:w="8820" w:type="dxa"/>
            <w:vAlign w:val="bottom"/>
          </w:tcPr>
          <w:p>
            <w:pPr>
              <w:ind w:left="20"/>
              <w:spacing w:after="0" w:line="179" w:lineRule="exact"/>
              <w:rPr>
                <w:sz w:val="20"/>
                <w:szCs w:val="20"/>
                <w:color w:val="auto"/>
              </w:rPr>
            </w:pPr>
            <w:r>
              <w:rPr>
                <w:rFonts w:ascii="Arial" w:cs="Arial" w:eastAsia="Arial" w:hAnsi="Arial"/>
                <w:sz w:val="20"/>
                <w:szCs w:val="20"/>
                <w:color w:val="auto"/>
              </w:rPr>
              <w:t xml:space="preserve">Sole Dispositive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44"/>
        </w:trPr>
        <w:tc>
          <w:tcPr>
            <w:tcW w:w="2160" w:type="dxa"/>
            <w:vAlign w:val="bottom"/>
            <w:vMerge w:val="restart"/>
          </w:tcPr>
          <w:p>
            <w:pPr>
              <w:ind w:left="100"/>
              <w:spacing w:after="0"/>
              <w:rPr>
                <w:sz w:val="20"/>
                <w:szCs w:val="20"/>
                <w:color w:val="auto"/>
              </w:rPr>
            </w:pPr>
            <w:r>
              <w:rPr>
                <w:rFonts w:ascii="Arial" w:cs="Arial" w:eastAsia="Arial" w:hAnsi="Arial"/>
                <w:sz w:val="20"/>
                <w:szCs w:val="20"/>
                <w:color w:val="auto"/>
              </w:rPr>
              <w:t>Person With</w:t>
            </w:r>
          </w:p>
        </w:tc>
        <w:tc>
          <w:tcPr>
            <w:tcW w:w="908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160" w:type="dxa"/>
            <w:vAlign w:val="bottom"/>
            <w:vMerge w:val="continue"/>
          </w:tcPr>
          <w:p>
            <w:pPr>
              <w:spacing w:after="0"/>
              <w:rPr>
                <w:sz w:val="19"/>
                <w:szCs w:val="19"/>
                <w:color w:val="auto"/>
              </w:rPr>
            </w:pPr>
          </w:p>
        </w:tc>
        <w:tc>
          <w:tcPr>
            <w:tcW w:w="9080" w:type="dxa"/>
            <w:vAlign w:val="bottom"/>
            <w:tcBorders>
              <w:bottom w:val="single" w:sz="8" w:color="auto"/>
            </w:tcBorders>
            <w:gridSpan w:val="2"/>
          </w:tcPr>
          <w:p>
            <w:pPr>
              <w:ind w:left="100"/>
              <w:spacing w:after="0" w:line="223" w:lineRule="exact"/>
              <w:rPr>
                <w:sz w:val="20"/>
                <w:szCs w:val="20"/>
                <w:color w:val="auto"/>
              </w:rPr>
            </w:pPr>
            <w:r>
              <w:rPr>
                <w:rFonts w:ascii="Arial" w:cs="Arial" w:eastAsia="Arial" w:hAnsi="Arial"/>
                <w:sz w:val="20"/>
                <w:szCs w:val="20"/>
                <w:color w:val="auto"/>
              </w:rPr>
              <w:t xml:space="preserve">10. Shared Dispositive Power </w:t>
            </w:r>
            <w:r>
              <w:rPr>
                <w:rFonts w:ascii="Arial" w:cs="Arial" w:eastAsia="Arial" w:hAnsi="Arial"/>
                <w:sz w:val="20"/>
                <w:szCs w:val="20"/>
                <w:b w:val="1"/>
                <w:bCs w:val="1"/>
                <w:color w:val="auto"/>
              </w:rPr>
              <w:t>7,151,624</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300" w:hanging="644"/>
        <w:spacing w:after="0"/>
        <w:tabs>
          <w:tab w:leader="none" w:pos="1300" w:val="left"/>
        </w:tabs>
        <w:numPr>
          <w:ilvl w:val="0"/>
          <w:numId w:val="3"/>
        </w:numPr>
        <w:rPr>
          <w:rFonts w:ascii="Arial" w:cs="Arial" w:eastAsia="Arial" w:hAnsi="Arial"/>
          <w:sz w:val="20"/>
          <w:szCs w:val="20"/>
          <w:color w:val="auto"/>
        </w:rPr>
      </w:pPr>
      <w:r>
        <w:rPr>
          <w:rFonts w:ascii="Arial" w:cs="Arial" w:eastAsia="Arial" w:hAnsi="Arial"/>
          <w:sz w:val="20"/>
          <w:szCs w:val="20"/>
          <w:color w:val="auto"/>
        </w:rPr>
        <w:t xml:space="preserve">Aggregate Amount Beneficially Owned by Each Reporting Person </w:t>
      </w:r>
      <w:r>
        <w:rPr>
          <w:rFonts w:ascii="Arial" w:cs="Arial" w:eastAsia="Arial" w:hAnsi="Arial"/>
          <w:sz w:val="20"/>
          <w:szCs w:val="20"/>
          <w:b w:val="1"/>
          <w:bCs w:val="1"/>
          <w:color w:val="auto"/>
        </w:rPr>
        <w:t>7,151,624</w:t>
      </w:r>
    </w:p>
    <w:p>
      <w:pPr>
        <w:spacing w:after="0" w:line="235" w:lineRule="exact"/>
        <w:rPr>
          <w:rFonts w:ascii="Arial" w:cs="Arial" w:eastAsia="Arial" w:hAnsi="Arial"/>
          <w:sz w:val="20"/>
          <w:szCs w:val="20"/>
          <w:color w:val="auto"/>
        </w:rPr>
      </w:pPr>
    </w:p>
    <w:p>
      <w:pPr>
        <w:ind w:left="1300" w:right="4020" w:hanging="644"/>
        <w:spacing w:after="0" w:line="260" w:lineRule="auto"/>
        <w:tabs>
          <w:tab w:leader="none" w:pos="1300" w:val="left"/>
        </w:tabs>
        <w:numPr>
          <w:ilvl w:val="0"/>
          <w:numId w:val="3"/>
        </w:numPr>
        <w:rPr>
          <w:rFonts w:ascii="Arial" w:cs="Arial" w:eastAsia="Arial" w:hAnsi="Arial"/>
          <w:sz w:val="20"/>
          <w:szCs w:val="20"/>
          <w:color w:val="auto"/>
        </w:rPr>
      </w:pPr>
      <w:r>
        <w:rPr>
          <w:rFonts w:ascii="Arial" w:cs="Arial" w:eastAsia="Arial" w:hAnsi="Arial"/>
          <w:sz w:val="20"/>
          <w:szCs w:val="20"/>
          <w:color w:val="auto"/>
        </w:rPr>
        <w:t>Check if the Aggregate Amount in Row (11) Excludes Certain Shares (See Instructions) ______</w:t>
      </w:r>
    </w:p>
    <w:p>
      <w:pPr>
        <w:spacing w:after="0" w:line="184" w:lineRule="exact"/>
        <w:rPr>
          <w:rFonts w:ascii="Arial" w:cs="Arial" w:eastAsia="Arial" w:hAnsi="Arial"/>
          <w:sz w:val="20"/>
          <w:szCs w:val="20"/>
          <w:color w:val="auto"/>
        </w:rPr>
      </w:pPr>
    </w:p>
    <w:p>
      <w:pPr>
        <w:ind w:left="1300" w:hanging="644"/>
        <w:spacing w:after="0"/>
        <w:tabs>
          <w:tab w:leader="none" w:pos="1300" w:val="left"/>
        </w:tabs>
        <w:numPr>
          <w:ilvl w:val="0"/>
          <w:numId w:val="3"/>
        </w:numPr>
        <w:rPr>
          <w:rFonts w:ascii="Arial" w:cs="Arial" w:eastAsia="Arial" w:hAnsi="Arial"/>
          <w:sz w:val="20"/>
          <w:szCs w:val="20"/>
          <w:color w:val="auto"/>
        </w:rPr>
      </w:pPr>
      <w:r>
        <w:rPr>
          <w:rFonts w:ascii="Arial" w:cs="Arial" w:eastAsia="Arial" w:hAnsi="Arial"/>
          <w:sz w:val="20"/>
          <w:szCs w:val="20"/>
          <w:color w:val="auto"/>
        </w:rPr>
        <w:t xml:space="preserve">Percent of Class Represented by Amount in Row (11) </w:t>
      </w:r>
      <w:r>
        <w:rPr>
          <w:rFonts w:ascii="Arial" w:cs="Arial" w:eastAsia="Arial" w:hAnsi="Arial"/>
          <w:sz w:val="20"/>
          <w:szCs w:val="20"/>
          <w:b w:val="1"/>
          <w:bCs w:val="1"/>
          <w:color w:val="auto"/>
        </w:rPr>
        <w:t>26.1%</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3"/>
        </w:numPr>
        <w:rPr>
          <w:rFonts w:ascii="Arial" w:cs="Arial" w:eastAsia="Arial" w:hAnsi="Arial"/>
          <w:sz w:val="20"/>
          <w:szCs w:val="20"/>
          <w:color w:val="auto"/>
        </w:rPr>
      </w:pPr>
      <w:r>
        <w:rPr>
          <w:rFonts w:ascii="Arial" w:cs="Arial" w:eastAsia="Arial" w:hAnsi="Arial"/>
          <w:sz w:val="20"/>
          <w:szCs w:val="20"/>
          <w:color w:val="auto"/>
        </w:rPr>
        <w:t xml:space="preserve">Type of Reporting Person (See Instructions) </w:t>
      </w:r>
      <w:r>
        <w:rPr>
          <w:rFonts w:ascii="Arial" w:cs="Arial" w:eastAsia="Arial" w:hAnsi="Arial"/>
          <w:sz w:val="20"/>
          <w:szCs w:val="20"/>
          <w:b w:val="1"/>
          <w:bCs w:val="1"/>
          <w:color w:val="auto"/>
        </w:rPr>
        <w:t>IA, OO</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233"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CUSIP No. 032724106</w:t>
      </w:r>
    </w:p>
    <w:p>
      <w:pPr>
        <w:spacing w:after="0" w:line="200" w:lineRule="exact"/>
        <w:rPr>
          <w:sz w:val="20"/>
          <w:szCs w:val="20"/>
          <w:color w:val="auto"/>
        </w:rPr>
      </w:pPr>
    </w:p>
    <w:p>
      <w:pPr>
        <w:spacing w:after="0" w:line="266" w:lineRule="exact"/>
        <w:rPr>
          <w:sz w:val="20"/>
          <w:szCs w:val="20"/>
          <w:color w:val="auto"/>
        </w:rPr>
      </w:pPr>
    </w:p>
    <w:p>
      <w:pPr>
        <w:ind w:left="1300" w:hanging="644"/>
        <w:spacing w:after="0"/>
        <w:tabs>
          <w:tab w:leader="none" w:pos="1300" w:val="left"/>
        </w:tabs>
        <w:numPr>
          <w:ilvl w:val="0"/>
          <w:numId w:val="4"/>
        </w:numPr>
        <w:rPr>
          <w:rFonts w:ascii="Arial" w:cs="Arial" w:eastAsia="Arial" w:hAnsi="Arial"/>
          <w:sz w:val="20"/>
          <w:szCs w:val="20"/>
          <w:color w:val="auto"/>
        </w:rPr>
      </w:pPr>
      <w:r>
        <w:rPr>
          <w:rFonts w:ascii="Arial" w:cs="Arial" w:eastAsia="Arial" w:hAnsi="Arial"/>
          <w:sz w:val="20"/>
          <w:szCs w:val="20"/>
          <w:color w:val="auto"/>
        </w:rPr>
        <w:t>Names of Reporting Persons.</w:t>
      </w:r>
    </w:p>
    <w:p>
      <w:pPr>
        <w:spacing w:after="0" w:line="223"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Oleg Nodelman</w:t>
      </w:r>
    </w:p>
    <w:p>
      <w:pPr>
        <w:spacing w:after="0" w:line="235" w:lineRule="exact"/>
        <w:rPr>
          <w:rFonts w:ascii="Arial" w:cs="Arial" w:eastAsia="Arial" w:hAnsi="Arial"/>
          <w:sz w:val="20"/>
          <w:szCs w:val="20"/>
          <w:color w:val="auto"/>
        </w:rPr>
      </w:pPr>
    </w:p>
    <w:p>
      <w:pPr>
        <w:ind w:left="1300" w:hanging="644"/>
        <w:spacing w:after="0"/>
        <w:tabs>
          <w:tab w:leader="none" w:pos="1300" w:val="left"/>
        </w:tabs>
        <w:numPr>
          <w:ilvl w:val="0"/>
          <w:numId w:val="4"/>
        </w:numPr>
        <w:rPr>
          <w:rFonts w:ascii="Arial" w:cs="Arial" w:eastAsia="Arial" w:hAnsi="Arial"/>
          <w:sz w:val="20"/>
          <w:szCs w:val="20"/>
          <w:color w:val="auto"/>
        </w:rPr>
      </w:pPr>
      <w:r>
        <w:rPr>
          <w:rFonts w:ascii="Arial" w:cs="Arial" w:eastAsia="Arial" w:hAnsi="Arial"/>
          <w:sz w:val="20"/>
          <w:szCs w:val="20"/>
          <w:color w:val="auto"/>
        </w:rPr>
        <w:t>Check the Appropriate Box if a Member of a Group (See Instructions)</w:t>
      </w:r>
    </w:p>
    <w:p>
      <w:pPr>
        <w:spacing w:after="0" w:line="15" w:lineRule="exact"/>
        <w:rPr>
          <w:rFonts w:ascii="Arial" w:cs="Arial" w:eastAsia="Arial" w:hAnsi="Arial"/>
          <w:sz w:val="20"/>
          <w:szCs w:val="20"/>
          <w:color w:val="auto"/>
        </w:rPr>
      </w:pPr>
    </w:p>
    <w:p>
      <w:pPr>
        <w:ind w:left="1580" w:hanging="276"/>
        <w:spacing w:after="0"/>
        <w:tabs>
          <w:tab w:leader="none" w:pos="1580" w:val="left"/>
        </w:tabs>
        <w:numPr>
          <w:ilvl w:val="1"/>
          <w:numId w:val="4"/>
        </w:numPr>
        <w:rPr>
          <w:rFonts w:ascii="Arial" w:cs="Arial" w:eastAsia="Arial" w:hAnsi="Arial"/>
          <w:sz w:val="20"/>
          <w:szCs w:val="20"/>
          <w:color w:val="auto"/>
        </w:rPr>
      </w:pPr>
      <w:r>
        <w:rPr>
          <w:rFonts w:ascii="Arial" w:cs="Arial" w:eastAsia="Arial" w:hAnsi="Arial"/>
          <w:sz w:val="20"/>
          <w:szCs w:val="20"/>
          <w:b w:val="1"/>
          <w:bCs w:val="1"/>
          <w:color w:val="auto"/>
        </w:rPr>
        <w:t>X</w:t>
      </w:r>
    </w:p>
    <w:p>
      <w:pPr>
        <w:ind w:left="1580" w:hanging="276"/>
        <w:spacing w:after="0"/>
        <w:tabs>
          <w:tab w:leader="none" w:pos="1580" w:val="left"/>
        </w:tabs>
        <w:numPr>
          <w:ilvl w:val="1"/>
          <w:numId w:val="4"/>
        </w:numPr>
        <w:rPr>
          <w:rFonts w:ascii="Arial" w:cs="Arial" w:eastAsia="Arial" w:hAnsi="Arial"/>
          <w:sz w:val="20"/>
          <w:szCs w:val="20"/>
          <w:color w:val="auto"/>
        </w:rPr>
      </w:pPr>
      <w:r>
        <w:rPr>
          <w:rFonts w:ascii="Arial" w:cs="Arial" w:eastAsia="Arial" w:hAnsi="Arial"/>
          <w:sz w:val="20"/>
          <w:szCs w:val="20"/>
          <w:color w:val="auto"/>
        </w:rPr>
        <w:t>______</w:t>
      </w:r>
    </w:p>
    <w:p>
      <w:pPr>
        <w:spacing w:after="0" w:line="213" w:lineRule="exact"/>
        <w:rPr>
          <w:rFonts w:ascii="Arial" w:cs="Arial" w:eastAsia="Arial" w:hAnsi="Arial"/>
          <w:sz w:val="20"/>
          <w:szCs w:val="20"/>
          <w:color w:val="auto"/>
        </w:rPr>
      </w:pPr>
    </w:p>
    <w:p>
      <w:pPr>
        <w:ind w:left="1300" w:hanging="644"/>
        <w:spacing w:after="0"/>
        <w:tabs>
          <w:tab w:leader="none" w:pos="1300" w:val="left"/>
        </w:tabs>
        <w:numPr>
          <w:ilvl w:val="0"/>
          <w:numId w:val="4"/>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200" w:lineRule="exact"/>
        <w:rPr>
          <w:rFonts w:ascii="Arial" w:cs="Arial" w:eastAsia="Arial" w:hAnsi="Arial"/>
          <w:sz w:val="20"/>
          <w:szCs w:val="20"/>
          <w:color w:val="auto"/>
        </w:rPr>
      </w:pPr>
    </w:p>
    <w:p>
      <w:pPr>
        <w:spacing w:after="0" w:line="252" w:lineRule="exact"/>
        <w:rPr>
          <w:rFonts w:ascii="Arial" w:cs="Arial" w:eastAsia="Arial" w:hAnsi="Arial"/>
          <w:sz w:val="20"/>
          <w:szCs w:val="20"/>
          <w:color w:val="auto"/>
        </w:rPr>
      </w:pPr>
    </w:p>
    <w:p>
      <w:pPr>
        <w:ind w:left="1300" w:hanging="644"/>
        <w:spacing w:after="0"/>
        <w:tabs>
          <w:tab w:leader="none" w:pos="1300" w:val="left"/>
        </w:tabs>
        <w:numPr>
          <w:ilvl w:val="0"/>
          <w:numId w:val="4"/>
        </w:numPr>
        <w:rPr>
          <w:rFonts w:ascii="Arial" w:cs="Arial" w:eastAsia="Arial" w:hAnsi="Arial"/>
          <w:sz w:val="20"/>
          <w:szCs w:val="20"/>
          <w:color w:val="auto"/>
        </w:rPr>
      </w:pPr>
      <w:r>
        <w:rPr>
          <w:rFonts w:ascii="Arial" w:cs="Arial" w:eastAsia="Arial" w:hAnsi="Arial"/>
          <w:sz w:val="20"/>
          <w:szCs w:val="20"/>
          <w:color w:val="auto"/>
        </w:rPr>
        <w:t xml:space="preserve">Source of Funds (See Instructions) </w:t>
      </w:r>
      <w:r>
        <w:rPr>
          <w:rFonts w:ascii="Arial" w:cs="Arial" w:eastAsia="Arial" w:hAnsi="Arial"/>
          <w:sz w:val="20"/>
          <w:szCs w:val="20"/>
          <w:b w:val="1"/>
          <w:bCs w:val="1"/>
          <w:color w:val="auto"/>
        </w:rPr>
        <w:t>AF</w:t>
      </w:r>
    </w:p>
    <w:p>
      <w:pPr>
        <w:spacing w:after="0" w:line="235" w:lineRule="exact"/>
        <w:rPr>
          <w:rFonts w:ascii="Arial" w:cs="Arial" w:eastAsia="Arial" w:hAnsi="Arial"/>
          <w:sz w:val="20"/>
          <w:szCs w:val="20"/>
          <w:color w:val="auto"/>
        </w:rPr>
      </w:pPr>
    </w:p>
    <w:p>
      <w:pPr>
        <w:ind w:left="1300" w:hanging="644"/>
        <w:spacing w:after="0"/>
        <w:tabs>
          <w:tab w:leader="none" w:pos="1300" w:val="left"/>
        </w:tabs>
        <w:numPr>
          <w:ilvl w:val="0"/>
          <w:numId w:val="4"/>
        </w:numPr>
        <w:rPr>
          <w:rFonts w:ascii="Arial" w:cs="Arial" w:eastAsia="Arial" w:hAnsi="Arial"/>
          <w:sz w:val="20"/>
          <w:szCs w:val="20"/>
          <w:color w:val="auto"/>
        </w:rPr>
      </w:pPr>
      <w:r>
        <w:rPr>
          <w:rFonts w:ascii="Arial" w:cs="Arial" w:eastAsia="Arial" w:hAnsi="Arial"/>
          <w:sz w:val="20"/>
          <w:szCs w:val="20"/>
          <w:color w:val="auto"/>
        </w:rPr>
        <w:t>Check if Disclosure of Legal Proceedings Is Required Pursuant to Items 2(d) or 2(e) ____</w:t>
      </w:r>
    </w:p>
    <w:p>
      <w:pPr>
        <w:spacing w:after="0" w:line="223" w:lineRule="exact"/>
        <w:rPr>
          <w:rFonts w:ascii="Arial" w:cs="Arial" w:eastAsia="Arial" w:hAnsi="Arial"/>
          <w:sz w:val="20"/>
          <w:szCs w:val="20"/>
          <w:color w:val="auto"/>
        </w:rPr>
      </w:pPr>
    </w:p>
    <w:p>
      <w:pPr>
        <w:ind w:left="1300" w:hanging="644"/>
        <w:spacing w:after="0"/>
        <w:tabs>
          <w:tab w:leader="none" w:pos="1300" w:val="left"/>
        </w:tabs>
        <w:numPr>
          <w:ilvl w:val="0"/>
          <w:numId w:val="4"/>
        </w:numPr>
        <w:rPr>
          <w:rFonts w:ascii="Arial" w:cs="Arial" w:eastAsia="Arial" w:hAnsi="Arial"/>
          <w:sz w:val="20"/>
          <w:szCs w:val="20"/>
          <w:color w:val="auto"/>
        </w:rPr>
      </w:pPr>
      <w:r>
        <w:rPr>
          <w:rFonts w:ascii="Arial" w:cs="Arial" w:eastAsia="Arial" w:hAnsi="Arial"/>
          <w:sz w:val="20"/>
          <w:szCs w:val="20"/>
          <w:color w:val="auto"/>
        </w:rPr>
        <w:t xml:space="preserve">Citizenship or Place of Organization </w:t>
      </w:r>
      <w:r>
        <w:rPr>
          <w:rFonts w:ascii="Arial" w:cs="Arial" w:eastAsia="Arial" w:hAnsi="Arial"/>
          <w:sz w:val="20"/>
          <w:szCs w:val="20"/>
          <w:b w:val="1"/>
          <w:bCs w:val="1"/>
          <w:color w:val="auto"/>
        </w:rPr>
        <w:t>U.S.A.</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160" w:type="dxa"/>
            <w:vAlign w:val="bottom"/>
            <w:tcBorders>
              <w:top w:val="single" w:sz="8" w:color="auto"/>
            </w:tcBorders>
          </w:tcPr>
          <w:p>
            <w:pPr>
              <w:ind w:left="100"/>
              <w:spacing w:after="0" w:line="227" w:lineRule="exact"/>
              <w:rPr>
                <w:sz w:val="20"/>
                <w:szCs w:val="20"/>
                <w:color w:val="auto"/>
              </w:rPr>
            </w:pPr>
            <w:r>
              <w:rPr>
                <w:rFonts w:ascii="Arial" w:cs="Arial" w:eastAsia="Arial" w:hAnsi="Arial"/>
                <w:sz w:val="20"/>
                <w:szCs w:val="20"/>
                <w:color w:val="auto"/>
              </w:rPr>
              <w:t>Number of</w:t>
            </w:r>
          </w:p>
        </w:tc>
        <w:tc>
          <w:tcPr>
            <w:tcW w:w="260" w:type="dxa"/>
            <w:vAlign w:val="bottom"/>
            <w:tcBorders>
              <w:top w:val="single" w:sz="8" w:color="auto"/>
            </w:tcBorders>
          </w:tcPr>
          <w:p>
            <w:pPr>
              <w:ind w:left="100"/>
              <w:spacing w:after="0" w:line="227" w:lineRule="exact"/>
              <w:rPr>
                <w:sz w:val="20"/>
                <w:szCs w:val="20"/>
                <w:color w:val="auto"/>
              </w:rPr>
            </w:pPr>
            <w:r>
              <w:rPr>
                <w:rFonts w:ascii="Arial" w:cs="Arial" w:eastAsia="Arial" w:hAnsi="Arial"/>
                <w:sz w:val="20"/>
                <w:szCs w:val="20"/>
                <w:color w:val="auto"/>
                <w:w w:val="83"/>
              </w:rPr>
              <w:t>7.</w:t>
            </w:r>
          </w:p>
        </w:tc>
        <w:tc>
          <w:tcPr>
            <w:tcW w:w="8820" w:type="dxa"/>
            <w:vAlign w:val="bottom"/>
            <w:tcBorders>
              <w:top w:val="single" w:sz="8" w:color="auto"/>
            </w:tcBorders>
          </w:tcPr>
          <w:p>
            <w:pPr>
              <w:ind w:left="20"/>
              <w:spacing w:after="0" w:line="227" w:lineRule="exact"/>
              <w:rPr>
                <w:sz w:val="20"/>
                <w:szCs w:val="20"/>
                <w:color w:val="auto"/>
              </w:rPr>
            </w:pPr>
            <w:r>
              <w:rPr>
                <w:rFonts w:ascii="Arial" w:cs="Arial" w:eastAsia="Arial" w:hAnsi="Arial"/>
                <w:sz w:val="20"/>
                <w:szCs w:val="20"/>
                <w:color w:val="auto"/>
              </w:rPr>
              <w:t xml:space="preserve">Sole Voting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240"/>
        </w:trPr>
        <w:tc>
          <w:tcPr>
            <w:tcW w:w="2160" w:type="dxa"/>
            <w:vAlign w:val="bottom"/>
          </w:tcPr>
          <w:p>
            <w:pPr>
              <w:ind w:left="100"/>
              <w:spacing w:after="0"/>
              <w:rPr>
                <w:sz w:val="20"/>
                <w:szCs w:val="20"/>
                <w:color w:val="auto"/>
              </w:rPr>
            </w:pPr>
            <w:r>
              <w:rPr>
                <w:rFonts w:ascii="Arial" w:cs="Arial" w:eastAsia="Arial" w:hAnsi="Arial"/>
                <w:sz w:val="20"/>
                <w:szCs w:val="20"/>
                <w:color w:val="auto"/>
              </w:rPr>
              <w:t>Shares</w:t>
            </w:r>
          </w:p>
        </w:tc>
        <w:tc>
          <w:tcPr>
            <w:tcW w:w="260" w:type="dxa"/>
            <w:vAlign w:val="bottom"/>
            <w:tcBorders>
              <w:bottom w:val="single" w:sz="8" w:color="auto"/>
            </w:tcBorders>
          </w:tcPr>
          <w:p>
            <w:pPr>
              <w:spacing w:after="0"/>
              <w:rPr>
                <w:sz w:val="20"/>
                <w:szCs w:val="20"/>
                <w:color w:val="auto"/>
              </w:rPr>
            </w:pPr>
          </w:p>
        </w:tc>
        <w:tc>
          <w:tcPr>
            <w:tcW w:w="8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160" w:type="dxa"/>
            <w:vAlign w:val="bottom"/>
          </w:tcPr>
          <w:p>
            <w:pPr>
              <w:ind w:left="100"/>
              <w:spacing w:after="0" w:line="199" w:lineRule="exact"/>
              <w:rPr>
                <w:sz w:val="20"/>
                <w:szCs w:val="20"/>
                <w:color w:val="auto"/>
              </w:rPr>
            </w:pPr>
            <w:r>
              <w:rPr>
                <w:rFonts w:ascii="Arial" w:cs="Arial" w:eastAsia="Arial" w:hAnsi="Arial"/>
                <w:sz w:val="20"/>
                <w:szCs w:val="20"/>
                <w:color w:val="auto"/>
              </w:rPr>
              <w:t>Beneficially</w:t>
            </w:r>
          </w:p>
        </w:tc>
        <w:tc>
          <w:tcPr>
            <w:tcW w:w="260" w:type="dxa"/>
            <w:vAlign w:val="bottom"/>
          </w:tcPr>
          <w:p>
            <w:pPr>
              <w:ind w:left="100"/>
              <w:spacing w:after="0" w:line="199" w:lineRule="exact"/>
              <w:rPr>
                <w:sz w:val="20"/>
                <w:szCs w:val="20"/>
                <w:color w:val="auto"/>
              </w:rPr>
            </w:pPr>
            <w:r>
              <w:rPr>
                <w:rFonts w:ascii="Arial" w:cs="Arial" w:eastAsia="Arial" w:hAnsi="Arial"/>
                <w:sz w:val="20"/>
                <w:szCs w:val="20"/>
                <w:color w:val="auto"/>
                <w:w w:val="83"/>
              </w:rPr>
              <w:t>8.</w:t>
            </w:r>
          </w:p>
        </w:tc>
        <w:tc>
          <w:tcPr>
            <w:tcW w:w="8820" w:type="dxa"/>
            <w:vAlign w:val="bottom"/>
          </w:tcPr>
          <w:p>
            <w:pPr>
              <w:ind w:left="20"/>
              <w:spacing w:after="0" w:line="199" w:lineRule="exact"/>
              <w:rPr>
                <w:sz w:val="20"/>
                <w:szCs w:val="20"/>
                <w:color w:val="auto"/>
              </w:rPr>
            </w:pPr>
            <w:r>
              <w:rPr>
                <w:rFonts w:ascii="Arial" w:cs="Arial" w:eastAsia="Arial" w:hAnsi="Arial"/>
                <w:sz w:val="20"/>
                <w:szCs w:val="20"/>
                <w:color w:val="auto"/>
              </w:rPr>
              <w:t xml:space="preserve">Shared Voting Power </w:t>
            </w:r>
            <w:r>
              <w:rPr>
                <w:rFonts w:ascii="Arial" w:cs="Arial" w:eastAsia="Arial" w:hAnsi="Arial"/>
                <w:sz w:val="20"/>
                <w:szCs w:val="20"/>
                <w:b w:val="1"/>
                <w:bCs w:val="1"/>
                <w:color w:val="auto"/>
              </w:rPr>
              <w:t>7,151,624</w:t>
            </w:r>
          </w:p>
        </w:tc>
        <w:tc>
          <w:tcPr>
            <w:tcW w:w="0" w:type="dxa"/>
            <w:vAlign w:val="bottom"/>
          </w:tcPr>
          <w:p>
            <w:pPr>
              <w:spacing w:after="0"/>
              <w:rPr>
                <w:sz w:val="1"/>
                <w:szCs w:val="1"/>
                <w:color w:val="auto"/>
              </w:rPr>
            </w:pPr>
          </w:p>
        </w:tc>
      </w:tr>
      <w:tr>
        <w:trPr>
          <w:trHeight w:val="230"/>
        </w:trPr>
        <w:tc>
          <w:tcPr>
            <w:tcW w:w="2160" w:type="dxa"/>
            <w:vAlign w:val="bottom"/>
          </w:tcPr>
          <w:p>
            <w:pPr>
              <w:ind w:left="100"/>
              <w:spacing w:after="0"/>
              <w:rPr>
                <w:sz w:val="20"/>
                <w:szCs w:val="20"/>
                <w:color w:val="auto"/>
              </w:rPr>
            </w:pPr>
            <w:r>
              <w:rPr>
                <w:rFonts w:ascii="Arial" w:cs="Arial" w:eastAsia="Arial" w:hAnsi="Arial"/>
                <w:sz w:val="20"/>
                <w:szCs w:val="20"/>
                <w:color w:val="auto"/>
              </w:rPr>
              <w:t>Owned by</w:t>
            </w:r>
          </w:p>
        </w:tc>
        <w:tc>
          <w:tcPr>
            <w:tcW w:w="260" w:type="dxa"/>
            <w:vAlign w:val="bottom"/>
          </w:tcPr>
          <w:p>
            <w:pPr>
              <w:spacing w:after="0"/>
              <w:rPr>
                <w:sz w:val="19"/>
                <w:szCs w:val="19"/>
                <w:color w:val="auto"/>
              </w:rPr>
            </w:pPr>
          </w:p>
        </w:tc>
        <w:tc>
          <w:tcPr>
            <w:tcW w:w="8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
        </w:trPr>
        <w:tc>
          <w:tcPr>
            <w:tcW w:w="2160" w:type="dxa"/>
            <w:vAlign w:val="bottom"/>
            <w:vMerge w:val="restart"/>
          </w:tcPr>
          <w:p>
            <w:pPr>
              <w:ind w:left="100"/>
              <w:spacing w:after="0"/>
              <w:rPr>
                <w:sz w:val="20"/>
                <w:szCs w:val="20"/>
                <w:color w:val="auto"/>
              </w:rPr>
            </w:pPr>
            <w:r>
              <w:rPr>
                <w:rFonts w:ascii="Arial" w:cs="Arial" w:eastAsia="Arial" w:hAnsi="Arial"/>
                <w:sz w:val="20"/>
                <w:szCs w:val="20"/>
                <w:color w:val="auto"/>
              </w:rPr>
              <w:t>Each Reporting</w:t>
            </w:r>
          </w:p>
        </w:tc>
        <w:tc>
          <w:tcPr>
            <w:tcW w:w="260" w:type="dxa"/>
            <w:vAlign w:val="bottom"/>
            <w:tcBorders>
              <w:bottom w:val="single" w:sz="8" w:color="auto"/>
            </w:tcBorders>
          </w:tcPr>
          <w:p>
            <w:pPr>
              <w:spacing w:after="0"/>
              <w:rPr>
                <w:sz w:val="2"/>
                <w:szCs w:val="2"/>
                <w:color w:val="auto"/>
              </w:rPr>
            </w:pPr>
          </w:p>
        </w:tc>
        <w:tc>
          <w:tcPr>
            <w:tcW w:w="8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2160" w:type="dxa"/>
            <w:vAlign w:val="bottom"/>
            <w:vMerge w:val="continue"/>
          </w:tcPr>
          <w:p>
            <w:pPr>
              <w:spacing w:after="0"/>
              <w:rPr>
                <w:sz w:val="15"/>
                <w:szCs w:val="15"/>
                <w:color w:val="auto"/>
              </w:rPr>
            </w:pPr>
          </w:p>
        </w:tc>
        <w:tc>
          <w:tcPr>
            <w:tcW w:w="260" w:type="dxa"/>
            <w:vAlign w:val="bottom"/>
          </w:tcPr>
          <w:p>
            <w:pPr>
              <w:ind w:left="100"/>
              <w:spacing w:after="0" w:line="179" w:lineRule="exact"/>
              <w:rPr>
                <w:sz w:val="20"/>
                <w:szCs w:val="20"/>
                <w:color w:val="auto"/>
              </w:rPr>
            </w:pPr>
            <w:r>
              <w:rPr>
                <w:rFonts w:ascii="Arial" w:cs="Arial" w:eastAsia="Arial" w:hAnsi="Arial"/>
                <w:sz w:val="20"/>
                <w:szCs w:val="20"/>
                <w:color w:val="auto"/>
                <w:w w:val="83"/>
              </w:rPr>
              <w:t>9.</w:t>
            </w:r>
          </w:p>
        </w:tc>
        <w:tc>
          <w:tcPr>
            <w:tcW w:w="8820" w:type="dxa"/>
            <w:vAlign w:val="bottom"/>
          </w:tcPr>
          <w:p>
            <w:pPr>
              <w:ind w:left="20"/>
              <w:spacing w:after="0" w:line="179" w:lineRule="exact"/>
              <w:rPr>
                <w:sz w:val="20"/>
                <w:szCs w:val="20"/>
                <w:color w:val="auto"/>
              </w:rPr>
            </w:pPr>
            <w:r>
              <w:rPr>
                <w:rFonts w:ascii="Arial" w:cs="Arial" w:eastAsia="Arial" w:hAnsi="Arial"/>
                <w:sz w:val="20"/>
                <w:szCs w:val="20"/>
                <w:color w:val="auto"/>
              </w:rPr>
              <w:t xml:space="preserve">Sole Dispositive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44"/>
        </w:trPr>
        <w:tc>
          <w:tcPr>
            <w:tcW w:w="2160" w:type="dxa"/>
            <w:vAlign w:val="bottom"/>
            <w:vMerge w:val="restart"/>
          </w:tcPr>
          <w:p>
            <w:pPr>
              <w:ind w:left="100"/>
              <w:spacing w:after="0"/>
              <w:rPr>
                <w:sz w:val="20"/>
                <w:szCs w:val="20"/>
                <w:color w:val="auto"/>
              </w:rPr>
            </w:pPr>
            <w:r>
              <w:rPr>
                <w:rFonts w:ascii="Arial" w:cs="Arial" w:eastAsia="Arial" w:hAnsi="Arial"/>
                <w:sz w:val="20"/>
                <w:szCs w:val="20"/>
                <w:color w:val="auto"/>
              </w:rPr>
              <w:t>Person With</w:t>
            </w:r>
          </w:p>
        </w:tc>
        <w:tc>
          <w:tcPr>
            <w:tcW w:w="908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160" w:type="dxa"/>
            <w:vAlign w:val="bottom"/>
            <w:vMerge w:val="continue"/>
          </w:tcPr>
          <w:p>
            <w:pPr>
              <w:spacing w:after="0"/>
              <w:rPr>
                <w:sz w:val="19"/>
                <w:szCs w:val="19"/>
                <w:color w:val="auto"/>
              </w:rPr>
            </w:pPr>
          </w:p>
        </w:tc>
        <w:tc>
          <w:tcPr>
            <w:tcW w:w="9080" w:type="dxa"/>
            <w:vAlign w:val="bottom"/>
            <w:tcBorders>
              <w:bottom w:val="single" w:sz="8" w:color="auto"/>
            </w:tcBorders>
            <w:gridSpan w:val="2"/>
          </w:tcPr>
          <w:p>
            <w:pPr>
              <w:ind w:left="100"/>
              <w:spacing w:after="0" w:line="223" w:lineRule="exact"/>
              <w:rPr>
                <w:sz w:val="20"/>
                <w:szCs w:val="20"/>
                <w:color w:val="auto"/>
              </w:rPr>
            </w:pPr>
            <w:r>
              <w:rPr>
                <w:rFonts w:ascii="Arial" w:cs="Arial" w:eastAsia="Arial" w:hAnsi="Arial"/>
                <w:sz w:val="20"/>
                <w:szCs w:val="20"/>
                <w:color w:val="auto"/>
              </w:rPr>
              <w:t xml:space="preserve">10. Shared Dispositive Power </w:t>
            </w:r>
            <w:r>
              <w:rPr>
                <w:rFonts w:ascii="Arial" w:cs="Arial" w:eastAsia="Arial" w:hAnsi="Arial"/>
                <w:sz w:val="20"/>
                <w:szCs w:val="20"/>
                <w:b w:val="1"/>
                <w:bCs w:val="1"/>
                <w:color w:val="auto"/>
              </w:rPr>
              <w:t>7,151,624</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300" w:hanging="644"/>
        <w:spacing w:after="0"/>
        <w:tabs>
          <w:tab w:leader="none" w:pos="1300" w:val="left"/>
        </w:tabs>
        <w:numPr>
          <w:ilvl w:val="0"/>
          <w:numId w:val="5"/>
        </w:numPr>
        <w:rPr>
          <w:rFonts w:ascii="Arial" w:cs="Arial" w:eastAsia="Arial" w:hAnsi="Arial"/>
          <w:sz w:val="20"/>
          <w:szCs w:val="20"/>
          <w:color w:val="auto"/>
        </w:rPr>
      </w:pPr>
      <w:r>
        <w:rPr>
          <w:rFonts w:ascii="Arial" w:cs="Arial" w:eastAsia="Arial" w:hAnsi="Arial"/>
          <w:sz w:val="20"/>
          <w:szCs w:val="20"/>
          <w:color w:val="auto"/>
        </w:rPr>
        <w:t xml:space="preserve">Aggregate Amount Beneficially Owned by Each Reporting Person </w:t>
      </w:r>
      <w:r>
        <w:rPr>
          <w:rFonts w:ascii="Arial" w:cs="Arial" w:eastAsia="Arial" w:hAnsi="Arial"/>
          <w:sz w:val="20"/>
          <w:szCs w:val="20"/>
          <w:b w:val="1"/>
          <w:bCs w:val="1"/>
          <w:color w:val="auto"/>
        </w:rPr>
        <w:t>7,151,624</w:t>
      </w:r>
    </w:p>
    <w:p>
      <w:pPr>
        <w:spacing w:after="0" w:line="235" w:lineRule="exact"/>
        <w:rPr>
          <w:rFonts w:ascii="Arial" w:cs="Arial" w:eastAsia="Arial" w:hAnsi="Arial"/>
          <w:sz w:val="20"/>
          <w:szCs w:val="20"/>
          <w:color w:val="auto"/>
        </w:rPr>
      </w:pPr>
    </w:p>
    <w:p>
      <w:pPr>
        <w:ind w:left="1300" w:right="4020" w:hanging="644"/>
        <w:spacing w:after="0" w:line="260" w:lineRule="auto"/>
        <w:tabs>
          <w:tab w:leader="none" w:pos="1300" w:val="left"/>
        </w:tabs>
        <w:numPr>
          <w:ilvl w:val="0"/>
          <w:numId w:val="5"/>
        </w:numPr>
        <w:rPr>
          <w:rFonts w:ascii="Arial" w:cs="Arial" w:eastAsia="Arial" w:hAnsi="Arial"/>
          <w:sz w:val="20"/>
          <w:szCs w:val="20"/>
          <w:color w:val="auto"/>
        </w:rPr>
      </w:pPr>
      <w:r>
        <w:rPr>
          <w:rFonts w:ascii="Arial" w:cs="Arial" w:eastAsia="Arial" w:hAnsi="Arial"/>
          <w:sz w:val="20"/>
          <w:szCs w:val="20"/>
          <w:color w:val="auto"/>
        </w:rPr>
        <w:t>Check if the Aggregate Amount in Row (11) Excludes Certain Shares (See Instructions) ______</w:t>
      </w:r>
    </w:p>
    <w:p>
      <w:pPr>
        <w:spacing w:after="0" w:line="184" w:lineRule="exact"/>
        <w:rPr>
          <w:rFonts w:ascii="Arial" w:cs="Arial" w:eastAsia="Arial" w:hAnsi="Arial"/>
          <w:sz w:val="20"/>
          <w:szCs w:val="20"/>
          <w:color w:val="auto"/>
        </w:rPr>
      </w:pPr>
    </w:p>
    <w:p>
      <w:pPr>
        <w:ind w:left="1300" w:hanging="644"/>
        <w:spacing w:after="0"/>
        <w:tabs>
          <w:tab w:leader="none" w:pos="1300" w:val="left"/>
        </w:tabs>
        <w:numPr>
          <w:ilvl w:val="0"/>
          <w:numId w:val="5"/>
        </w:numPr>
        <w:rPr>
          <w:rFonts w:ascii="Arial" w:cs="Arial" w:eastAsia="Arial" w:hAnsi="Arial"/>
          <w:sz w:val="20"/>
          <w:szCs w:val="20"/>
          <w:color w:val="auto"/>
        </w:rPr>
      </w:pPr>
      <w:r>
        <w:rPr>
          <w:rFonts w:ascii="Arial" w:cs="Arial" w:eastAsia="Arial" w:hAnsi="Arial"/>
          <w:sz w:val="20"/>
          <w:szCs w:val="20"/>
          <w:color w:val="auto"/>
        </w:rPr>
        <w:t xml:space="preserve">Percent of Class Represented by Amount in Row (11) </w:t>
      </w:r>
      <w:r>
        <w:rPr>
          <w:rFonts w:ascii="Arial" w:cs="Arial" w:eastAsia="Arial" w:hAnsi="Arial"/>
          <w:sz w:val="20"/>
          <w:szCs w:val="20"/>
          <w:b w:val="1"/>
          <w:bCs w:val="1"/>
          <w:color w:val="auto"/>
        </w:rPr>
        <w:t>26.1%</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5"/>
        </w:numPr>
        <w:rPr>
          <w:rFonts w:ascii="Arial" w:cs="Arial" w:eastAsia="Arial" w:hAnsi="Arial"/>
          <w:sz w:val="20"/>
          <w:szCs w:val="20"/>
          <w:color w:val="auto"/>
        </w:rPr>
      </w:pPr>
      <w:r>
        <w:rPr>
          <w:rFonts w:ascii="Arial" w:cs="Arial" w:eastAsia="Arial" w:hAnsi="Arial"/>
          <w:sz w:val="20"/>
          <w:szCs w:val="20"/>
          <w:color w:val="auto"/>
        </w:rPr>
        <w:t xml:space="preserve">Type of Reporting Person (See Instructions) </w:t>
      </w:r>
      <w:r>
        <w:rPr>
          <w:rFonts w:ascii="Arial" w:cs="Arial" w:eastAsia="Arial" w:hAnsi="Arial"/>
          <w:sz w:val="20"/>
          <w:szCs w:val="20"/>
          <w:b w:val="1"/>
          <w:bCs w:val="1"/>
          <w:color w:val="auto"/>
        </w:rPr>
        <w:t>IN, HC</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233"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CUSIP No. 032724106</w:t>
      </w:r>
    </w:p>
    <w:p>
      <w:pPr>
        <w:spacing w:after="0" w:line="200" w:lineRule="exact"/>
        <w:rPr>
          <w:sz w:val="20"/>
          <w:szCs w:val="20"/>
          <w:color w:val="auto"/>
        </w:rPr>
      </w:pPr>
    </w:p>
    <w:p>
      <w:pPr>
        <w:spacing w:after="0" w:line="266" w:lineRule="exact"/>
        <w:rPr>
          <w:sz w:val="20"/>
          <w:szCs w:val="20"/>
          <w:color w:val="auto"/>
        </w:rPr>
      </w:pPr>
    </w:p>
    <w:p>
      <w:pPr>
        <w:ind w:left="1300" w:hanging="644"/>
        <w:spacing w:after="0"/>
        <w:tabs>
          <w:tab w:leader="none" w:pos="1300" w:val="left"/>
        </w:tabs>
        <w:numPr>
          <w:ilvl w:val="0"/>
          <w:numId w:val="6"/>
        </w:numPr>
        <w:rPr>
          <w:rFonts w:ascii="Arial" w:cs="Arial" w:eastAsia="Arial" w:hAnsi="Arial"/>
          <w:sz w:val="20"/>
          <w:szCs w:val="20"/>
          <w:color w:val="auto"/>
        </w:rPr>
      </w:pPr>
      <w:r>
        <w:rPr>
          <w:rFonts w:ascii="Arial" w:cs="Arial" w:eastAsia="Arial" w:hAnsi="Arial"/>
          <w:sz w:val="20"/>
          <w:szCs w:val="20"/>
          <w:color w:val="auto"/>
        </w:rPr>
        <w:t>Names of Reporting Persons.</w:t>
      </w:r>
    </w:p>
    <w:p>
      <w:pPr>
        <w:spacing w:after="0" w:line="223"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EcoR1 Capital Fund Qualified, L.P.</w:t>
      </w:r>
    </w:p>
    <w:p>
      <w:pPr>
        <w:spacing w:after="0" w:line="235" w:lineRule="exact"/>
        <w:rPr>
          <w:rFonts w:ascii="Arial" w:cs="Arial" w:eastAsia="Arial" w:hAnsi="Arial"/>
          <w:sz w:val="20"/>
          <w:szCs w:val="20"/>
          <w:color w:val="auto"/>
        </w:rPr>
      </w:pPr>
    </w:p>
    <w:p>
      <w:pPr>
        <w:ind w:left="1300" w:hanging="644"/>
        <w:spacing w:after="0"/>
        <w:tabs>
          <w:tab w:leader="none" w:pos="1300" w:val="left"/>
        </w:tabs>
        <w:numPr>
          <w:ilvl w:val="0"/>
          <w:numId w:val="6"/>
        </w:numPr>
        <w:rPr>
          <w:rFonts w:ascii="Arial" w:cs="Arial" w:eastAsia="Arial" w:hAnsi="Arial"/>
          <w:sz w:val="20"/>
          <w:szCs w:val="20"/>
          <w:color w:val="auto"/>
        </w:rPr>
      </w:pPr>
      <w:r>
        <w:rPr>
          <w:rFonts w:ascii="Arial" w:cs="Arial" w:eastAsia="Arial" w:hAnsi="Arial"/>
          <w:sz w:val="20"/>
          <w:szCs w:val="20"/>
          <w:color w:val="auto"/>
        </w:rPr>
        <w:t>Check the Appropriate Box if a Member of a Group (See Instructions)</w:t>
      </w:r>
    </w:p>
    <w:p>
      <w:pPr>
        <w:spacing w:after="0" w:line="15" w:lineRule="exact"/>
        <w:rPr>
          <w:rFonts w:ascii="Arial" w:cs="Arial" w:eastAsia="Arial" w:hAnsi="Arial"/>
          <w:sz w:val="20"/>
          <w:szCs w:val="20"/>
          <w:color w:val="auto"/>
        </w:rPr>
      </w:pPr>
    </w:p>
    <w:p>
      <w:pPr>
        <w:ind w:left="1580" w:hanging="276"/>
        <w:spacing w:after="0"/>
        <w:tabs>
          <w:tab w:leader="none" w:pos="1580" w:val="left"/>
        </w:tabs>
        <w:numPr>
          <w:ilvl w:val="1"/>
          <w:numId w:val="6"/>
        </w:numPr>
        <w:rPr>
          <w:rFonts w:ascii="Arial" w:cs="Arial" w:eastAsia="Arial" w:hAnsi="Arial"/>
          <w:sz w:val="20"/>
          <w:szCs w:val="20"/>
          <w:color w:val="auto"/>
        </w:rPr>
      </w:pPr>
      <w:r>
        <w:rPr>
          <w:rFonts w:ascii="Arial" w:cs="Arial" w:eastAsia="Arial" w:hAnsi="Arial"/>
          <w:sz w:val="20"/>
          <w:szCs w:val="20"/>
          <w:color w:val="auto"/>
        </w:rPr>
        <w:t>______</w:t>
      </w:r>
    </w:p>
    <w:p>
      <w:pPr>
        <w:ind w:left="1580" w:hanging="276"/>
        <w:spacing w:after="0"/>
        <w:tabs>
          <w:tab w:leader="none" w:pos="1580" w:val="left"/>
        </w:tabs>
        <w:numPr>
          <w:ilvl w:val="1"/>
          <w:numId w:val="6"/>
        </w:numPr>
        <w:rPr>
          <w:rFonts w:ascii="Arial" w:cs="Arial" w:eastAsia="Arial" w:hAnsi="Arial"/>
          <w:sz w:val="20"/>
          <w:szCs w:val="20"/>
          <w:color w:val="auto"/>
        </w:rPr>
      </w:pPr>
      <w:r>
        <w:rPr>
          <w:rFonts w:ascii="Arial" w:cs="Arial" w:eastAsia="Arial" w:hAnsi="Arial"/>
          <w:sz w:val="20"/>
          <w:szCs w:val="20"/>
          <w:color w:val="auto"/>
        </w:rPr>
        <w:t>______</w:t>
      </w:r>
    </w:p>
    <w:p>
      <w:pPr>
        <w:spacing w:after="0" w:line="213" w:lineRule="exact"/>
        <w:rPr>
          <w:rFonts w:ascii="Arial" w:cs="Arial" w:eastAsia="Arial" w:hAnsi="Arial"/>
          <w:sz w:val="20"/>
          <w:szCs w:val="20"/>
          <w:color w:val="auto"/>
        </w:rPr>
      </w:pPr>
    </w:p>
    <w:p>
      <w:pPr>
        <w:ind w:left="1300" w:hanging="644"/>
        <w:spacing w:after="0"/>
        <w:tabs>
          <w:tab w:leader="none" w:pos="1300" w:val="left"/>
        </w:tabs>
        <w:numPr>
          <w:ilvl w:val="0"/>
          <w:numId w:val="6"/>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200" w:lineRule="exact"/>
        <w:rPr>
          <w:rFonts w:ascii="Arial" w:cs="Arial" w:eastAsia="Arial" w:hAnsi="Arial"/>
          <w:sz w:val="20"/>
          <w:szCs w:val="20"/>
          <w:color w:val="auto"/>
        </w:rPr>
      </w:pPr>
    </w:p>
    <w:p>
      <w:pPr>
        <w:spacing w:after="0" w:line="252" w:lineRule="exact"/>
        <w:rPr>
          <w:rFonts w:ascii="Arial" w:cs="Arial" w:eastAsia="Arial" w:hAnsi="Arial"/>
          <w:sz w:val="20"/>
          <w:szCs w:val="20"/>
          <w:color w:val="auto"/>
        </w:rPr>
      </w:pPr>
    </w:p>
    <w:p>
      <w:pPr>
        <w:ind w:left="1300" w:hanging="644"/>
        <w:spacing w:after="0"/>
        <w:tabs>
          <w:tab w:leader="none" w:pos="1300" w:val="left"/>
        </w:tabs>
        <w:numPr>
          <w:ilvl w:val="0"/>
          <w:numId w:val="6"/>
        </w:numPr>
        <w:rPr>
          <w:rFonts w:ascii="Arial" w:cs="Arial" w:eastAsia="Arial" w:hAnsi="Arial"/>
          <w:sz w:val="20"/>
          <w:szCs w:val="20"/>
          <w:color w:val="auto"/>
        </w:rPr>
      </w:pPr>
      <w:r>
        <w:rPr>
          <w:rFonts w:ascii="Arial" w:cs="Arial" w:eastAsia="Arial" w:hAnsi="Arial"/>
          <w:sz w:val="20"/>
          <w:szCs w:val="20"/>
          <w:color w:val="auto"/>
        </w:rPr>
        <w:t xml:space="preserve">Source of Funds (See Instructions) </w:t>
      </w:r>
      <w:r>
        <w:rPr>
          <w:rFonts w:ascii="Arial" w:cs="Arial" w:eastAsia="Arial" w:hAnsi="Arial"/>
          <w:sz w:val="20"/>
          <w:szCs w:val="20"/>
          <w:b w:val="1"/>
          <w:bCs w:val="1"/>
          <w:color w:val="auto"/>
        </w:rPr>
        <w:t>WC</w:t>
      </w:r>
    </w:p>
    <w:p>
      <w:pPr>
        <w:spacing w:after="0" w:line="235" w:lineRule="exact"/>
        <w:rPr>
          <w:rFonts w:ascii="Arial" w:cs="Arial" w:eastAsia="Arial" w:hAnsi="Arial"/>
          <w:sz w:val="20"/>
          <w:szCs w:val="20"/>
          <w:color w:val="auto"/>
        </w:rPr>
      </w:pPr>
    </w:p>
    <w:p>
      <w:pPr>
        <w:ind w:left="1300" w:hanging="644"/>
        <w:spacing w:after="0"/>
        <w:tabs>
          <w:tab w:leader="none" w:pos="1300" w:val="left"/>
        </w:tabs>
        <w:numPr>
          <w:ilvl w:val="0"/>
          <w:numId w:val="6"/>
        </w:numPr>
        <w:rPr>
          <w:rFonts w:ascii="Arial" w:cs="Arial" w:eastAsia="Arial" w:hAnsi="Arial"/>
          <w:sz w:val="20"/>
          <w:szCs w:val="20"/>
          <w:color w:val="auto"/>
        </w:rPr>
      </w:pPr>
      <w:r>
        <w:rPr>
          <w:rFonts w:ascii="Arial" w:cs="Arial" w:eastAsia="Arial" w:hAnsi="Arial"/>
          <w:sz w:val="20"/>
          <w:szCs w:val="20"/>
          <w:color w:val="auto"/>
        </w:rPr>
        <w:t>Check if Disclosure of Legal Proceedings Is Required Pursuant to Items 2(d) or 2(e) ____</w:t>
      </w:r>
    </w:p>
    <w:p>
      <w:pPr>
        <w:spacing w:after="0" w:line="223" w:lineRule="exact"/>
        <w:rPr>
          <w:rFonts w:ascii="Arial" w:cs="Arial" w:eastAsia="Arial" w:hAnsi="Arial"/>
          <w:sz w:val="20"/>
          <w:szCs w:val="20"/>
          <w:color w:val="auto"/>
        </w:rPr>
      </w:pPr>
    </w:p>
    <w:p>
      <w:pPr>
        <w:ind w:left="1300" w:hanging="644"/>
        <w:spacing w:after="0"/>
        <w:tabs>
          <w:tab w:leader="none" w:pos="1300" w:val="left"/>
        </w:tabs>
        <w:numPr>
          <w:ilvl w:val="0"/>
          <w:numId w:val="6"/>
        </w:numPr>
        <w:rPr>
          <w:rFonts w:ascii="Arial" w:cs="Arial" w:eastAsia="Arial" w:hAnsi="Arial"/>
          <w:sz w:val="20"/>
          <w:szCs w:val="20"/>
          <w:color w:val="auto"/>
        </w:rPr>
      </w:pPr>
      <w:r>
        <w:rPr>
          <w:rFonts w:ascii="Arial" w:cs="Arial" w:eastAsia="Arial" w:hAnsi="Arial"/>
          <w:sz w:val="20"/>
          <w:szCs w:val="20"/>
          <w:color w:val="auto"/>
        </w:rPr>
        <w:t xml:space="preserve">Citizenship or Place of Organization </w:t>
      </w:r>
      <w:r>
        <w:rPr>
          <w:rFonts w:ascii="Arial" w:cs="Arial" w:eastAsia="Arial" w:hAnsi="Arial"/>
          <w:sz w:val="20"/>
          <w:szCs w:val="20"/>
          <w:b w:val="1"/>
          <w:bCs w:val="1"/>
          <w:color w:val="auto"/>
        </w:rPr>
        <w:t>Delaware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160" w:type="dxa"/>
            <w:vAlign w:val="bottom"/>
            <w:tcBorders>
              <w:top w:val="single" w:sz="8" w:color="auto"/>
            </w:tcBorders>
          </w:tcPr>
          <w:p>
            <w:pPr>
              <w:ind w:left="100"/>
              <w:spacing w:after="0" w:line="227" w:lineRule="exact"/>
              <w:rPr>
                <w:sz w:val="20"/>
                <w:szCs w:val="20"/>
                <w:color w:val="auto"/>
              </w:rPr>
            </w:pPr>
            <w:r>
              <w:rPr>
                <w:rFonts w:ascii="Arial" w:cs="Arial" w:eastAsia="Arial" w:hAnsi="Arial"/>
                <w:sz w:val="20"/>
                <w:szCs w:val="20"/>
                <w:color w:val="auto"/>
              </w:rPr>
              <w:t>Number of</w:t>
            </w:r>
          </w:p>
        </w:tc>
        <w:tc>
          <w:tcPr>
            <w:tcW w:w="260" w:type="dxa"/>
            <w:vAlign w:val="bottom"/>
            <w:tcBorders>
              <w:top w:val="single" w:sz="8" w:color="auto"/>
            </w:tcBorders>
          </w:tcPr>
          <w:p>
            <w:pPr>
              <w:ind w:left="100"/>
              <w:spacing w:after="0" w:line="227" w:lineRule="exact"/>
              <w:rPr>
                <w:sz w:val="20"/>
                <w:szCs w:val="20"/>
                <w:color w:val="auto"/>
              </w:rPr>
            </w:pPr>
            <w:r>
              <w:rPr>
                <w:rFonts w:ascii="Arial" w:cs="Arial" w:eastAsia="Arial" w:hAnsi="Arial"/>
                <w:sz w:val="20"/>
                <w:szCs w:val="20"/>
                <w:color w:val="auto"/>
                <w:w w:val="83"/>
              </w:rPr>
              <w:t>7.</w:t>
            </w:r>
          </w:p>
        </w:tc>
        <w:tc>
          <w:tcPr>
            <w:tcW w:w="8820" w:type="dxa"/>
            <w:vAlign w:val="bottom"/>
            <w:tcBorders>
              <w:top w:val="single" w:sz="8" w:color="auto"/>
            </w:tcBorders>
          </w:tcPr>
          <w:p>
            <w:pPr>
              <w:ind w:left="20"/>
              <w:spacing w:after="0" w:line="227" w:lineRule="exact"/>
              <w:rPr>
                <w:sz w:val="20"/>
                <w:szCs w:val="20"/>
                <w:color w:val="auto"/>
              </w:rPr>
            </w:pPr>
            <w:r>
              <w:rPr>
                <w:rFonts w:ascii="Arial" w:cs="Arial" w:eastAsia="Arial" w:hAnsi="Arial"/>
                <w:sz w:val="20"/>
                <w:szCs w:val="20"/>
                <w:color w:val="auto"/>
              </w:rPr>
              <w:t xml:space="preserve">Sole Voting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240"/>
        </w:trPr>
        <w:tc>
          <w:tcPr>
            <w:tcW w:w="2160" w:type="dxa"/>
            <w:vAlign w:val="bottom"/>
          </w:tcPr>
          <w:p>
            <w:pPr>
              <w:ind w:left="100"/>
              <w:spacing w:after="0"/>
              <w:rPr>
                <w:sz w:val="20"/>
                <w:szCs w:val="20"/>
                <w:color w:val="auto"/>
              </w:rPr>
            </w:pPr>
            <w:r>
              <w:rPr>
                <w:rFonts w:ascii="Arial" w:cs="Arial" w:eastAsia="Arial" w:hAnsi="Arial"/>
                <w:sz w:val="20"/>
                <w:szCs w:val="20"/>
                <w:color w:val="auto"/>
              </w:rPr>
              <w:t>Shares</w:t>
            </w:r>
          </w:p>
        </w:tc>
        <w:tc>
          <w:tcPr>
            <w:tcW w:w="260" w:type="dxa"/>
            <w:vAlign w:val="bottom"/>
            <w:tcBorders>
              <w:bottom w:val="single" w:sz="8" w:color="auto"/>
            </w:tcBorders>
          </w:tcPr>
          <w:p>
            <w:pPr>
              <w:spacing w:after="0"/>
              <w:rPr>
                <w:sz w:val="20"/>
                <w:szCs w:val="20"/>
                <w:color w:val="auto"/>
              </w:rPr>
            </w:pPr>
          </w:p>
        </w:tc>
        <w:tc>
          <w:tcPr>
            <w:tcW w:w="8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160" w:type="dxa"/>
            <w:vAlign w:val="bottom"/>
          </w:tcPr>
          <w:p>
            <w:pPr>
              <w:ind w:left="100"/>
              <w:spacing w:after="0" w:line="199" w:lineRule="exact"/>
              <w:rPr>
                <w:sz w:val="20"/>
                <w:szCs w:val="20"/>
                <w:color w:val="auto"/>
              </w:rPr>
            </w:pPr>
            <w:r>
              <w:rPr>
                <w:rFonts w:ascii="Arial" w:cs="Arial" w:eastAsia="Arial" w:hAnsi="Arial"/>
                <w:sz w:val="20"/>
                <w:szCs w:val="20"/>
                <w:color w:val="auto"/>
              </w:rPr>
              <w:t>Beneficially</w:t>
            </w:r>
          </w:p>
        </w:tc>
        <w:tc>
          <w:tcPr>
            <w:tcW w:w="260" w:type="dxa"/>
            <w:vAlign w:val="bottom"/>
          </w:tcPr>
          <w:p>
            <w:pPr>
              <w:ind w:left="100"/>
              <w:spacing w:after="0" w:line="199" w:lineRule="exact"/>
              <w:rPr>
                <w:sz w:val="20"/>
                <w:szCs w:val="20"/>
                <w:color w:val="auto"/>
              </w:rPr>
            </w:pPr>
            <w:r>
              <w:rPr>
                <w:rFonts w:ascii="Arial" w:cs="Arial" w:eastAsia="Arial" w:hAnsi="Arial"/>
                <w:sz w:val="20"/>
                <w:szCs w:val="20"/>
                <w:color w:val="auto"/>
                <w:w w:val="83"/>
              </w:rPr>
              <w:t>8.</w:t>
            </w:r>
          </w:p>
        </w:tc>
        <w:tc>
          <w:tcPr>
            <w:tcW w:w="8820" w:type="dxa"/>
            <w:vAlign w:val="bottom"/>
          </w:tcPr>
          <w:p>
            <w:pPr>
              <w:ind w:left="20"/>
              <w:spacing w:after="0" w:line="199" w:lineRule="exact"/>
              <w:rPr>
                <w:sz w:val="20"/>
                <w:szCs w:val="20"/>
                <w:color w:val="auto"/>
              </w:rPr>
            </w:pPr>
            <w:r>
              <w:rPr>
                <w:rFonts w:ascii="Arial" w:cs="Arial" w:eastAsia="Arial" w:hAnsi="Arial"/>
                <w:sz w:val="20"/>
                <w:szCs w:val="20"/>
                <w:color w:val="auto"/>
              </w:rPr>
              <w:t xml:space="preserve">Shared Voting Power </w:t>
            </w:r>
            <w:r>
              <w:rPr>
                <w:rFonts w:ascii="Arial" w:cs="Arial" w:eastAsia="Arial" w:hAnsi="Arial"/>
                <w:sz w:val="20"/>
                <w:szCs w:val="20"/>
                <w:b w:val="1"/>
                <w:bCs w:val="1"/>
                <w:color w:val="auto"/>
              </w:rPr>
              <w:t>6,005,266</w:t>
            </w:r>
          </w:p>
        </w:tc>
        <w:tc>
          <w:tcPr>
            <w:tcW w:w="0" w:type="dxa"/>
            <w:vAlign w:val="bottom"/>
          </w:tcPr>
          <w:p>
            <w:pPr>
              <w:spacing w:after="0"/>
              <w:rPr>
                <w:sz w:val="1"/>
                <w:szCs w:val="1"/>
                <w:color w:val="auto"/>
              </w:rPr>
            </w:pPr>
          </w:p>
        </w:tc>
      </w:tr>
      <w:tr>
        <w:trPr>
          <w:trHeight w:val="230"/>
        </w:trPr>
        <w:tc>
          <w:tcPr>
            <w:tcW w:w="2160" w:type="dxa"/>
            <w:vAlign w:val="bottom"/>
          </w:tcPr>
          <w:p>
            <w:pPr>
              <w:ind w:left="100"/>
              <w:spacing w:after="0"/>
              <w:rPr>
                <w:sz w:val="20"/>
                <w:szCs w:val="20"/>
                <w:color w:val="auto"/>
              </w:rPr>
            </w:pPr>
            <w:r>
              <w:rPr>
                <w:rFonts w:ascii="Arial" w:cs="Arial" w:eastAsia="Arial" w:hAnsi="Arial"/>
                <w:sz w:val="20"/>
                <w:szCs w:val="20"/>
                <w:color w:val="auto"/>
              </w:rPr>
              <w:t>Owned by</w:t>
            </w:r>
          </w:p>
        </w:tc>
        <w:tc>
          <w:tcPr>
            <w:tcW w:w="260" w:type="dxa"/>
            <w:vAlign w:val="bottom"/>
          </w:tcPr>
          <w:p>
            <w:pPr>
              <w:spacing w:after="0"/>
              <w:rPr>
                <w:sz w:val="19"/>
                <w:szCs w:val="19"/>
                <w:color w:val="auto"/>
              </w:rPr>
            </w:pPr>
          </w:p>
        </w:tc>
        <w:tc>
          <w:tcPr>
            <w:tcW w:w="8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
        </w:trPr>
        <w:tc>
          <w:tcPr>
            <w:tcW w:w="2160" w:type="dxa"/>
            <w:vAlign w:val="bottom"/>
            <w:vMerge w:val="restart"/>
          </w:tcPr>
          <w:p>
            <w:pPr>
              <w:ind w:left="100"/>
              <w:spacing w:after="0"/>
              <w:rPr>
                <w:sz w:val="20"/>
                <w:szCs w:val="20"/>
                <w:color w:val="auto"/>
              </w:rPr>
            </w:pPr>
            <w:r>
              <w:rPr>
                <w:rFonts w:ascii="Arial" w:cs="Arial" w:eastAsia="Arial" w:hAnsi="Arial"/>
                <w:sz w:val="20"/>
                <w:szCs w:val="20"/>
                <w:color w:val="auto"/>
              </w:rPr>
              <w:t>Each Reporting</w:t>
            </w:r>
          </w:p>
        </w:tc>
        <w:tc>
          <w:tcPr>
            <w:tcW w:w="260" w:type="dxa"/>
            <w:vAlign w:val="bottom"/>
            <w:tcBorders>
              <w:bottom w:val="single" w:sz="8" w:color="auto"/>
            </w:tcBorders>
          </w:tcPr>
          <w:p>
            <w:pPr>
              <w:spacing w:after="0"/>
              <w:rPr>
                <w:sz w:val="2"/>
                <w:szCs w:val="2"/>
                <w:color w:val="auto"/>
              </w:rPr>
            </w:pPr>
          </w:p>
        </w:tc>
        <w:tc>
          <w:tcPr>
            <w:tcW w:w="8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2160" w:type="dxa"/>
            <w:vAlign w:val="bottom"/>
            <w:vMerge w:val="continue"/>
          </w:tcPr>
          <w:p>
            <w:pPr>
              <w:spacing w:after="0"/>
              <w:rPr>
                <w:sz w:val="15"/>
                <w:szCs w:val="15"/>
                <w:color w:val="auto"/>
              </w:rPr>
            </w:pPr>
          </w:p>
        </w:tc>
        <w:tc>
          <w:tcPr>
            <w:tcW w:w="260" w:type="dxa"/>
            <w:vAlign w:val="bottom"/>
          </w:tcPr>
          <w:p>
            <w:pPr>
              <w:ind w:left="100"/>
              <w:spacing w:after="0" w:line="179" w:lineRule="exact"/>
              <w:rPr>
                <w:sz w:val="20"/>
                <w:szCs w:val="20"/>
                <w:color w:val="auto"/>
              </w:rPr>
            </w:pPr>
            <w:r>
              <w:rPr>
                <w:rFonts w:ascii="Arial" w:cs="Arial" w:eastAsia="Arial" w:hAnsi="Arial"/>
                <w:sz w:val="20"/>
                <w:szCs w:val="20"/>
                <w:color w:val="auto"/>
                <w:w w:val="83"/>
              </w:rPr>
              <w:t>9.</w:t>
            </w:r>
          </w:p>
        </w:tc>
        <w:tc>
          <w:tcPr>
            <w:tcW w:w="8820" w:type="dxa"/>
            <w:vAlign w:val="bottom"/>
          </w:tcPr>
          <w:p>
            <w:pPr>
              <w:ind w:left="20"/>
              <w:spacing w:after="0" w:line="179" w:lineRule="exact"/>
              <w:rPr>
                <w:sz w:val="20"/>
                <w:szCs w:val="20"/>
                <w:color w:val="auto"/>
              </w:rPr>
            </w:pPr>
            <w:r>
              <w:rPr>
                <w:rFonts w:ascii="Arial" w:cs="Arial" w:eastAsia="Arial" w:hAnsi="Arial"/>
                <w:sz w:val="20"/>
                <w:szCs w:val="20"/>
                <w:color w:val="auto"/>
              </w:rPr>
              <w:t xml:space="preserve">Sole Dispositive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44"/>
        </w:trPr>
        <w:tc>
          <w:tcPr>
            <w:tcW w:w="2160" w:type="dxa"/>
            <w:vAlign w:val="bottom"/>
            <w:vMerge w:val="restart"/>
          </w:tcPr>
          <w:p>
            <w:pPr>
              <w:ind w:left="100"/>
              <w:spacing w:after="0"/>
              <w:rPr>
                <w:sz w:val="20"/>
                <w:szCs w:val="20"/>
                <w:color w:val="auto"/>
              </w:rPr>
            </w:pPr>
            <w:r>
              <w:rPr>
                <w:rFonts w:ascii="Arial" w:cs="Arial" w:eastAsia="Arial" w:hAnsi="Arial"/>
                <w:sz w:val="20"/>
                <w:szCs w:val="20"/>
                <w:color w:val="auto"/>
              </w:rPr>
              <w:t>Person With</w:t>
            </w:r>
          </w:p>
        </w:tc>
        <w:tc>
          <w:tcPr>
            <w:tcW w:w="908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160" w:type="dxa"/>
            <w:vAlign w:val="bottom"/>
            <w:vMerge w:val="continue"/>
          </w:tcPr>
          <w:p>
            <w:pPr>
              <w:spacing w:after="0"/>
              <w:rPr>
                <w:sz w:val="19"/>
                <w:szCs w:val="19"/>
                <w:color w:val="auto"/>
              </w:rPr>
            </w:pPr>
          </w:p>
        </w:tc>
        <w:tc>
          <w:tcPr>
            <w:tcW w:w="9080" w:type="dxa"/>
            <w:vAlign w:val="bottom"/>
            <w:tcBorders>
              <w:bottom w:val="single" w:sz="8" w:color="auto"/>
            </w:tcBorders>
            <w:gridSpan w:val="2"/>
          </w:tcPr>
          <w:p>
            <w:pPr>
              <w:ind w:left="100"/>
              <w:spacing w:after="0" w:line="223" w:lineRule="exact"/>
              <w:rPr>
                <w:sz w:val="20"/>
                <w:szCs w:val="20"/>
                <w:color w:val="auto"/>
              </w:rPr>
            </w:pPr>
            <w:r>
              <w:rPr>
                <w:rFonts w:ascii="Arial" w:cs="Arial" w:eastAsia="Arial" w:hAnsi="Arial"/>
                <w:sz w:val="20"/>
                <w:szCs w:val="20"/>
                <w:color w:val="auto"/>
              </w:rPr>
              <w:t xml:space="preserve">10. Shared Dispositive Power </w:t>
            </w:r>
            <w:r>
              <w:rPr>
                <w:rFonts w:ascii="Arial" w:cs="Arial" w:eastAsia="Arial" w:hAnsi="Arial"/>
                <w:sz w:val="20"/>
                <w:szCs w:val="20"/>
                <w:b w:val="1"/>
                <w:bCs w:val="1"/>
                <w:color w:val="auto"/>
              </w:rPr>
              <w:t>6,005,266</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300" w:hanging="644"/>
        <w:spacing w:after="0"/>
        <w:tabs>
          <w:tab w:leader="none" w:pos="1300" w:val="left"/>
        </w:tabs>
        <w:numPr>
          <w:ilvl w:val="0"/>
          <w:numId w:val="7"/>
        </w:numPr>
        <w:rPr>
          <w:rFonts w:ascii="Arial" w:cs="Arial" w:eastAsia="Arial" w:hAnsi="Arial"/>
          <w:sz w:val="20"/>
          <w:szCs w:val="20"/>
          <w:color w:val="auto"/>
        </w:rPr>
      </w:pPr>
      <w:r>
        <w:rPr>
          <w:rFonts w:ascii="Arial" w:cs="Arial" w:eastAsia="Arial" w:hAnsi="Arial"/>
          <w:sz w:val="20"/>
          <w:szCs w:val="20"/>
          <w:color w:val="auto"/>
        </w:rPr>
        <w:t xml:space="preserve">Aggregate Amount Beneficially Owned by Each Reporting Person </w:t>
      </w:r>
      <w:r>
        <w:rPr>
          <w:rFonts w:ascii="Arial" w:cs="Arial" w:eastAsia="Arial" w:hAnsi="Arial"/>
          <w:sz w:val="20"/>
          <w:szCs w:val="20"/>
          <w:b w:val="1"/>
          <w:bCs w:val="1"/>
          <w:color w:val="auto"/>
        </w:rPr>
        <w:t>6,005,266</w:t>
      </w:r>
    </w:p>
    <w:p>
      <w:pPr>
        <w:spacing w:after="0" w:line="235" w:lineRule="exact"/>
        <w:rPr>
          <w:rFonts w:ascii="Arial" w:cs="Arial" w:eastAsia="Arial" w:hAnsi="Arial"/>
          <w:sz w:val="20"/>
          <w:szCs w:val="20"/>
          <w:color w:val="auto"/>
        </w:rPr>
      </w:pPr>
    </w:p>
    <w:p>
      <w:pPr>
        <w:ind w:left="1300" w:right="4020" w:hanging="644"/>
        <w:spacing w:after="0" w:line="260" w:lineRule="auto"/>
        <w:tabs>
          <w:tab w:leader="none" w:pos="1300" w:val="left"/>
        </w:tabs>
        <w:numPr>
          <w:ilvl w:val="0"/>
          <w:numId w:val="7"/>
        </w:numPr>
        <w:rPr>
          <w:rFonts w:ascii="Arial" w:cs="Arial" w:eastAsia="Arial" w:hAnsi="Arial"/>
          <w:sz w:val="20"/>
          <w:szCs w:val="20"/>
          <w:color w:val="auto"/>
        </w:rPr>
      </w:pPr>
      <w:r>
        <w:rPr>
          <w:rFonts w:ascii="Arial" w:cs="Arial" w:eastAsia="Arial" w:hAnsi="Arial"/>
          <w:sz w:val="20"/>
          <w:szCs w:val="20"/>
          <w:color w:val="auto"/>
        </w:rPr>
        <w:t>Check if the Aggregate Amount in Row (11) Excludes Certain Shares (See Instructions) ______</w:t>
      </w:r>
    </w:p>
    <w:p>
      <w:pPr>
        <w:spacing w:after="0" w:line="184" w:lineRule="exact"/>
        <w:rPr>
          <w:rFonts w:ascii="Arial" w:cs="Arial" w:eastAsia="Arial" w:hAnsi="Arial"/>
          <w:sz w:val="20"/>
          <w:szCs w:val="20"/>
          <w:color w:val="auto"/>
        </w:rPr>
      </w:pPr>
    </w:p>
    <w:p>
      <w:pPr>
        <w:ind w:left="1300" w:hanging="644"/>
        <w:spacing w:after="0"/>
        <w:tabs>
          <w:tab w:leader="none" w:pos="1300" w:val="left"/>
        </w:tabs>
        <w:numPr>
          <w:ilvl w:val="0"/>
          <w:numId w:val="7"/>
        </w:numPr>
        <w:rPr>
          <w:rFonts w:ascii="Arial" w:cs="Arial" w:eastAsia="Arial" w:hAnsi="Arial"/>
          <w:sz w:val="20"/>
          <w:szCs w:val="20"/>
          <w:color w:val="auto"/>
        </w:rPr>
      </w:pPr>
      <w:r>
        <w:rPr>
          <w:rFonts w:ascii="Arial" w:cs="Arial" w:eastAsia="Arial" w:hAnsi="Arial"/>
          <w:sz w:val="20"/>
          <w:szCs w:val="20"/>
          <w:color w:val="auto"/>
        </w:rPr>
        <w:t xml:space="preserve">Percent of Class Represented by Amount in Row (11) </w:t>
      </w:r>
      <w:r>
        <w:rPr>
          <w:rFonts w:ascii="Arial" w:cs="Arial" w:eastAsia="Arial" w:hAnsi="Arial"/>
          <w:sz w:val="20"/>
          <w:szCs w:val="20"/>
          <w:b w:val="1"/>
          <w:bCs w:val="1"/>
          <w:color w:val="auto"/>
        </w:rPr>
        <w:t>21.9%</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7"/>
        </w:numPr>
        <w:rPr>
          <w:rFonts w:ascii="Arial" w:cs="Arial" w:eastAsia="Arial" w:hAnsi="Arial"/>
          <w:sz w:val="20"/>
          <w:szCs w:val="20"/>
          <w:color w:val="auto"/>
        </w:rPr>
      </w:pPr>
      <w:r>
        <w:rPr>
          <w:rFonts w:ascii="Arial" w:cs="Arial" w:eastAsia="Arial" w:hAnsi="Arial"/>
          <w:sz w:val="20"/>
          <w:szCs w:val="20"/>
          <w:color w:val="auto"/>
        </w:rPr>
        <w:t xml:space="preserve">Type of Reporting Person (See Instructions) </w:t>
      </w:r>
      <w:r>
        <w:rPr>
          <w:rFonts w:ascii="Arial" w:cs="Arial" w:eastAsia="Arial" w:hAnsi="Arial"/>
          <w:sz w:val="20"/>
          <w:szCs w:val="20"/>
          <w:b w:val="1"/>
          <w:bCs w:val="1"/>
          <w:color w:val="auto"/>
        </w:rPr>
        <w:t>PN</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233"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CUSIP No. 032724106</w:t>
      </w:r>
    </w:p>
    <w:p>
      <w:pPr>
        <w:spacing w:after="0" w:line="236"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color w:val="auto"/>
        </w:rPr>
        <w:t>Item 1.</w:t>
      </w:r>
      <w:r>
        <w:rPr>
          <w:sz w:val="20"/>
          <w:szCs w:val="20"/>
          <w:color w:val="auto"/>
        </w:rPr>
        <w:tab/>
      </w:r>
      <w:r>
        <w:rPr>
          <w:rFonts w:ascii="Arial" w:cs="Arial" w:eastAsia="Arial" w:hAnsi="Arial"/>
          <w:sz w:val="16"/>
          <w:szCs w:val="16"/>
          <w:color w:val="auto"/>
        </w:rPr>
        <w:t>Security and Issuer</w:t>
      </w:r>
    </w:p>
    <w:p>
      <w:pPr>
        <w:spacing w:after="0" w:line="223" w:lineRule="exact"/>
        <w:rPr>
          <w:sz w:val="20"/>
          <w:szCs w:val="20"/>
          <w:color w:val="auto"/>
        </w:rPr>
      </w:pPr>
    </w:p>
    <w:p>
      <w:pPr>
        <w:spacing w:after="0" w:line="267" w:lineRule="auto"/>
        <w:rPr>
          <w:sz w:val="20"/>
          <w:szCs w:val="20"/>
          <w:color w:val="auto"/>
        </w:rPr>
      </w:pPr>
      <w:r>
        <w:rPr>
          <w:rFonts w:ascii="Arial" w:cs="Arial" w:eastAsia="Arial" w:hAnsi="Arial"/>
          <w:sz w:val="20"/>
          <w:szCs w:val="20"/>
          <w:color w:val="auto"/>
        </w:rPr>
        <w:t xml:space="preserve">This statement relates to shares of Common Stock, $0.001 par value (the “Stock”), of </w:t>
      </w:r>
      <w:r>
        <w:rPr>
          <w:rFonts w:ascii="Arial" w:cs="Arial" w:eastAsia="Arial" w:hAnsi="Arial"/>
          <w:sz w:val="20"/>
          <w:szCs w:val="20"/>
          <w:b w:val="1"/>
          <w:bCs w:val="1"/>
          <w:color w:val="auto"/>
        </w:rPr>
        <w:t>AnaptysBio, Inc.</w:t>
      </w:r>
      <w:r>
        <w:rPr>
          <w:rFonts w:ascii="Arial" w:cs="Arial" w:eastAsia="Arial" w:hAnsi="Arial"/>
          <w:sz w:val="20"/>
          <w:szCs w:val="20"/>
          <w:color w:val="auto"/>
        </w:rPr>
        <w:t xml:space="preserve"> (the “Issuer”). The principal executive office of the Issuer is located at </w:t>
      </w:r>
      <w:r>
        <w:rPr>
          <w:rFonts w:ascii="Arial" w:cs="Arial" w:eastAsia="Arial" w:hAnsi="Arial"/>
          <w:sz w:val="20"/>
          <w:szCs w:val="20"/>
          <w:b w:val="1"/>
          <w:bCs w:val="1"/>
          <w:color w:val="auto"/>
        </w:rPr>
        <w:t>10421 Pacific Center Court, Suite 200, San Diego, CA 92121</w:t>
      </w:r>
      <w:r>
        <w:rPr>
          <w:rFonts w:ascii="Arial" w:cs="Arial" w:eastAsia="Arial" w:hAnsi="Arial"/>
          <w:sz w:val="20"/>
          <w:szCs w:val="20"/>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 Identity and Background</w:t>
      </w:r>
    </w:p>
    <w:p>
      <w:pPr>
        <w:spacing w:after="0" w:line="222" w:lineRule="exact"/>
        <w:rPr>
          <w:sz w:val="20"/>
          <w:szCs w:val="20"/>
          <w:color w:val="auto"/>
        </w:rPr>
      </w:pPr>
    </w:p>
    <w:p>
      <w:pPr>
        <w:ind w:right="80"/>
        <w:spacing w:after="0" w:line="385" w:lineRule="auto"/>
        <w:rPr>
          <w:sz w:val="20"/>
          <w:szCs w:val="20"/>
          <w:color w:val="auto"/>
        </w:rPr>
      </w:pPr>
      <w:r>
        <w:rPr>
          <w:rFonts w:ascii="Arial" w:cs="Arial" w:eastAsia="Arial" w:hAnsi="Arial"/>
          <w:sz w:val="16"/>
          <w:szCs w:val="16"/>
          <w:color w:val="auto"/>
        </w:rPr>
        <w:t>The persons filing this statement and the persons enumerated in Instruction C of Schedule 13D and, where applicable, their respective places of organization, general partners, directors, executive officers and controlling persons, and the information regarding them, are as follows:</w:t>
      </w:r>
    </w:p>
    <w:p>
      <w:pPr>
        <w:spacing w:after="0" w:line="79" w:lineRule="exact"/>
        <w:rPr>
          <w:sz w:val="20"/>
          <w:szCs w:val="20"/>
          <w:color w:val="auto"/>
        </w:rPr>
      </w:pPr>
    </w:p>
    <w:p>
      <w:pPr>
        <w:ind w:left="1300" w:right="720" w:hanging="644"/>
        <w:spacing w:after="0" w:line="267" w:lineRule="auto"/>
        <w:tabs>
          <w:tab w:leader="none" w:pos="1300" w:val="left"/>
        </w:tabs>
        <w:numPr>
          <w:ilvl w:val="0"/>
          <w:numId w:val="8"/>
        </w:numPr>
        <w:rPr>
          <w:rFonts w:ascii="Arial" w:cs="Arial" w:eastAsia="Arial" w:hAnsi="Arial"/>
          <w:sz w:val="20"/>
          <w:szCs w:val="20"/>
          <w:color w:val="auto"/>
        </w:rPr>
      </w:pPr>
      <w:r>
        <w:rPr>
          <w:rFonts w:ascii="Arial" w:cs="Arial" w:eastAsia="Arial" w:hAnsi="Arial"/>
          <w:sz w:val="20"/>
          <w:szCs w:val="20"/>
          <w:b w:val="1"/>
          <w:bCs w:val="1"/>
          <w:color w:val="auto"/>
        </w:rPr>
        <w:t>EcoR1 Capital Fund Qualified, L.P. (“Qualified Fund”); EcoR1 Capital, LLC (“EcoR1”) and Oleg Nodelman (“Nodelman”) (collectively, the “Filers”).</w:t>
      </w:r>
    </w:p>
    <w:p>
      <w:pPr>
        <w:spacing w:after="0" w:line="176" w:lineRule="exact"/>
        <w:rPr>
          <w:rFonts w:ascii="Arial" w:cs="Arial" w:eastAsia="Arial" w:hAnsi="Arial"/>
          <w:sz w:val="20"/>
          <w:szCs w:val="20"/>
          <w:color w:val="auto"/>
        </w:rPr>
      </w:pPr>
    </w:p>
    <w:p>
      <w:pPr>
        <w:ind w:left="1300" w:right="200"/>
        <w:spacing w:after="0" w:line="265" w:lineRule="auto"/>
        <w:rPr>
          <w:rFonts w:ascii="Arial" w:cs="Arial" w:eastAsia="Arial" w:hAnsi="Arial"/>
          <w:sz w:val="20"/>
          <w:szCs w:val="20"/>
          <w:color w:val="auto"/>
        </w:rPr>
      </w:pPr>
      <w:r>
        <w:rPr>
          <w:rFonts w:ascii="Arial" w:cs="Arial" w:eastAsia="Arial" w:hAnsi="Arial"/>
          <w:sz w:val="19"/>
          <w:szCs w:val="19"/>
          <w:b w:val="1"/>
          <w:bCs w:val="1"/>
          <w:color w:val="auto"/>
        </w:rPr>
        <w:t>Qualified Fund is filing this statement jointly with the other Filers, but not as a member of a group and it expressly disclaims membership in a group. In addition, filing this Schedule 13D on behalf of Qualified Fund should not be construed as an admission that it is, and it disclaims that it is, a beneficial owner, as defined in Rule 13d-3 under the Act, of any of the Stock covered by this Schedule 13D.</w:t>
      </w:r>
    </w:p>
    <w:p>
      <w:pPr>
        <w:spacing w:after="0" w:line="182" w:lineRule="exact"/>
        <w:rPr>
          <w:rFonts w:ascii="Arial" w:cs="Arial" w:eastAsia="Arial" w:hAnsi="Arial"/>
          <w:sz w:val="20"/>
          <w:szCs w:val="20"/>
          <w:color w:val="auto"/>
        </w:rPr>
      </w:pPr>
    </w:p>
    <w:p>
      <w:pPr>
        <w:ind w:left="1300" w:right="380"/>
        <w:spacing w:after="0" w:line="267" w:lineRule="auto"/>
        <w:rPr>
          <w:rFonts w:ascii="Arial" w:cs="Arial" w:eastAsia="Arial" w:hAnsi="Arial"/>
          <w:sz w:val="20"/>
          <w:szCs w:val="20"/>
          <w:color w:val="auto"/>
        </w:rPr>
      </w:pPr>
      <w:r>
        <w:rPr>
          <w:rFonts w:ascii="Arial" w:cs="Arial" w:eastAsia="Arial" w:hAnsi="Arial"/>
          <w:sz w:val="20"/>
          <w:szCs w:val="20"/>
          <w:b w:val="1"/>
          <w:bCs w:val="1"/>
          <w:color w:val="auto"/>
        </w:rPr>
        <w:t>Each Filer also disclaims beneficial ownership of the Stock except to the extent of that person’s pecuniary interest therein.</w:t>
      </w:r>
    </w:p>
    <w:p>
      <w:pPr>
        <w:spacing w:after="0" w:line="182" w:lineRule="exact"/>
        <w:rPr>
          <w:rFonts w:ascii="Arial" w:cs="Arial" w:eastAsia="Arial" w:hAnsi="Arial"/>
          <w:sz w:val="20"/>
          <w:szCs w:val="20"/>
          <w:color w:val="auto"/>
        </w:rPr>
      </w:pPr>
    </w:p>
    <w:p>
      <w:pPr>
        <w:ind w:left="1300" w:hanging="644"/>
        <w:spacing w:after="0"/>
        <w:tabs>
          <w:tab w:leader="none" w:pos="1300" w:val="left"/>
        </w:tabs>
        <w:numPr>
          <w:ilvl w:val="0"/>
          <w:numId w:val="8"/>
        </w:numPr>
        <w:rPr>
          <w:rFonts w:ascii="Arial" w:cs="Arial" w:eastAsia="Arial" w:hAnsi="Arial"/>
          <w:sz w:val="20"/>
          <w:szCs w:val="20"/>
          <w:color w:val="auto"/>
        </w:rPr>
      </w:pPr>
      <w:r>
        <w:rPr>
          <w:rFonts w:ascii="Arial" w:cs="Arial" w:eastAsia="Arial" w:hAnsi="Arial"/>
          <w:sz w:val="20"/>
          <w:szCs w:val="20"/>
          <w:color w:val="auto"/>
        </w:rPr>
        <w:t>The business address of the Filers is</w:t>
      </w:r>
    </w:p>
    <w:p>
      <w:pPr>
        <w:spacing w:after="0" w:line="15"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357 Tehama Street #3, San Francisco, CA 94103</w:t>
      </w:r>
    </w:p>
    <w:p>
      <w:pPr>
        <w:spacing w:after="0" w:line="213" w:lineRule="exact"/>
        <w:rPr>
          <w:rFonts w:ascii="Arial" w:cs="Arial" w:eastAsia="Arial" w:hAnsi="Arial"/>
          <w:sz w:val="20"/>
          <w:szCs w:val="20"/>
          <w:color w:val="auto"/>
        </w:rPr>
      </w:pPr>
    </w:p>
    <w:p>
      <w:pPr>
        <w:ind w:left="1300" w:right="100" w:hanging="644"/>
        <w:spacing w:after="0" w:line="247" w:lineRule="auto"/>
        <w:tabs>
          <w:tab w:leader="none" w:pos="1300" w:val="left"/>
        </w:tabs>
        <w:numPr>
          <w:ilvl w:val="0"/>
          <w:numId w:val="8"/>
        </w:numPr>
        <w:rPr>
          <w:rFonts w:ascii="Arial" w:cs="Arial" w:eastAsia="Arial" w:hAnsi="Arial"/>
          <w:sz w:val="20"/>
          <w:szCs w:val="20"/>
          <w:color w:val="auto"/>
        </w:rPr>
      </w:pPr>
      <w:r>
        <w:rPr>
          <w:rFonts w:ascii="Arial" w:cs="Arial" w:eastAsia="Arial" w:hAnsi="Arial"/>
          <w:sz w:val="20"/>
          <w:szCs w:val="20"/>
          <w:color w:val="auto"/>
        </w:rPr>
        <w:t>Present principal occupation or employment of the Filers and the name, principal business and address of any corporation or other organization in which such employment is conducted:</w:t>
      </w:r>
    </w:p>
    <w:p>
      <w:pPr>
        <w:spacing w:after="0" w:line="1" w:lineRule="exact"/>
        <w:rPr>
          <w:rFonts w:ascii="Arial" w:cs="Arial" w:eastAsia="Arial" w:hAnsi="Arial"/>
          <w:sz w:val="20"/>
          <w:szCs w:val="20"/>
          <w:color w:val="auto"/>
        </w:rPr>
      </w:pPr>
    </w:p>
    <w:p>
      <w:pPr>
        <w:ind w:left="1300" w:right="700"/>
        <w:spacing w:after="0" w:line="244" w:lineRule="auto"/>
        <w:rPr>
          <w:rFonts w:ascii="Arial" w:cs="Arial" w:eastAsia="Arial" w:hAnsi="Arial"/>
          <w:sz w:val="20"/>
          <w:szCs w:val="20"/>
          <w:color w:val="auto"/>
        </w:rPr>
      </w:pPr>
      <w:r>
        <w:rPr>
          <w:rFonts w:ascii="Arial" w:cs="Arial" w:eastAsia="Arial" w:hAnsi="Arial"/>
          <w:sz w:val="20"/>
          <w:szCs w:val="20"/>
          <w:b w:val="1"/>
          <w:bCs w:val="1"/>
          <w:color w:val="auto"/>
        </w:rPr>
        <w:t>EcoR1 is an investment adviser to investment funds, including Qualified Fund (collectively, the “Funds”). Mr. Nodelman is the manager and control person of EcoR1.</w:t>
      </w:r>
    </w:p>
    <w:p>
      <w:pPr>
        <w:spacing w:after="0" w:line="204" w:lineRule="exact"/>
        <w:rPr>
          <w:rFonts w:ascii="Arial" w:cs="Arial" w:eastAsia="Arial" w:hAnsi="Arial"/>
          <w:sz w:val="20"/>
          <w:szCs w:val="20"/>
          <w:color w:val="auto"/>
        </w:rPr>
      </w:pPr>
    </w:p>
    <w:p>
      <w:pPr>
        <w:ind w:left="1300" w:right="440" w:hanging="644"/>
        <w:spacing w:after="0" w:line="260" w:lineRule="auto"/>
        <w:tabs>
          <w:tab w:leader="none" w:pos="1300" w:val="left"/>
        </w:tabs>
        <w:numPr>
          <w:ilvl w:val="0"/>
          <w:numId w:val="8"/>
        </w:numPr>
        <w:rPr>
          <w:rFonts w:ascii="Arial" w:cs="Arial" w:eastAsia="Arial" w:hAnsi="Arial"/>
          <w:sz w:val="20"/>
          <w:szCs w:val="20"/>
          <w:color w:val="auto"/>
        </w:rPr>
      </w:pPr>
      <w:r>
        <w:rPr>
          <w:rFonts w:ascii="Arial" w:cs="Arial" w:eastAsia="Arial" w:hAnsi="Arial"/>
          <w:sz w:val="20"/>
          <w:szCs w:val="20"/>
          <w:color w:val="auto"/>
        </w:rPr>
        <w:t>During the last five years, none of the Filers has been convicted in a criminal proceeding (excluding traffic violations or similar misdemeanors).</w:t>
      </w:r>
    </w:p>
    <w:p>
      <w:pPr>
        <w:spacing w:after="0" w:line="176" w:lineRule="exact"/>
        <w:rPr>
          <w:rFonts w:ascii="Arial" w:cs="Arial" w:eastAsia="Arial" w:hAnsi="Arial"/>
          <w:sz w:val="20"/>
          <w:szCs w:val="20"/>
          <w:color w:val="auto"/>
        </w:rPr>
      </w:pPr>
    </w:p>
    <w:p>
      <w:pPr>
        <w:ind w:left="1300" w:right="140" w:hanging="644"/>
        <w:spacing w:after="0" w:line="246" w:lineRule="auto"/>
        <w:tabs>
          <w:tab w:leader="none" w:pos="1300" w:val="left"/>
        </w:tabs>
        <w:numPr>
          <w:ilvl w:val="0"/>
          <w:numId w:val="8"/>
        </w:numPr>
        <w:rPr>
          <w:rFonts w:ascii="Arial" w:cs="Arial" w:eastAsia="Arial" w:hAnsi="Arial"/>
          <w:sz w:val="20"/>
          <w:szCs w:val="20"/>
          <w:color w:val="auto"/>
        </w:rPr>
      </w:pPr>
      <w:r>
        <w:rPr>
          <w:rFonts w:ascii="Arial" w:cs="Arial" w:eastAsia="Arial" w:hAnsi="Arial"/>
          <w:sz w:val="20"/>
          <w:szCs w:val="20"/>
          <w:color w:val="auto"/>
        </w:rPr>
        <w:t>During the last five years, none of the Filers was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204" w:lineRule="exact"/>
        <w:rPr>
          <w:rFonts w:ascii="Arial" w:cs="Arial" w:eastAsia="Arial" w:hAnsi="Arial"/>
          <w:sz w:val="20"/>
          <w:szCs w:val="20"/>
          <w:color w:val="auto"/>
        </w:rPr>
      </w:pPr>
    </w:p>
    <w:p>
      <w:pPr>
        <w:ind w:left="1300" w:hanging="644"/>
        <w:spacing w:after="0"/>
        <w:tabs>
          <w:tab w:leader="none" w:pos="1300" w:val="left"/>
        </w:tabs>
        <w:numPr>
          <w:ilvl w:val="0"/>
          <w:numId w:val="8"/>
        </w:numPr>
        <w:rPr>
          <w:rFonts w:ascii="Arial" w:cs="Arial" w:eastAsia="Arial" w:hAnsi="Arial"/>
          <w:sz w:val="20"/>
          <w:szCs w:val="20"/>
          <w:color w:val="auto"/>
        </w:rPr>
      </w:pPr>
      <w:r>
        <w:rPr>
          <w:rFonts w:ascii="Arial" w:cs="Arial" w:eastAsia="Arial" w:hAnsi="Arial"/>
          <w:sz w:val="20"/>
          <w:szCs w:val="20"/>
          <w:color w:val="auto"/>
        </w:rPr>
        <w:t>For citizenship of the Filers, see Item 6 of each Filer’s cover page.</w:t>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233" w:right="339" w:bottom="1440" w:gutter="0" w:footer="0" w:header="0"/>
        </w:sectPr>
      </w:pPr>
    </w:p>
    <w:bookmarkStart w:id="5" w:name="page6"/>
    <w:bookmarkEnd w:id="5"/>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CUSIP No. 032724106</w:t>
      </w:r>
    </w:p>
    <w:p>
      <w:pPr>
        <w:spacing w:after="0" w:line="23"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3.</w:t>
      </w:r>
      <w:r>
        <w:rPr>
          <w:sz w:val="20"/>
          <w:szCs w:val="20"/>
          <w:color w:val="auto"/>
        </w:rPr>
        <w:tab/>
      </w:r>
      <w:r>
        <w:rPr>
          <w:rFonts w:ascii="Arial" w:cs="Arial" w:eastAsia="Arial" w:hAnsi="Arial"/>
          <w:sz w:val="16"/>
          <w:szCs w:val="16"/>
          <w:b w:val="1"/>
          <w:bCs w:val="1"/>
          <w:color w:val="auto"/>
        </w:rPr>
        <w:t>Source and Amount of Funds or Other Consideration</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The source and amount of funds used in purchasing the Stock were as follows:</w:t>
      </w:r>
    </w:p>
    <w:p>
      <w:pPr>
        <w:spacing w:after="0" w:line="210" w:lineRule="exact"/>
        <w:rPr>
          <w:sz w:val="20"/>
          <w:szCs w:val="20"/>
          <w:color w:val="auto"/>
        </w:rPr>
      </w:pPr>
    </w:p>
    <w:tbl>
      <w:tblPr>
        <w:tblLayout w:type="fixed"/>
        <w:tblInd w:w="100" w:type="dxa"/>
        <w:tblCellMar>
          <w:top w:w="0" w:type="dxa"/>
          <w:left w:w="0" w:type="dxa"/>
          <w:bottom w:w="0" w:type="dxa"/>
          <w:right w:w="0" w:type="dxa"/>
        </w:tblCellMar>
      </w:tblPr>
      <w:tr>
        <w:trPr>
          <w:trHeight w:val="256"/>
        </w:trPr>
        <w:tc>
          <w:tcPr>
            <w:tcW w:w="2340" w:type="dxa"/>
            <w:vAlign w:val="bottom"/>
          </w:tcPr>
          <w:p>
            <w:pPr>
              <w:spacing w:after="0"/>
              <w:rPr>
                <w:sz w:val="20"/>
                <w:szCs w:val="20"/>
                <w:color w:val="auto"/>
              </w:rPr>
            </w:pPr>
            <w:r>
              <w:rPr>
                <w:rFonts w:ascii="Arial" w:cs="Arial" w:eastAsia="Arial" w:hAnsi="Arial"/>
                <w:sz w:val="20"/>
                <w:szCs w:val="20"/>
                <w:b w:val="1"/>
                <w:bCs w:val="1"/>
                <w:color w:val="auto"/>
              </w:rPr>
              <w:t>Purchaser</w:t>
            </w:r>
          </w:p>
        </w:tc>
        <w:tc>
          <w:tcPr>
            <w:tcW w:w="4060" w:type="dxa"/>
            <w:vAlign w:val="bottom"/>
          </w:tcPr>
          <w:p>
            <w:pPr>
              <w:ind w:left="1480"/>
              <w:spacing w:after="0"/>
              <w:rPr>
                <w:sz w:val="20"/>
                <w:szCs w:val="20"/>
                <w:color w:val="auto"/>
              </w:rPr>
            </w:pPr>
            <w:r>
              <w:rPr>
                <w:rFonts w:ascii="Arial" w:cs="Arial" w:eastAsia="Arial" w:hAnsi="Arial"/>
                <w:sz w:val="20"/>
                <w:szCs w:val="20"/>
                <w:b w:val="1"/>
                <w:bCs w:val="1"/>
                <w:color w:val="auto"/>
              </w:rPr>
              <w:t>Source of Funds</w:t>
            </w:r>
          </w:p>
        </w:tc>
        <w:tc>
          <w:tcPr>
            <w:tcW w:w="2300" w:type="dxa"/>
            <w:vAlign w:val="bottom"/>
          </w:tcPr>
          <w:p>
            <w:pPr>
              <w:ind w:left="1140"/>
              <w:spacing w:after="0"/>
              <w:rPr>
                <w:sz w:val="20"/>
                <w:szCs w:val="20"/>
                <w:color w:val="auto"/>
              </w:rPr>
            </w:pPr>
            <w:r>
              <w:rPr>
                <w:rFonts w:ascii="Arial" w:cs="Arial" w:eastAsia="Arial" w:hAnsi="Arial"/>
                <w:sz w:val="20"/>
                <w:szCs w:val="20"/>
                <w:b w:val="1"/>
                <w:bCs w:val="1"/>
                <w:color w:val="auto"/>
              </w:rPr>
              <w:t>Amount</w:t>
            </w:r>
          </w:p>
        </w:tc>
      </w:tr>
      <w:tr>
        <w:trPr>
          <w:trHeight w:val="642"/>
        </w:trPr>
        <w:tc>
          <w:tcPr>
            <w:tcW w:w="2340" w:type="dxa"/>
            <w:vAlign w:val="bottom"/>
          </w:tcPr>
          <w:p>
            <w:pPr>
              <w:spacing w:after="0"/>
              <w:rPr>
                <w:sz w:val="20"/>
                <w:szCs w:val="20"/>
                <w:color w:val="auto"/>
              </w:rPr>
            </w:pPr>
            <w:r>
              <w:rPr>
                <w:rFonts w:ascii="Arial" w:cs="Arial" w:eastAsia="Arial" w:hAnsi="Arial"/>
                <w:sz w:val="20"/>
                <w:szCs w:val="20"/>
                <w:b w:val="1"/>
                <w:bCs w:val="1"/>
                <w:color w:val="auto"/>
              </w:rPr>
              <w:t>the Funds</w:t>
            </w:r>
          </w:p>
        </w:tc>
        <w:tc>
          <w:tcPr>
            <w:tcW w:w="4060" w:type="dxa"/>
            <w:vAlign w:val="bottom"/>
          </w:tcPr>
          <w:p>
            <w:pPr>
              <w:ind w:left="1480"/>
              <w:spacing w:after="0"/>
              <w:rPr>
                <w:sz w:val="20"/>
                <w:szCs w:val="20"/>
                <w:color w:val="auto"/>
              </w:rPr>
            </w:pPr>
            <w:r>
              <w:rPr>
                <w:rFonts w:ascii="Arial" w:cs="Arial" w:eastAsia="Arial" w:hAnsi="Arial"/>
                <w:sz w:val="20"/>
                <w:szCs w:val="20"/>
                <w:b w:val="1"/>
                <w:bCs w:val="1"/>
                <w:color w:val="auto"/>
              </w:rPr>
              <w:t>Working Capital</w:t>
            </w:r>
          </w:p>
        </w:tc>
        <w:tc>
          <w:tcPr>
            <w:tcW w:w="2300" w:type="dxa"/>
            <w:vAlign w:val="bottom"/>
          </w:tcPr>
          <w:p>
            <w:pPr>
              <w:ind w:left="1140"/>
              <w:spacing w:after="0"/>
              <w:rPr>
                <w:sz w:val="20"/>
                <w:szCs w:val="20"/>
                <w:color w:val="auto"/>
              </w:rPr>
            </w:pPr>
            <w:r>
              <w:rPr>
                <w:rFonts w:ascii="Arial" w:cs="Arial" w:eastAsia="Arial" w:hAnsi="Arial"/>
                <w:sz w:val="20"/>
                <w:szCs w:val="20"/>
                <w:b w:val="1"/>
                <w:bCs w:val="1"/>
                <w:color w:val="auto"/>
                <w:w w:val="84"/>
              </w:rPr>
              <w:t>$116,356,154</w:t>
            </w:r>
            <w:r>
              <w:rPr>
                <w:rFonts w:ascii="Arial" w:cs="Arial" w:eastAsia="Arial" w:hAnsi="Arial"/>
                <w:sz w:val="32"/>
                <w:szCs w:val="32"/>
                <w:b w:val="1"/>
                <w:bCs w:val="1"/>
                <w:color w:val="auto"/>
                <w:w w:val="84"/>
                <w:vertAlign w:val="superscript"/>
              </w:rPr>
              <w:t>1</w:t>
            </w:r>
          </w:p>
        </w:tc>
      </w:tr>
    </w:tbl>
    <w:p>
      <w:pPr>
        <w:spacing w:after="0" w:line="4" w:lineRule="exact"/>
        <w:rPr>
          <w:sz w:val="20"/>
          <w:szCs w:val="20"/>
          <w:color w:val="auto"/>
        </w:rPr>
      </w:pPr>
    </w:p>
    <w:p>
      <w:pPr>
        <w:ind w:left="140" w:hanging="132"/>
        <w:spacing w:after="0"/>
        <w:tabs>
          <w:tab w:leader="none" w:pos="140" w:val="left"/>
        </w:tabs>
        <w:numPr>
          <w:ilvl w:val="0"/>
          <w:numId w:val="9"/>
        </w:numPr>
        <w:rPr>
          <w:rFonts w:ascii="Arial" w:cs="Arial" w:eastAsia="Arial" w:hAnsi="Arial"/>
          <w:sz w:val="33"/>
          <w:szCs w:val="33"/>
          <w:color w:val="auto"/>
          <w:vertAlign w:val="superscript"/>
        </w:rPr>
      </w:pPr>
      <w:r>
        <w:rPr>
          <w:rFonts w:ascii="Arial" w:cs="Arial" w:eastAsia="Arial" w:hAnsi="Arial"/>
          <w:sz w:val="20"/>
          <w:szCs w:val="20"/>
          <w:color w:val="auto"/>
        </w:rPr>
        <w:t>Includes $97,508,218 paid by Qualified Fund.</w:t>
      </w:r>
    </w:p>
    <w:p>
      <w:pPr>
        <w:spacing w:after="0" w:line="189"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4.</w:t>
      </w:r>
      <w:r>
        <w:rPr>
          <w:sz w:val="20"/>
          <w:szCs w:val="20"/>
          <w:color w:val="auto"/>
        </w:rPr>
        <w:tab/>
      </w:r>
      <w:r>
        <w:rPr>
          <w:rFonts w:ascii="Arial" w:cs="Arial" w:eastAsia="Arial" w:hAnsi="Arial"/>
          <w:sz w:val="16"/>
          <w:szCs w:val="16"/>
          <w:b w:val="1"/>
          <w:bCs w:val="1"/>
          <w:color w:val="auto"/>
        </w:rPr>
        <w:t>Purpose of Transaction</w:t>
      </w:r>
    </w:p>
    <w:p>
      <w:pPr>
        <w:spacing w:after="0" w:line="222"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The Filers acquired the Stock for investment purposes based on their belief that the Stock, when purchased, was undervalued and represented an attractive investment opportunity. On April 8, 2021, the Issuer’s Board of Directors appointed Mr. Nodelman to serve as a director of the Issuer. Going forward, the Filers will routinely monitor the Issuer regarding a wide variety of factors that affect their investment considerations, including, current and anticipated future trading prices of the Stock and other securities, the Issuer’s operations, assets, prospects, financial position, and business development, Issuer’s management, Issuer-related competitive and strategic matters, general economic, financial market and industry conditions, and other investment considerations. Depending on their evaluation of various factors, the Filers may take such actions regarding their holdings of the Issuer’s securities as they deem appropriate in light of circumstances existing from time to time. Such actions may include purchasing additional Stock in the open market, through privately negotiated transactions with third parties or otherwise, and selling at any time, in the open market, through privately negotiated transactions with third parties or otherwise, all or part of the Stock that they now own or hereafter acquire. The Filers also may from time to time enter into or unwind hedging or other derivative transactions with respect to the Stock or pledge their interests in the Stock to obtain liquidity. In addition, from time to time the Filers and their representatives and advisers may communicate with other stockholders, industry participants and other interested parties about the Issuer.</w:t>
      </w:r>
    </w:p>
    <w:p>
      <w:pPr>
        <w:spacing w:after="0" w:line="18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Filers have no present plan or proposal that relates to or would result in any of the actions specified in clauses (a) through (j) of Item 4 of Schedule 13D. However, the Filers may recommend action to the Issuer’s management, board of directors and stockholders. Any such actions could involve one or more of the events referred to in clauses (a) through (j) of Item 4 of Schedule 13D, including, potentially, one or more mergers, consolidations, sales or acquisitions of assets, changes in control, issuances, purchases, dispositions or pledges of securities or other changes in capitalization.</w:t>
      </w:r>
    </w:p>
    <w:p>
      <w:pPr>
        <w:spacing w:after="0" w:line="188"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5.</w:t>
      </w:r>
      <w:r>
        <w:rPr>
          <w:sz w:val="20"/>
          <w:szCs w:val="20"/>
          <w:color w:val="auto"/>
        </w:rPr>
        <w:tab/>
      </w:r>
      <w:r>
        <w:rPr>
          <w:rFonts w:ascii="Arial" w:cs="Arial" w:eastAsia="Arial" w:hAnsi="Arial"/>
          <w:sz w:val="16"/>
          <w:szCs w:val="16"/>
          <w:b w:val="1"/>
          <w:bCs w:val="1"/>
          <w:color w:val="auto"/>
        </w:rPr>
        <w:t>Interest in Securities of the Issuer</w:t>
      </w:r>
    </w:p>
    <w:p>
      <w:pPr>
        <w:spacing w:after="0" w:line="222" w:lineRule="exact"/>
        <w:rPr>
          <w:sz w:val="20"/>
          <w:szCs w:val="20"/>
          <w:color w:val="auto"/>
        </w:rPr>
      </w:pPr>
    </w:p>
    <w:p>
      <w:pPr>
        <w:ind w:right="120"/>
        <w:spacing w:after="0" w:line="250" w:lineRule="auto"/>
        <w:rPr>
          <w:sz w:val="20"/>
          <w:szCs w:val="20"/>
          <w:color w:val="auto"/>
        </w:rPr>
      </w:pPr>
      <w:r>
        <w:rPr>
          <w:rFonts w:ascii="Arial" w:cs="Arial" w:eastAsia="Arial" w:hAnsi="Arial"/>
          <w:sz w:val="20"/>
          <w:szCs w:val="20"/>
          <w:color w:val="auto"/>
        </w:rPr>
        <w:t>The beneficial ownership of the Stock by each Filer on the date hereof is reflected on that Filer’s cover page. The Filers have not engaged in any transactions in the Issuer’s Stock in the 60 days preceding the date of this Schedule 13D that were not been reported on the Filer’s previous Schedule 13D.</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6. Contracts, Arrangement, Understandings or Relationships with Respect to Securities of the Issuer</w:t>
      </w:r>
    </w:p>
    <w:p>
      <w:pPr>
        <w:spacing w:after="0" w:line="235"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EcoR1 is the investment adviser to its clients pursuant to investment management agreements or limited partnership agreements providing to EcoR1 the authority, among other things, to invest the funds of such clients in Stock, to vote and dispose of Stock and to file this statement on behalf of such clients. Pursuant to such limited partnership agreements, EcoR1 is entitled to allocations based on assets under management and realized and unrealized gains. Pursuant to such investment management agreements, EcoR1 is entitled to fees based on assets under management and realized and unrealized gains.</w:t>
      </w:r>
    </w:p>
    <w:p>
      <w:pPr>
        <w:spacing w:after="0" w:line="188"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7.</w:t>
      </w:r>
      <w:r>
        <w:rPr>
          <w:sz w:val="20"/>
          <w:szCs w:val="20"/>
          <w:color w:val="auto"/>
        </w:rPr>
        <w:tab/>
      </w:r>
      <w:r>
        <w:rPr>
          <w:rFonts w:ascii="Arial" w:cs="Arial" w:eastAsia="Arial" w:hAnsi="Arial"/>
          <w:sz w:val="18"/>
          <w:szCs w:val="18"/>
          <w:b w:val="1"/>
          <w:bCs w:val="1"/>
          <w:color w:val="auto"/>
        </w:rPr>
        <w:t>Material to Be Filed as Exhibits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Exhibit A Agreement Regarding Joint Filing of Statement on Schedule 13D or 13G.</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SIGNATURES</w:t>
      </w:r>
    </w:p>
    <w:p>
      <w:pPr>
        <w:spacing w:after="0" w:line="229" w:lineRule="exact"/>
        <w:rPr>
          <w:sz w:val="20"/>
          <w:szCs w:val="20"/>
          <w:color w:val="auto"/>
        </w:rPr>
      </w:pPr>
    </w:p>
    <w:p>
      <w:pPr>
        <w:ind w:right="560"/>
        <w:spacing w:after="0" w:line="260" w:lineRule="auto"/>
        <w:rPr>
          <w:sz w:val="20"/>
          <w:szCs w:val="20"/>
          <w:color w:val="auto"/>
        </w:rPr>
      </w:pPr>
      <w:r>
        <w:rPr>
          <w:rFonts w:ascii="Arial" w:cs="Arial" w:eastAsia="Arial" w:hAnsi="Arial"/>
          <w:sz w:val="20"/>
          <w:szCs w:val="20"/>
          <w:color w:val="auto"/>
        </w:rPr>
        <w:t>After reasonable inquiry and to the best of my knowledge, I certify that the information set forth in this statement is true, complete and correct.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120" w:type="dxa"/>
            <w:vAlign w:val="bottom"/>
            <w:gridSpan w:val="4"/>
          </w:tcPr>
          <w:p>
            <w:pPr>
              <w:spacing w:after="0"/>
              <w:rPr>
                <w:sz w:val="20"/>
                <w:szCs w:val="20"/>
                <w:color w:val="auto"/>
              </w:rPr>
            </w:pPr>
            <w:r>
              <w:rPr>
                <w:rFonts w:ascii="Arial" w:cs="Arial" w:eastAsia="Arial" w:hAnsi="Arial"/>
                <w:sz w:val="20"/>
                <w:szCs w:val="20"/>
                <w:color w:val="auto"/>
              </w:rPr>
              <w:t>Dated: April 12, 2021</w:t>
            </w:r>
          </w:p>
        </w:tc>
        <w:tc>
          <w:tcPr>
            <w:tcW w:w="294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459"/>
        </w:trPr>
        <w:tc>
          <w:tcPr>
            <w:tcW w:w="100" w:type="dxa"/>
            <w:vAlign w:val="bottom"/>
          </w:tcPr>
          <w:p>
            <w:pPr>
              <w:spacing w:after="0"/>
              <w:rPr>
                <w:sz w:val="24"/>
                <w:szCs w:val="24"/>
                <w:color w:val="auto"/>
              </w:rPr>
            </w:pPr>
          </w:p>
        </w:tc>
        <w:tc>
          <w:tcPr>
            <w:tcW w:w="3020" w:type="dxa"/>
            <w:vAlign w:val="bottom"/>
            <w:gridSpan w:val="3"/>
          </w:tcPr>
          <w:p>
            <w:pPr>
              <w:spacing w:after="0"/>
              <w:rPr>
                <w:sz w:val="20"/>
                <w:szCs w:val="20"/>
                <w:color w:val="auto"/>
              </w:rPr>
            </w:pPr>
            <w:r>
              <w:rPr>
                <w:rFonts w:ascii="Arial" w:cs="Arial" w:eastAsia="Arial" w:hAnsi="Arial"/>
                <w:sz w:val="20"/>
                <w:szCs w:val="20"/>
                <w:b w:val="1"/>
                <w:bCs w:val="1"/>
                <w:color w:val="auto"/>
              </w:rPr>
              <w:t>EcoR1 CAPITAL, LLC</w:t>
            </w:r>
          </w:p>
        </w:tc>
        <w:tc>
          <w:tcPr>
            <w:tcW w:w="6280" w:type="dxa"/>
            <w:vAlign w:val="bottom"/>
            <w:gridSpan w:val="3"/>
          </w:tcPr>
          <w:p>
            <w:pPr>
              <w:ind w:left="2600"/>
              <w:spacing w:after="0"/>
              <w:rPr>
                <w:sz w:val="20"/>
                <w:szCs w:val="20"/>
                <w:color w:val="auto"/>
              </w:rPr>
            </w:pPr>
            <w:r>
              <w:rPr>
                <w:rFonts w:ascii="Arial" w:cs="Arial" w:eastAsia="Arial" w:hAnsi="Arial"/>
                <w:sz w:val="20"/>
                <w:szCs w:val="20"/>
                <w:b w:val="1"/>
                <w:bCs w:val="1"/>
                <w:color w:val="auto"/>
                <w:w w:val="97"/>
              </w:rPr>
              <w:t>EcoR1 CAPITAL FUND QUALIFIED, L.P.</w:t>
            </w:r>
          </w:p>
        </w:tc>
      </w:tr>
      <w:tr>
        <w:trPr>
          <w:trHeight w:val="459"/>
        </w:trPr>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80" w:type="dxa"/>
            <w:vAlign w:val="bottom"/>
            <w:gridSpan w:val="3"/>
          </w:tcPr>
          <w:p>
            <w:pPr>
              <w:ind w:left="2600"/>
              <w:spacing w:after="0"/>
              <w:rPr>
                <w:sz w:val="20"/>
                <w:szCs w:val="20"/>
                <w:color w:val="auto"/>
              </w:rPr>
            </w:pPr>
            <w:r>
              <w:rPr>
                <w:rFonts w:ascii="Arial" w:cs="Arial" w:eastAsia="Arial" w:hAnsi="Arial"/>
                <w:sz w:val="20"/>
                <w:szCs w:val="20"/>
                <w:color w:val="auto"/>
              </w:rPr>
              <w:t>By: EcoR1 Capital, LLC, General Partner</w:t>
            </w:r>
          </w:p>
        </w:tc>
      </w:tr>
      <w:tr>
        <w:trPr>
          <w:trHeight w:val="644"/>
        </w:trPr>
        <w:tc>
          <w:tcPr>
            <w:tcW w:w="100" w:type="dxa"/>
            <w:vAlign w:val="bottom"/>
          </w:tcPr>
          <w:p>
            <w:pPr>
              <w:spacing w:after="0"/>
              <w:rPr>
                <w:sz w:val="24"/>
                <w:szCs w:val="24"/>
                <w:color w:val="auto"/>
              </w:rPr>
            </w:pPr>
          </w:p>
        </w:tc>
        <w:tc>
          <w:tcPr>
            <w:tcW w:w="3020" w:type="dxa"/>
            <w:vAlign w:val="bottom"/>
            <w:gridSpan w:val="3"/>
          </w:tcPr>
          <w:p>
            <w:pPr>
              <w:spacing w:after="0"/>
              <w:rPr>
                <w:sz w:val="20"/>
                <w:szCs w:val="20"/>
                <w:color w:val="auto"/>
              </w:rPr>
            </w:pPr>
            <w:r>
              <w:rPr>
                <w:rFonts w:ascii="Arial" w:cs="Arial" w:eastAsia="Arial" w:hAnsi="Arial"/>
                <w:sz w:val="20"/>
                <w:szCs w:val="20"/>
                <w:color w:val="auto"/>
              </w:rPr>
              <w:t>By: /s/ Oleg Nodelman</w:t>
            </w:r>
          </w:p>
        </w:tc>
        <w:tc>
          <w:tcPr>
            <w:tcW w:w="6280" w:type="dxa"/>
            <w:vAlign w:val="bottom"/>
            <w:gridSpan w:val="3"/>
          </w:tcPr>
          <w:p>
            <w:pPr>
              <w:ind w:left="2600"/>
              <w:spacing w:after="0"/>
              <w:rPr>
                <w:sz w:val="20"/>
                <w:szCs w:val="20"/>
                <w:color w:val="auto"/>
              </w:rPr>
            </w:pPr>
            <w:r>
              <w:rPr>
                <w:rFonts w:ascii="Arial" w:cs="Arial" w:eastAsia="Arial" w:hAnsi="Arial"/>
                <w:sz w:val="20"/>
                <w:szCs w:val="20"/>
                <w:color w:val="auto"/>
              </w:rPr>
              <w:t>By: /s/ Oleg Nodelman</w:t>
            </w:r>
          </w:p>
        </w:tc>
      </w:tr>
      <w:tr>
        <w:trPr>
          <w:trHeight w:val="20"/>
        </w:trPr>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33"/>
        </w:trPr>
        <w:tc>
          <w:tcPr>
            <w:tcW w:w="100" w:type="dxa"/>
            <w:vAlign w:val="bottom"/>
          </w:tcPr>
          <w:p>
            <w:pPr>
              <w:spacing w:after="0"/>
              <w:rPr>
                <w:sz w:val="20"/>
                <w:szCs w:val="20"/>
                <w:color w:val="auto"/>
              </w:rPr>
            </w:pPr>
          </w:p>
        </w:tc>
        <w:tc>
          <w:tcPr>
            <w:tcW w:w="3020" w:type="dxa"/>
            <w:vAlign w:val="bottom"/>
            <w:gridSpan w:val="3"/>
          </w:tcPr>
          <w:p>
            <w:pPr>
              <w:spacing w:after="0"/>
              <w:rPr>
                <w:sz w:val="20"/>
                <w:szCs w:val="20"/>
                <w:color w:val="auto"/>
              </w:rPr>
            </w:pPr>
            <w:r>
              <w:rPr>
                <w:rFonts w:ascii="Arial" w:cs="Arial" w:eastAsia="Arial" w:hAnsi="Arial"/>
                <w:sz w:val="20"/>
                <w:szCs w:val="20"/>
                <w:color w:val="auto"/>
              </w:rPr>
              <w:t>Oleg Nodelman</w:t>
            </w:r>
          </w:p>
        </w:tc>
        <w:tc>
          <w:tcPr>
            <w:tcW w:w="6280" w:type="dxa"/>
            <w:vAlign w:val="bottom"/>
            <w:gridSpan w:val="3"/>
          </w:tcPr>
          <w:p>
            <w:pPr>
              <w:ind w:left="2600"/>
              <w:spacing w:after="0"/>
              <w:rPr>
                <w:sz w:val="20"/>
                <w:szCs w:val="20"/>
                <w:color w:val="auto"/>
              </w:rPr>
            </w:pPr>
            <w:r>
              <w:rPr>
                <w:rFonts w:ascii="Arial" w:cs="Arial" w:eastAsia="Arial" w:hAnsi="Arial"/>
                <w:sz w:val="20"/>
                <w:szCs w:val="20"/>
                <w:color w:val="auto"/>
              </w:rPr>
              <w:t>Oleg Nodelman</w:t>
            </w:r>
          </w:p>
        </w:tc>
      </w:tr>
      <w:tr>
        <w:trPr>
          <w:trHeight w:val="250"/>
        </w:trPr>
        <w:tc>
          <w:tcPr>
            <w:tcW w:w="100" w:type="dxa"/>
            <w:vAlign w:val="bottom"/>
          </w:tcPr>
          <w:p>
            <w:pPr>
              <w:spacing w:after="0"/>
              <w:rPr>
                <w:sz w:val="21"/>
                <w:szCs w:val="21"/>
                <w:color w:val="auto"/>
              </w:rPr>
            </w:pPr>
          </w:p>
        </w:tc>
        <w:tc>
          <w:tcPr>
            <w:tcW w:w="3020" w:type="dxa"/>
            <w:vAlign w:val="bottom"/>
            <w:gridSpan w:val="3"/>
          </w:tcPr>
          <w:p>
            <w:pPr>
              <w:spacing w:after="0"/>
              <w:rPr>
                <w:sz w:val="20"/>
                <w:szCs w:val="20"/>
                <w:color w:val="auto"/>
              </w:rPr>
            </w:pPr>
            <w:r>
              <w:rPr>
                <w:rFonts w:ascii="Arial" w:cs="Arial" w:eastAsia="Arial" w:hAnsi="Arial"/>
                <w:sz w:val="20"/>
                <w:szCs w:val="20"/>
                <w:color w:val="auto"/>
              </w:rPr>
              <w:t>Manager</w:t>
            </w:r>
          </w:p>
        </w:tc>
        <w:tc>
          <w:tcPr>
            <w:tcW w:w="6280" w:type="dxa"/>
            <w:vAlign w:val="bottom"/>
            <w:gridSpan w:val="3"/>
          </w:tcPr>
          <w:p>
            <w:pPr>
              <w:ind w:left="2600"/>
              <w:spacing w:after="0"/>
              <w:rPr>
                <w:sz w:val="20"/>
                <w:szCs w:val="20"/>
                <w:color w:val="auto"/>
              </w:rPr>
            </w:pPr>
            <w:r>
              <w:rPr>
                <w:rFonts w:ascii="Arial" w:cs="Arial" w:eastAsia="Arial" w:hAnsi="Arial"/>
                <w:sz w:val="20"/>
                <w:szCs w:val="20"/>
                <w:color w:val="auto"/>
              </w:rPr>
              <w:t>Manager</w:t>
            </w:r>
          </w:p>
        </w:tc>
      </w:tr>
      <w:tr>
        <w:trPr>
          <w:trHeight w:val="644"/>
        </w:trPr>
        <w:tc>
          <w:tcPr>
            <w:tcW w:w="100" w:type="dxa"/>
            <w:vAlign w:val="bottom"/>
          </w:tcPr>
          <w:p>
            <w:pPr>
              <w:spacing w:after="0"/>
              <w:rPr>
                <w:sz w:val="24"/>
                <w:szCs w:val="24"/>
                <w:color w:val="auto"/>
              </w:rPr>
            </w:pPr>
          </w:p>
        </w:tc>
        <w:tc>
          <w:tcPr>
            <w:tcW w:w="268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rPr>
              <w:t>/s/ Oleg Nodelman</w:t>
            </w:r>
          </w:p>
        </w:tc>
        <w:tc>
          <w:tcPr>
            <w:tcW w:w="3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54"/>
        </w:trPr>
        <w:tc>
          <w:tcPr>
            <w:tcW w:w="100" w:type="dxa"/>
            <w:vAlign w:val="bottom"/>
          </w:tcPr>
          <w:p>
            <w:pPr>
              <w:spacing w:after="0"/>
              <w:rPr>
                <w:sz w:val="22"/>
                <w:szCs w:val="22"/>
                <w:color w:val="auto"/>
              </w:rPr>
            </w:pPr>
          </w:p>
        </w:tc>
        <w:tc>
          <w:tcPr>
            <w:tcW w:w="3020" w:type="dxa"/>
            <w:vAlign w:val="bottom"/>
            <w:gridSpan w:val="3"/>
          </w:tcPr>
          <w:p>
            <w:pPr>
              <w:spacing w:after="0"/>
              <w:rPr>
                <w:sz w:val="20"/>
                <w:szCs w:val="20"/>
                <w:color w:val="auto"/>
              </w:rPr>
            </w:pPr>
            <w:r>
              <w:rPr>
                <w:rFonts w:ascii="Arial" w:cs="Arial" w:eastAsia="Arial" w:hAnsi="Arial"/>
                <w:sz w:val="20"/>
                <w:szCs w:val="20"/>
                <w:color w:val="auto"/>
              </w:rPr>
              <w:t>Oleg Nodelman</w:t>
            </w:r>
          </w:p>
        </w:tc>
        <w:tc>
          <w:tcPr>
            <w:tcW w:w="2940" w:type="dxa"/>
            <w:vAlign w:val="bottom"/>
          </w:tcPr>
          <w:p>
            <w:pPr>
              <w:spacing w:after="0"/>
              <w:rPr>
                <w:sz w:val="22"/>
                <w:szCs w:val="22"/>
                <w:color w:val="auto"/>
              </w:rPr>
            </w:pPr>
          </w:p>
        </w:tc>
        <w:tc>
          <w:tcPr>
            <w:tcW w:w="2680" w:type="dxa"/>
            <w:vAlign w:val="bottom"/>
          </w:tcPr>
          <w:p>
            <w:pPr>
              <w:spacing w:after="0"/>
              <w:rPr>
                <w:sz w:val="22"/>
                <w:szCs w:val="22"/>
                <w:color w:val="auto"/>
              </w:rPr>
            </w:pPr>
          </w:p>
        </w:tc>
        <w:tc>
          <w:tcPr>
            <w:tcW w:w="660" w:type="dxa"/>
            <w:vAlign w:val="bottom"/>
          </w:tcPr>
          <w:p>
            <w:pPr>
              <w:spacing w:after="0"/>
              <w:rPr>
                <w:sz w:val="22"/>
                <w:szCs w:val="22"/>
                <w:color w:val="auto"/>
              </w:rPr>
            </w:pPr>
          </w:p>
        </w:tc>
      </w:tr>
    </w:tbl>
    <w:p>
      <w:pPr>
        <w:spacing w:after="0" w:line="200" w:lineRule="exact"/>
        <w:rPr>
          <w:sz w:val="20"/>
          <w:szCs w:val="20"/>
          <w:color w:val="auto"/>
        </w:rPr>
      </w:pPr>
    </w:p>
    <w:p>
      <w:pPr>
        <w:sectPr>
          <w:pgSz w:w="11900" w:h="16870" w:orient="portrait"/>
          <w:cols w:equalWidth="0" w:num="1">
            <w:col w:w="11240"/>
          </w:cols>
          <w:pgMar w:left="320" w:top="233" w:right="339" w:bottom="0" w:gutter="0" w:footer="0" w:header="0"/>
        </w:sectPr>
      </w:pP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ectPr>
          <w:pgSz w:w="11900" w:h="16870" w:orient="portrait"/>
          <w:cols w:equalWidth="0" w:num="1">
            <w:col w:w="11240"/>
          </w:cols>
          <w:pgMar w:left="320" w:top="233" w:right="339" w:bottom="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color w:val="auto"/>
        </w:rPr>
        <w:t>CUSIP No. 032724106</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EXHIBIT A</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AGREEMENT REGARDING JOINT FILING</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OF STATEMENT ON SCHEDULE 13D OR 13G</w:t>
      </w:r>
    </w:p>
    <w:p>
      <w:pPr>
        <w:spacing w:after="0" w:line="213"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The undersigned agree to file jointly with the Securities and Exchange Commission (the “SEC”) any and all statements on Schedule 13D, Schedule 13G or forms 3, 4 or 5 (and any amendments or supplements thereto) required under section 13(d) or 16(a) of the Securities Exchange Act of 1934, as amended, in connection with purchases by the undersigned of the securities of any issuer. For that purpose, the undersigned hereby constitute and appoint EcoR1 Capital, LLC, a Delaware limited liability company, as their true and lawful agent and attorney-in-fact, with full power and authority for and on behalf of the undersigned to prepare or cause to be prepared, sign, file with the SEC and furnish to any other person all certificates, instruments, agreements and documents necessary to comply with section 13(d) and section 16(a) of the Act, in connection with said purchases, and to do and perform every act necessary and proper to be done incident to the exercise of the foregoing power, as fully as the undersigned might or could do if personally present.</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120" w:type="dxa"/>
            <w:vAlign w:val="bottom"/>
            <w:gridSpan w:val="4"/>
          </w:tcPr>
          <w:p>
            <w:pPr>
              <w:spacing w:after="0"/>
              <w:rPr>
                <w:sz w:val="20"/>
                <w:szCs w:val="20"/>
                <w:color w:val="auto"/>
              </w:rPr>
            </w:pPr>
            <w:r>
              <w:rPr>
                <w:rFonts w:ascii="Arial" w:cs="Arial" w:eastAsia="Arial" w:hAnsi="Arial"/>
                <w:sz w:val="20"/>
                <w:szCs w:val="20"/>
                <w:color w:val="auto"/>
              </w:rPr>
              <w:t>Dated: April 12, 2021</w:t>
            </w:r>
          </w:p>
        </w:tc>
        <w:tc>
          <w:tcPr>
            <w:tcW w:w="294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459"/>
        </w:trPr>
        <w:tc>
          <w:tcPr>
            <w:tcW w:w="100" w:type="dxa"/>
            <w:vAlign w:val="bottom"/>
          </w:tcPr>
          <w:p>
            <w:pPr>
              <w:spacing w:after="0"/>
              <w:rPr>
                <w:sz w:val="24"/>
                <w:szCs w:val="24"/>
                <w:color w:val="auto"/>
              </w:rPr>
            </w:pPr>
          </w:p>
        </w:tc>
        <w:tc>
          <w:tcPr>
            <w:tcW w:w="3020" w:type="dxa"/>
            <w:vAlign w:val="bottom"/>
            <w:gridSpan w:val="3"/>
          </w:tcPr>
          <w:p>
            <w:pPr>
              <w:spacing w:after="0"/>
              <w:rPr>
                <w:sz w:val="20"/>
                <w:szCs w:val="20"/>
                <w:color w:val="auto"/>
              </w:rPr>
            </w:pPr>
            <w:r>
              <w:rPr>
                <w:rFonts w:ascii="Arial" w:cs="Arial" w:eastAsia="Arial" w:hAnsi="Arial"/>
                <w:sz w:val="20"/>
                <w:szCs w:val="20"/>
                <w:b w:val="1"/>
                <w:bCs w:val="1"/>
                <w:color w:val="auto"/>
              </w:rPr>
              <w:t>EcoR1 CAPITAL, LLC</w:t>
            </w:r>
          </w:p>
        </w:tc>
        <w:tc>
          <w:tcPr>
            <w:tcW w:w="6280" w:type="dxa"/>
            <w:vAlign w:val="bottom"/>
            <w:gridSpan w:val="3"/>
          </w:tcPr>
          <w:p>
            <w:pPr>
              <w:ind w:left="2600"/>
              <w:spacing w:after="0"/>
              <w:rPr>
                <w:sz w:val="20"/>
                <w:szCs w:val="20"/>
                <w:color w:val="auto"/>
              </w:rPr>
            </w:pPr>
            <w:r>
              <w:rPr>
                <w:rFonts w:ascii="Arial" w:cs="Arial" w:eastAsia="Arial" w:hAnsi="Arial"/>
                <w:sz w:val="20"/>
                <w:szCs w:val="20"/>
                <w:b w:val="1"/>
                <w:bCs w:val="1"/>
                <w:color w:val="auto"/>
                <w:w w:val="97"/>
              </w:rPr>
              <w:t>EcoR1 CAPITAL FUND QUALIFIED, L.P.</w:t>
            </w:r>
          </w:p>
        </w:tc>
      </w:tr>
      <w:tr>
        <w:trPr>
          <w:trHeight w:val="459"/>
        </w:trPr>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80" w:type="dxa"/>
            <w:vAlign w:val="bottom"/>
            <w:gridSpan w:val="3"/>
          </w:tcPr>
          <w:p>
            <w:pPr>
              <w:ind w:left="2600"/>
              <w:spacing w:after="0"/>
              <w:rPr>
                <w:sz w:val="20"/>
                <w:szCs w:val="20"/>
                <w:color w:val="auto"/>
              </w:rPr>
            </w:pPr>
            <w:r>
              <w:rPr>
                <w:rFonts w:ascii="Arial" w:cs="Arial" w:eastAsia="Arial" w:hAnsi="Arial"/>
                <w:sz w:val="20"/>
                <w:szCs w:val="20"/>
                <w:color w:val="auto"/>
              </w:rPr>
              <w:t>By: EcoR1 Capital, LLC, General Partner</w:t>
            </w:r>
          </w:p>
        </w:tc>
      </w:tr>
      <w:tr>
        <w:trPr>
          <w:trHeight w:val="644"/>
        </w:trPr>
        <w:tc>
          <w:tcPr>
            <w:tcW w:w="100" w:type="dxa"/>
            <w:vAlign w:val="bottom"/>
          </w:tcPr>
          <w:p>
            <w:pPr>
              <w:spacing w:after="0"/>
              <w:rPr>
                <w:sz w:val="24"/>
                <w:szCs w:val="24"/>
                <w:color w:val="auto"/>
              </w:rPr>
            </w:pPr>
          </w:p>
        </w:tc>
        <w:tc>
          <w:tcPr>
            <w:tcW w:w="3020" w:type="dxa"/>
            <w:vAlign w:val="bottom"/>
            <w:gridSpan w:val="3"/>
          </w:tcPr>
          <w:p>
            <w:pPr>
              <w:spacing w:after="0"/>
              <w:rPr>
                <w:sz w:val="20"/>
                <w:szCs w:val="20"/>
                <w:color w:val="auto"/>
              </w:rPr>
            </w:pPr>
            <w:r>
              <w:rPr>
                <w:rFonts w:ascii="Arial" w:cs="Arial" w:eastAsia="Arial" w:hAnsi="Arial"/>
                <w:sz w:val="20"/>
                <w:szCs w:val="20"/>
                <w:color w:val="auto"/>
              </w:rPr>
              <w:t>By: /s/ Oleg Nodelman</w:t>
            </w:r>
          </w:p>
        </w:tc>
        <w:tc>
          <w:tcPr>
            <w:tcW w:w="6280" w:type="dxa"/>
            <w:vAlign w:val="bottom"/>
            <w:gridSpan w:val="3"/>
          </w:tcPr>
          <w:p>
            <w:pPr>
              <w:ind w:left="2600"/>
              <w:spacing w:after="0"/>
              <w:rPr>
                <w:sz w:val="20"/>
                <w:szCs w:val="20"/>
                <w:color w:val="auto"/>
              </w:rPr>
            </w:pPr>
            <w:r>
              <w:rPr>
                <w:rFonts w:ascii="Arial" w:cs="Arial" w:eastAsia="Arial" w:hAnsi="Arial"/>
                <w:sz w:val="20"/>
                <w:szCs w:val="20"/>
                <w:color w:val="auto"/>
              </w:rPr>
              <w:t>By: /s/ Oleg Nodelman</w:t>
            </w:r>
          </w:p>
        </w:tc>
      </w:tr>
      <w:tr>
        <w:trPr>
          <w:trHeight w:val="20"/>
        </w:trPr>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33"/>
        </w:trPr>
        <w:tc>
          <w:tcPr>
            <w:tcW w:w="100" w:type="dxa"/>
            <w:vAlign w:val="bottom"/>
          </w:tcPr>
          <w:p>
            <w:pPr>
              <w:spacing w:after="0"/>
              <w:rPr>
                <w:sz w:val="20"/>
                <w:szCs w:val="20"/>
                <w:color w:val="auto"/>
              </w:rPr>
            </w:pPr>
          </w:p>
        </w:tc>
        <w:tc>
          <w:tcPr>
            <w:tcW w:w="3020" w:type="dxa"/>
            <w:vAlign w:val="bottom"/>
            <w:gridSpan w:val="3"/>
          </w:tcPr>
          <w:p>
            <w:pPr>
              <w:spacing w:after="0"/>
              <w:rPr>
                <w:sz w:val="20"/>
                <w:szCs w:val="20"/>
                <w:color w:val="auto"/>
              </w:rPr>
            </w:pPr>
            <w:r>
              <w:rPr>
                <w:rFonts w:ascii="Arial" w:cs="Arial" w:eastAsia="Arial" w:hAnsi="Arial"/>
                <w:sz w:val="20"/>
                <w:szCs w:val="20"/>
                <w:color w:val="auto"/>
              </w:rPr>
              <w:t>Oleg Nodelman</w:t>
            </w:r>
          </w:p>
        </w:tc>
        <w:tc>
          <w:tcPr>
            <w:tcW w:w="6280" w:type="dxa"/>
            <w:vAlign w:val="bottom"/>
            <w:gridSpan w:val="3"/>
          </w:tcPr>
          <w:p>
            <w:pPr>
              <w:ind w:left="2600"/>
              <w:spacing w:after="0"/>
              <w:rPr>
                <w:sz w:val="20"/>
                <w:szCs w:val="20"/>
                <w:color w:val="auto"/>
              </w:rPr>
            </w:pPr>
            <w:r>
              <w:rPr>
                <w:rFonts w:ascii="Arial" w:cs="Arial" w:eastAsia="Arial" w:hAnsi="Arial"/>
                <w:sz w:val="20"/>
                <w:szCs w:val="20"/>
                <w:color w:val="auto"/>
              </w:rPr>
              <w:t>Oleg Nodelman</w:t>
            </w:r>
          </w:p>
        </w:tc>
      </w:tr>
      <w:tr>
        <w:trPr>
          <w:trHeight w:val="250"/>
        </w:trPr>
        <w:tc>
          <w:tcPr>
            <w:tcW w:w="100" w:type="dxa"/>
            <w:vAlign w:val="bottom"/>
          </w:tcPr>
          <w:p>
            <w:pPr>
              <w:spacing w:after="0"/>
              <w:rPr>
                <w:sz w:val="21"/>
                <w:szCs w:val="21"/>
                <w:color w:val="auto"/>
              </w:rPr>
            </w:pPr>
          </w:p>
        </w:tc>
        <w:tc>
          <w:tcPr>
            <w:tcW w:w="3020" w:type="dxa"/>
            <w:vAlign w:val="bottom"/>
            <w:gridSpan w:val="3"/>
          </w:tcPr>
          <w:p>
            <w:pPr>
              <w:spacing w:after="0"/>
              <w:rPr>
                <w:sz w:val="20"/>
                <w:szCs w:val="20"/>
                <w:color w:val="auto"/>
              </w:rPr>
            </w:pPr>
            <w:r>
              <w:rPr>
                <w:rFonts w:ascii="Arial" w:cs="Arial" w:eastAsia="Arial" w:hAnsi="Arial"/>
                <w:sz w:val="20"/>
                <w:szCs w:val="20"/>
                <w:color w:val="auto"/>
              </w:rPr>
              <w:t>Manager</w:t>
            </w:r>
          </w:p>
        </w:tc>
        <w:tc>
          <w:tcPr>
            <w:tcW w:w="6280" w:type="dxa"/>
            <w:vAlign w:val="bottom"/>
            <w:gridSpan w:val="3"/>
          </w:tcPr>
          <w:p>
            <w:pPr>
              <w:ind w:left="2600"/>
              <w:spacing w:after="0"/>
              <w:rPr>
                <w:sz w:val="20"/>
                <w:szCs w:val="20"/>
                <w:color w:val="auto"/>
              </w:rPr>
            </w:pPr>
            <w:r>
              <w:rPr>
                <w:rFonts w:ascii="Arial" w:cs="Arial" w:eastAsia="Arial" w:hAnsi="Arial"/>
                <w:sz w:val="20"/>
                <w:szCs w:val="20"/>
                <w:color w:val="auto"/>
              </w:rPr>
              <w:t>Manager</w:t>
            </w:r>
          </w:p>
        </w:tc>
      </w:tr>
      <w:tr>
        <w:trPr>
          <w:trHeight w:val="873"/>
        </w:trPr>
        <w:tc>
          <w:tcPr>
            <w:tcW w:w="100" w:type="dxa"/>
            <w:vAlign w:val="bottom"/>
          </w:tcPr>
          <w:p>
            <w:pPr>
              <w:spacing w:after="0"/>
              <w:rPr>
                <w:sz w:val="24"/>
                <w:szCs w:val="24"/>
                <w:color w:val="auto"/>
              </w:rPr>
            </w:pPr>
          </w:p>
        </w:tc>
        <w:tc>
          <w:tcPr>
            <w:tcW w:w="268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rPr>
              <w:t>/s/ Oleg Nodelman</w:t>
            </w:r>
          </w:p>
        </w:tc>
        <w:tc>
          <w:tcPr>
            <w:tcW w:w="3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54"/>
        </w:trPr>
        <w:tc>
          <w:tcPr>
            <w:tcW w:w="100" w:type="dxa"/>
            <w:vAlign w:val="bottom"/>
          </w:tcPr>
          <w:p>
            <w:pPr>
              <w:spacing w:after="0"/>
              <w:rPr>
                <w:sz w:val="22"/>
                <w:szCs w:val="22"/>
                <w:color w:val="auto"/>
              </w:rPr>
            </w:pPr>
          </w:p>
        </w:tc>
        <w:tc>
          <w:tcPr>
            <w:tcW w:w="3020" w:type="dxa"/>
            <w:vAlign w:val="bottom"/>
            <w:gridSpan w:val="3"/>
          </w:tcPr>
          <w:p>
            <w:pPr>
              <w:spacing w:after="0"/>
              <w:rPr>
                <w:sz w:val="20"/>
                <w:szCs w:val="20"/>
                <w:color w:val="auto"/>
              </w:rPr>
            </w:pPr>
            <w:r>
              <w:rPr>
                <w:rFonts w:ascii="Arial" w:cs="Arial" w:eastAsia="Arial" w:hAnsi="Arial"/>
                <w:sz w:val="20"/>
                <w:szCs w:val="20"/>
                <w:color w:val="auto"/>
              </w:rPr>
              <w:t>Oleg Nodelman</w:t>
            </w:r>
          </w:p>
        </w:tc>
        <w:tc>
          <w:tcPr>
            <w:tcW w:w="2940" w:type="dxa"/>
            <w:vAlign w:val="bottom"/>
          </w:tcPr>
          <w:p>
            <w:pPr>
              <w:spacing w:after="0"/>
              <w:rPr>
                <w:sz w:val="22"/>
                <w:szCs w:val="22"/>
                <w:color w:val="auto"/>
              </w:rPr>
            </w:pPr>
          </w:p>
        </w:tc>
        <w:tc>
          <w:tcPr>
            <w:tcW w:w="2680" w:type="dxa"/>
            <w:vAlign w:val="bottom"/>
          </w:tcPr>
          <w:p>
            <w:pPr>
              <w:spacing w:after="0"/>
              <w:rPr>
                <w:sz w:val="22"/>
                <w:szCs w:val="22"/>
                <w:color w:val="auto"/>
              </w:rPr>
            </w:pPr>
          </w:p>
        </w:tc>
        <w:tc>
          <w:tcPr>
            <w:tcW w:w="660" w:type="dxa"/>
            <w:vAlign w:val="bottom"/>
          </w:tcPr>
          <w:p>
            <w:pPr>
              <w:spacing w:after="0"/>
              <w:rPr>
                <w:sz w:val="22"/>
                <w:szCs w:val="22"/>
                <w:color w:val="auto"/>
              </w:rPr>
            </w:pPr>
          </w:p>
        </w:tc>
      </w:tr>
    </w:tbl>
    <w:p>
      <w:pPr>
        <w:spacing w:after="0" w:line="1" w:lineRule="exact"/>
        <w:rPr>
          <w:sz w:val="20"/>
          <w:szCs w:val="20"/>
          <w:color w:val="auto"/>
        </w:rPr>
      </w:pPr>
    </w:p>
    <w:sectPr>
      <w:pgSz w:w="11900" w:h="16838" w:orient="portrait"/>
      <w:cols w:equalWidth="0" w:num="1">
        <w:col w:w="11240"/>
      </w:cols>
      <w:pgMar w:left="320" w:top="2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decimal"/>
      <w:start w:val="1"/>
    </w:lvl>
    <w:lvl w:ilvl="1">
      <w:lvlJc w:val="left"/>
      <w:lvlText w:val="(%2)"/>
      <w:numFmt w:val="lowerLetter"/>
      <w:start w:val="1"/>
    </w:lvl>
  </w:abstractNum>
  <w:abstractNum w:abstractNumId="2">
    <w:nsid w:val="507ED7AB"/>
    <w:multiLevelType w:val="hybridMultilevel"/>
    <w:lvl w:ilvl="0">
      <w:lvlJc w:val="left"/>
      <w:lvlText w:val="%1."/>
      <w:numFmt w:val="decimal"/>
      <w:start w:val="11"/>
    </w:lvl>
  </w:abstractNum>
  <w:abstractNum w:abstractNumId="3">
    <w:nsid w:val="2EB141F2"/>
    <w:multiLevelType w:val="hybridMultilevel"/>
    <w:lvl w:ilvl="0">
      <w:lvlJc w:val="left"/>
      <w:lvlText w:val="%1."/>
      <w:numFmt w:val="decimal"/>
      <w:start w:val="1"/>
    </w:lvl>
    <w:lvl w:ilvl="1">
      <w:lvlJc w:val="left"/>
      <w:lvlText w:val="(%2)"/>
      <w:numFmt w:val="lowerLetter"/>
      <w:start w:val="1"/>
    </w:lvl>
  </w:abstractNum>
  <w:abstractNum w:abstractNumId="4">
    <w:nsid w:val="41B71EFB"/>
    <w:multiLevelType w:val="hybridMultilevel"/>
    <w:lvl w:ilvl="0">
      <w:lvlJc w:val="left"/>
      <w:lvlText w:val="%1."/>
      <w:numFmt w:val="decimal"/>
      <w:start w:val="11"/>
    </w:lvl>
  </w:abstractNum>
  <w:abstractNum w:abstractNumId="5">
    <w:nsid w:val="79E2A9E3"/>
    <w:multiLevelType w:val="hybridMultilevel"/>
    <w:lvl w:ilvl="0">
      <w:lvlJc w:val="left"/>
      <w:lvlText w:val="%1."/>
      <w:numFmt w:val="decimal"/>
      <w:start w:val="1"/>
    </w:lvl>
    <w:lvl w:ilvl="1">
      <w:lvlJc w:val="left"/>
      <w:lvlText w:val="(%2)"/>
      <w:numFmt w:val="lowerLetter"/>
      <w:start w:val="1"/>
    </w:lvl>
  </w:abstractNum>
  <w:abstractNum w:abstractNumId="6">
    <w:nsid w:val="7545E146"/>
    <w:multiLevelType w:val="hybridMultilevel"/>
    <w:lvl w:ilvl="0">
      <w:lvlJc w:val="left"/>
      <w:lvlText w:val="%1."/>
      <w:numFmt w:val="decimal"/>
      <w:start w:val="1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2021-04-13T05:15:54Z</dcterms:created>
  <dcterms:modified xsi:type="dcterms:W3CDTF">2021-04-13T05:15:54Z</dcterms:modified>
</cp:coreProperties>
</file>