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February 27,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2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On February 27, 2025, AnaptysBio, Inc. (“AnaptysBio”) issued a press release announcing its financial results for the three months and year ended December 31, 2024. A copy of the press release is attached as Exhibit 99.1 to this Current Report on Form 8-K.</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8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300" w:type="dxa"/>
            <w:vAlign w:val="bottom"/>
          </w:tcPr>
          <w:p>
            <w:pPr>
              <w:spacing w:after="0"/>
              <w:rPr>
                <w:sz w:val="22"/>
                <w:szCs w:val="22"/>
                <w:color w:val="auto"/>
              </w:rPr>
            </w:pPr>
          </w:p>
        </w:tc>
      </w:tr>
      <w:tr>
        <w:trPr>
          <w:trHeight w:val="540"/>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Press release issued by AnaptysBio, Inc. regarding its financial results for the three months and year ended</w:t>
            </w:r>
          </w:p>
        </w:tc>
      </w:tr>
      <w:tr>
        <w:trPr>
          <w:trHeight w:val="256"/>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December 31, 2024, dated February 27, 2025.</w:t>
            </w:r>
          </w:p>
        </w:tc>
      </w:tr>
      <w:tr>
        <w:trPr>
          <w:trHeight w:val="255"/>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86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February 27,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20"/>
          </w:cols>
          <w:pgMar w:left="320" w:top="1409" w:right="3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Anaptys Announces Fourth Quarter and Full Year 2024 Financial Results and</w:t>
      </w:r>
    </w:p>
    <w:p>
      <w:pPr>
        <w:spacing w:after="0" w:line="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Provides Business Update</w:t>
      </w:r>
    </w:p>
    <w:p>
      <w:pPr>
        <w:spacing w:after="0" w:line="151" w:lineRule="exact"/>
        <w:rPr>
          <w:sz w:val="20"/>
          <w:szCs w:val="20"/>
          <w:color w:val="auto"/>
        </w:rPr>
      </w:pPr>
    </w:p>
    <w:p>
      <w:pPr>
        <w:ind w:left="660" w:right="40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rosnilimab, a PD-1 depleter and agonist, achieved positive results from Phase 2b rheumatoid arthritis (RA) trial and highest-ever reported CDAI LDA response over 6 months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clinical and translational data for rosnilimab in RA in Q2 2025</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Phase 2 data for rosnilimab in ulcerative colitis (UC), moved up to Q4 2025</w:t>
      </w:r>
    </w:p>
    <w:p>
      <w:pPr>
        <w:spacing w:after="0" w:line="121" w:lineRule="exact"/>
        <w:rPr>
          <w:rFonts w:ascii="Times New Roman" w:cs="Times New Roman" w:eastAsia="Times New Roman" w:hAnsi="Times New Roman"/>
          <w:sz w:val="20"/>
          <w:szCs w:val="20"/>
          <w:color w:val="auto"/>
        </w:rPr>
      </w:pPr>
    </w:p>
    <w:p>
      <w:pPr>
        <w:ind w:left="660" w:right="620" w:hanging="328"/>
        <w:spacing w:after="0" w:line="269"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1a trial in healthy volunteers ongoing for ANB033, our CD122 antagonist, and Phase 1a trial to initiate this quarter for ANB101, our BDCA2 modulator</w:t>
      </w:r>
    </w:p>
    <w:p>
      <w:pPr>
        <w:spacing w:after="0" w:line="64"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exclusive global license agreement with Vanda Pharmaceuticals to develop and commercialize imsidolimab, an IL-36R antagonist</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Year-end 2024 cash and investments of ~$420 million and reiterating cash runway through year-end 2027</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SAN DIEGO, Feb. 27, 2025 </w:t>
      </w:r>
      <w:r>
        <w:rPr>
          <w:rFonts w:ascii="Times New Roman" w:cs="Times New Roman" w:eastAsia="Times New Roman" w:hAnsi="Times New Roman"/>
          <w:sz w:val="20"/>
          <w:szCs w:val="20"/>
          <w:color w:val="auto"/>
        </w:rPr>
        <w:t>— AnaptysBio, Inc. (Nasdaq: ANAB), a clinical-stage biotechnology company focused on delivering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innovative immunology therapeutics, today reported financial results for the fourth quarter and year ended December 31, 2024, and provided a business update.</w:t>
      </w:r>
    </w:p>
    <w:p>
      <w:pPr>
        <w:spacing w:after="0" w:line="17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“Rosnilimab’s positive Phase 2b data in rheumatoid arthritis has revealed impressive safety, tolerability and three-month efficacy data that was sustained and surpasses six-month data from competitor all-active, head-to-head trials. In Q2 2025, we will report full clinical and translational data, further validating rosnilimab’s transformative potential to restore immune homeostasis, not only in RA but also in other diseases like ulcerative colitis. We also are excited to report top-line Phase 2 data for rosnilimab in UC moved up to Q4 2025,” said Daniel Faga, president and chief executive officer of Anaptys. “Additionally, Phase 1 development of both ANB033 and ANB101 is advancing as planned. With approximately $420 million of cash coming into 2025, we are well capitalized through year-end 2027, which does not include the significant potential residual royalties and milestones from our GSK financial collaboration.”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Updates on Asset Portfolio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Rosnilimab (PD-1 depleter and agonist)</w:t>
      </w:r>
    </w:p>
    <w:p>
      <w:pPr>
        <w:spacing w:after="0" w:line="179" w:lineRule="exact"/>
        <w:rPr>
          <w:sz w:val="20"/>
          <w:szCs w:val="20"/>
          <w:color w:val="auto"/>
        </w:rPr>
      </w:pPr>
    </w:p>
    <w:p>
      <w:pPr>
        <w:ind w:left="660" w:right="340" w:hanging="328"/>
        <w:spacing w:after="0" w:line="261"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subcutaneously administered rosnilimab, including two once-monthly doses, achieved positive results in 424-patient Phase 2b RA trial and highest-ever reported clinical disease activity index (CDAI) low disease activity (LDA) response over 6 months</w:t>
      </w:r>
    </w:p>
    <w:p>
      <w:pPr>
        <w:spacing w:after="0" w:line="1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results for the trial were –</w:t>
      </w:r>
    </w:p>
    <w:p>
      <w:pPr>
        <w:spacing w:after="0" w:line="53" w:lineRule="exact"/>
        <w:rPr>
          <w:rFonts w:ascii="Times New Roman" w:cs="Times New Roman" w:eastAsia="Times New Roman" w:hAnsi="Times New Roman"/>
          <w:sz w:val="20"/>
          <w:szCs w:val="20"/>
          <w:color w:val="auto"/>
        </w:rPr>
      </w:pPr>
    </w:p>
    <w:p>
      <w:pPr>
        <w:ind w:left="1960" w:right="40" w:hanging="332"/>
        <w:spacing w:after="0" w:line="281" w:lineRule="auto"/>
        <w:tabs>
          <w:tab w:leader="none" w:pos="1949"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Achieved statistical significance on primary endpoint at Week 12 on mean change from baseline DAS28-CRP score across all three rosnilimab doses vs. placebo</w:t>
      </w:r>
    </w:p>
    <w:p>
      <w:pPr>
        <w:spacing w:after="0" w:line="1"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Achieved statistical significance on key secondary endpoints at Week 12 on ACR20, ACR50 and CDAI LDA</w:t>
      </w:r>
    </w:p>
    <w:p>
      <w:pPr>
        <w:spacing w:after="0" w:line="53" w:lineRule="exact"/>
        <w:rPr>
          <w:rFonts w:ascii="Times New Roman" w:cs="Times New Roman" w:eastAsia="Times New Roman" w:hAnsi="Times New Roman"/>
          <w:sz w:val="20"/>
          <w:szCs w:val="20"/>
          <w:color w:val="auto"/>
        </w:rPr>
      </w:pPr>
    </w:p>
    <w:p>
      <w:pPr>
        <w:ind w:left="1960" w:right="60" w:hanging="332"/>
        <w:spacing w:after="0" w:line="274" w:lineRule="auto"/>
        <w:tabs>
          <w:tab w:leader="none" w:pos="1949"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Demonstrated highest-ever reported responses on key secondary endpoints at Week 14 on ACR20, ACR50, ACR70 and CDAI LDA</w:t>
      </w:r>
    </w:p>
    <w:p>
      <w:pPr>
        <w:spacing w:after="0" w:line="1" w:lineRule="exact"/>
        <w:rPr>
          <w:rFonts w:ascii="Times New Roman" w:cs="Times New Roman" w:eastAsia="Times New Roman" w:hAnsi="Times New Roman"/>
          <w:sz w:val="20"/>
          <w:szCs w:val="20"/>
          <w:color w:val="auto"/>
        </w:rPr>
      </w:pPr>
    </w:p>
    <w:p>
      <w:pPr>
        <w:ind w:left="1960" w:right="60" w:hanging="332"/>
        <w:spacing w:after="0" w:line="275" w:lineRule="auto"/>
        <w:tabs>
          <w:tab w:leader="none" w:pos="1949"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69% (220/318) of rosnilimab-treated patients achieved CDAI LDA at Week 14 and appear to show sustained CDAI LDA and ACR50 responses and potentially deepening ACR70 responses out to Week 28</w:t>
      </w:r>
    </w:p>
    <w:p>
      <w:pPr>
        <w:spacing w:after="0" w:line="1" w:lineRule="exact"/>
        <w:rPr>
          <w:rFonts w:ascii="Times New Roman" w:cs="Times New Roman" w:eastAsia="Times New Roman" w:hAnsi="Times New Roman"/>
          <w:sz w:val="20"/>
          <w:szCs w:val="20"/>
          <w:color w:val="auto"/>
        </w:rPr>
      </w:pPr>
    </w:p>
    <w:p>
      <w:pPr>
        <w:ind w:left="1960" w:right="220" w:hanging="332"/>
        <w:spacing w:after="0" w:line="231" w:lineRule="auto"/>
        <w:tabs>
          <w:tab w:leader="none" w:pos="1949"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Robust pharmacological activity observed in reduction of PD-1</w:t>
      </w:r>
      <w:r>
        <w:rPr>
          <w:rFonts w:ascii="Times New Roman" w:cs="Times New Roman" w:eastAsia="Times New Roman" w:hAnsi="Times New Roman"/>
          <w:sz w:val="25"/>
          <w:szCs w:val="25"/>
          <w:color w:val="auto"/>
          <w:vertAlign w:val="superscript"/>
        </w:rPr>
        <w:t>high</w:t>
      </w:r>
      <w:r>
        <w:rPr>
          <w:rFonts w:ascii="Times New Roman" w:cs="Times New Roman" w:eastAsia="Times New Roman" w:hAnsi="Times New Roman"/>
          <w:sz w:val="20"/>
          <w:szCs w:val="20"/>
          <w:color w:val="auto"/>
        </w:rPr>
        <w:t xml:space="preserve"> T cells, increase in total Tregs and reduction of CRP across all doses</w:t>
      </w:r>
    </w:p>
    <w:p>
      <w:pPr>
        <w:spacing w:after="0" w:line="39"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Rosnilimab was safe and well tolerated with similar adverse event rates vs. placebo</w:t>
      </w:r>
    </w:p>
    <w:p>
      <w:pPr>
        <w:spacing w:after="0" w:line="53" w:lineRule="exact"/>
        <w:rPr>
          <w:rFonts w:ascii="Times New Roman" w:cs="Times New Roman" w:eastAsia="Times New Roman" w:hAnsi="Times New Roman"/>
          <w:sz w:val="20"/>
          <w:szCs w:val="20"/>
          <w:color w:val="auto"/>
        </w:rPr>
      </w:pPr>
    </w:p>
    <w:p>
      <w:pPr>
        <w:ind w:left="1960" w:right="140" w:hanging="332"/>
        <w:spacing w:after="0" w:line="283" w:lineRule="auto"/>
        <w:tabs>
          <w:tab w:leader="none" w:pos="1949"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press release can be found at https://ir.anaptysbio.com/news-releases/news-release-details/anaptys-announces-rosnilimab-achieved-positive-results-ra-phase</w:t>
      </w:r>
    </w:p>
    <w:p>
      <w:pPr>
        <w:sectPr>
          <w:pgSz w:w="11900" w:h="16838" w:orient="portrait"/>
          <w:cols w:equalWidth="0" w:num="1">
            <w:col w:w="11160"/>
          </w:cols>
          <w:pgMar w:left="320" w:top="907" w:right="419" w:bottom="1440" w:gutter="0" w:footer="0" w:header="0"/>
        </w:sectPr>
      </w:pPr>
    </w:p>
    <w:bookmarkStart w:id="4" w:name="page5"/>
    <w:bookmarkEnd w:id="4"/>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clinical and translational data anticipated in Q2 2025</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ongoing for global Phase 2 trial in moderate-to-severe UC</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132-patient trial assessing two dose levels of subcutaneously administered rosnilimab vs. placebo (randomized 1:1:1)</w:t>
      </w:r>
    </w:p>
    <w:p>
      <w:pPr>
        <w:spacing w:after="0" w:line="53" w:lineRule="exact"/>
        <w:rPr>
          <w:rFonts w:ascii="Times New Roman" w:cs="Times New Roman" w:eastAsia="Times New Roman" w:hAnsi="Times New Roman"/>
          <w:sz w:val="20"/>
          <w:szCs w:val="20"/>
          <w:color w:val="auto"/>
        </w:rPr>
      </w:pPr>
    </w:p>
    <w:p>
      <w:pPr>
        <w:ind w:left="1960" w:hanging="332"/>
        <w:spacing w:after="0" w:line="267" w:lineRule="auto"/>
        <w:tabs>
          <w:tab w:leader="none" w:pos="1949"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Primary statistical analysis at Week 12 on well-established endpoints, including the primary endpoint of change from baseline in modified Mayo score (mMS) and supportive secondary endpoints of clinical response on mMS, clinical remission on mMS and endoscopic remission</w:t>
      </w:r>
    </w:p>
    <w:p>
      <w:pPr>
        <w:spacing w:after="0" w:line="1" w:lineRule="exact"/>
        <w:rPr>
          <w:rFonts w:ascii="Times New Roman" w:cs="Times New Roman" w:eastAsia="Times New Roman" w:hAnsi="Times New Roman"/>
          <w:sz w:val="20"/>
          <w:szCs w:val="20"/>
          <w:color w:val="auto"/>
        </w:rPr>
      </w:pPr>
    </w:p>
    <w:p>
      <w:pPr>
        <w:ind w:left="1960" w:right="240" w:hanging="332"/>
        <w:spacing w:after="0" w:line="281" w:lineRule="auto"/>
        <w:tabs>
          <w:tab w:leader="none" w:pos="1949" w:val="left"/>
        </w:tabs>
        <w:numPr>
          <w:ilvl w:val="2"/>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patients in all three study arms treat-through to Week 24 and remain blinded to treatment arm. Placebo-treated patients who achieved clinical response on partial modified Mayo score (pmMS) at Week 12 remain on placebo, while placebo-treated patients who are non-responders are crossed over to the high-dose rosnilimab treatment arm</w:t>
      </w:r>
    </w:p>
    <w:p>
      <w:pPr>
        <w:spacing w:after="0" w:line="2" w:lineRule="exact"/>
        <w:rPr>
          <w:rFonts w:ascii="Times New Roman" w:cs="Times New Roman" w:eastAsia="Times New Roman" w:hAnsi="Times New Roman"/>
          <w:sz w:val="19"/>
          <w:szCs w:val="19"/>
          <w:color w:val="auto"/>
        </w:rPr>
      </w:pPr>
    </w:p>
    <w:p>
      <w:pPr>
        <w:ind w:left="1960" w:right="60" w:hanging="332"/>
        <w:spacing w:after="0" w:line="274" w:lineRule="auto"/>
        <w:tabs>
          <w:tab w:leader="none" w:pos="1949"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Patients who are in clinical response on pmMS at Week 24 are eligible for an additional 26-weeks (50 weeks of total treatment), blinded treatment extension period (TEP)</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anticipated in Q4 2025</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preclinical data in Q4 2024 and Q1 2025 (available at https://www.anaptysbio.com/technology/#anb030) evaluating –</w:t>
      </w:r>
    </w:p>
    <w:p>
      <w:pPr>
        <w:spacing w:after="0" w:line="53" w:lineRule="exact"/>
        <w:rPr>
          <w:rFonts w:ascii="Times New Roman" w:cs="Times New Roman" w:eastAsia="Times New Roman" w:hAnsi="Times New Roman"/>
          <w:sz w:val="20"/>
          <w:szCs w:val="20"/>
          <w:color w:val="auto"/>
        </w:rPr>
      </w:pPr>
    </w:p>
    <w:p>
      <w:pPr>
        <w:ind w:left="1300" w:right="100" w:hanging="320"/>
        <w:spacing w:after="0" w:line="281"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PD-1 depletion and agonism mechanisms of rosnilimab in vitro with UC patient-derived PBMCs and a mouse model of colitis at the 2024 United European Gastroenterology Week (UEGW)</w:t>
      </w:r>
    </w:p>
    <w:p>
      <w:pPr>
        <w:spacing w:after="0" w:line="1" w:lineRule="exact"/>
        <w:rPr>
          <w:rFonts w:ascii="Times New Roman" w:cs="Times New Roman" w:eastAsia="Times New Roman" w:hAnsi="Times New Roman"/>
          <w:sz w:val="20"/>
          <w:szCs w:val="20"/>
          <w:color w:val="auto"/>
        </w:rPr>
      </w:pPr>
    </w:p>
    <w:p>
      <w:pPr>
        <w:ind w:left="1300" w:right="180" w:hanging="320"/>
        <w:spacing w:after="0" w:line="269"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Inflammatory pathway gene expression in PD-1+ conventional and regulatory T cells in human UC tissue and rosnilimab’s effects in a mouse model of colitis at the European Crohn’s and Colitis Organisation (ECCO) Congress</w:t>
      </w:r>
    </w:p>
    <w:p>
      <w:pPr>
        <w:spacing w:after="0" w:line="10"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Synovial levels of PD-1 and the correlation with disease activity in RA at American College of Rheumatology (ACR) Convergence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ANB033 (CD122 antagonist)</w:t>
      </w:r>
    </w:p>
    <w:p>
      <w:pPr>
        <w:spacing w:after="0" w:line="179"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ongoing for Phase 1a trial in healthy volunteers</w:t>
      </w:r>
    </w:p>
    <w:p>
      <w:pPr>
        <w:spacing w:after="0" w:line="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 indication to be disclosed at a 2025 R&amp;D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ANB101 (BDCA2 modulator)</w:t>
      </w:r>
    </w:p>
    <w:p>
      <w:pPr>
        <w:spacing w:after="0" w:line="58"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Investigational new drug (IND) application accepted by FDA</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1a trial to initiate in healthy volunteers in Q1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Imsidolimab (IL-36 antagonist)</w:t>
      </w:r>
    </w:p>
    <w:p>
      <w:pPr>
        <w:spacing w:after="0" w:line="58" w:lineRule="exact"/>
        <w:rPr>
          <w:sz w:val="20"/>
          <w:szCs w:val="20"/>
          <w:color w:val="auto"/>
        </w:rPr>
      </w:pPr>
    </w:p>
    <w:p>
      <w:pPr>
        <w:ind w:left="660" w:right="160" w:hanging="328"/>
        <w:spacing w:after="0" w:line="274"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an exclusive global out-license agreement with Vanda Pharmaceuticals to develop and commercialize imsidolimab (IL-36R antagonist)</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Anaptys received $15 million, comprised of a $10 million upfront payment and $5 million for existing drug supply</w:t>
      </w:r>
    </w:p>
    <w:p>
      <w:pPr>
        <w:spacing w:after="0" w:line="67" w:lineRule="exact"/>
        <w:rPr>
          <w:rFonts w:ascii="Times New Roman" w:cs="Times New Roman" w:eastAsia="Times New Roman" w:hAnsi="Times New Roman"/>
          <w:sz w:val="20"/>
          <w:szCs w:val="20"/>
          <w:color w:val="auto"/>
        </w:rPr>
      </w:pPr>
    </w:p>
    <w:p>
      <w:pPr>
        <w:ind w:left="1300" w:right="580" w:hanging="320"/>
        <w:spacing w:after="0" w:line="283"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Anaptys eligible to receive up to $35 million for future regulatory approvals and sales milestones in addition to a 10% royalty on global net sales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GSK Immuno-Oncology Financial Collaboration</w:t>
      </w:r>
    </w:p>
    <w:p>
      <w:pPr>
        <w:spacing w:after="0" w:line="6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GSK announced strong commercial performance for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($190 million in Q4 2024 sales) with &gt;100% year-over-year growth</w:t>
      </w:r>
    </w:p>
    <w:p>
      <w:pPr>
        <w:spacing w:after="0" w:line="57" w:lineRule="exact"/>
        <w:rPr>
          <w:rFonts w:ascii="Times New Roman" w:cs="Times New Roman" w:eastAsia="Times New Roman" w:hAnsi="Times New Roman"/>
          <w:sz w:val="20"/>
          <w:szCs w:val="20"/>
          <w:color w:val="auto"/>
        </w:rPr>
      </w:pPr>
    </w:p>
    <w:p>
      <w:pPr>
        <w:ind w:left="660" w:right="620" w:hanging="328"/>
        <w:spacing w:after="0" w:line="261"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anticipates top-line data in H1 2025 from COSTAR Lung Phase 3 trial comparing cobolimab, a TIM-3 antagonist, plus dostarlimab, a PD-1 antagonist, plus docetaxel to dostarlimab plus docetaxel and to docetaxel alone in patients with advanced NSCLC who have progressed on prior anti-PD-(L)1 therapy and platinum-based chemotherapy</w:t>
      </w:r>
    </w:p>
    <w:p>
      <w:pPr>
        <w:sectPr>
          <w:pgSz w:w="11900" w:h="16838" w:orient="portrait"/>
          <w:cols w:equalWidth="0" w:num="1">
            <w:col w:w="11220"/>
          </w:cols>
          <w:pgMar w:left="320" w:top="940" w:right="359" w:bottom="1440" w:gutter="0" w:footer="0" w:header="0"/>
        </w:sectPr>
      </w:pPr>
    </w:p>
    <w:bookmarkStart w:id="5" w:name="page6"/>
    <w:bookmarkEnd w:id="5"/>
    <w:p>
      <w:pPr>
        <w:ind w:left="660" w:right="42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anticipates top-line data in 2026 from AZUR-1 pivotal Phase 2 trial of dostarlimab monotherapy in patients with untreated stage II/III dMMR/MSI-H locally advanced rectal cancer</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Jemperli </w:t>
      </w:r>
      <w:r>
        <w:rPr>
          <w:rFonts w:ascii="Times New Roman" w:cs="Times New Roman" w:eastAsia="Times New Roman" w:hAnsi="Times New Roman"/>
          <w:sz w:val="20"/>
          <w:szCs w:val="20"/>
          <w:color w:val="auto"/>
        </w:rPr>
        <w:t>received U.S. FDA Breakthrough Therapy Designation for this indication in December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Runway</w:t>
      </w:r>
    </w:p>
    <w:p>
      <w:pPr>
        <w:spacing w:after="0" w:line="17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investments of $420.8 million as of Dec. 31, 2024, and reiterating cash runway through year-end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2024 Financial Results</w:t>
      </w:r>
    </w:p>
    <w:p>
      <w:pPr>
        <w:spacing w:after="0" w:line="166" w:lineRule="exact"/>
        <w:rPr>
          <w:sz w:val="20"/>
          <w:szCs w:val="20"/>
          <w:color w:val="auto"/>
        </w:rPr>
      </w:pPr>
    </w:p>
    <w:p>
      <w:pPr>
        <w:ind w:left="660" w:right="740" w:hanging="328"/>
        <w:spacing w:after="0" w:line="281" w:lineRule="auto"/>
        <w:tabs>
          <w:tab w:leader="none" w:pos="64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cash equivalents and investments totaled $420.8 million as of December 31, 2024, compared to $417.9 million as of December 31, 2023, for an increase of $2.9 million due primarily to the $100 million underwritten registered direct offering completed in Q3 and $50.0 million received from the Sagard royalty monetization in Q2 offset by 2024 operating activities.</w:t>
      </w:r>
    </w:p>
    <w:p>
      <w:pPr>
        <w:spacing w:after="0" w:line="110" w:lineRule="exact"/>
        <w:rPr>
          <w:rFonts w:ascii="Times New Roman" w:cs="Times New Roman" w:eastAsia="Times New Roman" w:hAnsi="Times New Roman"/>
          <w:sz w:val="19"/>
          <w:szCs w:val="19"/>
          <w:color w:val="auto"/>
        </w:rPr>
      </w:pPr>
    </w:p>
    <w:p>
      <w:pPr>
        <w:ind w:left="660" w:hanging="328"/>
        <w:spacing w:after="0" w:line="25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Collaboration revenue was $43.1 million and $91.3 million for the three and twelve months ended December 31, 2024, compared to $9.0 million and $17.2 million for the three and twelve months ended December 31, 2023. The increase in non-cash revenue in 2024 is due to $15.0 million and $25.0 million commercial milestones earned for annual Jemperli sales exceeding $250.0 million and $500.0 million during the year and increased royalties recognized for sales of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For the year ended December 31, 2024, GSK reported $598.0 million in sales for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a greater than 200% sales growth when compared to $175.6 million for the year ended December 31, 2023.</w:t>
      </w:r>
    </w:p>
    <w:p>
      <w:pPr>
        <w:spacing w:after="0" w:line="138" w:lineRule="exact"/>
        <w:rPr>
          <w:rFonts w:ascii="Times New Roman" w:cs="Times New Roman" w:eastAsia="Times New Roman" w:hAnsi="Times New Roman"/>
          <w:sz w:val="20"/>
          <w:szCs w:val="20"/>
          <w:color w:val="auto"/>
        </w:rPr>
      </w:pPr>
    </w:p>
    <w:p>
      <w:pPr>
        <w:jc w:val="both"/>
        <w:ind w:left="660" w:right="240" w:hanging="328"/>
        <w:spacing w:after="0" w:line="270" w:lineRule="auto"/>
        <w:tabs>
          <w:tab w:leader="none" w:pos="64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Research and development expenses were $42.6 million and $163.8 million for the three and twelve months ended December 31, 2024, compared to $33.5 million and $132.3 million for the three and twelve months ended December 31, 2023. The increase was due primarily to development costs for rosnilimab, ANB032, ANB033 and ANB101 offset by a decrease in development costs for imsidolimab. The R&amp;D non-cash, stock-based compensation expense was $3.9 million and $14.8 million for the three and twelve months ended December 31, 2024 as compared to $2.5 million and $10.2 million in the same period in 2023.</w:t>
      </w:r>
    </w:p>
    <w:p>
      <w:pPr>
        <w:spacing w:after="0" w:line="121" w:lineRule="exact"/>
        <w:rPr>
          <w:rFonts w:ascii="Times New Roman" w:cs="Times New Roman" w:eastAsia="Times New Roman" w:hAnsi="Times New Roman"/>
          <w:sz w:val="19"/>
          <w:szCs w:val="19"/>
          <w:color w:val="auto"/>
        </w:rPr>
      </w:pPr>
    </w:p>
    <w:p>
      <w:pPr>
        <w:ind w:left="660" w:right="40" w:hanging="328"/>
        <w:spacing w:after="0" w:line="254"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expenses were $10.2 million and $42.4 million for the three and twelve months ended December 31, 2024, compared to $10.3 million and $41.9 million for the three and twelve months ended December 31, 2023. The G&amp;A non-cash, stock-based compensation expense was $4.3 million and $19.2 million for the three and twelve months ended December 31, 2024 as compared to $5.6 million and $23.0 million in the same period in 2023.</w:t>
      </w:r>
    </w:p>
    <w:p>
      <w:pPr>
        <w:spacing w:after="0" w:line="133" w:lineRule="exact"/>
        <w:rPr>
          <w:rFonts w:ascii="Times New Roman" w:cs="Times New Roman" w:eastAsia="Times New Roman" w:hAnsi="Times New Roman"/>
          <w:sz w:val="20"/>
          <w:szCs w:val="20"/>
          <w:color w:val="auto"/>
        </w:rPr>
      </w:pPr>
    </w:p>
    <w:p>
      <w:pPr>
        <w:ind w:left="660" w:right="180" w:hanging="328"/>
        <w:spacing w:after="0" w:line="26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$21.8 million and $145.2 million for the three and twelve months ended December 31, 2024, or a net loss per share of $0.72 and $5.12, compared to a net loss of $42.2 million and $163.6 million for the three and twelve months ended December 31, 2023, or a net loss per share of $1.59 and $6.08.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w:t>
      </w:r>
    </w:p>
    <w:p>
      <w:pPr>
        <w:spacing w:after="0" w:line="1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Anaptys is a clinical-stage biotechnology company focused on delivering innovative immunology therapeutics for autoimmune and inflammatory diseases. Its lead program, rosnilimab, a depleter and agonist targeting PD-1+ T cells, is in a Phase 2b trial for the treatment of rheumatoid arthritis and in a Phase 2 trial for the treatment of ulcerative colitis. Other antibodies in its portfolio include ANB033, a CD122 antagonist, in a Phase 1 trial and ANB101, a BDCA2 modulator, entering a Phase 1 trial. Anaptys has also discovered multiple therapeutic antibodies licensed to GSK in a financial collaboration for immuno-oncology, including a PD-1 antagonist (</w:t>
      </w:r>
      <w:r>
        <w:rPr>
          <w:rFonts w:ascii="Times New Roman" w:cs="Times New Roman" w:eastAsia="Times New Roman" w:hAnsi="Times New Roman"/>
          <w:sz w:val="19"/>
          <w:szCs w:val="19"/>
          <w:i w:val="1"/>
          <w:iCs w:val="1"/>
          <w:color w:val="auto"/>
        </w:rPr>
        <w:t>Jemperli</w:t>
      </w:r>
      <w:r>
        <w:rPr>
          <w:rFonts w:ascii="Times New Roman" w:cs="Times New Roman" w:eastAsia="Times New Roman" w:hAnsi="Times New Roman"/>
          <w:sz w:val="19"/>
          <w:szCs w:val="19"/>
          <w:color w:val="auto"/>
        </w:rPr>
        <w:t xml:space="preserve"> (dostarlimab-gxly)) and a TIM-3 antagonist (cobolimab, GSK4069889). To learn more, visit www.AnaptysBio.com or follow us on LinkedIn.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Private Securities Litigation Reform Act of 1995, including, but not limited to: the timing of the release of data from</w:t>
      </w:r>
    </w:p>
    <w:p>
      <w:pPr>
        <w:sectPr>
          <w:pgSz w:w="11900" w:h="16838" w:orient="portrait"/>
          <w:cols w:equalWidth="0" w:num="1">
            <w:col w:w="11200"/>
          </w:cols>
          <w:pgMar w:left="320" w:top="940" w:right="379" w:bottom="1440" w:gutter="0" w:footer="0" w:header="0"/>
        </w:sectPr>
      </w:pPr>
    </w:p>
    <w:bookmarkStart w:id="6" w:name="page7"/>
    <w:bookmarkEnd w:id="6"/>
    <w:p>
      <w:pPr>
        <w:spacing w:after="0" w:line="263" w:lineRule="auto"/>
        <w:rPr>
          <w:sz w:val="20"/>
          <w:szCs w:val="20"/>
          <w:color w:val="auto"/>
        </w:rPr>
      </w:pPr>
      <w:r>
        <w:rPr>
          <w:rFonts w:ascii="Times New Roman" w:cs="Times New Roman" w:eastAsia="Times New Roman" w:hAnsi="Times New Roman"/>
          <w:sz w:val="19"/>
          <w:szCs w:val="19"/>
          <w:color w:val="auto"/>
        </w:rPr>
        <w:t>the Company’s clinical trials, including rosnilimab’s full Phase 2b clinical trial data in rheumatoid arthritis and top-line Phase 2 clinical trial data in ulcerative colitis; whether current trends in full clinical data in rheumatoid arthritis will be maintained once complete data becomes available; whether positive clinical trial results in rosnilimab’s Phase 2b clinical trial in rheumatoid arthritis increases the likelihood of getting positive results from rosnilimab’s Phase 2 clinical trial in ulcerative colitis; timing of initiation of ANB101's Phase 1 clinical trial; the potential to receive any royalties or milestone payments from the Vanda Pharmaceuticals license agreement; the potential to receive any additional milestones and royalties from the GSK collaboration;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Montemarano</w:t>
      </w:r>
    </w:p>
    <w:p>
      <w:pPr>
        <w:spacing w:after="0" w:line="231" w:lineRule="auto"/>
        <w:rPr>
          <w:sz w:val="20"/>
          <w:szCs w:val="20"/>
          <w:color w:val="auto"/>
        </w:rPr>
      </w:pPr>
      <w:r>
        <w:rPr>
          <w:rFonts w:ascii="Times New Roman" w:cs="Times New Roman" w:eastAsia="Times New Roman" w:hAnsi="Times New Roman"/>
          <w:sz w:val="20"/>
          <w:szCs w:val="20"/>
          <w:color w:val="auto"/>
        </w:rPr>
        <w:t>Executive Director,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858.732.0178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investors@anaptysbio.com</w:t>
      </w:r>
    </w:p>
    <w:p>
      <w:pPr>
        <w:sectPr>
          <w:pgSz w:w="11900" w:h="16838" w:orient="portrait"/>
          <w:cols w:equalWidth="0" w:num="1">
            <w:col w:w="11220"/>
          </w:cols>
          <w:pgMar w:left="320" w:top="994"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5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07"/>
        </w:trPr>
        <w:tc>
          <w:tcPr>
            <w:tcW w:w="7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8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310,807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December 31, 2024</w:t>
            </w:r>
          </w:p>
        </w:tc>
        <w:tc>
          <w:tcPr>
            <w:tcW w:w="14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14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30,473 shares and 26,597 shares issued and outstanding at</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702,969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(614,096)</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235"/>
        </w:trPr>
        <w:tc>
          <w:tcPr>
            <w:tcW w:w="7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0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5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r>
      <w:tr>
        <w:trPr>
          <w:trHeight w:val="195"/>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17,157</w:t>
            </w:r>
          </w:p>
        </w:tc>
      </w:tr>
      <w:tr>
        <w:trPr>
          <w:trHeight w:val="19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132,283</w:t>
            </w:r>
          </w:p>
        </w:tc>
      </w:tr>
      <w:tr>
        <w:trPr>
          <w:trHeight w:val="213"/>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41,946</w:t>
            </w:r>
          </w:p>
        </w:tc>
      </w:tr>
      <w:tr>
        <w:trPr>
          <w:trHeight w:val="219"/>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w:t>
            </w:r>
          </w:p>
        </w:tc>
      </w:tr>
      <w:tr>
        <w:trPr>
          <w:trHeight w:val="207"/>
        </w:trPr>
        <w:tc>
          <w:tcPr>
            <w:tcW w:w="5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52,783</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51,140</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206,229</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181,568</w:t>
            </w:r>
          </w:p>
        </w:tc>
      </w:tr>
      <w:tr>
        <w:trPr>
          <w:trHeight w:val="212"/>
        </w:trPr>
        <w:tc>
          <w:tcPr>
            <w:tcW w:w="57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(164,411)</w:t>
            </w:r>
          </w:p>
        </w:tc>
      </w:tr>
      <w:tr>
        <w:trPr>
          <w:trHeight w:val="19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w:t>
            </w:r>
          </w:p>
        </w:tc>
      </w:tr>
      <w:tr>
        <w:trPr>
          <w:trHeight w:val="213"/>
        </w:trPr>
        <w:tc>
          <w:tcPr>
            <w:tcW w:w="5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interest expense for the sale of future royalties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(18,083)</w:t>
            </w:r>
          </w:p>
        </w:tc>
      </w:tr>
      <w:tr>
        <w:trPr>
          <w:trHeight w:val="219"/>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5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(163,623)</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7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(145,231)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(163,619)</w:t>
            </w:r>
          </w:p>
        </w:tc>
      </w:tr>
      <w:tr>
        <w:trPr>
          <w:trHeight w:val="19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Unrealized (loss) gain on available for sale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r>
      <w:tr>
        <w:trPr>
          <w:trHeight w:val="207"/>
        </w:trPr>
        <w:tc>
          <w:tcPr>
            <w:tcW w:w="57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(144,129)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(159,170)</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6"/>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57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5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3"/>
        </w:trPr>
        <w:tc>
          <w:tcPr>
            <w:tcW w:w="57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30,448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26,924</w:t>
            </w:r>
          </w:p>
        </w:tc>
      </w:tr>
      <w:tr>
        <w:trPr>
          <w:trHeight w:val="2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2025-02-27T15:50:19Z</dcterms:created>
  <dcterms:modified xsi:type="dcterms:W3CDTF">2025-02-27T15:50:19Z</dcterms:modified>
</cp:coreProperties>
</file>