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040"/>
        <w:spacing w:after="0"/>
        <w:rPr>
          <w:sz w:val="20"/>
          <w:szCs w:val="20"/>
          <w:color w:val="auto"/>
        </w:rPr>
      </w:pPr>
      <w:r>
        <w:rPr>
          <w:rFonts w:ascii="Arial" w:cs="Arial" w:eastAsia="Arial" w:hAnsi="Arial"/>
          <w:sz w:val="16"/>
          <w:szCs w:val="16"/>
          <w:b w:val="1"/>
          <w:bCs w:val="1"/>
          <w:color w:val="auto"/>
        </w:rPr>
        <w:t>UNITED STATES</w:t>
      </w:r>
    </w:p>
    <w:p>
      <w:pPr>
        <w:spacing w:after="0" w:line="19" w:lineRule="exact"/>
        <w:rPr>
          <w:sz w:val="24"/>
          <w:szCs w:val="24"/>
          <w:color w:val="auto"/>
        </w:rPr>
      </w:pPr>
    </w:p>
    <w:p>
      <w:pPr>
        <w:ind w:left="3980"/>
        <w:spacing w:after="0"/>
        <w:rPr>
          <w:sz w:val="20"/>
          <w:szCs w:val="20"/>
          <w:color w:val="auto"/>
        </w:rPr>
      </w:pPr>
      <w:r>
        <w:rPr>
          <w:rFonts w:ascii="Arial" w:cs="Arial" w:eastAsia="Arial" w:hAnsi="Arial"/>
          <w:sz w:val="16"/>
          <w:szCs w:val="16"/>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18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FORM 8-K</w:t>
      </w:r>
    </w:p>
    <w:p>
      <w:pPr>
        <w:spacing w:after="0" w:line="18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CURRENT REPORT PURSUANT TO</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SECTION 13 OR 15(d) OF THE SECURITIES EXCHANGE ACT OF 1934</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Date of Report: October 9, 2023</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(Date of earliest event reported)</w:t>
      </w:r>
    </w:p>
    <w:p>
      <w:pPr>
        <w:spacing w:after="0" w:line="18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ANAPTYSBIO, INC.</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Charter)</w:t>
      </w:r>
    </w:p>
    <w:p>
      <w:pPr>
        <w:sectPr>
          <w:pgSz w:w="11900" w:h="16838" w:orient="portrait"/>
          <w:cols w:equalWidth="0" w:num="1">
            <w:col w:w="11280"/>
          </w:cols>
          <w:pgMar w:left="300" w:top="1224" w:right="319" w:bottom="1440" w:gutter="0" w:footer="0" w:header="0"/>
        </w:sectPr>
      </w:pPr>
    </w:p>
    <w:p>
      <w:pPr>
        <w:spacing w:after="0" w:line="212" w:lineRule="exact"/>
        <w:rPr>
          <w:sz w:val="24"/>
          <w:szCs w:val="24"/>
          <w:color w:val="auto"/>
        </w:rPr>
      </w:pPr>
    </w:p>
    <w:p>
      <w:pPr>
        <w:ind w:left="166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jc w:val="center"/>
        <w:ind w:right="2240"/>
        <w:spacing w:after="0"/>
        <w:rPr>
          <w:sz w:val="20"/>
          <w:szCs w:val="20"/>
          <w:color w:val="auto"/>
        </w:rPr>
      </w:pPr>
      <w:r>
        <w:rPr>
          <w:rFonts w:ascii="Arial" w:cs="Arial" w:eastAsia="Arial" w:hAnsi="Arial"/>
          <w:sz w:val="14"/>
          <w:szCs w:val="14"/>
          <w:b w:val="1"/>
          <w:bCs w:val="1"/>
          <w:color w:val="auto"/>
        </w:rPr>
        <w:t>001-37985</w:t>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20-3828755</w:t>
      </w:r>
    </w:p>
    <w:p>
      <w:pPr>
        <w:spacing w:after="0" w:line="58" w:lineRule="exact"/>
        <w:rPr>
          <w:sz w:val="24"/>
          <w:szCs w:val="24"/>
          <w:color w:val="auto"/>
        </w:rPr>
      </w:pPr>
    </w:p>
    <w:p>
      <w:pPr>
        <w:sectPr>
          <w:pgSz w:w="11900" w:h="16838" w:orient="portrait"/>
          <w:cols w:equalWidth="0" w:num="3">
            <w:col w:w="4620" w:space="720"/>
            <w:col w:w="2920" w:space="720"/>
            <w:col w:w="2300"/>
          </w:cols>
          <w:pgMar w:left="300" w:top="1224" w:right="319" w:bottom="1440" w:gutter="0" w:footer="0" w:header="0"/>
          <w:type w:val="continuous"/>
        </w:sectPr>
      </w:pPr>
    </w:p>
    <w:p>
      <w:pPr>
        <w:ind w:left="580"/>
        <w:spacing w:after="0"/>
        <w:rPr>
          <w:sz w:val="20"/>
          <w:szCs w:val="20"/>
          <w:color w:val="auto"/>
        </w:rPr>
      </w:pPr>
      <w:r>
        <w:rPr>
          <w:rFonts w:ascii="Arial" w:cs="Arial" w:eastAsia="Arial" w:hAnsi="Arial"/>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 Identification No.)</w:t>
      </w:r>
    </w:p>
    <w:p>
      <w:pPr>
        <w:spacing w:after="0" w:line="200" w:lineRule="exact"/>
        <w:rPr>
          <w:sz w:val="24"/>
          <w:szCs w:val="24"/>
          <w:color w:val="auto"/>
        </w:rPr>
      </w:pPr>
    </w:p>
    <w:p>
      <w:pPr>
        <w:sectPr>
          <w:pgSz w:w="11900" w:h="16838" w:orient="portrait"/>
          <w:cols w:equalWidth="0" w:num="3">
            <w:col w:w="4100" w:space="720"/>
            <w:col w:w="2740" w:space="720"/>
            <w:col w:w="3000"/>
          </w:cols>
          <w:pgMar w:left="300" w:top="1224" w:right="319" w:bottom="1440" w:gutter="0" w:footer="0" w:header="0"/>
          <w:type w:val="continuous"/>
        </w:sectPr>
      </w:pPr>
    </w:p>
    <w:p>
      <w:pPr>
        <w:spacing w:after="0" w:line="79" w:lineRule="exact"/>
        <w:rPr>
          <w:sz w:val="24"/>
          <w:szCs w:val="24"/>
          <w:color w:val="auto"/>
        </w:rPr>
      </w:pPr>
    </w:p>
    <w:p>
      <w:pPr>
        <w:ind w:left="4500"/>
        <w:spacing w:after="0"/>
        <w:rPr>
          <w:sz w:val="20"/>
          <w:szCs w:val="20"/>
          <w:color w:val="auto"/>
        </w:rPr>
      </w:pPr>
      <w:r>
        <w:rPr>
          <w:rFonts w:ascii="Arial" w:cs="Arial" w:eastAsia="Arial" w:hAnsi="Arial"/>
          <w:sz w:val="14"/>
          <w:szCs w:val="14"/>
          <w:b w:val="1"/>
          <w:bCs w:val="1"/>
          <w:color w:val="auto"/>
        </w:rPr>
        <w:t>10770 Wateridge Circle, Suite 210,</w:t>
      </w:r>
    </w:p>
    <w:p>
      <w:pPr>
        <w:spacing w:after="0" w:line="40" w:lineRule="exact"/>
        <w:rPr>
          <w:sz w:val="24"/>
          <w:szCs w:val="24"/>
          <w:color w:val="auto"/>
        </w:rPr>
      </w:pPr>
    </w:p>
    <w:p>
      <w:pPr>
        <w:ind w:left="4940"/>
        <w:spacing w:after="0"/>
        <w:rPr>
          <w:sz w:val="20"/>
          <w:szCs w:val="20"/>
          <w:color w:val="auto"/>
        </w:rPr>
      </w:pPr>
      <w:r>
        <w:rPr>
          <w:rFonts w:ascii="Arial" w:cs="Arial" w:eastAsia="Arial" w:hAnsi="Arial"/>
          <w:sz w:val="16"/>
          <w:szCs w:val="16"/>
          <w:b w:val="1"/>
          <w:bCs w:val="1"/>
          <w:color w:val="auto"/>
        </w:rPr>
        <w:t>San Diego, CA 92121</w:t>
      </w:r>
    </w:p>
    <w:p>
      <w:pPr>
        <w:jc w:val="center"/>
        <w:spacing w:after="0"/>
        <w:rPr>
          <w:sz w:val="20"/>
          <w:szCs w:val="20"/>
          <w:color w:val="auto"/>
        </w:rPr>
      </w:pPr>
      <w:r>
        <w:rPr>
          <w:rFonts w:ascii="Arial" w:cs="Arial" w:eastAsia="Arial" w:hAnsi="Arial"/>
          <w:sz w:val="11"/>
          <w:szCs w:val="11"/>
          <w:color w:val="auto"/>
        </w:rPr>
        <w:t>(Address of Principal Executive Offices, and Zip Code)</w:t>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(858) 362-6295</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(Registrant’s Telephone Number, Including Area Code)</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Not Applicable</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0"/>
          <w:szCs w:val="10"/>
          <w:color w:val="auto"/>
        </w:rPr>
        <w:t>(Former name or former address, if changed since last report.)</w:t>
      </w:r>
    </w:p>
    <w:p>
      <w:pPr>
        <w:sectPr>
          <w:pgSz w:w="11900" w:h="16838" w:orient="portrait"/>
          <w:cols w:equalWidth="0" w:num="1">
            <w:col w:w="11280"/>
          </w:cols>
          <w:pgMar w:left="300" w:top="1224" w:right="319" w:bottom="1440" w:gutter="0" w:footer="0" w:header="0"/>
          <w:type w:val="continuous"/>
        </w:sectPr>
      </w:pPr>
    </w:p>
    <w:p>
      <w:pPr>
        <w:spacing w:after="0" w:line="208" w:lineRule="exact"/>
        <w:rPr>
          <w:sz w:val="24"/>
          <w:szCs w:val="24"/>
          <w:color w:val="auto"/>
        </w:rPr>
      </w:pPr>
    </w:p>
    <w:p>
      <w:pPr>
        <w:spacing w:after="0"/>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of the registrant under any of the following provisions (see General Instruction A.2.</w:t>
      </w:r>
    </w:p>
    <w:p>
      <w:pPr>
        <w:spacing w:after="0" w:line="31" w:lineRule="exact"/>
        <w:rPr>
          <w:sz w:val="24"/>
          <w:szCs w:val="24"/>
          <w:color w:val="auto"/>
        </w:rPr>
      </w:pPr>
    </w:p>
    <w:p>
      <w:pPr>
        <w:spacing w:after="0"/>
        <w:rPr>
          <w:sz w:val="20"/>
          <w:szCs w:val="20"/>
          <w:color w:val="auto"/>
        </w:rPr>
      </w:pPr>
      <w:r>
        <w:rPr>
          <w:rFonts w:ascii="Arial" w:cs="Arial" w:eastAsia="Arial" w:hAnsi="Arial"/>
          <w:sz w:val="14"/>
          <w:szCs w:val="14"/>
          <w:color w:val="auto"/>
        </w:rPr>
        <w:t>below):</w:t>
      </w:r>
    </w:p>
    <w:p>
      <w:pPr>
        <w:spacing w:after="0" w:line="154" w:lineRule="exact"/>
        <w:rPr>
          <w:sz w:val="24"/>
          <w:szCs w:val="24"/>
          <w:color w:val="auto"/>
        </w:rPr>
      </w:pPr>
    </w:p>
    <w:p>
      <w:pPr>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Written communication pursuant to Rule 425 under the Securities Act (17 CFR 230.425)</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Soliciting material pursuant to Rule 14a-12 under the Exchange Act (17 CFR 240.14a-12)</w:t>
      </w:r>
    </w:p>
    <w:p>
      <w:pPr>
        <w:spacing w:after="0" w:line="4" w:lineRule="exact"/>
        <w:rPr>
          <w:sz w:val="24"/>
          <w:szCs w:val="24"/>
          <w:color w:val="auto"/>
        </w:rPr>
      </w:pPr>
    </w:p>
    <w:p>
      <w:pPr>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Pre-commencement communication pursuant to Rule 14d-2(b) under the Exchange Act (17 CFR 240.14d-2(b))</w:t>
      </w:r>
    </w:p>
    <w:p>
      <w:pPr>
        <w:spacing w:after="0" w:line="14" w:lineRule="exact"/>
        <w:rPr>
          <w:sz w:val="24"/>
          <w:szCs w:val="24"/>
          <w:color w:val="auto"/>
        </w:rPr>
      </w:pPr>
    </w:p>
    <w:p>
      <w:pPr>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Pre-commencement communication pursuant to Rule 13e-4(c) under the Exchange Act (17 CFR 240.13e-4(c))</w:t>
      </w:r>
    </w:p>
    <w:p>
      <w:pPr>
        <w:spacing w:after="0" w:line="82"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95" w:lineRule="exact"/>
        <w:rPr>
          <w:sz w:val="24"/>
          <w:szCs w:val="24"/>
          <w:color w:val="auto"/>
        </w:rPr>
      </w:pPr>
    </w:p>
    <w:tbl>
      <w:tblPr>
        <w:tblLayout w:type="fixed"/>
        <w:tblInd w:w="190" w:type="dxa"/>
        <w:tblCellMar>
          <w:top w:w="0" w:type="dxa"/>
          <w:left w:w="0" w:type="dxa"/>
          <w:bottom w:w="0" w:type="dxa"/>
          <w:right w:w="0" w:type="dxa"/>
        </w:tblCellMar>
      </w:tblPr>
      <w:tr>
        <w:trPr>
          <w:trHeight w:val="191"/>
        </w:trPr>
        <w:tc>
          <w:tcPr>
            <w:tcW w:w="40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Title of each class</w:t>
            </w:r>
          </w:p>
        </w:tc>
        <w:tc>
          <w:tcPr>
            <w:tcW w:w="2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Trading Symbol(s)</w:t>
            </w:r>
          </w:p>
        </w:tc>
        <w:tc>
          <w:tcPr>
            <w:tcW w:w="4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Name of each exchange on which registered</w:t>
            </w:r>
          </w:p>
        </w:tc>
      </w:tr>
      <w:tr>
        <w:trPr>
          <w:trHeight w:val="32"/>
        </w:trPr>
        <w:tc>
          <w:tcPr>
            <w:tcW w:w="400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860" w:type="dxa"/>
            <w:vAlign w:val="bottom"/>
            <w:tcBorders>
              <w:bottom w:val="single" w:sz="8" w:color="auto"/>
              <w:right w:val="single" w:sz="8" w:color="auto"/>
            </w:tcBorders>
          </w:tcPr>
          <w:p>
            <w:pPr>
              <w:spacing w:after="0"/>
              <w:rPr>
                <w:sz w:val="2"/>
                <w:szCs w:val="2"/>
                <w:color w:val="auto"/>
              </w:rPr>
            </w:pPr>
          </w:p>
        </w:tc>
      </w:tr>
      <w:tr>
        <w:trPr>
          <w:trHeight w:val="171"/>
        </w:trPr>
        <w:tc>
          <w:tcPr>
            <w:tcW w:w="40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Common Stock, par value $0.001 per share</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ANAB</w:t>
            </w:r>
          </w:p>
        </w:tc>
        <w:tc>
          <w:tcPr>
            <w:tcW w:w="4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The Nasdaq Stock Market LLC</w:t>
            </w:r>
          </w:p>
        </w:tc>
      </w:tr>
      <w:tr>
        <w:trPr>
          <w:trHeight w:val="32"/>
        </w:trPr>
        <w:tc>
          <w:tcPr>
            <w:tcW w:w="400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860" w:type="dxa"/>
            <w:vAlign w:val="bottom"/>
            <w:tcBorders>
              <w:bottom w:val="single" w:sz="8" w:color="auto"/>
              <w:right w:val="single" w:sz="8" w:color="auto"/>
            </w:tcBorders>
          </w:tcPr>
          <w:p>
            <w:pPr>
              <w:spacing w:after="0"/>
              <w:rPr>
                <w:sz w:val="2"/>
                <w:szCs w:val="2"/>
                <w:color w:val="auto"/>
              </w:rPr>
            </w:pPr>
          </w:p>
        </w:tc>
      </w:tr>
    </w:tbl>
    <w:p>
      <w:pPr>
        <w:spacing w:after="0" w:line="233" w:lineRule="exact"/>
        <w:rPr>
          <w:sz w:val="24"/>
          <w:szCs w:val="24"/>
          <w:color w:val="auto"/>
        </w:rPr>
      </w:pPr>
    </w:p>
    <w:p>
      <w:pPr>
        <w:ind w:right="100"/>
        <w:spacing w:after="0" w:line="265"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129" w:lineRule="exact"/>
        <w:rPr>
          <w:sz w:val="24"/>
          <w:szCs w:val="24"/>
          <w:color w:val="auto"/>
        </w:rPr>
      </w:pPr>
    </w:p>
    <w:p>
      <w:pPr>
        <w:ind w:left="9580"/>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258" w:lineRule="exact"/>
        <w:rPr>
          <w:sz w:val="24"/>
          <w:szCs w:val="24"/>
          <w:color w:val="auto"/>
        </w:rPr>
      </w:pPr>
    </w:p>
    <w:p>
      <w:pPr>
        <w:ind w:right="220"/>
        <w:spacing w:after="0" w:line="18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674370</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4" w:right="319" w:bottom="1440" w:gutter="0" w:footer="0" w:header="0"/>
          <w:type w:val="continuous"/>
        </w:sectPr>
      </w:pPr>
    </w:p>
    <w:bookmarkStart w:id="1" w:name="page2"/>
    <w:bookmarkEnd w:id="1"/>
    <w:p>
      <w:pPr>
        <w:spacing w:after="0"/>
        <w:tabs>
          <w:tab w:leader="none" w:pos="760" w:val="left"/>
        </w:tabs>
        <w:rPr>
          <w:sz w:val="20"/>
          <w:szCs w:val="20"/>
          <w:color w:val="auto"/>
        </w:rPr>
      </w:pPr>
      <w:r>
        <w:rPr>
          <w:rFonts w:ascii="Arial" w:cs="Arial" w:eastAsia="Arial" w:hAnsi="Arial"/>
          <w:sz w:val="16"/>
          <w:szCs w:val="16"/>
          <w:b w:val="1"/>
          <w:bCs w:val="1"/>
          <w:color w:val="auto"/>
        </w:rPr>
        <w:t>Item 7.01</w:t>
      </w:r>
      <w:r>
        <w:rPr>
          <w:sz w:val="20"/>
          <w:szCs w:val="20"/>
          <w:color w:val="auto"/>
        </w:rPr>
        <w:tab/>
      </w:r>
      <w:r>
        <w:rPr>
          <w:rFonts w:ascii="Arial" w:cs="Arial" w:eastAsia="Arial" w:hAnsi="Arial"/>
          <w:sz w:val="14"/>
          <w:szCs w:val="14"/>
          <w:b w:val="1"/>
          <w:bCs w:val="1"/>
          <w:color w:val="auto"/>
        </w:rPr>
        <w:t>Regulation FD.</w:t>
      </w:r>
    </w:p>
    <w:p>
      <w:pPr>
        <w:spacing w:after="0" w:line="172" w:lineRule="exact"/>
        <w:rPr>
          <w:sz w:val="20"/>
          <w:szCs w:val="20"/>
          <w:color w:val="auto"/>
        </w:rPr>
      </w:pPr>
    </w:p>
    <w:p>
      <w:pPr>
        <w:ind w:right="300"/>
        <w:spacing w:after="0" w:line="265" w:lineRule="auto"/>
        <w:rPr>
          <w:sz w:val="20"/>
          <w:szCs w:val="20"/>
          <w:color w:val="auto"/>
        </w:rPr>
      </w:pPr>
      <w:r>
        <w:rPr>
          <w:rFonts w:ascii="Arial" w:cs="Arial" w:eastAsia="Arial" w:hAnsi="Arial"/>
          <w:sz w:val="16"/>
          <w:szCs w:val="16"/>
          <w:color w:val="auto"/>
        </w:rPr>
        <w:t>On October 9, 2023, AnaptysBio, Inc. issued a press release announcing positive top-line phase 3 clinical trial results of Imsidolimab (IL-36R) in Generalized Pustular Psoriasis (GPP). A copy of the press release is attached as Exhibit 99.1 to this report and incorporated herein by reference.</w:t>
      </w:r>
    </w:p>
    <w:p>
      <w:pPr>
        <w:spacing w:after="0" w:line="135" w:lineRule="exact"/>
        <w:rPr>
          <w:sz w:val="20"/>
          <w:szCs w:val="20"/>
          <w:color w:val="auto"/>
        </w:rPr>
      </w:pPr>
    </w:p>
    <w:p>
      <w:pPr>
        <w:ind w:right="60"/>
        <w:spacing w:after="0" w:line="294" w:lineRule="auto"/>
        <w:rPr>
          <w:sz w:val="20"/>
          <w:szCs w:val="20"/>
          <w:color w:val="auto"/>
        </w:rPr>
      </w:pPr>
      <w:r>
        <w:rPr>
          <w:rFonts w:ascii="Arial" w:cs="Arial" w:eastAsia="Arial" w:hAnsi="Arial"/>
          <w:sz w:val="14"/>
          <w:szCs w:val="14"/>
          <w:color w:val="auto"/>
        </w:rPr>
        <w:t>The information within this report, including Exhibit 99.1 to this Current Report on Form 8-K, shall not be deemed to be “filed” for purposes of Section 18 of the Securities Exchange Act of 1934, as amended, or otherwise subject to the liabilities of that section or Sections 11 and 12(a)(2) of the Securities Act of 1933, as amended. The information contained in this report and in the accompanying Exhibit 99.1 shall not be incorporated by reference into any registration statement or other document filed by AnaptysBio with the Securities and Exchange Commission, whether made before or after the date of this Current Report on Form 8-K, regardless of any general incorporation language in such filing (or any reference to this Current Report on Form 8-K generally), except as shall be expressly set forth by specific reference in such filing.</w:t>
      </w:r>
    </w:p>
    <w:p>
      <w:pPr>
        <w:spacing w:after="0" w:line="133" w:lineRule="exact"/>
        <w:rPr>
          <w:sz w:val="20"/>
          <w:szCs w:val="20"/>
          <w:color w:val="auto"/>
        </w:rPr>
      </w:pPr>
    </w:p>
    <w:p>
      <w:pPr>
        <w:spacing w:after="0"/>
        <w:tabs>
          <w:tab w:leader="none" w:pos="840" w:val="left"/>
        </w:tabs>
        <w:rPr>
          <w:sz w:val="20"/>
          <w:szCs w:val="20"/>
          <w:color w:val="auto"/>
        </w:rPr>
      </w:pPr>
      <w:r>
        <w:rPr>
          <w:rFonts w:ascii="Arial" w:cs="Arial" w:eastAsia="Arial" w:hAnsi="Arial"/>
          <w:sz w:val="16"/>
          <w:szCs w:val="16"/>
          <w:b w:val="1"/>
          <w:bCs w:val="1"/>
          <w:color w:val="auto"/>
        </w:rPr>
        <w:t>Item 9.01.</w:t>
      </w:r>
      <w:r>
        <w:rPr>
          <w:sz w:val="20"/>
          <w:szCs w:val="20"/>
          <w:color w:val="auto"/>
        </w:rPr>
        <w:tab/>
      </w:r>
      <w:r>
        <w:rPr>
          <w:rFonts w:ascii="Arial" w:cs="Arial" w:eastAsia="Arial" w:hAnsi="Arial"/>
          <w:sz w:val="14"/>
          <w:szCs w:val="14"/>
          <w:b w:val="1"/>
          <w:bCs w:val="1"/>
          <w:color w:val="auto"/>
        </w:rPr>
        <w:t>Financial Statements and Exhibits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800" w:type="dxa"/>
            <w:vAlign w:val="bottom"/>
            <w:gridSpan w:val="3"/>
          </w:tcPr>
          <w:p>
            <w:pPr>
              <w:spacing w:after="0"/>
              <w:rPr>
                <w:sz w:val="20"/>
                <w:szCs w:val="20"/>
                <w:color w:val="auto"/>
              </w:rPr>
            </w:pPr>
            <w:r>
              <w:rPr>
                <w:rFonts w:ascii="Arial" w:cs="Arial" w:eastAsia="Arial" w:hAnsi="Arial"/>
                <w:sz w:val="16"/>
                <w:szCs w:val="16"/>
                <w:color w:val="auto"/>
              </w:rPr>
              <w:t>(d) Exhibits</w:t>
            </w:r>
          </w:p>
        </w:tc>
        <w:tc>
          <w:tcPr>
            <w:tcW w:w="9480" w:type="dxa"/>
            <w:vAlign w:val="bottom"/>
          </w:tcPr>
          <w:p>
            <w:pPr>
              <w:spacing w:after="0"/>
              <w:rPr>
                <w:sz w:val="17"/>
                <w:szCs w:val="17"/>
                <w:color w:val="auto"/>
              </w:rPr>
            </w:pPr>
          </w:p>
        </w:tc>
      </w:tr>
      <w:tr>
        <w:trPr>
          <w:trHeight w:val="424"/>
        </w:trPr>
        <w:tc>
          <w:tcPr>
            <w:tcW w:w="20" w:type="dxa"/>
            <w:vAlign w:val="bottom"/>
          </w:tcPr>
          <w:p>
            <w:pPr>
              <w:spacing w:after="0"/>
              <w:rPr>
                <w:sz w:val="24"/>
                <w:szCs w:val="24"/>
                <w:color w:val="auto"/>
              </w:rPr>
            </w:pPr>
          </w:p>
        </w:tc>
        <w:tc>
          <w:tcPr>
            <w:tcW w:w="1780" w:type="dxa"/>
            <w:vAlign w:val="bottom"/>
            <w:gridSpan w:val="2"/>
          </w:tcPr>
          <w:p>
            <w:pPr>
              <w:spacing w:after="0"/>
              <w:rPr>
                <w:sz w:val="20"/>
                <w:szCs w:val="20"/>
                <w:color w:val="auto"/>
              </w:rPr>
            </w:pPr>
            <w:r>
              <w:rPr>
                <w:rFonts w:ascii="Arial" w:cs="Arial" w:eastAsia="Arial" w:hAnsi="Arial"/>
                <w:sz w:val="16"/>
                <w:szCs w:val="16"/>
                <w:b w:val="1"/>
                <w:bCs w:val="1"/>
                <w:color w:val="auto"/>
              </w:rPr>
              <w:t>Exhibit Number</w:t>
            </w:r>
          </w:p>
        </w:tc>
        <w:tc>
          <w:tcPr>
            <w:tcW w:w="9480" w:type="dxa"/>
            <w:vAlign w:val="bottom"/>
          </w:tcPr>
          <w:p>
            <w:pPr>
              <w:ind w:left="680"/>
              <w:spacing w:after="0"/>
              <w:rPr>
                <w:sz w:val="20"/>
                <w:szCs w:val="20"/>
                <w:color w:val="auto"/>
              </w:rPr>
            </w:pPr>
            <w:r>
              <w:rPr>
                <w:rFonts w:ascii="Arial" w:cs="Arial" w:eastAsia="Arial" w:hAnsi="Arial"/>
                <w:sz w:val="16"/>
                <w:szCs w:val="16"/>
                <w:b w:val="1"/>
                <w:bCs w:val="1"/>
                <w:color w:val="auto"/>
              </w:rPr>
              <w:t>Exhibit Title or Description</w:t>
            </w:r>
          </w:p>
        </w:tc>
      </w:tr>
      <w:tr>
        <w:trPr>
          <w:trHeight w:val="187"/>
        </w:trPr>
        <w:tc>
          <w:tcPr>
            <w:tcW w:w="1800" w:type="dxa"/>
            <w:vAlign w:val="bottom"/>
            <w:gridSpan w:val="3"/>
          </w:tcPr>
          <w:p>
            <w:pPr>
              <w:ind w:left="20"/>
              <w:spacing w:after="0"/>
              <w:rPr>
                <w:sz w:val="20"/>
                <w:szCs w:val="20"/>
                <w:color w:val="auto"/>
              </w:rPr>
            </w:pPr>
            <w:r>
              <w:rPr>
                <w:rFonts w:ascii="Arial" w:cs="Arial" w:eastAsia="Arial" w:hAnsi="Arial"/>
                <w:sz w:val="16"/>
                <w:szCs w:val="16"/>
                <w:color w:val="0000FF"/>
              </w:rPr>
              <w:t>99.</w:t>
            </w:r>
            <w:r>
              <w:rPr>
                <w:rFonts w:ascii="Arial" w:cs="Arial" w:eastAsia="Arial" w:hAnsi="Arial"/>
                <w:sz w:val="16"/>
                <w:szCs w:val="16"/>
                <w:u w:val="single" w:color="auto"/>
                <w:color w:val="0000FF"/>
              </w:rPr>
              <w:t>1</w:t>
            </w:r>
          </w:p>
        </w:tc>
        <w:tc>
          <w:tcPr>
            <w:tcW w:w="9480" w:type="dxa"/>
            <w:vAlign w:val="bottom"/>
          </w:tcPr>
          <w:p>
            <w:pPr>
              <w:ind w:left="680"/>
              <w:spacing w:after="0"/>
              <w:rPr>
                <w:sz w:val="20"/>
                <w:szCs w:val="20"/>
                <w:color w:val="auto"/>
              </w:rPr>
            </w:pPr>
            <w:r>
              <w:rPr>
                <w:rFonts w:ascii="Arial" w:cs="Arial" w:eastAsia="Arial" w:hAnsi="Arial"/>
                <w:sz w:val="16"/>
                <w:szCs w:val="16"/>
                <w:color w:val="auto"/>
              </w:rPr>
              <w:t>Press release issued by AnaptysBio, Inc. regarding Imsidolimab top-line phase 3 data, dated October 9, 2023.</w:t>
            </w:r>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480" w:type="dxa"/>
            <w:vAlign w:val="bottom"/>
          </w:tcPr>
          <w:p>
            <w:pPr>
              <w:spacing w:after="0" w:line="20" w:lineRule="exact"/>
              <w:rPr>
                <w:sz w:val="1"/>
                <w:szCs w:val="1"/>
                <w:color w:val="auto"/>
              </w:rPr>
            </w:pPr>
          </w:p>
        </w:tc>
      </w:tr>
      <w:tr>
        <w:trPr>
          <w:trHeight w:val="238"/>
        </w:trPr>
        <w:tc>
          <w:tcPr>
            <w:tcW w:w="300" w:type="dxa"/>
            <w:vAlign w:val="bottom"/>
            <w:gridSpan w:val="2"/>
          </w:tcPr>
          <w:p>
            <w:pPr>
              <w:ind w:left="20"/>
              <w:spacing w:after="0"/>
              <w:rPr>
                <w:sz w:val="20"/>
                <w:szCs w:val="20"/>
                <w:color w:val="auto"/>
              </w:rPr>
            </w:pPr>
            <w:r>
              <w:rPr>
                <w:rFonts w:ascii="Arial" w:cs="Arial" w:eastAsia="Arial" w:hAnsi="Arial"/>
                <w:sz w:val="16"/>
                <w:szCs w:val="16"/>
                <w:color w:val="auto"/>
                <w:w w:val="97"/>
              </w:rPr>
              <w:t>104</w:t>
            </w:r>
          </w:p>
        </w:tc>
        <w:tc>
          <w:tcPr>
            <w:tcW w:w="1500" w:type="dxa"/>
            <w:vAlign w:val="bottom"/>
          </w:tcPr>
          <w:p>
            <w:pPr>
              <w:spacing w:after="0"/>
              <w:rPr>
                <w:sz w:val="20"/>
                <w:szCs w:val="20"/>
                <w:color w:val="auto"/>
              </w:rPr>
            </w:pPr>
          </w:p>
        </w:tc>
        <w:tc>
          <w:tcPr>
            <w:tcW w:w="9480" w:type="dxa"/>
            <w:vAlign w:val="bottom"/>
          </w:tcPr>
          <w:p>
            <w:pPr>
              <w:ind w:left="680"/>
              <w:spacing w:after="0"/>
              <w:rPr>
                <w:sz w:val="20"/>
                <w:szCs w:val="20"/>
                <w:color w:val="auto"/>
              </w:rPr>
            </w:pPr>
            <w:r>
              <w:rPr>
                <w:rFonts w:ascii="Arial" w:cs="Arial" w:eastAsia="Arial" w:hAnsi="Arial"/>
                <w:sz w:val="16"/>
                <w:szCs w:val="16"/>
                <w:color w:val="auto"/>
              </w:rPr>
              <w:t>Cover Page Interactive Data File (the cover page XBRL tags are embedded within the inline XBRL document).</w:t>
            </w:r>
          </w:p>
        </w:tc>
      </w:tr>
      <w:tr>
        <w:trPr>
          <w:trHeight w:val="2395"/>
        </w:trPr>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9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14"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SIGNATURES</w:t>
      </w:r>
    </w:p>
    <w:p>
      <w:pPr>
        <w:spacing w:after="0" w:line="130"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400" w:lineRule="exact"/>
        <w:rPr>
          <w:sz w:val="20"/>
          <w:szCs w:val="20"/>
          <w:color w:val="auto"/>
        </w:rPr>
      </w:pPr>
    </w:p>
    <w:p>
      <w:pPr>
        <w:ind w:left="4240"/>
        <w:spacing w:after="0"/>
        <w:rPr>
          <w:sz w:val="20"/>
          <w:szCs w:val="20"/>
          <w:color w:val="auto"/>
        </w:rPr>
      </w:pPr>
      <w:r>
        <w:rPr>
          <w:rFonts w:ascii="Arial" w:cs="Arial" w:eastAsia="Arial" w:hAnsi="Arial"/>
          <w:sz w:val="16"/>
          <w:szCs w:val="16"/>
          <w:color w:val="auto"/>
        </w:rPr>
        <w:t>AnaptysBio, Inc.</w:t>
      </w:r>
    </w:p>
    <w:p>
      <w:pPr>
        <w:spacing w:after="0" w:line="18" w:lineRule="exact"/>
        <w:rPr>
          <w:sz w:val="20"/>
          <w:szCs w:val="20"/>
          <w:color w:val="auto"/>
        </w:rPr>
      </w:pPr>
    </w:p>
    <w:p>
      <w:pPr>
        <w:ind w:left="20"/>
        <w:spacing w:after="0"/>
        <w:tabs>
          <w:tab w:leader="none" w:pos="4220" w:val="left"/>
          <w:tab w:leader="none" w:pos="4780" w:val="left"/>
        </w:tabs>
        <w:rPr>
          <w:sz w:val="20"/>
          <w:szCs w:val="20"/>
          <w:color w:val="auto"/>
        </w:rPr>
      </w:pPr>
      <w:r>
        <w:rPr>
          <w:rFonts w:ascii="Arial" w:cs="Arial" w:eastAsia="Arial" w:hAnsi="Arial"/>
          <w:sz w:val="16"/>
          <w:szCs w:val="16"/>
          <w:color w:val="auto"/>
        </w:rPr>
        <w:t>Date: October 10, 2023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Dennis Mulroy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3041650</wp:posOffset>
            </wp:positionH>
            <wp:positionV relativeFrom="paragraph">
              <wp:posOffset>12700</wp:posOffset>
            </wp:positionV>
            <wp:extent cx="412305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123055" cy="6985"/>
                    </a:xfrm>
                    <a:prstGeom prst="rect">
                      <a:avLst/>
                    </a:prstGeom>
                    <a:noFill/>
                  </pic:spPr>
                </pic:pic>
              </a:graphicData>
            </a:graphic>
          </wp:anchor>
        </w:drawing>
      </w:r>
    </w:p>
    <w:p>
      <w:pPr>
        <w:spacing w:after="0" w:line="19" w:lineRule="exact"/>
        <w:rPr>
          <w:sz w:val="20"/>
          <w:szCs w:val="20"/>
          <w:color w:val="auto"/>
        </w:rPr>
      </w:pPr>
    </w:p>
    <w:p>
      <w:pPr>
        <w:ind w:left="4800"/>
        <w:spacing w:after="0"/>
        <w:rPr>
          <w:sz w:val="20"/>
          <w:szCs w:val="20"/>
          <w:color w:val="auto"/>
        </w:rPr>
      </w:pPr>
      <w:r>
        <w:rPr>
          <w:rFonts w:ascii="Arial" w:cs="Arial" w:eastAsia="Arial" w:hAnsi="Arial"/>
          <w:sz w:val="16"/>
          <w:szCs w:val="16"/>
          <w:color w:val="auto"/>
        </w:rPr>
        <w:t>Name: Dennis Mulroy</w:t>
      </w:r>
    </w:p>
    <w:p>
      <w:pPr>
        <w:spacing w:after="0" w:line="28" w:lineRule="exact"/>
        <w:rPr>
          <w:sz w:val="20"/>
          <w:szCs w:val="20"/>
          <w:color w:val="auto"/>
        </w:rPr>
      </w:pPr>
    </w:p>
    <w:p>
      <w:pPr>
        <w:ind w:left="4800"/>
        <w:spacing w:after="0"/>
        <w:rPr>
          <w:sz w:val="20"/>
          <w:szCs w:val="20"/>
          <w:color w:val="auto"/>
        </w:rPr>
      </w:pPr>
      <w:r>
        <w:rPr>
          <w:rFonts w:ascii="Arial" w:cs="Arial" w:eastAsia="Arial" w:hAnsi="Arial"/>
          <w:sz w:val="16"/>
          <w:szCs w:val="16"/>
          <w:color w:val="auto"/>
        </w:rPr>
        <w:t>Title: Chief Financial Officer</w:t>
      </w:r>
    </w:p>
    <w:p>
      <w:pPr>
        <w:sectPr>
          <w:pgSz w:w="11900" w:h="16838" w:orient="portrait"/>
          <w:cols w:equalWidth="0" w:num="1">
            <w:col w:w="11280"/>
          </w:cols>
          <w:pgMar w:left="300" w:top="1139" w:right="31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2023-10-10T08:10:47Z</dcterms:created>
  <dcterms:modified xsi:type="dcterms:W3CDTF">2023-10-10T08:10:47Z</dcterms:modified>
</cp:coreProperties>
</file>