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5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 PURSUANT TO</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SECTION 13 OR 15(d) OF THE</w:t>
      </w: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4"/>
          <w:szCs w:val="24"/>
          <w:color w:val="auto"/>
        </w:rPr>
      </w:pPr>
    </w:p>
    <w:p>
      <w:pPr>
        <w:ind w:left="4460"/>
        <w:spacing w:after="0"/>
        <w:rPr>
          <w:sz w:val="20"/>
          <w:szCs w:val="20"/>
          <w:color w:val="auto"/>
        </w:rPr>
      </w:pPr>
      <w:r>
        <w:rPr>
          <w:rFonts w:ascii="Arial" w:cs="Arial" w:eastAsia="Arial" w:hAnsi="Arial"/>
          <w:sz w:val="20"/>
          <w:szCs w:val="20"/>
          <w:b w:val="1"/>
          <w:bCs w:val="1"/>
          <w:color w:val="auto"/>
        </w:rPr>
        <w:t>Date of Report: June 12, 2018</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Delaware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(State or Other Jurisdiction of Incorporation)</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56"/>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89"/>
              </w:rPr>
              <w:t>001-37985</w:t>
            </w:r>
          </w:p>
        </w:tc>
        <w:tc>
          <w:tcPr>
            <w:tcW w:w="4540" w:type="dxa"/>
            <w:vAlign w:val="bottom"/>
          </w:tcPr>
          <w:p>
            <w:pPr>
              <w:jc w:val="right"/>
              <w:ind w:right="781"/>
              <w:spacing w:after="0"/>
              <w:rPr>
                <w:sz w:val="20"/>
                <w:szCs w:val="20"/>
                <w:color w:val="auto"/>
              </w:rPr>
            </w:pPr>
            <w:r>
              <w:rPr>
                <w:rFonts w:ascii="Arial" w:cs="Arial" w:eastAsia="Arial" w:hAnsi="Arial"/>
                <w:sz w:val="20"/>
                <w:szCs w:val="20"/>
                <w:b w:val="1"/>
                <w:bCs w:val="1"/>
                <w:color w:val="auto"/>
              </w:rPr>
              <w:t>20-3828755</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(Commission File Number)</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(IRS Employer Identification No.)</w:t>
            </w:r>
          </w:p>
        </w:tc>
      </w:tr>
      <w:tr>
        <w:trPr>
          <w:trHeight w:val="621"/>
        </w:trPr>
        <w:tc>
          <w:tcPr>
            <w:tcW w:w="5040" w:type="dxa"/>
            <w:vAlign w:val="bottom"/>
          </w:tcPr>
          <w:p>
            <w:pPr>
              <w:jc w:val="center"/>
              <w:ind w:right="1721"/>
              <w:spacing w:after="0"/>
              <w:rPr>
                <w:sz w:val="20"/>
                <w:szCs w:val="20"/>
                <w:color w:val="auto"/>
              </w:rPr>
            </w:pPr>
            <w:r>
              <w:rPr>
                <w:rFonts w:ascii="Arial" w:cs="Arial" w:eastAsia="Arial" w:hAnsi="Arial"/>
                <w:sz w:val="20"/>
                <w:szCs w:val="20"/>
                <w:b w:val="1"/>
                <w:bCs w:val="1"/>
                <w:color w:val="auto"/>
                <w:w w:val="90"/>
              </w:rPr>
              <w:t>10421 Pacific Center Court, Suite 200</w:t>
            </w:r>
          </w:p>
        </w:tc>
        <w:tc>
          <w:tcPr>
            <w:tcW w:w="4540" w:type="dxa"/>
            <w:vAlign w:val="bottom"/>
          </w:tcPr>
          <w:p>
            <w:pPr>
              <w:spacing w:after="0"/>
              <w:rPr>
                <w:sz w:val="24"/>
                <w:szCs w:val="24"/>
                <w:color w:val="auto"/>
              </w:rPr>
            </w:pPr>
          </w:p>
        </w:tc>
      </w:tr>
      <w:tr>
        <w:trPr>
          <w:trHeight w:val="256"/>
        </w:trPr>
        <w:tc>
          <w:tcPr>
            <w:tcW w:w="5040" w:type="dxa"/>
            <w:vAlign w:val="bottom"/>
          </w:tcPr>
          <w:p>
            <w:pPr>
              <w:jc w:val="center"/>
              <w:ind w:right="1741"/>
              <w:spacing w:after="0"/>
              <w:rPr>
                <w:sz w:val="20"/>
                <w:szCs w:val="20"/>
                <w:color w:val="auto"/>
              </w:rPr>
            </w:pPr>
            <w:r>
              <w:rPr>
                <w:rFonts w:ascii="Arial" w:cs="Arial" w:eastAsia="Arial" w:hAnsi="Arial"/>
                <w:sz w:val="20"/>
                <w:szCs w:val="20"/>
                <w:b w:val="1"/>
                <w:bCs w:val="1"/>
                <w:color w:val="auto"/>
                <w:w w:val="89"/>
              </w:rPr>
              <w:t>San Diego, CA</w:t>
            </w:r>
          </w:p>
        </w:tc>
        <w:tc>
          <w:tcPr>
            <w:tcW w:w="4540" w:type="dxa"/>
            <w:vAlign w:val="bottom"/>
          </w:tcPr>
          <w:p>
            <w:pPr>
              <w:jc w:val="right"/>
              <w:ind w:right="1001"/>
              <w:spacing w:after="0"/>
              <w:rPr>
                <w:sz w:val="20"/>
                <w:szCs w:val="20"/>
                <w:color w:val="auto"/>
              </w:rPr>
            </w:pPr>
            <w:r>
              <w:rPr>
                <w:rFonts w:ascii="Arial" w:cs="Arial" w:eastAsia="Arial" w:hAnsi="Arial"/>
                <w:sz w:val="20"/>
                <w:szCs w:val="20"/>
                <w:b w:val="1"/>
                <w:bCs w:val="1"/>
                <w:color w:val="auto"/>
              </w:rPr>
              <w:t>92121</w:t>
            </w:r>
          </w:p>
        </w:tc>
      </w:tr>
      <w:tr>
        <w:trPr>
          <w:trHeight w:val="284"/>
        </w:trPr>
        <w:tc>
          <w:tcPr>
            <w:tcW w:w="5040" w:type="dxa"/>
            <w:vAlign w:val="bottom"/>
          </w:tcPr>
          <w:p>
            <w:pPr>
              <w:jc w:val="center"/>
              <w:ind w:right="1721"/>
              <w:spacing w:after="0"/>
              <w:rPr>
                <w:sz w:val="20"/>
                <w:szCs w:val="20"/>
                <w:color w:val="auto"/>
              </w:rPr>
            </w:pPr>
            <w:r>
              <w:rPr>
                <w:rFonts w:ascii="Arial" w:cs="Arial" w:eastAsia="Arial" w:hAnsi="Arial"/>
                <w:sz w:val="20"/>
                <w:szCs w:val="20"/>
                <w:color w:val="auto"/>
                <w:w w:val="91"/>
              </w:rPr>
              <w:t>(Address of Principal Executive Offices)</w:t>
            </w:r>
          </w:p>
        </w:tc>
        <w:tc>
          <w:tcPr>
            <w:tcW w:w="4540" w:type="dxa"/>
            <w:vAlign w:val="bottom"/>
          </w:tcPr>
          <w:p>
            <w:pPr>
              <w:jc w:val="center"/>
              <w:ind w:left="1721"/>
              <w:spacing w:after="0"/>
              <w:rPr>
                <w:sz w:val="20"/>
                <w:szCs w:val="20"/>
                <w:color w:val="auto"/>
              </w:rPr>
            </w:pPr>
            <w:r>
              <w:rPr>
                <w:rFonts w:ascii="Arial" w:cs="Arial" w:eastAsia="Arial" w:hAnsi="Arial"/>
                <w:sz w:val="20"/>
                <w:szCs w:val="20"/>
                <w:color w:val="auto"/>
                <w:w w:val="93"/>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x</w:t>
      </w:r>
    </w:p>
    <w:p>
      <w:pPr>
        <w:spacing w:after="0" w:line="39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225" w:right="2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June 12, 2018, the Company held its 2018 Annual Meeting of Stockholders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and the following proposals were adopted:</w:t>
      </w:r>
    </w:p>
    <w:p>
      <w:pPr>
        <w:spacing w:after="0" w:line="23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Election of two Class I directors, Dennis Fenton, Ph.D. and James Topper, M.D., Ph.D., each to serve a three-year term, which will expire at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2021 Annual Meeting of Stockholders or until such time as their respective successors have been duly elected and qualified:</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Nominees</w:t>
            </w:r>
          </w:p>
        </w:tc>
        <w:tc>
          <w:tcPr>
            <w:tcW w:w="2040" w:type="dxa"/>
            <w:vAlign w:val="bottom"/>
            <w:gridSpan w:val="2"/>
          </w:tcPr>
          <w:p>
            <w:pPr>
              <w:ind w:left="580"/>
              <w:spacing w:after="0"/>
              <w:rPr>
                <w:sz w:val="20"/>
                <w:szCs w:val="20"/>
                <w:color w:val="auto"/>
              </w:rPr>
            </w:pPr>
            <w:r>
              <w:rPr>
                <w:rFonts w:ascii="Arial" w:cs="Arial" w:eastAsia="Arial" w:hAnsi="Arial"/>
                <w:sz w:val="16"/>
                <w:szCs w:val="16"/>
                <w:b w:val="1"/>
                <w:bCs w:val="1"/>
                <w:color w:val="auto"/>
              </w:rPr>
              <w:t>Shares For</w:t>
            </w:r>
          </w:p>
        </w:tc>
        <w:tc>
          <w:tcPr>
            <w:tcW w:w="212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Shares Withheld/Abstaining</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Broker Non-Votes</w:t>
            </w:r>
          </w:p>
        </w:tc>
      </w:tr>
      <w:tr>
        <w:trPr>
          <w:trHeight w:val="73"/>
        </w:trPr>
        <w:tc>
          <w:tcPr>
            <w:tcW w:w="2680" w:type="dxa"/>
            <w:vAlign w:val="bottom"/>
            <w:tcBorders>
              <w:bottom w:val="single" w:sz="8" w:color="auto"/>
            </w:tcBorders>
          </w:tcPr>
          <w:p>
            <w:pPr>
              <w:spacing w:after="0"/>
              <w:rPr>
                <w:sz w:val="6"/>
                <w:szCs w:val="6"/>
                <w:color w:val="auto"/>
              </w:rPr>
            </w:pPr>
          </w:p>
        </w:tc>
        <w:tc>
          <w:tcPr>
            <w:tcW w:w="140" w:type="dxa"/>
            <w:vAlign w:val="bottom"/>
            <w:tcBorders>
              <w:bottom w:val="single" w:sz="8" w:color="BFE4FF"/>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17"/>
        </w:trPr>
        <w:tc>
          <w:tcPr>
            <w:tcW w:w="28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6"/>
                <w:szCs w:val="16"/>
                <w:color w:val="auto"/>
              </w:rPr>
              <w:t>Dennis Fenton, Ph.D.</w:t>
            </w:r>
          </w:p>
        </w:tc>
        <w:tc>
          <w:tcPr>
            <w:tcW w:w="194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color w:val="auto"/>
              </w:rPr>
              <w:t>20,470,135</w:t>
            </w:r>
          </w:p>
        </w:tc>
        <w:tc>
          <w:tcPr>
            <w:tcW w:w="100" w:type="dxa"/>
            <w:vAlign w:val="bottom"/>
            <w:tcBorders>
              <w:bottom w:val="single" w:sz="8" w:color="BFE4FF"/>
            </w:tcBorders>
            <w:shd w:val="clear" w:color="auto" w:fill="BFE4FF"/>
          </w:tcPr>
          <w:p>
            <w:pPr>
              <w:spacing w:after="0"/>
              <w:rPr>
                <w:sz w:val="18"/>
                <w:szCs w:val="18"/>
                <w:color w:val="auto"/>
              </w:rPr>
            </w:pPr>
          </w:p>
        </w:tc>
        <w:tc>
          <w:tcPr>
            <w:tcW w:w="2020" w:type="dxa"/>
            <w:vAlign w:val="bottom"/>
            <w:tcBorders>
              <w:bottom w:val="single" w:sz="8" w:color="BFE4FF"/>
            </w:tcBorders>
            <w:shd w:val="clear" w:color="auto" w:fill="BFE4FF"/>
          </w:tcPr>
          <w:p>
            <w:pPr>
              <w:jc w:val="right"/>
              <w:ind w:right="719"/>
              <w:spacing w:after="0"/>
              <w:rPr>
                <w:sz w:val="20"/>
                <w:szCs w:val="20"/>
                <w:color w:val="auto"/>
              </w:rPr>
            </w:pPr>
            <w:r>
              <w:rPr>
                <w:rFonts w:ascii="Arial" w:cs="Arial" w:eastAsia="Arial" w:hAnsi="Arial"/>
                <w:sz w:val="16"/>
                <w:szCs w:val="16"/>
                <w:color w:val="auto"/>
              </w:rPr>
              <w:t>68,337</w:t>
            </w:r>
          </w:p>
        </w:tc>
        <w:tc>
          <w:tcPr>
            <w:tcW w:w="100" w:type="dxa"/>
            <w:vAlign w:val="bottom"/>
            <w:tcBorders>
              <w:bottom w:val="single" w:sz="8" w:color="BFE4FF"/>
            </w:tcBorders>
            <w:shd w:val="clear" w:color="auto" w:fill="BFE4FF"/>
          </w:tcPr>
          <w:p>
            <w:pPr>
              <w:spacing w:after="0"/>
              <w:rPr>
                <w:sz w:val="18"/>
                <w:szCs w:val="18"/>
                <w:color w:val="auto"/>
              </w:rPr>
            </w:pPr>
          </w:p>
        </w:tc>
        <w:tc>
          <w:tcPr>
            <w:tcW w:w="192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6"/>
                <w:szCs w:val="16"/>
                <w:color w:val="auto"/>
                <w:w w:val="89"/>
              </w:rPr>
              <w:t>1,104,893</w:t>
            </w:r>
          </w:p>
        </w:tc>
      </w:tr>
      <w:tr>
        <w:trPr>
          <w:trHeight w:val="237"/>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James Topper, M.D., Ph.D.</w:t>
            </w:r>
          </w:p>
        </w:tc>
        <w:tc>
          <w:tcPr>
            <w:tcW w:w="1940" w:type="dxa"/>
            <w:vAlign w:val="bottom"/>
          </w:tcPr>
          <w:p>
            <w:pPr>
              <w:ind w:left="600"/>
              <w:spacing w:after="0"/>
              <w:rPr>
                <w:sz w:val="20"/>
                <w:szCs w:val="20"/>
                <w:color w:val="auto"/>
              </w:rPr>
            </w:pPr>
            <w:r>
              <w:rPr>
                <w:rFonts w:ascii="Arial" w:cs="Arial" w:eastAsia="Arial" w:hAnsi="Arial"/>
                <w:sz w:val="16"/>
                <w:szCs w:val="16"/>
                <w:color w:val="auto"/>
              </w:rPr>
              <w:t>16,093,531</w:t>
            </w:r>
          </w:p>
        </w:tc>
        <w:tc>
          <w:tcPr>
            <w:tcW w:w="100" w:type="dxa"/>
            <w:vAlign w:val="bottom"/>
          </w:tcPr>
          <w:p>
            <w:pPr>
              <w:spacing w:after="0"/>
              <w:rPr>
                <w:sz w:val="20"/>
                <w:szCs w:val="20"/>
                <w:color w:val="auto"/>
              </w:rPr>
            </w:pPr>
          </w:p>
        </w:tc>
        <w:tc>
          <w:tcPr>
            <w:tcW w:w="2020" w:type="dxa"/>
            <w:vAlign w:val="bottom"/>
          </w:tcPr>
          <w:p>
            <w:pPr>
              <w:jc w:val="right"/>
              <w:ind w:right="619"/>
              <w:spacing w:after="0"/>
              <w:rPr>
                <w:sz w:val="20"/>
                <w:szCs w:val="20"/>
                <w:color w:val="auto"/>
              </w:rPr>
            </w:pPr>
            <w:r>
              <w:rPr>
                <w:rFonts w:ascii="Arial" w:cs="Arial" w:eastAsia="Arial" w:hAnsi="Arial"/>
                <w:sz w:val="16"/>
                <w:szCs w:val="16"/>
                <w:color w:val="auto"/>
              </w:rPr>
              <w:t>4,444,941</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1,104,893</w:t>
            </w:r>
          </w:p>
        </w:tc>
      </w:tr>
    </w:tbl>
    <w:p>
      <w:pPr>
        <w:spacing w:after="0" w:line="370" w:lineRule="exact"/>
        <w:rPr>
          <w:sz w:val="20"/>
          <w:szCs w:val="20"/>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KPMG LLP as the Company’s independent registered public accounting firm for the fiscal year ending December 31, 2018:</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000" w:type="dxa"/>
            <w:vAlign w:val="bottom"/>
          </w:tcPr>
          <w:p>
            <w:pPr>
              <w:spacing w:after="0"/>
              <w:rPr>
                <w:sz w:val="17"/>
                <w:szCs w:val="17"/>
                <w:color w:val="auto"/>
              </w:rPr>
            </w:pPr>
          </w:p>
        </w:tc>
      </w:tr>
      <w:tr>
        <w:trPr>
          <w:trHeight w:val="210"/>
        </w:trPr>
        <w:tc>
          <w:tcPr>
            <w:tcW w:w="2140" w:type="dxa"/>
            <w:vAlign w:val="bottom"/>
            <w:gridSpan w:val="2"/>
          </w:tcPr>
          <w:p>
            <w:pPr>
              <w:ind w:left="620"/>
              <w:spacing w:after="0"/>
              <w:rPr>
                <w:sz w:val="20"/>
                <w:szCs w:val="20"/>
                <w:color w:val="auto"/>
              </w:rPr>
            </w:pPr>
            <w:r>
              <w:rPr>
                <w:rFonts w:ascii="Arial" w:cs="Arial" w:eastAsia="Arial" w:hAnsi="Arial"/>
                <w:sz w:val="16"/>
                <w:szCs w:val="16"/>
                <w:b w:val="1"/>
                <w:bCs w:val="1"/>
                <w:color w:val="auto"/>
              </w:rPr>
              <w:t>Shares For</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 Against</w:t>
            </w: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Withheld/Abstaining</w:t>
            </w:r>
          </w:p>
        </w:tc>
        <w:tc>
          <w:tcPr>
            <w:tcW w:w="2000" w:type="dxa"/>
            <w:vAlign w:val="bottom"/>
          </w:tcPr>
          <w:p>
            <w:pPr>
              <w:ind w:left="380"/>
              <w:spacing w:after="0"/>
              <w:rPr>
                <w:sz w:val="20"/>
                <w:szCs w:val="20"/>
                <w:color w:val="auto"/>
              </w:rPr>
            </w:pPr>
            <w:r>
              <w:rPr>
                <w:rFonts w:ascii="Arial" w:cs="Arial" w:eastAsia="Arial" w:hAnsi="Arial"/>
                <w:sz w:val="16"/>
                <w:szCs w:val="16"/>
                <w:b w:val="1"/>
                <w:bCs w:val="1"/>
                <w:color w:val="auto"/>
              </w:rPr>
              <w:t>Broker Non-Votes</w:t>
            </w:r>
          </w:p>
        </w:tc>
      </w:tr>
      <w:tr>
        <w:trPr>
          <w:trHeight w:val="33"/>
        </w:trPr>
        <w:tc>
          <w:tcPr>
            <w:tcW w:w="1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04"/>
        </w:trPr>
        <w:tc>
          <w:tcPr>
            <w:tcW w:w="1980" w:type="dxa"/>
            <w:vAlign w:val="bottom"/>
          </w:tcPr>
          <w:p>
            <w:pPr>
              <w:ind w:left="620"/>
              <w:spacing w:after="0"/>
              <w:rPr>
                <w:sz w:val="20"/>
                <w:szCs w:val="20"/>
                <w:color w:val="auto"/>
              </w:rPr>
            </w:pPr>
            <w:r>
              <w:rPr>
                <w:rFonts w:ascii="Arial" w:cs="Arial" w:eastAsia="Arial" w:hAnsi="Arial"/>
                <w:sz w:val="16"/>
                <w:szCs w:val="16"/>
                <w:color w:val="auto"/>
              </w:rPr>
              <w:t>21,341,401</w:t>
            </w:r>
          </w:p>
        </w:tc>
        <w:tc>
          <w:tcPr>
            <w:tcW w:w="160" w:type="dxa"/>
            <w:vAlign w:val="bottom"/>
          </w:tcPr>
          <w:p>
            <w:pPr>
              <w:spacing w:after="0"/>
              <w:rPr>
                <w:sz w:val="17"/>
                <w:szCs w:val="17"/>
                <w:color w:val="auto"/>
              </w:rPr>
            </w:pPr>
          </w:p>
        </w:tc>
        <w:tc>
          <w:tcPr>
            <w:tcW w:w="2000" w:type="dxa"/>
            <w:vAlign w:val="bottom"/>
          </w:tcPr>
          <w:p>
            <w:pPr>
              <w:jc w:val="right"/>
              <w:ind w:right="679"/>
              <w:spacing w:after="0"/>
              <w:rPr>
                <w:sz w:val="20"/>
                <w:szCs w:val="20"/>
                <w:color w:val="auto"/>
              </w:rPr>
            </w:pPr>
            <w:r>
              <w:rPr>
                <w:rFonts w:ascii="Arial" w:cs="Arial" w:eastAsia="Arial" w:hAnsi="Arial"/>
                <w:sz w:val="16"/>
                <w:szCs w:val="16"/>
                <w:color w:val="auto"/>
              </w:rPr>
              <w:t>29,331</w:t>
            </w: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272,633</w:t>
            </w:r>
          </w:p>
        </w:tc>
        <w:tc>
          <w:tcPr>
            <w:tcW w:w="120" w:type="dxa"/>
            <w:vAlign w:val="bottom"/>
          </w:tcPr>
          <w:p>
            <w:pPr>
              <w:spacing w:after="0"/>
              <w:rPr>
                <w:sz w:val="17"/>
                <w:szCs w:val="17"/>
                <w:color w:val="auto"/>
              </w:rPr>
            </w:pPr>
          </w:p>
        </w:tc>
        <w:tc>
          <w:tcPr>
            <w:tcW w:w="2000" w:type="dxa"/>
            <w:vAlign w:val="bottom"/>
          </w:tcPr>
          <w:p>
            <w:pPr>
              <w:ind w:left="960"/>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360" w:val="left"/>
          <w:tab w:leader="none" w:pos="2840" w:val="left"/>
        </w:tabs>
        <w:rPr>
          <w:sz w:val="20"/>
          <w:szCs w:val="20"/>
          <w:color w:val="auto"/>
        </w:rPr>
      </w:pPr>
      <w:r>
        <w:rPr>
          <w:rFonts w:ascii="Arial" w:cs="Arial" w:eastAsia="Arial" w:hAnsi="Arial"/>
          <w:sz w:val="20"/>
          <w:szCs w:val="20"/>
          <w:color w:val="auto"/>
        </w:rPr>
        <w:t>Date: June 12,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sectPr>
      <w:pgSz w:w="11900" w:h="16838" w:orient="portrait"/>
      <w:cols w:equalWidth="0" w:num="1">
        <w:col w:w="11300"/>
      </w:cols>
      <w:pgMar w:left="240" w:top="44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2019-12-07T05:32:27Z</dcterms:created>
  <dcterms:modified xsi:type="dcterms:W3CDTF">2019-12-07T05:32:27Z</dcterms:modified>
</cp:coreProperties>
</file>