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 PURSUANT TO</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February 7, 2023</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(Date of earliest event reported)</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ANAPTYSBIO, INC.</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ectPr>
          <w:pgSz w:w="11900" w:h="16838" w:orient="portrait"/>
          <w:cols w:equalWidth="0" w:num="1">
            <w:col w:w="11280"/>
          </w:cols>
          <w:pgMar w:left="300" w:top="1222" w:right="319" w:bottom="1440" w:gutter="0" w:footer="0" w:header="0"/>
        </w:sectPr>
      </w:pPr>
    </w:p>
    <w:p>
      <w:pPr>
        <w:spacing w:after="0" w:line="21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001-37985</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20-3828755</w:t>
      </w:r>
    </w:p>
    <w:p>
      <w:pPr>
        <w:spacing w:after="0" w:line="44" w:lineRule="exact"/>
        <w:rPr>
          <w:sz w:val="24"/>
          <w:szCs w:val="24"/>
          <w:color w:val="auto"/>
        </w:rPr>
      </w:pPr>
    </w:p>
    <w:p>
      <w:pPr>
        <w:sectPr>
          <w:pgSz w:w="11900" w:h="16838" w:orient="portrait"/>
          <w:cols w:equalWidth="0" w:num="3">
            <w:col w:w="4620" w:space="720"/>
            <w:col w:w="2920" w:space="720"/>
            <w:col w:w="2300"/>
          </w:cols>
          <w:pgMar w:left="300" w:top="1222" w:right="31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740" w:space="720"/>
            <w:col w:w="3000"/>
          </w:cols>
          <w:pgMar w:left="300" w:top="1222" w:right="319" w:bottom="1440" w:gutter="0" w:footer="0" w:header="0"/>
          <w:type w:val="continuous"/>
        </w:sectPr>
      </w:pPr>
    </w:p>
    <w:p>
      <w:pPr>
        <w:spacing w:after="0" w:line="8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10770 Wateridge Circle, Suite 210,</w:t>
      </w:r>
    </w:p>
    <w:p>
      <w:pPr>
        <w:spacing w:after="0" w:line="1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San Diego, CA 92121</w:t>
      </w:r>
    </w:p>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 and Zip Code)</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(858) 362-6295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ectPr>
          <w:pgSz w:w="11900" w:h="16838" w:orient="portrait"/>
          <w:cols w:equalWidth="0" w:num="1">
            <w:col w:w="11280"/>
          </w:cols>
          <w:pgMar w:left="300" w:top="1222" w:right="319" w:bottom="1440" w:gutter="0" w:footer="0" w:header="0"/>
          <w:type w:val="continuous"/>
        </w:sectPr>
      </w:pP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Written communication pursuant to Rule 425 under the Securities Act (17 CFR 230.425)</w:t>
      </w:r>
    </w:p>
    <w:p>
      <w:pPr>
        <w:spacing w:after="0" w:line="46"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Soliciting material pursuant to Rule 14a-12 under the Exchange Act (17 CFR 240.14a-12)</w:t>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Pre-commencement communication pursuant to Rule 14d-2(b) under the Exchange Act (17 CFR 240.14d-2(b))</w:t>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Pre-commencement communication pursuant to Rule 13e-4(c) under the Exchange Act (17 CFR 240.13e-4(c))</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9" w:lineRule="exact"/>
        <w:rPr>
          <w:sz w:val="24"/>
          <w:szCs w:val="24"/>
          <w:color w:val="auto"/>
        </w:rPr>
      </w:pPr>
    </w:p>
    <w:tbl>
      <w:tblPr>
        <w:tblLayout w:type="fixed"/>
        <w:tblInd w:w="190" w:type="dxa"/>
        <w:tblCellMar>
          <w:top w:w="0" w:type="dxa"/>
          <w:left w:w="0" w:type="dxa"/>
          <w:bottom w:w="0" w:type="dxa"/>
          <w:right w:w="0" w:type="dxa"/>
        </w:tblCellMar>
      </w:tblPr>
      <w:tr>
        <w:trPr>
          <w:trHeight w:val="195"/>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r>
        <w:trPr>
          <w:trHeight w:val="175"/>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ANAB</w:t>
            </w:r>
          </w:p>
        </w:tc>
        <w:tc>
          <w:tcPr>
            <w:tcW w:w="4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4"/>
          <w:szCs w:val="24"/>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35" w:lineRule="exact"/>
        <w:rPr>
          <w:sz w:val="24"/>
          <w:szCs w:val="24"/>
          <w:color w:val="auto"/>
        </w:rPr>
      </w:pPr>
    </w:p>
    <w:p>
      <w:pPr>
        <w:ind w:left="958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32" w:lineRule="exact"/>
        <w:rPr>
          <w:sz w:val="24"/>
          <w:szCs w:val="24"/>
          <w:color w:val="auto"/>
        </w:rPr>
      </w:pPr>
    </w:p>
    <w:p>
      <w:pPr>
        <w:ind w:right="220"/>
        <w:spacing w:after="0" w:line="18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678815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type w:val="continuous"/>
        </w:sectPr>
      </w:pPr>
    </w:p>
    <w:bookmarkStart w:id="1" w:name="page2"/>
    <w:bookmarkEnd w:id="1"/>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5.03.</w:t>
      </w:r>
      <w:r>
        <w:rPr>
          <w:sz w:val="20"/>
          <w:szCs w:val="20"/>
          <w:color w:val="auto"/>
        </w:rPr>
        <w:tab/>
      </w:r>
      <w:r>
        <w:rPr>
          <w:rFonts w:ascii="Times New Roman" w:cs="Times New Roman" w:eastAsia="Times New Roman" w:hAnsi="Times New Roman"/>
          <w:sz w:val="14"/>
          <w:szCs w:val="14"/>
          <w:b w:val="1"/>
          <w:bCs w:val="1"/>
          <w:color w:val="auto"/>
        </w:rPr>
        <w:t>Amendments to Articles of Incorporation or Bylaws; Change in Fiscal Year</w:t>
      </w:r>
    </w:p>
    <w:p>
      <w:pPr>
        <w:spacing w:after="0" w:line="83" w:lineRule="exact"/>
        <w:rPr>
          <w:sz w:val="20"/>
          <w:szCs w:val="20"/>
          <w:color w:val="auto"/>
        </w:rPr>
      </w:pPr>
    </w:p>
    <w:p>
      <w:pPr>
        <w:ind w:right="360"/>
        <w:spacing w:after="0" w:line="307" w:lineRule="auto"/>
        <w:rPr>
          <w:sz w:val="20"/>
          <w:szCs w:val="20"/>
          <w:color w:val="auto"/>
        </w:rPr>
      </w:pPr>
      <w:r>
        <w:rPr>
          <w:rFonts w:ascii="Times New Roman" w:cs="Times New Roman" w:eastAsia="Times New Roman" w:hAnsi="Times New Roman"/>
          <w:sz w:val="14"/>
          <w:szCs w:val="14"/>
          <w:color w:val="auto"/>
        </w:rPr>
        <w:t>On February 7, 2023, in connection with the effectiveness of new Securities and Exchange Commission rules regarding universal proxy cards, certain recent changes to the Delaware General Corporation Law (the “</w:t>
      </w:r>
      <w:r>
        <w:rPr>
          <w:rFonts w:ascii="Times New Roman" w:cs="Times New Roman" w:eastAsia="Times New Roman" w:hAnsi="Times New Roman"/>
          <w:sz w:val="14"/>
          <w:szCs w:val="14"/>
          <w:b w:val="1"/>
          <w:bCs w:val="1"/>
          <w:i w:val="1"/>
          <w:iCs w:val="1"/>
          <w:color w:val="auto"/>
        </w:rPr>
        <w:t>DGCL</w:t>
      </w:r>
      <w:r>
        <w:rPr>
          <w:rFonts w:ascii="Times New Roman" w:cs="Times New Roman" w:eastAsia="Times New Roman" w:hAnsi="Times New Roman"/>
          <w:sz w:val="14"/>
          <w:szCs w:val="14"/>
          <w:color w:val="auto"/>
        </w:rPr>
        <w:t>”), and a periodic review of the bylaws of AnaptysBio,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the Company’s board of directors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approved and adopted the Company’s second amended and restated bylaws (the “</w:t>
      </w:r>
      <w:r>
        <w:rPr>
          <w:rFonts w:ascii="Times New Roman" w:cs="Times New Roman" w:eastAsia="Times New Roman" w:hAnsi="Times New Roman"/>
          <w:sz w:val="14"/>
          <w:szCs w:val="14"/>
          <w:b w:val="1"/>
          <w:bCs w:val="1"/>
          <w:i w:val="1"/>
          <w:iCs w:val="1"/>
          <w:color w:val="auto"/>
        </w:rPr>
        <w:t>Second Amended and Restated Bylaws</w:t>
      </w:r>
      <w:r>
        <w:rPr>
          <w:rFonts w:ascii="Times New Roman" w:cs="Times New Roman" w:eastAsia="Times New Roman" w:hAnsi="Times New Roman"/>
          <w:sz w:val="14"/>
          <w:szCs w:val="14"/>
          <w:color w:val="auto"/>
        </w:rPr>
        <w:t>”), which became immediately effective.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Among other things, the amendments effected by the Second Amended and Restated Bylaws:</w:t>
      </w:r>
    </w:p>
    <w:p>
      <w:pPr>
        <w:spacing w:after="0" w:line="92" w:lineRule="exact"/>
        <w:rPr>
          <w:sz w:val="20"/>
          <w:szCs w:val="20"/>
          <w:color w:val="auto"/>
        </w:rPr>
      </w:pPr>
    </w:p>
    <w:p>
      <w:pPr>
        <w:ind w:left="520" w:right="40" w:hanging="260"/>
        <w:spacing w:after="0" w:line="259" w:lineRule="auto"/>
        <w:tabs>
          <w:tab w:leader="none" w:pos="51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revise certain provisions relating to adjournment procedures and lists of stockholders entitled to vote at stockholder meetings, in each case to conform to recent amendments to the DGCL;</w:t>
      </w:r>
    </w:p>
    <w:p>
      <w:pPr>
        <w:spacing w:after="0" w:line="59" w:lineRule="exact"/>
        <w:rPr>
          <w:rFonts w:ascii="Times New Roman" w:cs="Times New Roman" w:eastAsia="Times New Roman" w:hAnsi="Times New Roman"/>
          <w:sz w:val="16"/>
          <w:szCs w:val="16"/>
          <w:color w:val="auto"/>
        </w:rPr>
      </w:pPr>
    </w:p>
    <w:p>
      <w:pPr>
        <w:ind w:left="520" w:right="660" w:hanging="260"/>
        <w:spacing w:after="0" w:line="259" w:lineRule="auto"/>
        <w:tabs>
          <w:tab w:leader="none" w:pos="51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update certain provisions related to the conduct of stockholder meetings, including clarifying that the presiding person of a stockholder meeting may set additional attendance or other procedures for meeting attendees and Rule 14a-8 proponents;</w:t>
      </w:r>
    </w:p>
    <w:p>
      <w:pPr>
        <w:spacing w:after="0" w:line="59" w:lineRule="exact"/>
        <w:rPr>
          <w:rFonts w:ascii="Times New Roman" w:cs="Times New Roman" w:eastAsia="Times New Roman" w:hAnsi="Times New Roman"/>
          <w:sz w:val="16"/>
          <w:szCs w:val="16"/>
          <w:color w:val="auto"/>
        </w:rPr>
      </w:pPr>
    </w:p>
    <w:p>
      <w:pPr>
        <w:ind w:left="520" w:hanging="260"/>
        <w:spacing w:after="0" w:line="252" w:lineRule="auto"/>
        <w:tabs>
          <w:tab w:leader="none" w:pos="51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revise the procedures and disclosure requirements set forth in the advance notice bylaw provisions, including (1) requiring additional information, representations and disclosures from proposing stockholders, proposed nominees and other persons related to a stockholder’s solicitation of proxies, (2) restricting the number of nominees a stockholder may nominate for election at a meeting to the number of directors to be elected at such meeting, (3) requiring that proposed nominees be available for interviews by the Board or any Board committee thereof;</w:t>
      </w:r>
    </w:p>
    <w:p>
      <w:pPr>
        <w:spacing w:after="0" w:line="52" w:lineRule="exact"/>
        <w:rPr>
          <w:rFonts w:ascii="Times New Roman" w:cs="Times New Roman" w:eastAsia="Times New Roman" w:hAnsi="Times New Roman"/>
          <w:sz w:val="16"/>
          <w:szCs w:val="16"/>
          <w:color w:val="auto"/>
        </w:rPr>
      </w:pPr>
    </w:p>
    <w:p>
      <w:pPr>
        <w:ind w:left="520" w:right="100" w:hanging="260"/>
        <w:spacing w:after="0" w:line="297" w:lineRule="auto"/>
        <w:tabs>
          <w:tab w:leader="none" w:pos="511"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 matters relating to Rule 14a-19 under the Securities Exchange Act of 1934, as amended (the “</w:t>
      </w:r>
      <w:r>
        <w:rPr>
          <w:rFonts w:ascii="Times New Roman" w:cs="Times New Roman" w:eastAsia="Times New Roman" w:hAnsi="Times New Roman"/>
          <w:sz w:val="14"/>
          <w:szCs w:val="14"/>
          <w:b w:val="1"/>
          <w:bCs w:val="1"/>
          <w:i w:val="1"/>
          <w:iCs w:val="1"/>
          <w:color w:val="auto"/>
        </w:rPr>
        <w:t>Universal Proxy Rules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providing that stockholders delivering a notice of nomination certify to the Company in writing that they have complied with the Universal Proxy Rules requirements, providing the Company a remedy if a stockholder fails to satisfy the Universal Proxy Rules requirements, requiring that a stockholder providing notice pursuant to the advance notice bylaws to inform the Company if a stockholder no longer plans to solicit proxies in accordance with the Universal Proxy Rules, and requiring stockholders intending to use the Universal Proxy Rules to provide reasonable evidence of the satisfaction of the requirements under the Universal Proxy Rules at least five business days before the meeting, etc.);</w:t>
      </w:r>
    </w:p>
    <w:p>
      <w:pPr>
        <w:spacing w:after="0" w:line="2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a stockholder directly or indirectly soliciting proxies from other stockholders use a proxy card color other than white;</w:t>
      </w:r>
    </w:p>
    <w:p>
      <w:pPr>
        <w:spacing w:after="0" w:line="91" w:lineRule="exact"/>
        <w:rPr>
          <w:rFonts w:ascii="Times New Roman" w:cs="Times New Roman" w:eastAsia="Times New Roman" w:hAnsi="Times New Roman"/>
          <w:sz w:val="16"/>
          <w:szCs w:val="16"/>
          <w:color w:val="auto"/>
        </w:rPr>
      </w:pPr>
    </w:p>
    <w:p>
      <w:pPr>
        <w:ind w:left="520" w:right="80" w:hanging="260"/>
        <w:spacing w:after="0" w:line="273" w:lineRule="auto"/>
        <w:tabs>
          <w:tab w:leader="none" w:pos="51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a stockholder intending to authorize a qualified representative to act for such stockholder as a proxy to present a nomination or proposal at such meeting to give notice of such authorization to the Company at least three business days before the applicable meeting;</w:t>
      </w:r>
    </w:p>
    <w:p>
      <w:pPr>
        <w:spacing w:after="0" w:line="3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notice provisions to reflect amendments to the DGCL relating to electronic transmission of notices to stockholders;</w:t>
      </w:r>
    </w:p>
    <w:p>
      <w:pPr>
        <w:spacing w:after="0" w:line="91" w:lineRule="exact"/>
        <w:rPr>
          <w:rFonts w:ascii="Times New Roman" w:cs="Times New Roman" w:eastAsia="Times New Roman" w:hAnsi="Times New Roman"/>
          <w:sz w:val="16"/>
          <w:szCs w:val="16"/>
          <w:color w:val="auto"/>
        </w:rPr>
      </w:pPr>
    </w:p>
    <w:p>
      <w:pPr>
        <w:ind w:left="520" w:right="80" w:hanging="260"/>
        <w:spacing w:after="0" w:line="259" w:lineRule="auto"/>
        <w:tabs>
          <w:tab w:leader="none" w:pos="51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an emergency bylaw provision to provide clarity and authority to directors and certain officers during an emergency situation that would otherwise prevent a quorum of the Board or a Board committee from being achieved; and</w:t>
      </w:r>
    </w:p>
    <w:p>
      <w:pPr>
        <w:spacing w:after="0" w:line="59" w:lineRule="exact"/>
        <w:rPr>
          <w:rFonts w:ascii="Times New Roman" w:cs="Times New Roman" w:eastAsia="Times New Roman" w:hAnsi="Times New Roman"/>
          <w:sz w:val="16"/>
          <w:szCs w:val="16"/>
          <w:color w:val="auto"/>
        </w:rPr>
      </w:pPr>
    </w:p>
    <w:p>
      <w:pPr>
        <w:ind w:left="520" w:right="100" w:hanging="260"/>
        <w:spacing w:after="0" w:line="273" w:lineRule="auto"/>
        <w:tabs>
          <w:tab w:leader="none" w:pos="51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provides that, unless the Company consents in writing to the selection of an alternative forum, the federal district courts of the United States, shall be the sole and exclusive forum for any complaint asserting a cause of action arising under the Securities Act of 1933, as amended.</w:t>
      </w:r>
    </w:p>
    <w:p>
      <w:pPr>
        <w:spacing w:after="0" w:line="38"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6"/>
          <w:szCs w:val="16"/>
          <w:color w:val="auto"/>
        </w:rPr>
        <w:t>The Second Amended and Restated Bylaws also incorporate ministerial, clarifying and conforming changes, including changes to align with the language used in certain provisions of the DGCL and the Universal Proxy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346710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2" w:right="319" w:bottom="1440" w:gutter="0" w:footer="0" w:header="0"/>
        </w:sectPr>
      </w:pPr>
    </w:p>
    <w:bookmarkStart w:id="2" w:name="page3"/>
    <w:bookmarkEnd w:id="2"/>
    <w:p>
      <w:pPr>
        <w:ind w:right="80"/>
        <w:spacing w:after="0" w:line="273" w:lineRule="auto"/>
        <w:rPr>
          <w:sz w:val="20"/>
          <w:szCs w:val="20"/>
          <w:color w:val="auto"/>
        </w:rPr>
      </w:pPr>
      <w:r>
        <w:rPr>
          <w:rFonts w:ascii="Times New Roman" w:cs="Times New Roman" w:eastAsia="Times New Roman" w:hAnsi="Times New Roman"/>
          <w:sz w:val="16"/>
          <w:szCs w:val="16"/>
          <w:color w:val="auto"/>
        </w:rPr>
        <w:t>The foregoing summary does not purport to be complete and is qualified in its entirety by reference to the full text of the Second Amended and Restated Bylaws, a copy of which is attached hereto as Exhibit 3.1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 Exhibits</w:t>
            </w:r>
          </w:p>
        </w:tc>
        <w:tc>
          <w:tcPr>
            <w:tcW w:w="9720" w:type="dxa"/>
            <w:vAlign w:val="bottom"/>
          </w:tcPr>
          <w:p>
            <w:pPr>
              <w:spacing w:after="0"/>
              <w:rPr>
                <w:sz w:val="17"/>
                <w:szCs w:val="17"/>
                <w:color w:val="auto"/>
              </w:rPr>
            </w:pPr>
          </w:p>
        </w:tc>
      </w:tr>
      <w:tr>
        <w:trPr>
          <w:trHeight w:val="350"/>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97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Exhibit Title or Description</w:t>
            </w:r>
          </w:p>
        </w:tc>
      </w:tr>
      <w:tr>
        <w:trPr>
          <w:trHeight w:val="177"/>
        </w:trPr>
        <w:tc>
          <w:tcPr>
            <w:tcW w:w="22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6"/>
                <w:szCs w:val="16"/>
                <w:color w:val="0000FF"/>
                <w:w w:val="89"/>
              </w:rPr>
              <w:t>3.</w:t>
            </w:r>
            <w:r>
              <w:rPr>
                <w:rFonts w:ascii="Times New Roman" w:cs="Times New Roman" w:eastAsia="Times New Roman" w:hAnsi="Times New Roman"/>
                <w:sz w:val="16"/>
                <w:szCs w:val="16"/>
                <w:u w:val="single" w:color="auto"/>
                <w:color w:val="0000FF"/>
                <w:w w:val="89"/>
              </w:rPr>
              <w:t>1</w:t>
            </w:r>
          </w:p>
        </w:tc>
        <w:tc>
          <w:tcPr>
            <w:tcW w:w="1340" w:type="dxa"/>
            <w:vAlign w:val="bottom"/>
          </w:tcPr>
          <w:p>
            <w:pPr>
              <w:spacing w:after="0"/>
              <w:rPr>
                <w:sz w:val="15"/>
                <w:szCs w:val="15"/>
                <w:color w:val="auto"/>
              </w:rPr>
            </w:pPr>
          </w:p>
        </w:tc>
        <w:tc>
          <w:tcPr>
            <w:tcW w:w="9720" w:type="dxa"/>
            <w:vAlign w:val="bottom"/>
          </w:tcPr>
          <w:p>
            <w:pPr>
              <w:ind w:left="460"/>
              <w:spacing w:after="0" w:line="177" w:lineRule="exact"/>
              <w:rPr>
                <w:sz w:val="20"/>
                <w:szCs w:val="20"/>
                <w:color w:val="auto"/>
              </w:rPr>
            </w:pPr>
            <w:r>
              <w:rPr>
                <w:rFonts w:ascii="Times New Roman" w:cs="Times New Roman" w:eastAsia="Times New Roman" w:hAnsi="Times New Roman"/>
                <w:sz w:val="16"/>
                <w:szCs w:val="16"/>
                <w:color w:val="auto"/>
              </w:rPr>
              <w:t>Second Amended and Restated Bylaws of AnaptysBio, Inc. (as amended and restated on February 7, 2023).</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r>
      <w:tr>
        <w:trPr>
          <w:trHeight w:val="228"/>
        </w:trPr>
        <w:tc>
          <w:tcPr>
            <w:tcW w:w="15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97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762"/>
        </w:trPr>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24"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AnaptysBio, Inc.</w:t>
      </w:r>
    </w:p>
    <w:p>
      <w:pPr>
        <w:spacing w:after="0" w:line="19"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16"/>
          <w:szCs w:val="16"/>
          <w:color w:val="auto"/>
        </w:rPr>
        <w:t>Date: February 10,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15875</wp:posOffset>
            </wp:positionV>
            <wp:extent cx="41230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23055" cy="6985"/>
                    </a:xfrm>
                    <a:prstGeom prst="rect">
                      <a:avLst/>
                    </a:prstGeom>
                    <a:noFill/>
                  </pic:spPr>
                </pic:pic>
              </a:graphicData>
            </a:graphic>
          </wp:anchor>
        </w:drawing>
      </w:r>
    </w:p>
    <w:p>
      <w:pPr>
        <w:spacing w:after="0" w:line="1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Name: Dennis Mulroy</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Title: Chief Financial Officer</w:t>
      </w:r>
    </w:p>
    <w:p>
      <w:pPr>
        <w:sectPr>
          <w:pgSz w:w="11900" w:h="16838" w:orient="portrait"/>
          <w:cols w:equalWidth="0" w:num="1">
            <w:col w:w="11280"/>
          </w:cols>
          <w:pgMar w:left="300" w:top="1137"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2023-02-10T15:22:05Z</dcterms:created>
  <dcterms:modified xsi:type="dcterms:W3CDTF">2023-02-10T15:22:05Z</dcterms:modified>
</cp:coreProperties>
</file>