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November 4, 2020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0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10421 Pacific Center Court,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0" w:lineRule="exact"/>
        <w:rPr>
          <w:sz w:val="24"/>
          <w:szCs w:val="24"/>
          <w:color w:val="auto"/>
        </w:rPr>
      </w:pPr>
    </w:p>
    <w:p>
      <w:pPr>
        <w:spacing w:after="0" w:line="239"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33"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20"/>
          <w:szCs w:val="20"/>
          <w:color w:val="auto"/>
        </w:rPr>
        <w:t>On November 4, 2020, AnaptysBio, Inc. (“AnaptysBio”) issued a press release announcing its financial results for the nine months ended September 30, 2020. A copy of the press release is attached as Exhibit 99.1 to this Current Report on Form 8-K.</w:t>
      </w:r>
    </w:p>
    <w:p>
      <w:pPr>
        <w:spacing w:after="0" w:line="18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9300" w:type="dxa"/>
            <w:vAlign w:val="bottom"/>
          </w:tcPr>
          <w:p>
            <w:pPr>
              <w:spacing w:after="0"/>
              <w:rPr>
                <w:sz w:val="22"/>
                <w:szCs w:val="22"/>
                <w:color w:val="auto"/>
              </w:rPr>
            </w:pPr>
          </w:p>
        </w:tc>
      </w:tr>
      <w:tr>
        <w:trPr>
          <w:trHeight w:val="513"/>
        </w:trPr>
        <w:tc>
          <w:tcPr>
            <w:tcW w:w="19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28"/>
        </w:trPr>
        <w:tc>
          <w:tcPr>
            <w:tcW w:w="1940" w:type="dxa"/>
            <w:vAlign w:val="bottom"/>
          </w:tcPr>
          <w:p>
            <w:pPr>
              <w:ind w:left="20"/>
              <w:spacing w:after="0" w:line="228" w:lineRule="exact"/>
              <w:rPr>
                <w:rFonts w:ascii="Times New Roman" w:cs="Times New Roman" w:eastAsia="Times New Roman" w:hAnsi="Times New Roman"/>
                <w:sz w:val="20"/>
                <w:szCs w:val="20"/>
                <w:u w:val="single" w:color="auto"/>
                <w:color w:val="0000FF"/>
              </w:rPr>
            </w:pPr>
            <w:hyperlink w:anchor="page4">
              <w:r>
                <w:rPr>
                  <w:rFonts w:ascii="Times New Roman" w:cs="Times New Roman" w:eastAsia="Times New Roman" w:hAnsi="Times New Roman"/>
                  <w:sz w:val="20"/>
                  <w:szCs w:val="20"/>
                  <w:u w:val="single" w:color="auto"/>
                  <w:color w:val="0000FF"/>
                </w:rPr>
                <w:t>99.1</w:t>
              </w:r>
            </w:hyperlink>
          </w:p>
        </w:tc>
        <w:tc>
          <w:tcPr>
            <w:tcW w:w="9300" w:type="dxa"/>
            <w:vAlign w:val="bottom"/>
          </w:tcPr>
          <w:p>
            <w:pPr>
              <w:ind w:left="520"/>
              <w:spacing w:after="0" w:line="228" w:lineRule="exact"/>
              <w:rPr>
                <w:sz w:val="20"/>
                <w:szCs w:val="20"/>
                <w:color w:val="auto"/>
              </w:rPr>
            </w:pPr>
            <w:r>
              <w:rPr>
                <w:rFonts w:ascii="Times New Roman" w:cs="Times New Roman" w:eastAsia="Times New Roman" w:hAnsi="Times New Roman"/>
                <w:sz w:val="20"/>
                <w:szCs w:val="20"/>
                <w:color w:val="auto"/>
              </w:rPr>
              <w:t>Press release issued by AnaptysBio, Inc. regarding its financial results for the three and nine months ended</w:t>
            </w:r>
          </w:p>
        </w:tc>
      </w:tr>
      <w:tr>
        <w:trPr>
          <w:trHeight w:val="258"/>
        </w:trPr>
        <w:tc>
          <w:tcPr>
            <w:tcW w:w="194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September 30, 2020, dated November 4, 2020</w:t>
            </w:r>
          </w:p>
        </w:tc>
      </w:tr>
      <w:tr>
        <w:trPr>
          <w:trHeight w:val="228"/>
        </w:trPr>
        <w:tc>
          <w:tcPr>
            <w:tcW w:w="194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104</w:t>
            </w:r>
          </w:p>
        </w:tc>
        <w:tc>
          <w:tcPr>
            <w:tcW w:w="9300" w:type="dxa"/>
            <w:vAlign w:val="bottom"/>
          </w:tcPr>
          <w:p>
            <w:pPr>
              <w:ind w:left="520"/>
              <w:spacing w:after="0" w:line="228" w:lineRule="exact"/>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194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878"/>
        </w:trPr>
        <w:tc>
          <w:tcPr>
            <w:tcW w:w="194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November 4,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4445</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0"/>
          <w:szCs w:val="20"/>
          <w:color w:val="auto"/>
        </w:rPr>
        <w:t>Name: Dennis Mulroy</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40"/>
          </w:cols>
          <w:pgMar w:left="320" w:top="14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AnaptysBio Announces Third Quarter 2020 Financial Results and</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Provides Pipeline Updates</w:t>
      </w:r>
    </w:p>
    <w:p>
      <w:pPr>
        <w:spacing w:after="0" w:line="306" w:lineRule="exact"/>
        <w:rPr>
          <w:sz w:val="20"/>
          <w:szCs w:val="20"/>
          <w:color w:val="auto"/>
        </w:rPr>
      </w:pPr>
    </w:p>
    <w:p>
      <w:pPr>
        <w:ind w:left="660" w:right="2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topline data from GALLOP Phase 2 clinical trial of imsidolimab in moderate to severe Generalized Pustular Psoriasis (GPP) announced in October 2020</w:t>
      </w:r>
    </w:p>
    <w:p>
      <w:pPr>
        <w:spacing w:after="0" w:line="186" w:lineRule="exact"/>
        <w:rPr>
          <w:rFonts w:ascii="Times New Roman" w:cs="Times New Roman" w:eastAsia="Times New Roman" w:hAnsi="Times New Roman"/>
          <w:sz w:val="20"/>
          <w:szCs w:val="20"/>
          <w:color w:val="auto"/>
        </w:rPr>
      </w:pPr>
    </w:p>
    <w:p>
      <w:pPr>
        <w:ind w:left="660" w:right="76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end-of-Phase 2 meeting anticipated in Q4 2020 to outline registration path of imsidolimab for the treatment of GPP, in accordance with the orphan drug designation obtained in July 2020</w:t>
      </w:r>
    </w:p>
    <w:p>
      <w:pPr>
        <w:spacing w:after="0" w:line="186" w:lineRule="exact"/>
        <w:rPr>
          <w:rFonts w:ascii="Times New Roman" w:cs="Times New Roman" w:eastAsia="Times New Roman" w:hAnsi="Times New Roman"/>
          <w:sz w:val="20"/>
          <w:szCs w:val="20"/>
          <w:color w:val="auto"/>
        </w:rPr>
      </w:pPr>
    </w:p>
    <w:p>
      <w:pPr>
        <w:ind w:left="660" w:right="70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POPLAR Phase 2 clinical trial of imsidolimab monotherapy in palmoplantar pustulosis (PPP) fully enrolled and topline data anticipated in Q1 2021</w:t>
      </w:r>
    </w:p>
    <w:p>
      <w:pPr>
        <w:spacing w:after="0" w:line="186" w:lineRule="exact"/>
        <w:rPr>
          <w:rFonts w:ascii="Times New Roman" w:cs="Times New Roman" w:eastAsia="Times New Roman" w:hAnsi="Times New Roman"/>
          <w:sz w:val="20"/>
          <w:szCs w:val="20"/>
          <w:color w:val="auto"/>
        </w:rPr>
      </w:pPr>
    </w:p>
    <w:p>
      <w:pPr>
        <w:ind w:left="660" w:right="22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imsidolimab program into two new clinical indications, EGFRi-mediated skin toxicities and ichthyosis, with Phase 2 trials to be initiated in Q4 2020</w:t>
      </w:r>
    </w:p>
    <w:p>
      <w:pPr>
        <w:spacing w:after="0" w:line="186" w:lineRule="exact"/>
        <w:rPr>
          <w:rFonts w:ascii="Times New Roman" w:cs="Times New Roman" w:eastAsia="Times New Roman" w:hAnsi="Times New Roman"/>
          <w:sz w:val="20"/>
          <w:szCs w:val="20"/>
          <w:color w:val="auto"/>
        </w:rPr>
      </w:pPr>
    </w:p>
    <w:p>
      <w:pPr>
        <w:ind w:left="660" w:right="420" w:hanging="328"/>
        <w:spacing w:after="0" w:line="254"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BLA approval for dostarlimab, our PD-1 antagonist antibody partnered with GlaxoSmithKline (GSK), anticipated for endometrial cancer in Q4 2020, resulting in payment of $20 million of the $75 million in FDA BLA and EMA MAA regulatory milestone payments anticipated in upcoming 18 months</w:t>
      </w:r>
    </w:p>
    <w:p>
      <w:pPr>
        <w:spacing w:after="0" w:line="177" w:lineRule="exact"/>
        <w:rPr>
          <w:rFonts w:ascii="Times New Roman" w:cs="Times New Roman" w:eastAsia="Times New Roman" w:hAnsi="Times New Roman"/>
          <w:sz w:val="20"/>
          <w:szCs w:val="20"/>
          <w:color w:val="auto"/>
        </w:rPr>
      </w:pPr>
    </w:p>
    <w:p>
      <w:pPr>
        <w:ind w:left="660" w:right="240" w:hanging="328"/>
        <w:spacing w:after="0" w:line="222"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strategic immuno-oncology collaboration with GlaxoSmithKline to increase dostarlimab royalties, add Zejula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0"/>
          <w:szCs w:val="20"/>
          <w:color w:val="auto"/>
        </w:rPr>
        <w:t xml:space="preserve"> royalty effective January 2021 and receive additional $60 million cash in Q4 2020</w:t>
      </w:r>
    </w:p>
    <w:p>
      <w:pPr>
        <w:spacing w:after="0" w:line="292"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20"/>
          <w:szCs w:val="20"/>
          <w:b w:val="1"/>
          <w:bCs w:val="1"/>
          <w:color w:val="auto"/>
        </w:rPr>
        <w:t>SAN DIEGO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November 4, 2020 </w:t>
      </w:r>
      <w:r>
        <w:rPr>
          <w:rFonts w:ascii="Times New Roman" w:cs="Times New Roman" w:eastAsia="Times New Roman" w:hAnsi="Times New Roman"/>
          <w:sz w:val="20"/>
          <w:szCs w:val="20"/>
          <w:color w:val="auto"/>
        </w:rPr>
        <w:t>- AnaptysBio, Inc. (Nasdaq: ANAB), a clinical-stage biotechnology company developing first-in-class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antibody product candidates focused on emerging immune control mechanisms applicable to inflammation and immuno-oncology indications, today reported operating results for the third quarter ended September 30, 2020 and provided pipeline updates.</w:t>
      </w:r>
    </w:p>
    <w:p>
      <w:pPr>
        <w:spacing w:after="0" w:line="1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are excited with the recent interim results from our GALLOP trial and look forward to engaging with regulatory authorities to progress imsidolimab into registration trials for the treatment of GPP”, said Hamza Suria, president and chief executive officer of AnaptysBio. “Under our amended immuno-oncology collaboration with GSK, we look forward to the anticipated first FDA approval of dostarlimab and its advancement for patients suffering with various oncological disorders.”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Imsidolimab (Anti-IL-36 Receptor) Program</w:t>
      </w:r>
    </w:p>
    <w:p>
      <w:pPr>
        <w:spacing w:after="0" w:line="247" w:lineRule="exact"/>
        <w:rPr>
          <w:sz w:val="20"/>
          <w:szCs w:val="20"/>
          <w:color w:val="auto"/>
        </w:rPr>
      </w:pPr>
    </w:p>
    <w:p>
      <w:pPr>
        <w:jc w:val="both"/>
        <w:ind w:left="660" w:right="40" w:hanging="328"/>
        <w:spacing w:after="0" w:line="254"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we announced that the U.S. Food and Drug Administration (FDA) has granted orphan drug designation for imsidolimab, our proprietary anti-interleukin-36 receptor (IL-36R) antibody, for the treatment of patients with GPP. Treatment of GPP by imsidolimab is being evaluated in the GALLOP Phase 2 trial.</w:t>
      </w:r>
    </w:p>
    <w:p>
      <w:pPr>
        <w:spacing w:after="0" w:line="228" w:lineRule="exact"/>
        <w:rPr>
          <w:rFonts w:ascii="Times New Roman" w:cs="Times New Roman" w:eastAsia="Times New Roman" w:hAnsi="Times New Roman"/>
          <w:sz w:val="20"/>
          <w:szCs w:val="20"/>
          <w:color w:val="auto"/>
        </w:rPr>
      </w:pPr>
    </w:p>
    <w:p>
      <w:pPr>
        <w:ind w:left="660" w:hanging="328"/>
        <w:spacing w:after="0" w:line="255"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Patients demonstrated rapid onset, overall safety and promising efficacy upon imsidolimab monotherapy in a Day 29 interim analysis of our GALLOP Phase 2 GPP trial. Six of 8 patients achieved the primary endpoint of disease improvement upon Day 29, while erythema with skin pustules, which clinically defines GPP, decreased by 94% on Day 29 relative to baseline.</w:t>
      </w:r>
    </w:p>
    <w:p>
      <w:pPr>
        <w:sectPr>
          <w:pgSz w:w="11900" w:h="16838" w:orient="portrait"/>
          <w:cols w:equalWidth="0" w:num="1">
            <w:col w:w="11200"/>
          </w:cols>
          <w:pgMar w:left="320" w:top="1407" w:right="37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An end-of-Phase 2 meeting, based upon data available from the 8 patients enrolled in the GALLOP trial, is anticipated in Q4 2020.</w:t>
      </w:r>
    </w:p>
    <w:p>
      <w:pPr>
        <w:spacing w:after="0" w:line="246" w:lineRule="exact"/>
        <w:rPr>
          <w:rFonts w:ascii="Arial" w:cs="Arial" w:eastAsia="Arial" w:hAnsi="Arial"/>
          <w:sz w:val="22"/>
          <w:szCs w:val="22"/>
          <w:color w:val="auto"/>
        </w:rPr>
      </w:pPr>
    </w:p>
    <w:p>
      <w:pPr>
        <w:ind w:left="660" w:right="240" w:hanging="328"/>
        <w:spacing w:after="0" w:line="270" w:lineRule="auto"/>
        <w:tabs>
          <w:tab w:leader="none" w:pos="65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9"/>
          <w:szCs w:val="19"/>
          <w:color w:val="auto"/>
        </w:rPr>
        <w:t>We are also conducting a randomized, placebo-controlled, multi-dose Phase 2 trial in approximately 50 patients with palmoplantar pustulosis, or PPP, also known as the POPLAR trial, which is now fully enrolled with topline data anticipated in Q1 2021.</w:t>
      </w:r>
    </w:p>
    <w:p>
      <w:pPr>
        <w:spacing w:after="0" w:line="211" w:lineRule="exact"/>
        <w:rPr>
          <w:rFonts w:ascii="Arial" w:cs="Arial" w:eastAsia="Arial" w:hAnsi="Arial"/>
          <w:sz w:val="21"/>
          <w:szCs w:val="21"/>
          <w:color w:val="auto"/>
        </w:rPr>
      </w:pPr>
    </w:p>
    <w:p>
      <w:pPr>
        <w:ind w:left="660" w:hanging="328"/>
        <w:spacing w:after="0" w:line="242"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We anticipate expanding the imsidolimab program in two new indications, EGFR-mediated skin toxicities and ichthyosis, based upon human translational data that suggests each of these conditions are mediated by dysregulated signaling through the IL-36 pathway. Initiation of Phase 2 trials for each of these indications is anticipated in Q4 2020.</w:t>
      </w:r>
    </w:p>
    <w:p>
      <w:pPr>
        <w:spacing w:after="0" w:line="212" w:lineRule="exact"/>
        <w:rPr>
          <w:rFonts w:ascii="Arial" w:cs="Arial" w:eastAsia="Arial" w:hAnsi="Arial"/>
          <w:sz w:val="22"/>
          <w:szCs w:val="22"/>
          <w:color w:val="auto"/>
        </w:rPr>
      </w:pPr>
    </w:p>
    <w:p>
      <w:pPr>
        <w:ind w:left="660" w:right="58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registry of GPP and PPP patients, named RADIANCE, to be initiated in Q1 2021, to improve understanding of the patient journey and support enrollment of future trials.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ANB030 (Anti-PD-1 Agonist) Program</w:t>
      </w:r>
    </w:p>
    <w:p>
      <w:pPr>
        <w:spacing w:after="0" w:line="247" w:lineRule="exact"/>
        <w:rPr>
          <w:sz w:val="20"/>
          <w:szCs w:val="20"/>
          <w:color w:val="auto"/>
        </w:rPr>
      </w:pPr>
    </w:p>
    <w:p>
      <w:pPr>
        <w:ind w:left="660" w:right="40" w:hanging="328"/>
        <w:spacing w:after="0" w:line="288" w:lineRule="auto"/>
        <w:tabs>
          <w:tab w:leader="none" w:pos="6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anticipate topline data from our ongoing Phase 1 healthy volunteer clinical trial of ANB030, our wholly-owned PD-1 agonist antibody, designed to assess the safety, pharmacokinetics and pharmacodynamics of ANB030 in single and multiple ascending dose cohorts in mid-2021. Preclinical translational data using ANB030 was presented in March 2020 at the Festival of Biologics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ANB032 (Anti-BTLA Modulator) Program</w:t>
      </w:r>
    </w:p>
    <w:p>
      <w:pPr>
        <w:spacing w:after="0" w:line="247" w:lineRule="exact"/>
        <w:rPr>
          <w:sz w:val="20"/>
          <w:szCs w:val="20"/>
          <w:color w:val="auto"/>
        </w:rPr>
      </w:pPr>
    </w:p>
    <w:p>
      <w:pPr>
        <w:ind w:left="660" w:right="20" w:hanging="328"/>
        <w:spacing w:after="0" w:line="26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anticipate filing an investigational new drug application (IND) for ANB032, our wholly-owned BTLA modulator antibody, in Q4 2020. We presented preclinical data regarding ANB032 at the 2020 Federation of Clinical Immunology Societies (FOCIS) Virtual Annual Meeting in October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Etokimab (ANB020 Anti-IL-33) Program</w:t>
      </w:r>
    </w:p>
    <w:p>
      <w:pPr>
        <w:spacing w:after="0" w:line="274" w:lineRule="exact"/>
        <w:rPr>
          <w:sz w:val="20"/>
          <w:szCs w:val="20"/>
          <w:color w:val="auto"/>
        </w:rPr>
      </w:pPr>
    </w:p>
    <w:p>
      <w:pPr>
        <w:ind w:left="660" w:right="40" w:hanging="328"/>
        <w:spacing w:after="0" w:line="252"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an interim analysis at week 8 of the ongoing ECLIPSE Phase 2 trial of etokimab in chronic rhinosinusitis with nasal polyps, patients dosed with etokimab every four (q4w) or eight weeks (q8w) failed to achieve statistically significant improvement in their bilateral nasal polyps score (NPS), an endoscopic measure of nasal occlusion, and their sino-nasal outcome test (SNOT-22), a patient reported quality-of-life assessment, versus placebo at the week 8 timepoint. Both endpoints demonstrated statistically significant improvement over baseline levels of NPS and SNOT-22. Blood eosinophil levels, which are a biomarker of etokimab’s mechanism, demonstrated statistically significant reduction relative to baseline in both etokimab treatment arms. </w:t>
      </w:r>
      <w:r>
        <w:rPr>
          <w:rFonts w:ascii="Times New Roman" w:cs="Times New Roman" w:eastAsia="Times New Roman" w:hAnsi="Times New Roman"/>
          <w:sz w:val="21"/>
          <w:szCs w:val="21"/>
          <w:color w:val="auto"/>
        </w:rPr>
        <w:t>We</w:t>
      </w:r>
      <w:r>
        <w:rPr>
          <w:rFonts w:ascii="Times New Roman" w:cs="Times New Roman" w:eastAsia="Times New Roman" w:hAnsi="Times New Roman"/>
          <w:sz w:val="20"/>
          <w:szCs w:val="20"/>
          <w:color w:val="auto"/>
        </w:rPr>
        <w:t xml:space="preserve"> intend to decide on a path forward for the etokimab program after reviewing week 16 primary endpoint data by year-end 2020.</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u w:val="single" w:color="auto"/>
          <w:color w:val="auto"/>
        </w:rPr>
        <w:t>Dostarlimab (Anti-PD-1 Antagonist) Program Partnered with GSK</w:t>
      </w:r>
    </w:p>
    <w:p>
      <w:pPr>
        <w:spacing w:after="0" w:line="247" w:lineRule="exact"/>
        <w:rPr>
          <w:sz w:val="20"/>
          <w:szCs w:val="20"/>
          <w:color w:val="auto"/>
        </w:rPr>
      </w:pPr>
    </w:p>
    <w:p>
      <w:pPr>
        <w:ind w:left="660" w:right="100" w:hanging="328"/>
        <w:spacing w:after="0" w:line="24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2020, we amended our immuno-oncology collaboration with GSK resulting in increased financial consideration to AnaptysBio. Royalties due to AnaptysBio for dostarlimab were increased to 8-25% of global net sales, where AnaptysBio will receive 8% of annual global net sales below $1 billion, and 12-25% of net sales above $1 billion. The $1.1 billion in cash milestone payments due under the collaboration agreement remain unchanged, and AnaptysBio anticipates receiving $75 million in such cash milestones over the next 18 months as dostarlimab obtains FDA and EMA regulatory approval for the first two indications. An additional $165 million in sales milestones is anticipated by AnaptysBio upon achievement of certain dostarlimab annual sales revenues. GSK has also agreed, starting January 1, 2021, to pay AnaptysBio a 1% royalty on all of GSK’s global net sales of Zejula™. In addition, GSK has agreed to pay AnaptysBio a one-time cash payment of $60 million within 30 days. In exchange, AnaptysBio has provided GSK with freedom to conduct development and commercialization of Zejula™ in combination with third-party molecules and settled the ongoing legal dispute between AnaptysBio and GSK.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Third Quarter Financial Results</w:t>
      </w:r>
    </w:p>
    <w:p>
      <w:pPr>
        <w:spacing w:after="0" w:line="24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Cash, cash equivalents and investments totaled $374.5 million as of September 30, 2020 compared to $428.5 million as of December 31, 2019, for a decrease of $54.0 million. The decrease relates primarily to cash used for operating activities.</w:t>
      </w:r>
    </w:p>
    <w:p>
      <w:pPr>
        <w:spacing w:after="0" w:line="186"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20"/>
          <w:szCs w:val="20"/>
          <w:color w:val="auto"/>
        </w:rPr>
        <w:t>Collaboration revenue was zero and $15.0 million for the three and nine months ended September,30 2020, which related to milestone payments for successful BLA and MAA filings for dostarlimab by GSK, compared to zero and $5 million for the three and nine months ended September 30, 2019.</w:t>
      </w:r>
    </w:p>
    <w:p>
      <w:pPr>
        <w:spacing w:after="0" w:line="201"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Research and development expenses were $19.5 million and $58.5 million for the three and nine months ended September 30, 2020, compared to $29.9 million and $77.9 million for the three and nine months ended September 30, 2019. The decrease was due primarily to reduced outside services for manufacturing and clinical expenses based on the timing of projects.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General and administrative expenses were $4.8 million and $13.8 million for the three and nine months ended September 30, 2020, compared to $3.8 million and $12.3 million for the three and nine months ended September 30, 2019. The increase was due primarily to increased legal and insurance expenses.</w:t>
      </w:r>
    </w:p>
    <w:p>
      <w:pPr>
        <w:spacing w:after="0" w:line="201"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20"/>
          <w:szCs w:val="20"/>
          <w:color w:val="auto"/>
        </w:rPr>
        <w:t>Net loss was $23.8 million and $53.6 million for the three and nine months ended September 30, 2020, or a net loss per share of $0.87 and $1.96, compared to a net loss of $31.0 million and $77.1 million for the three and nine months ended September 30, 2019, or a net loss per share of $1.15 and $2.85.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Financial Guidance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AnaptysBio expects its net cash burn in 2020 will be close to breakeven assuming the $20 million milestone payment upon first FDA</w:t>
      </w:r>
    </w:p>
    <w:p>
      <w:pPr>
        <w:spacing w:after="0" w:line="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0"/>
          <w:szCs w:val="20"/>
          <w:color w:val="auto"/>
        </w:rPr>
        <w:t>approval of dostarlimab is received by year-end. We anticipate that our cash, cash equivalents and anticipated revenues will fund our current operating plan at least into 2023.</w:t>
      </w:r>
    </w:p>
    <w:p>
      <w:pPr>
        <w:sectPr>
          <w:pgSz w:w="11900" w:h="16838" w:orient="portrait"/>
          <w:cols w:equalWidth="0" w:num="1">
            <w:col w:w="11220"/>
          </w:cols>
          <w:pgMar w:left="320" w:top="140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About AnaptysBio</w:t>
      </w:r>
    </w:p>
    <w:p>
      <w:pPr>
        <w:spacing w:after="0" w:line="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anti-IL-36R antibody imsidolimab, previously referred to as ANB019, for the treatment of rare inflammatory diseases, including generalized pustular psoriasis, or GPP, palmoplantar pustulosis, or PPP, EGFRi and ichthyosis; its anti-PD-1 agonist program, ANB030, for treatment of certain autoimmune diseases where immune checkpoint receptors are insufficiently activated; its BTLA modulator program, ANB032, which is broadly applicable to human inflammatory diseases associated with lymphoid and myeloid immune cell dysregulation; and its anti-IL-33 antibody etokimab, previously referred to as ANB020, for the treatment of chronic rhinosinusitis with nasal polyps, or CRSwNP, and eosinophilic asthma.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GlaxoSmithKline, including an anti-PD-1 antagonist antibody (dostarlimab GSK4057190A), an anti-TIM-3 antagonist antibody (cobolimab, GSK4069889A) and an anti-LAG-3 antagonist antibody (GSK4074386), and an inflammation collaboration with Bristol-Myers Squibb, including an anti-PD-1 checkpoint agonist antibody (CC-90006) currently in clinical development.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 in PPP; the timing of initiation of imsidolimab’s Phase 2 clinical trials in EGFRi and ichthyosis; and etokimab’s week 16 data for the ECLIPSE Phase 2 clinical trial in chronic rhinosinusitis with nasal polyps; the timing of an end-of-Phase 2 meeting with the FDA for GPP; the timing of an IND filing for ANB032; the milestones and royalty payments to be received under the GSK collaboration; and our projected 2020 cash burn and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Dennis Mulroy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AnaptysBio,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858.732.0201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dmulroy@anaptysbio.com</w:t>
      </w:r>
    </w:p>
    <w:p>
      <w:pPr>
        <w:sectPr>
          <w:pgSz w:w="11900" w:h="16838" w:orient="portrait"/>
          <w:cols w:equalWidth="0" w:num="1">
            <w:col w:w="11240"/>
          </w:cols>
          <w:pgMar w:left="320" w:top="1409" w:right="339" w:bottom="1440" w:gutter="0" w:footer="0" w:header="0"/>
        </w:sectPr>
      </w:pPr>
    </w:p>
    <w:bookmarkStart w:id="7" w:name="page8"/>
    <w:bookmarkEnd w:id="7"/>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Pr>
          <w:p>
            <w:pPr>
              <w:spacing w:after="0"/>
              <w:rPr>
                <w:sz w:val="16"/>
                <w:szCs w:val="16"/>
                <w:color w:val="auto"/>
              </w:rPr>
            </w:pP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7"/>
        </w:trPr>
        <w:tc>
          <w:tcPr>
            <w:tcW w:w="7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209,154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171,017</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203,210</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0" w:type="dxa"/>
            <w:vAlign w:val="bottom"/>
          </w:tcPr>
          <w:p>
            <w:pPr>
              <w:spacing w:after="0"/>
              <w:rPr>
                <w:sz w:val="1"/>
                <w:szCs w:val="1"/>
                <w:color w:val="auto"/>
              </w:rPr>
            </w:pPr>
          </w:p>
        </w:tc>
      </w:tr>
      <w:tr>
        <w:trPr>
          <w:trHeight w:val="207"/>
        </w:trPr>
        <w:tc>
          <w:tcPr>
            <w:tcW w:w="7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377,733</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54,305</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384,750</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435,197</w:t>
            </w: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bottom w:val="single" w:sz="8" w:color="CFF0FC"/>
            </w:tcBorders>
            <w:vMerge w:val="restart"/>
          </w:tcPr>
          <w:p>
            <w:pPr>
              <w:ind w:left="3860"/>
              <w:spacing w:after="0"/>
              <w:rPr>
                <w:sz w:val="20"/>
                <w:szCs w:val="20"/>
                <w:color w:val="auto"/>
              </w:rPr>
            </w:pPr>
            <w:r>
              <w:rPr>
                <w:rFonts w:ascii="Times New Roman" w:cs="Times New Roman" w:eastAsia="Times New Roman" w:hAnsi="Times New Roman"/>
                <w:sz w:val="16"/>
                <w:szCs w:val="16"/>
                <w:b w:val="1"/>
                <w:bCs w:val="1"/>
                <w:color w:val="auto"/>
                <w:w w:val="96"/>
              </w:rPr>
              <w:t>LIABILITIES AND STOCKHOLDERS’ EQUITY</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6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16,237</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18,139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11,052</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6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07"/>
        </w:trPr>
        <w:tc>
          <w:tcPr>
            <w:tcW w:w="7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29,535</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2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September</w:t>
            </w:r>
          </w:p>
        </w:tc>
        <w:tc>
          <w:tcPr>
            <w:tcW w:w="260" w:type="dxa"/>
            <w:vAlign w:val="bottom"/>
            <w:shd w:val="clear" w:color="auto" w:fill="CFF0FC"/>
          </w:tcPr>
          <w:p>
            <w:pPr>
              <w:spacing w:after="0"/>
              <w:rPr>
                <w:sz w:val="15"/>
                <w:szCs w:val="15"/>
                <w:color w:val="auto"/>
              </w:rPr>
            </w:pPr>
          </w:p>
        </w:tc>
        <w:tc>
          <w:tcPr>
            <w:tcW w:w="1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 2020 and December 31, 2019, respectively</w:t>
            </w:r>
          </w:p>
        </w:tc>
        <w:tc>
          <w:tcPr>
            <w:tcW w:w="260" w:type="dxa"/>
            <w:vAlign w:val="bottom"/>
            <w:shd w:val="clear" w:color="auto" w:fill="CFF0FC"/>
          </w:tcPr>
          <w:p>
            <w:pPr>
              <w:spacing w:after="0"/>
              <w:rPr>
                <w:sz w:val="18"/>
                <w:szCs w:val="18"/>
                <w:color w:val="auto"/>
              </w:rPr>
            </w:pPr>
          </w:p>
        </w:tc>
        <w:tc>
          <w:tcPr>
            <w:tcW w:w="180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 shares authorized, 27,346 shares and 27,255 shares issued and</w:t>
            </w:r>
          </w:p>
        </w:tc>
        <w:tc>
          <w:tcPr>
            <w:tcW w:w="26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2020 and December 31, 2019, respectively</w:t>
            </w:r>
          </w:p>
        </w:tc>
        <w:tc>
          <w:tcPr>
            <w:tcW w:w="2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657,560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648,669</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(297,603)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(244,026)</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360,243</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405,008</w:t>
            </w:r>
          </w:p>
        </w:tc>
        <w:tc>
          <w:tcPr>
            <w:tcW w:w="0" w:type="dxa"/>
            <w:vAlign w:val="bottom"/>
          </w:tcPr>
          <w:p>
            <w:pPr>
              <w:spacing w:after="0"/>
              <w:rPr>
                <w:sz w:val="1"/>
                <w:szCs w:val="1"/>
                <w:color w:val="auto"/>
              </w:rPr>
            </w:pPr>
          </w:p>
        </w:tc>
      </w:tr>
      <w:tr>
        <w:trPr>
          <w:trHeight w:val="234"/>
        </w:trPr>
        <w:tc>
          <w:tcPr>
            <w:tcW w:w="72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384,750</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435,197</w:t>
            </w: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6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Collaboration revenue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32" w:lineRule="exact"/>
        <w:rPr>
          <w:sz w:val="20"/>
          <w:szCs w:val="20"/>
          <w:color w:val="auto"/>
        </w:rPr>
      </w:pPr>
    </w:p>
    <w:p>
      <w:pPr>
        <w:ind w:left="260" w:right="420"/>
        <w:spacing w:after="0" w:line="281" w:lineRule="auto"/>
        <w:rPr>
          <w:sz w:val="20"/>
          <w:szCs w:val="20"/>
          <w:color w:val="auto"/>
        </w:rPr>
      </w:pPr>
      <w:r>
        <w:rPr>
          <w:rFonts w:ascii="Times New Roman" w:cs="Times New Roman" w:eastAsia="Times New Roman" w:hAnsi="Times New Roman"/>
          <w:sz w:val="16"/>
          <w:szCs w:val="16"/>
          <w:color w:val="auto"/>
        </w:rPr>
        <w:t>Research and development General and administrative</w:t>
      </w:r>
    </w:p>
    <w:p>
      <w:pPr>
        <w:spacing w:after="0" w:line="1" w:lineRule="exact"/>
        <w:rPr>
          <w:sz w:val="20"/>
          <w:szCs w:val="20"/>
          <w:color w:val="auto"/>
        </w:rPr>
      </w:pPr>
    </w:p>
    <w:p>
      <w:pPr>
        <w:jc w:val="right"/>
        <w:ind w:left="500" w:right="300"/>
        <w:spacing w:after="0" w:line="299" w:lineRule="auto"/>
        <w:rPr>
          <w:sz w:val="20"/>
          <w:szCs w:val="20"/>
          <w:color w:val="auto"/>
        </w:rPr>
      </w:pPr>
      <w:r>
        <w:rPr>
          <w:rFonts w:ascii="Times New Roman" w:cs="Times New Roman" w:eastAsia="Times New Roman" w:hAnsi="Times New Roman"/>
          <w:sz w:val="16"/>
          <w:szCs w:val="16"/>
          <w:color w:val="auto"/>
        </w:rPr>
        <w:t>Total operating expenses Loss from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(expense), net:</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 income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260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820" w:type="dxa"/>
            <w:vAlign w:val="bottom"/>
            <w:gridSpan w:val="6"/>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9"/>
        </w:trPr>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8"/>
        </w:trPr>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409"/>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77,912</w:t>
            </w:r>
          </w:p>
        </w:tc>
      </w:tr>
      <w:tr>
        <w:trPr>
          <w:trHeight w:val="219"/>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12,262</w:t>
            </w:r>
          </w:p>
        </w:tc>
      </w:tr>
      <w:tr>
        <w:trPr>
          <w:trHeight w:val="210"/>
        </w:trPr>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72,224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90,174</w:t>
            </w:r>
          </w:p>
        </w:tc>
      </w:tr>
      <w:tr>
        <w:trPr>
          <w:trHeight w:val="210"/>
        </w:trPr>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(57,224)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(85,174)</w:t>
            </w:r>
          </w:p>
        </w:tc>
      </w:tr>
      <w:tr>
        <w:trPr>
          <w:trHeight w:val="409"/>
        </w:trPr>
        <w:tc>
          <w:tcPr>
            <w:tcW w:w="280" w:type="dxa"/>
            <w:vAlign w:val="bottom"/>
          </w:tcPr>
          <w:p>
            <w:pPr>
              <w:spacing w:after="0"/>
              <w:rPr>
                <w:sz w:val="24"/>
                <w:szCs w:val="24"/>
                <w:color w:val="auto"/>
              </w:rPr>
            </w:pPr>
          </w:p>
        </w:tc>
        <w:tc>
          <w:tcPr>
            <w:tcW w:w="158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6"/>
        </w:trPr>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8,702</w:t>
            </w:r>
          </w:p>
        </w:tc>
      </w:tr>
      <w:tr>
        <w:trPr>
          <w:trHeight w:val="216"/>
        </w:trPr>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-1393190</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-1109980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-835660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-544195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-269875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720"/>
            <w:col w:w="8100"/>
          </w:cols>
          <w:pgMar w:left="320" w:top="1413" w:right="339" w:bottom="1440" w:gutter="0" w:footer="0" w:header="0"/>
        </w:sectPr>
      </w:pPr>
    </w:p>
    <w:tbl>
      <w:tblPr>
        <w:tblLayout w:type="fixed"/>
        <w:tblInd w:w="0" w:type="dxa"/>
        <w:tblCellMar>
          <w:top w:w="0" w:type="dxa"/>
          <w:left w:w="0" w:type="dxa"/>
          <w:bottom w:w="0" w:type="dxa"/>
          <w:right w:w="0" w:type="dxa"/>
        </w:tblCellMar>
      </w:tblPr>
      <w:tr>
        <w:trPr>
          <w:trHeight w:val="215"/>
        </w:trPr>
        <w:tc>
          <w:tcPr>
            <w:tcW w:w="57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7,971</w:t>
            </w:r>
          </w:p>
        </w:tc>
        <w:tc>
          <w:tcPr>
            <w:tcW w:w="0" w:type="dxa"/>
            <w:vAlign w:val="bottom"/>
          </w:tcPr>
          <w:p>
            <w:pPr>
              <w:spacing w:after="0"/>
              <w:rPr>
                <w:sz w:val="1"/>
                <w:szCs w:val="1"/>
                <w:color w:val="auto"/>
              </w:rPr>
            </w:pPr>
          </w:p>
        </w:tc>
      </w:tr>
      <w:tr>
        <w:trPr>
          <w:trHeight w:val="207"/>
        </w:trPr>
        <w:tc>
          <w:tcPr>
            <w:tcW w:w="57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(77,203)</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70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2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(31,033)</w:t>
            </w:r>
          </w:p>
        </w:tc>
        <w:tc>
          <w:tcPr>
            <w:tcW w:w="10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(53,577)</w:t>
            </w:r>
          </w:p>
        </w:tc>
        <w:tc>
          <w:tcPr>
            <w:tcW w:w="100" w:type="dxa"/>
            <w:vAlign w:val="bottom"/>
            <w:tcBorders>
              <w:bottom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(77,073)</w:t>
            </w:r>
          </w:p>
        </w:tc>
        <w:tc>
          <w:tcPr>
            <w:tcW w:w="0" w:type="dxa"/>
            <w:vAlign w:val="bottom"/>
          </w:tcPr>
          <w:p>
            <w:pPr>
              <w:spacing w:after="0"/>
              <w:rPr>
                <w:sz w:val="1"/>
                <w:szCs w:val="1"/>
                <w:color w:val="auto"/>
              </w:rPr>
            </w:pPr>
          </w:p>
        </w:tc>
      </w:tr>
      <w:tr>
        <w:trPr>
          <w:trHeight w:val="19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440"/>
              <w:spacing w:after="0" w:line="162" w:lineRule="exact"/>
              <w:rPr>
                <w:sz w:val="20"/>
                <w:szCs w:val="20"/>
                <w:color w:val="auto"/>
              </w:rPr>
            </w:pPr>
            <w:r>
              <w:rPr>
                <w:rFonts w:ascii="Times New Roman" w:cs="Times New Roman" w:eastAsia="Times New Roman" w:hAnsi="Times New Roman"/>
                <w:sz w:val="16"/>
                <w:szCs w:val="16"/>
                <w:color w:val="auto"/>
              </w:rPr>
              <w:t>Unrealized (loss) income on available for sale securities, net of tax of $0, ($25),</w:t>
            </w: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$0 and $189, respectively</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Comprehensive loss</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(24,261)</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(31,127)</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(53,656)</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(76,370)</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Basic and diluted</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Basic and diluted</w:t>
            </w:r>
          </w:p>
        </w:tc>
        <w:tc>
          <w:tcPr>
            <w:tcW w:w="4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27,316</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27,058</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27,286</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27,022</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2020-11-04T15:11:35Z</dcterms:created>
  <dcterms:modified xsi:type="dcterms:W3CDTF">2020-11-04T15:11:35Z</dcterms:modified>
</cp:coreProperties>
</file>