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292026_040401.xml.htm"/>
      <w:bookmarkStart w:id="1" w:name="ksform404292026_0404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GRAY SUSANNAH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ANAPTYSBIO,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ANAB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1 share of the Issuer's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1/3 of the RSUs shall vest on April 27, 2027 and 1/3 of the RSUs shall vest in equal annual installments until fully vested, subject to the Reporting Person's provision of service to the Issuer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 Faga,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453" TargetMode="External"/><Relationship Id="rId5" Type="http://schemas.openxmlformats.org/officeDocument/2006/relationships/hyperlink" Target="http://www.sec.gov/cgi-bin/browse-edgar?action=getcompany&amp;CIK=00013700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3368</Characters>
  <CharactersWithSpaces>3933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