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Faga Daniel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57"/>
        <w:spacing w:after="0"/>
        <w:rPr>
          <w:sz w:val="20"/>
          <w:szCs w:val="20"/>
          <w:color w:val="auto"/>
        </w:rPr>
      </w:pPr>
      <w:r>
        <w:rPr>
          <w:rFonts w:ascii="Times New Roman" w:cs="Times New Roman" w:eastAsia="Times New Roman" w:hAnsi="Times New Roman"/>
          <w:sz w:val="17"/>
          <w:szCs w:val="17"/>
          <w:color w:val="0000FF"/>
        </w:rPr>
        <w:t>President, 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01/03/2026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34,677</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473,448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15,309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43.26</w:t>
            </w:r>
          </w:p>
        </w:tc>
        <w:tc>
          <w:tcPr>
            <w:tcW w:w="120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458,139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34,677</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34,677</w:t>
            </w:r>
          </w:p>
        </w:tc>
        <w:tc>
          <w:tcPr>
            <w:tcW w:w="16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69,355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2,305 shares acquired under the Company's ESPP.</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3, 2025 until fully vested, subject to the Reporting Person's provision of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352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2026-01-06T21:13:41Z</dcterms:created>
  <dcterms:modified xsi:type="dcterms:W3CDTF">2026-01-06T21:13:41Z</dcterms:modified>
</cp:coreProperties>
</file>