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SCHEDULE 14A</w:t>
      </w:r>
    </w:p>
    <w:p>
      <w:pPr>
        <w:spacing w:after="0" w:line="238"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20"/>
        <w:spacing w:after="0" w:line="207" w:lineRule="exact"/>
        <w:tabs>
          <w:tab w:leader="none" w:pos="2900" w:val="left"/>
          <w:tab w:leader="none" w:pos="4560" w:val="left"/>
          <w:tab w:leader="none" w:pos="89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7"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7"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63" w:lineRule="exact"/>
        <w:rPr>
          <w:sz w:val="24"/>
          <w:szCs w:val="24"/>
          <w:color w:val="auto"/>
        </w:rPr>
      </w:pPr>
    </w:p>
    <w:p>
      <w:pPr>
        <w:jc w:val="center"/>
        <w:ind w:right="-279"/>
        <w:spacing w:after="0"/>
        <w:rPr>
          <w:sz w:val="20"/>
          <w:szCs w:val="20"/>
          <w:color w:val="auto"/>
        </w:rPr>
      </w:pPr>
      <w:r>
        <w:rPr>
          <w:rFonts w:ascii="Arial" w:cs="Arial" w:eastAsia="Arial" w:hAnsi="Arial"/>
          <w:sz w:val="36"/>
          <w:szCs w:val="36"/>
          <w:b w:val="1"/>
          <w:bCs w:val="1"/>
          <w:color w:val="auto"/>
        </w:rPr>
        <w:t>ANAPTYSBIO, INC.</w:t>
      </w:r>
    </w:p>
    <w:p>
      <w:pPr>
        <w:spacing w:after="0" w:line="4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w:t>
      </w:r>
    </w:p>
    <w:p>
      <w:pPr>
        <w:spacing w:after="0" w:line="2"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440" w:hanging="317"/>
        <w:spacing w:after="0"/>
        <w:tabs>
          <w:tab w:leader="none" w:pos="440" w:val="left"/>
        </w:tabs>
        <w:numPr>
          <w:ilvl w:val="1"/>
          <w:numId w:val="2"/>
        </w:numPr>
        <w:rPr>
          <w:rFonts w:ascii="Arial" w:cs="Arial" w:eastAsia="Arial" w:hAnsi="Arial"/>
          <w:sz w:val="16"/>
          <w:szCs w:val="16"/>
          <w:color w:val="auto"/>
        </w:rPr>
      </w:pPr>
      <w:r>
        <w:rPr>
          <w:rFonts w:ascii="Arial" w:cs="Arial" w:eastAsia="Arial" w:hAnsi="Arial"/>
          <w:sz w:val="18"/>
          <w:szCs w:val="18"/>
          <w:color w:val="auto"/>
        </w:rPr>
        <w:t>No fee required.</w:t>
      </w:r>
    </w:p>
    <w:p>
      <w:pPr>
        <w:spacing w:after="0" w:line="76" w:lineRule="exact"/>
        <w:rPr>
          <w:rFonts w:ascii="Arial" w:cs="Arial" w:eastAsia="Arial" w:hAnsi="Arial"/>
          <w:sz w:val="16"/>
          <w:szCs w:val="16"/>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120" w:hanging="676"/>
        <w:spacing w:after="0"/>
        <w:tabs>
          <w:tab w:leader="none" w:pos="11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 w:lineRule="exact"/>
        <w:rPr>
          <w:rFonts w:ascii="Arial" w:cs="Arial" w:eastAsia="Arial" w:hAnsi="Arial"/>
          <w:sz w:val="18"/>
          <w:szCs w:val="18"/>
          <w:color w:val="auto"/>
        </w:rPr>
      </w:pPr>
    </w:p>
    <w:p>
      <w:pPr>
        <w:ind w:left="1120" w:hanging="676"/>
        <w:spacing w:after="0"/>
        <w:tabs>
          <w:tab w:leader="none" w:pos="11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1120" w:right="40" w:hanging="676"/>
        <w:spacing w:after="0" w:line="235" w:lineRule="auto"/>
        <w:tabs>
          <w:tab w:leader="none" w:pos="112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3" w:lineRule="exact"/>
        <w:rPr>
          <w:rFonts w:ascii="Arial" w:cs="Arial" w:eastAsia="Arial" w:hAnsi="Arial"/>
          <w:sz w:val="18"/>
          <w:szCs w:val="18"/>
          <w:color w:val="auto"/>
        </w:rPr>
      </w:pPr>
    </w:p>
    <w:p>
      <w:pPr>
        <w:ind w:left="1120" w:hanging="676"/>
        <w:spacing w:after="0"/>
        <w:tabs>
          <w:tab w:leader="none" w:pos="112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 w:lineRule="exact"/>
        <w:rPr>
          <w:rFonts w:ascii="Arial" w:cs="Arial" w:eastAsia="Arial" w:hAnsi="Arial"/>
          <w:sz w:val="18"/>
          <w:szCs w:val="18"/>
          <w:color w:val="auto"/>
        </w:rPr>
      </w:pPr>
    </w:p>
    <w:p>
      <w:pPr>
        <w:ind w:left="1120" w:hanging="676"/>
        <w:spacing w:after="0"/>
        <w:tabs>
          <w:tab w:leader="none" w:pos="11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40" w:hanging="414"/>
        <w:spacing w:after="0" w:line="258" w:lineRule="auto"/>
        <w:tabs>
          <w:tab w:leader="none" w:pos="4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20" w:hanging="676"/>
        <w:spacing w:after="0"/>
        <w:tabs>
          <w:tab w:leader="none" w:pos="11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 w:lineRule="exact"/>
        <w:rPr>
          <w:rFonts w:ascii="Arial" w:cs="Arial" w:eastAsia="Arial" w:hAnsi="Arial"/>
          <w:sz w:val="18"/>
          <w:szCs w:val="18"/>
          <w:color w:val="auto"/>
        </w:rPr>
      </w:pPr>
    </w:p>
    <w:p>
      <w:pPr>
        <w:ind w:left="1120" w:hanging="635"/>
        <w:spacing w:after="0"/>
        <w:tabs>
          <w:tab w:leader="none" w:pos="1120" w:val="left"/>
        </w:tabs>
        <w:numPr>
          <w:ilvl w:val="3"/>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 w:lineRule="exact"/>
        <w:rPr>
          <w:rFonts w:ascii="Arial" w:cs="Arial" w:eastAsia="Arial" w:hAnsi="Arial"/>
          <w:sz w:val="18"/>
          <w:szCs w:val="18"/>
          <w:color w:val="auto"/>
        </w:rPr>
      </w:pPr>
    </w:p>
    <w:p>
      <w:pPr>
        <w:ind w:left="1120" w:hanging="635"/>
        <w:spacing w:after="0"/>
        <w:tabs>
          <w:tab w:leader="none" w:pos="1120" w:val="left"/>
        </w:tabs>
        <w:numPr>
          <w:ilvl w:val="3"/>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 w:lineRule="exact"/>
        <w:rPr>
          <w:rFonts w:ascii="Arial" w:cs="Arial" w:eastAsia="Arial" w:hAnsi="Arial"/>
          <w:sz w:val="18"/>
          <w:szCs w:val="18"/>
          <w:color w:val="auto"/>
        </w:rPr>
      </w:pPr>
    </w:p>
    <w:p>
      <w:pPr>
        <w:ind w:left="1120" w:hanging="635"/>
        <w:spacing w:after="0"/>
        <w:tabs>
          <w:tab w:leader="none" w:pos="1120" w:val="left"/>
        </w:tabs>
        <w:numPr>
          <w:ilvl w:val="3"/>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14605</wp:posOffset>
            </wp:positionV>
            <wp:extent cx="64376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-139065</wp:posOffset>
            </wp:positionV>
            <wp:extent cx="643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-293370</wp:posOffset>
            </wp:positionV>
            <wp:extent cx="6437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-447675</wp:posOffset>
            </wp:positionV>
            <wp:extent cx="6437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-1133475</wp:posOffset>
            </wp:positionV>
            <wp:extent cx="643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-1287780</wp:posOffset>
            </wp:positionV>
            <wp:extent cx="6437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-1442085</wp:posOffset>
            </wp:positionV>
            <wp:extent cx="6437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-1707515</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-1861820</wp:posOffset>
            </wp:positionV>
            <wp:extent cx="6437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1066165</wp:posOffset>
            </wp:positionV>
            <wp:extent cx="134556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4556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You are cordially invited to attend the 2021 Annual Meeting of Stockholders of AnaptysBio, Inc. to be held at AnaptysBio’s corporate office at 10770 Wateridge Circle, Suite 210, San Diego, CA 92121, on Thursday, June 17, 2021 at 9:00 a.m. (Pacific Daylight Time).</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April 26, 2021, we expect to mail to stockholders a Notice of Internet Availability of Proxy Materials containing instructions on how to access our proxy statement for our 2021 Annual Meeting of Stockholders and our 2020 annual report on Form 10-K to stockholders. The Notice of Internet Availability or Proxy Materials also provides instructions on how to vote through the Internet or by telephone and includes instructions on how to receive paper copies of the proxy materials by mail, if desired.</w:t>
      </w:r>
    </w:p>
    <w:p>
      <w:pPr>
        <w:spacing w:after="0" w:line="21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sensitive to the public health and travel concerns our stockholders may have and recommendations that public health officials may issue in light of the evolving coronavirus (COVID-19) situation. As a result, we may impose additional procedures or limitations on meeting attendees (beyond those described herein) or may decide to hold the meeting in a different location or solely by means of remote communication (i.e., a virtual-only meeting). We plan to announce any such updates on our proxy website www.proxydocs.com/ANAB and by press release, and we encourage you to check both prior to the meeting if you plan to attend. It is important that you retain a copy of the control number found on the proxy card, voting instruction form or Notice, as such number will be required in order for stockholders to gain access to any meeting held solely by means of remote communication.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matters to be acted upon at the meeting are described in the accompanying notice of annual meeting and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Whether or not you plan to attend the meeting in person, please vote on the Internet or by telephone, or request, sign and return a proxy card to ensure that your shares are represented at the meeting.</w:t>
      </w:r>
    </w:p>
    <w:p>
      <w:pPr>
        <w:spacing w:after="0" w:line="200" w:lineRule="exact"/>
        <w:rPr>
          <w:sz w:val="20"/>
          <w:szCs w:val="20"/>
          <w:color w:val="auto"/>
        </w:rPr>
      </w:pPr>
    </w:p>
    <w:p>
      <w:pPr>
        <w:spacing w:after="0" w:line="23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40640</wp:posOffset>
            </wp:positionV>
            <wp:extent cx="797560" cy="591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Hamza Suria, M.B.A.</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ANAPTYSBIO,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10770 Wateridge Circle, Suite 210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Thursday, June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NOTICE IS HEREBY GIVEN that the 2021 Annual Meeting of Stockholders of AnaptysBio, Inc. will be held at AnaptysBio’s corporate office at 10770 Wateridge Circle, Suite 210, San Diego, California 92121, on Thursday, June 17, 2021 at 9:00 a.m. (Pacific Daylight Time). We are sensitive to the public health and travel concerns our stockholders may have and recommendations that public health officials may issue in light of the evolving coronavirus (COVID-19) situation. As a result, we may impose additional procedures or limitations on meeting attendees (beyond those described herein) or may decide to hold the meeting in a different location or solely by means of remote communication (i.e., a virtual-only meeting). We plan to announce any such updates on our proxy website www.proxydocs.com/ANAB and by press release, and we encourage you to check both prior to the meeting if you plan to attend. It is important that you retain a copy of the control number found on the proxy card, voting instruction form or Notice, as such number will be required in order for stockholders to gain access to any meeting held solely by means of remote communication.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are holding the meeting for the following purposes, which are more fully described in the accompanying proxy statement:</w:t>
      </w:r>
    </w:p>
    <w:p>
      <w:pPr>
        <w:spacing w:after="0" w:line="131" w:lineRule="exact"/>
        <w:rPr>
          <w:sz w:val="20"/>
          <w:szCs w:val="20"/>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three Class I directors, each to serve three-year terms through the third annual meeting of stockholders following this meeting and until a successor has been elected and qualified or until earlier resignation or removal.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December 31, 2021.</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conduct a non-binding advisory vote on the compensation of our named executive officers as disclosed in the accompanying materials.</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stockholders may be asked to consider and vote upon such other business as may properly come before the meeting or any adjournment or postponement thereof.</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Only stockholders of record at the close of business on April 19, 2021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 vote as an AnaptysBio, Inc. stockholder is very important. Each share of stock that you own represents one vote.</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w:t>
      </w:r>
    </w:p>
    <w:p>
      <w:pPr>
        <w:spacing w:after="0" w:line="200" w:lineRule="exact"/>
        <w:rPr>
          <w:sz w:val="20"/>
          <w:szCs w:val="20"/>
          <w:color w:val="auto"/>
        </w:rPr>
      </w:pPr>
    </w:p>
    <w:p>
      <w:pPr>
        <w:spacing w:after="0" w:line="29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23495</wp:posOffset>
            </wp:positionV>
            <wp:extent cx="1414780" cy="52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Dr. James N. Topper, M.D., Ph.D.</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00"/>
          </w:cols>
          <w:pgMar w:left="320" w:top="895" w:right="379" w:bottom="1440" w:gutter="0" w:footer="0" w:header="0"/>
        </w:sectPr>
      </w:pPr>
    </w:p>
    <w:bookmarkStart w:id="3" w:name="page4"/>
    <w:bookmarkEnd w:id="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4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June 17, 2021: The Proxy Statement and our Annual Report on Form 10-K for the fiscal year ended December 31, 2020 are available at http://ir.anaptysbio.com.</w:t>
      </w:r>
    </w:p>
    <w:p>
      <w:pPr>
        <w:sectPr>
          <w:pgSz w:w="11900" w:h="16838" w:orient="portrait"/>
          <w:cols w:equalWidth="0" w:num="1">
            <w:col w:w="11000"/>
          </w:cols>
          <w:pgMar w:left="320" w:top="1440" w:right="579"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PROXY STATEMENT FOR 2021 ANNUAL MEETING OF STOCKHOLDERS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Borders>
              <w:bottom w:val="single" w:sz="8" w:color="0000FF"/>
            </w:tcBorders>
            <w:gridSpan w:val="9"/>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INFORMATION ABOUT SOLICITATION AND VOTING</w:t>
              </w:r>
            </w:hyperlink>
          </w:p>
        </w:tc>
        <w:tc>
          <w:tcPr>
            <w:tcW w:w="556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1</w:t>
              </w:r>
            </w:hyperlink>
          </w:p>
        </w:tc>
        <w:tc>
          <w:tcPr>
            <w:tcW w:w="40" w:type="dxa"/>
            <w:vAlign w:val="bottom"/>
          </w:tcPr>
          <w:p>
            <w:pPr>
              <w:spacing w:after="0"/>
              <w:rPr>
                <w:sz w:val="17"/>
                <w:szCs w:val="17"/>
                <w:color w:val="auto"/>
              </w:rPr>
            </w:pPr>
          </w:p>
        </w:tc>
      </w:tr>
      <w:tr>
        <w:trPr>
          <w:trHeight w:val="210"/>
        </w:trPr>
        <w:tc>
          <w:tcPr>
            <w:tcW w:w="99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INTERNET AVAILABILITY OF PROXY MATERIALS</w:t>
              </w:r>
            </w:hyperlink>
          </w:p>
        </w:tc>
        <w:tc>
          <w:tcPr>
            <w:tcW w:w="860" w:type="dxa"/>
            <w:vAlign w:val="bottom"/>
            <w:gridSpan w:val="3"/>
          </w:tcPr>
          <w:p>
            <w:pPr>
              <w:jc w:val="center"/>
              <w:ind w:left="59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1</w:t>
              </w:r>
            </w:hyperlink>
          </w:p>
        </w:tc>
      </w:tr>
      <w:tr>
        <w:trPr>
          <w:trHeight w:val="209"/>
        </w:trPr>
        <w:tc>
          <w:tcPr>
            <w:tcW w:w="40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GENERAL INFORMATION ABOUT THE MEETING</w:t>
              </w:r>
            </w:hyperlink>
          </w:p>
        </w:tc>
        <w:tc>
          <w:tcPr>
            <w:tcW w:w="100" w:type="dxa"/>
            <w:vAlign w:val="bottom"/>
            <w:tcBorders>
              <w:top w:val="single" w:sz="8" w:color="0000FF"/>
            </w:tcBorders>
          </w:tcPr>
          <w:p>
            <w:pPr>
              <w:spacing w:after="0"/>
              <w:rPr>
                <w:sz w:val="18"/>
                <w:szCs w:val="18"/>
                <w:color w:val="auto"/>
              </w:rPr>
            </w:pPr>
          </w:p>
        </w:tc>
        <w:tc>
          <w:tcPr>
            <w:tcW w:w="5760" w:type="dxa"/>
            <w:vAlign w:val="bottom"/>
            <w:gridSpan w:val="8"/>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1</w:t>
              </w:r>
            </w:hyperlink>
          </w:p>
        </w:tc>
        <w:tc>
          <w:tcPr>
            <w:tcW w:w="40" w:type="dxa"/>
            <w:vAlign w:val="bottom"/>
          </w:tcPr>
          <w:p>
            <w:pPr>
              <w:spacing w:after="0"/>
              <w:rPr>
                <w:sz w:val="18"/>
                <w:szCs w:val="18"/>
                <w:color w:val="auto"/>
              </w:rPr>
            </w:pPr>
          </w:p>
        </w:tc>
      </w:tr>
      <w:tr>
        <w:trPr>
          <w:trHeight w:val="209"/>
        </w:trPr>
        <w:tc>
          <w:tcPr>
            <w:tcW w:w="2780" w:type="dxa"/>
            <w:vAlign w:val="bottom"/>
            <w:tcBorders>
              <w:bottom w:val="single" w:sz="8" w:color="0000FF"/>
            </w:tcBorders>
            <w:gridSpan w:val="4"/>
          </w:tcPr>
          <w:p>
            <w:pPr>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GENERAL PROXY INFORMATION</w:t>
              </w:r>
            </w:hyperlink>
          </w:p>
        </w:tc>
        <w:tc>
          <w:tcPr>
            <w:tcW w:w="7120" w:type="dxa"/>
            <w:vAlign w:val="bottom"/>
            <w:gridSpan w:val="12"/>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2</w:t>
              </w:r>
            </w:hyperlink>
          </w:p>
        </w:tc>
        <w:tc>
          <w:tcPr>
            <w:tcW w:w="40" w:type="dxa"/>
            <w:vAlign w:val="bottom"/>
          </w:tcPr>
          <w:p>
            <w:pPr>
              <w:spacing w:after="0"/>
              <w:rPr>
                <w:sz w:val="18"/>
                <w:szCs w:val="18"/>
                <w:color w:val="auto"/>
              </w:rPr>
            </w:pPr>
          </w:p>
        </w:tc>
      </w:tr>
      <w:tr>
        <w:trPr>
          <w:trHeight w:val="210"/>
        </w:trPr>
        <w:tc>
          <w:tcPr>
            <w:tcW w:w="6240" w:type="dxa"/>
            <w:vAlign w:val="bottom"/>
            <w:tcBorders>
              <w:bottom w:val="single" w:sz="8" w:color="0000FF"/>
            </w:tcBorders>
            <w:gridSpan w:val="12"/>
          </w:tcPr>
          <w:p>
            <w:pPr>
              <w:spacing w:after="0"/>
              <w:rPr>
                <w:rFonts w:ascii="Arial" w:cs="Arial" w:eastAsia="Arial" w:hAnsi="Arial"/>
                <w:sz w:val="18"/>
                <w:szCs w:val="18"/>
                <w:color w:val="0000FF"/>
                <w:w w:val="95"/>
              </w:rPr>
            </w:pPr>
            <w:hyperlink w:anchor="page9">
              <w:r>
                <w:rPr>
                  <w:rFonts w:ascii="Arial" w:cs="Arial" w:eastAsia="Arial" w:hAnsi="Arial"/>
                  <w:sz w:val="18"/>
                  <w:szCs w:val="18"/>
                  <w:color w:val="0000FF"/>
                  <w:w w:val="95"/>
                </w:rPr>
                <w:t>CORPORATE GOVERNANCE STANDARDS AND DIRECTOR INDEPENDENCE</w:t>
              </w:r>
            </w:hyperlink>
          </w:p>
        </w:tc>
        <w:tc>
          <w:tcPr>
            <w:tcW w:w="366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5</w:t>
              </w:r>
            </w:hyperlink>
          </w:p>
        </w:tc>
        <w:tc>
          <w:tcPr>
            <w:tcW w:w="40" w:type="dxa"/>
            <w:vAlign w:val="bottom"/>
          </w:tcPr>
          <w:p>
            <w:pPr>
              <w:spacing w:after="0"/>
              <w:rPr>
                <w:sz w:val="18"/>
                <w:szCs w:val="18"/>
                <w:color w:val="auto"/>
              </w:rPr>
            </w:pPr>
          </w:p>
        </w:tc>
      </w:tr>
      <w:tr>
        <w:trPr>
          <w:trHeight w:val="209"/>
        </w:trPr>
        <w:tc>
          <w:tcPr>
            <w:tcW w:w="4360" w:type="dxa"/>
            <w:vAlign w:val="bottom"/>
            <w:tcBorders>
              <w:bottom w:val="single" w:sz="8" w:color="0000FF"/>
            </w:tcBorders>
            <w:gridSpan w:val="10"/>
          </w:tcPr>
          <w:p>
            <w:pPr>
              <w:spacing w:after="0"/>
              <w:rPr>
                <w:rFonts w:ascii="Arial" w:cs="Arial" w:eastAsia="Arial" w:hAnsi="Arial"/>
                <w:sz w:val="18"/>
                <w:szCs w:val="18"/>
                <w:color w:val="0000FF"/>
                <w:w w:val="94"/>
              </w:rPr>
            </w:pPr>
            <w:hyperlink w:anchor="page13">
              <w:r>
                <w:rPr>
                  <w:rFonts w:ascii="Arial" w:cs="Arial" w:eastAsia="Arial" w:hAnsi="Arial"/>
                  <w:sz w:val="18"/>
                  <w:szCs w:val="18"/>
                  <w:color w:val="0000FF"/>
                  <w:w w:val="94"/>
                </w:rPr>
                <w:t>PROPOSAL NO. 1 ELECTION OF CLASS I DIRECTORS</w:t>
              </w:r>
            </w:hyperlink>
          </w:p>
        </w:tc>
        <w:tc>
          <w:tcPr>
            <w:tcW w:w="5540" w:type="dxa"/>
            <w:vAlign w:val="bottom"/>
            <w:gridSpan w:val="6"/>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9</w:t>
              </w:r>
            </w:hyperlink>
          </w:p>
        </w:tc>
        <w:tc>
          <w:tcPr>
            <w:tcW w:w="40" w:type="dxa"/>
            <w:vAlign w:val="bottom"/>
          </w:tcPr>
          <w:p>
            <w:pPr>
              <w:spacing w:after="0"/>
              <w:rPr>
                <w:sz w:val="18"/>
                <w:szCs w:val="18"/>
                <w:color w:val="auto"/>
              </w:rPr>
            </w:pPr>
          </w:p>
        </w:tc>
      </w:tr>
      <w:tr>
        <w:trPr>
          <w:trHeight w:val="210"/>
        </w:trPr>
        <w:tc>
          <w:tcPr>
            <w:tcW w:w="9900" w:type="dxa"/>
            <w:vAlign w:val="bottom"/>
            <w:gridSpan w:val="16"/>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PROPOSAL NO. 2 RATIFICATION OF INDEPENDENT REGISTERED PUBLIC ACCOUNTING FIRM</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13</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9240" w:type="dxa"/>
            <w:vAlign w:val="bottom"/>
            <w:gridSpan w:val="15"/>
          </w:tcPr>
          <w:p>
            <w:pPr>
              <w:spacing w:after="0"/>
              <w:rPr>
                <w:rFonts w:ascii="Arial" w:cs="Arial" w:eastAsia="Arial" w:hAnsi="Arial"/>
                <w:sz w:val="18"/>
                <w:szCs w:val="18"/>
                <w:color w:val="0000FF"/>
                <w:w w:val="96"/>
              </w:rPr>
            </w:pPr>
            <w:hyperlink w:anchor="page19">
              <w:r>
                <w:rPr>
                  <w:rFonts w:ascii="Arial" w:cs="Arial" w:eastAsia="Arial" w:hAnsi="Arial"/>
                  <w:sz w:val="18"/>
                  <w:szCs w:val="18"/>
                  <w:color w:val="0000FF"/>
                  <w:w w:val="96"/>
                </w:rPr>
                <w:t>PROPOSAL NO. 3 NON-BINDING ADVISORY VOTE ON COMPENSATION OF OUR NAMED EXECUTIVE OFFICERS</w:t>
              </w:r>
            </w:hyperlink>
          </w:p>
        </w:tc>
        <w:tc>
          <w:tcPr>
            <w:tcW w:w="660" w:type="dxa"/>
            <w:vAlign w:val="bottom"/>
          </w:tcPr>
          <w:p>
            <w:pPr>
              <w:spacing w:after="0"/>
              <w:rPr>
                <w:sz w:val="18"/>
                <w:szCs w:val="18"/>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15</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9240" w:type="dxa"/>
            <w:vAlign w:val="bottom"/>
            <w:gridSpan w:val="15"/>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REPORT OF THE AUDIT COMMITTEE</w:t>
              </w:r>
            </w:hyperlink>
          </w:p>
        </w:tc>
        <w:tc>
          <w:tcPr>
            <w:tcW w:w="660" w:type="dxa"/>
            <w:vAlign w:val="bottom"/>
          </w:tcPr>
          <w:p>
            <w:pPr>
              <w:spacing w:after="0"/>
              <w:rPr>
                <w:sz w:val="18"/>
                <w:szCs w:val="18"/>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14</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9900" w:type="dxa"/>
            <w:vAlign w:val="bottom"/>
            <w:gridSpan w:val="16"/>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SECURITY OWNERSHIP OF CERTAIN BENEFICIAL OWNERS AND MANAGEMENT</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16</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1900" w:type="dxa"/>
            <w:vAlign w:val="bottom"/>
            <w:gridSpan w:val="2"/>
          </w:tcPr>
          <w:p>
            <w:pPr>
              <w:spacing w:after="0"/>
              <w:rPr>
                <w:rFonts w:ascii="Arial" w:cs="Arial" w:eastAsia="Arial" w:hAnsi="Arial"/>
                <w:sz w:val="18"/>
                <w:szCs w:val="18"/>
                <w:color w:val="0000FF"/>
                <w:w w:val="94"/>
              </w:rPr>
            </w:pPr>
            <w:hyperlink w:anchor="page22">
              <w:r>
                <w:rPr>
                  <w:rFonts w:ascii="Arial" w:cs="Arial" w:eastAsia="Arial" w:hAnsi="Arial"/>
                  <w:sz w:val="18"/>
                  <w:szCs w:val="18"/>
                  <w:color w:val="0000FF"/>
                  <w:w w:val="94"/>
                </w:rPr>
                <w:t>EXECUTIVE OFFICERS</w:t>
              </w:r>
            </w:hyperlink>
          </w:p>
        </w:tc>
        <w:tc>
          <w:tcPr>
            <w:tcW w:w="4820" w:type="dxa"/>
            <w:vAlign w:val="bottom"/>
            <w:gridSpan w:val="11"/>
          </w:tcPr>
          <w:p>
            <w:pPr>
              <w:spacing w:after="0"/>
              <w:rPr>
                <w:sz w:val="18"/>
                <w:szCs w:val="18"/>
                <w:color w:val="auto"/>
              </w:rPr>
            </w:pPr>
          </w:p>
        </w:tc>
        <w:tc>
          <w:tcPr>
            <w:tcW w:w="3180" w:type="dxa"/>
            <w:vAlign w:val="bottom"/>
            <w:gridSpan w:val="3"/>
          </w:tcPr>
          <w:p>
            <w:pPr>
              <w:spacing w:after="0"/>
              <w:rPr>
                <w:sz w:val="18"/>
                <w:szCs w:val="18"/>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18</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9900" w:type="dxa"/>
            <w:vAlign w:val="bottom"/>
            <w:gridSpan w:val="1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EXECUTIVE COMPENSATION</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22</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990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EQUITY COMPENSATION PLAN INFORMATION</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26</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10"/>
        </w:trPr>
        <w:tc>
          <w:tcPr>
            <w:tcW w:w="990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CERTAIN RELATIONSHIPS AND RELATED-PARTY TRANSACTIONS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27</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80" w:type="dxa"/>
            <w:vAlign w:val="bottom"/>
            <w:tcBorders>
              <w:left w:val="single" w:sz="8" w:color="0000FF"/>
            </w:tcBorders>
            <w:gridSpan w:val="8"/>
            <w:shd w:val="clear" w:color="auto" w:fill="0000FF"/>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5480" w:type="dxa"/>
            <w:vAlign w:val="bottom"/>
            <w:gridSpan w:val="1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ADDITIONAL INFORMATION</w:t>
              </w:r>
            </w:hyperlink>
          </w:p>
        </w:tc>
        <w:tc>
          <w:tcPr>
            <w:tcW w:w="4420" w:type="dxa"/>
            <w:vAlign w:val="bottom"/>
            <w:gridSpan w:val="5"/>
          </w:tcPr>
          <w:p>
            <w:pPr>
              <w:spacing w:after="0"/>
              <w:rPr>
                <w:sz w:val="18"/>
                <w:szCs w:val="18"/>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28</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240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OTHER MATTERS</w:t>
              </w:r>
            </w:hyperlink>
          </w:p>
        </w:tc>
        <w:tc>
          <w:tcPr>
            <w:tcW w:w="7500" w:type="dxa"/>
            <w:vAlign w:val="bottom"/>
            <w:gridSpan w:val="13"/>
          </w:tcPr>
          <w:p>
            <w:pPr>
              <w:spacing w:after="0"/>
              <w:rPr>
                <w:sz w:val="18"/>
                <w:szCs w:val="18"/>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30</w:t>
              </w:r>
            </w:hyperlink>
          </w:p>
        </w:tc>
      </w:tr>
      <w:tr>
        <w:trPr>
          <w:trHeight w:val="20"/>
        </w:trPr>
        <w:tc>
          <w:tcPr>
            <w:tcW w:w="1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760"/>
          </w:cols>
          <w:pgMar w:left="360" w:top="891" w:right="77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ANAPTYSBIO,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10770 Wateridge Circle, Suite 210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17,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SOLICITATION AND VOTING</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proxy is solicited on behalf of AnaptysBio, Inc.’s board of directors for use at AnaptysBio’s 2021 Annual Meeting of Stockholders (“Annual Meeting”) to be held at AnaptysBio’s corporate office at 10770 Wateridge Circle, Suite 210, San Diego, California 92121, on Thursday, June 17, 2021 at 9:00 a.m. (Pacific Daylight Time), and any adjournment or postponement thereof. We are sensitive to the public health and travel concerns our stockholders may have and recommendations that public health officials may issue in light of the evolving coronavirus (COVID-19) situation. As a result, we may impose additional procedures or limitations on meeting attendees (beyond those described herein) or may decide to hold the meeting in a different location or solely by means of remote communication (i.e., a virtual-only meeting). We plan to announce any such updates on our proxy website www.proxydocs.com/ANAB and by press release, and we encourage you to check both prior to the meeting if you plan to attend. It is important that you retain a copy of the control number found on the proxy card, voting instruction form or Notice, as such number will be required in order for stockholders to gain access to any meeting held solely by means of remote communication.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Under rules adopted by the Securities and Exchange Commission (“SEC”), we are furnishing proxy materials to our stockholders primarily via the Internet, instead of mailing printed copies to each stockholder. On or about April 26, 2021,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spacing w:after="0" w:line="6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Meeting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Quorum</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Only holders of record of common stock at the close of business on April 19, 2021, the record date, will be entitled to vote at the meeting. At the close of business on April 19, 2021, 27,367,355 shares of common stock were outstanding and entitled to vote.</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holders of a majority of the voting power of the shares of stock entitled to vote at the meeting as of the record date must be present or represented by proxy at the meeting in order to hold the meeting and conduct business. This presence is called a quorum. Your shares are counted as present at the meeting if you are present and vote in person at the meeting or if you have properly submitted a proxy.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3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GENERAL PROXY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shares of common stock is entitled to one vote for each share of common stock held as of the close of business on April 19, 2021,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If on April 19, 2021, your shares were registered directly in your name with our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Stock Transfer &amp;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spacing w:after="0" w:line="7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color w:val="auto"/>
        </w:rPr>
        <w:t xml:space="preserve">Beneficial Owner: Shares Registered in the Name of a Broker or Nominee. </w:t>
      </w:r>
      <w:r>
        <w:rPr>
          <w:rFonts w:ascii="Arial" w:cs="Arial" w:eastAsia="Arial" w:hAnsi="Arial"/>
          <w:sz w:val="16"/>
          <w:szCs w:val="16"/>
          <w:color w:val="auto"/>
        </w:rPr>
        <w:t>If on April 19, 2021, your shares were held in an account with a brokerage firm,</w:t>
      </w:r>
      <w:r>
        <w:rPr>
          <w:rFonts w:ascii="Arial" w:cs="Arial" w:eastAsia="Arial" w:hAnsi="Arial"/>
          <w:sz w:val="16"/>
          <w:szCs w:val="16"/>
          <w:i w:val="1"/>
          <w:iCs w:val="1"/>
          <w:color w:val="auto"/>
        </w:rPr>
        <w:t xml:space="preserve"> </w:t>
      </w:r>
      <w:r>
        <w:rPr>
          <w:rFonts w:ascii="Arial" w:cs="Arial" w:eastAsia="Arial" w:hAnsi="Arial"/>
          <w:sz w:val="16"/>
          <w:szCs w:val="16"/>
          <w:color w:val="auto"/>
        </w:rPr>
        <w:t>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b w:val="1"/>
          <w:bCs w:val="1"/>
          <w:i w:val="1"/>
          <w:iCs w:val="1"/>
          <w:color w:val="auto"/>
        </w:rPr>
        <w:t xml:space="preserve">Proposal 1: </w:t>
      </w:r>
      <w:r>
        <w:rPr>
          <w:rFonts w:ascii="Arial" w:cs="Arial" w:eastAsia="Arial" w:hAnsi="Arial"/>
          <w:sz w:val="16"/>
          <w:szCs w:val="16"/>
          <w:color w:val="auto"/>
        </w:rPr>
        <w:t>Each director will be elected by a plurality of the votes cast at the meeting. This means that the three individuals nominated for election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at the meeting receiving the highest number of votes cast “FOR” that nominee will be elected. You may either vote “FOR” one or more of the nominees or “WITHHOLD” your vote with respect to any or all of nominees. You may not cumulate votes in the election of directors.</w:t>
      </w:r>
    </w:p>
    <w:p>
      <w:pPr>
        <w:spacing w:after="0" w:line="4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 xml:space="preserve">Proposal 2: </w:t>
      </w:r>
      <w:r>
        <w:rPr>
          <w:rFonts w:ascii="Arial" w:cs="Arial" w:eastAsia="Arial" w:hAnsi="Arial"/>
          <w:sz w:val="18"/>
          <w:szCs w:val="18"/>
          <w:color w:val="auto"/>
        </w:rPr>
        <w:t>Approval of the ratification of the appointment of our independent registered public accounting firm will be obtained if the holders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votes cast at the meeting vote “FOR” the proposal.</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Proposal 3: </w:t>
      </w:r>
      <w:r>
        <w:rPr>
          <w:rFonts w:ascii="Arial" w:cs="Arial" w:eastAsia="Arial" w:hAnsi="Arial"/>
          <w:sz w:val="18"/>
          <w:szCs w:val="18"/>
          <w:color w:val="auto"/>
        </w:rPr>
        <w:t>The advisory vote on named executive officer compensation will be obtained if the number of votes cast “FOR” the proposal at the meeting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exceeds the number of votes “AGAINST” the proposal. This vote is advisory and non-binding in nature.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abstaining or broker non-votes will count for purposes of determining the presence of a quorum, but are not treated as votes cast and, therefore, will have no effect on the matters being voted upon. Proposal 2 is considered a routine proposal and is subject to the discretionary vote of the broker.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 of Directors on Each of the Proposals Scheduled to be Voted on at the Meeting</w:t>
      </w:r>
    </w:p>
    <w:p>
      <w:pPr>
        <w:spacing w:after="0" w:line="117"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The board of directors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election of each of the Class I directors named in this proxy statement (Proposal 1),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KPMG LLP as our independent registered public accounting firm for the fiscal year ending December 31, 2021 (Proposal 2), and “</w:t>
      </w:r>
      <w:r>
        <w:rPr>
          <w:rFonts w:ascii="Arial" w:cs="Arial" w:eastAsia="Arial" w:hAnsi="Arial"/>
          <w:sz w:val="17"/>
          <w:szCs w:val="17"/>
          <w:b w:val="1"/>
          <w:bCs w:val="1"/>
          <w:color w:val="auto"/>
        </w:rPr>
        <w:t>FOR</w:t>
      </w:r>
      <w:r>
        <w:rPr>
          <w:rFonts w:ascii="Arial" w:cs="Arial" w:eastAsia="Arial" w:hAnsi="Arial"/>
          <w:sz w:val="17"/>
          <w:szCs w:val="17"/>
          <w:color w:val="auto"/>
        </w:rPr>
        <w:t>” the non-binding advisory vote on named executive officer compensation (Proposal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Instructions; Voting of Proxies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may:</w:t>
      </w:r>
    </w:p>
    <w:p>
      <w:pPr>
        <w:spacing w:after="0" w:line="13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in person – we will provide a ballot to stockholders who attend the meeting and wish to vote in person;</w:t>
      </w:r>
    </w:p>
    <w:p>
      <w:pPr>
        <w:spacing w:after="0" w:line="63"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through the Internet or by telephone – in order to do so, please follow the instructions shown on your Notice of Internet Availability or proxy card; or</w:t>
      </w:r>
    </w:p>
    <w:p>
      <w:pPr>
        <w:spacing w:after="0" w:line="8"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by mail – if you request or receive a paper proxy card and voting instructions by mail, simply complete, sign and date the proxy card and return it as soon as possible before the meeting in the envelope provided.</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Votes submitted through the Internet or by telephone must be received by 11:59 p.m., Eastern Time, on June 16, 2021.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 For Proposal 1, you may vote “FOR” each of the nominees to the board of directors or you may withhold your vote from any nominee you specify. For</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20" w:top="1107" w:right="359" w:bottom="1440" w:gutter="0" w:footer="0" w:header="0"/>
          <w:type w:val="continuous"/>
        </w:sectPr>
      </w:pPr>
    </w:p>
    <w:bookmarkStart w:id="7" w:name="page8"/>
    <w:bookmarkEnd w:id="7"/>
    <w:p>
      <w:pPr>
        <w:ind w:right="240"/>
        <w:spacing w:after="0" w:line="277" w:lineRule="auto"/>
        <w:rPr>
          <w:sz w:val="20"/>
          <w:szCs w:val="20"/>
          <w:color w:val="auto"/>
        </w:rPr>
      </w:pPr>
      <w:r>
        <w:rPr>
          <w:rFonts w:ascii="Arial" w:cs="Arial" w:eastAsia="Arial" w:hAnsi="Arial"/>
          <w:sz w:val="18"/>
          <w:szCs w:val="18"/>
          <w:color w:val="auto"/>
        </w:rPr>
        <w:t>Proposal 2 and Proposal 3, you may vote “FOR” or “AGAINST” or “ABSTAIN” from voting. Your vote is important. Whether or not you plan to attend the meeting, we urge you to vote by proxy to ensure that your vote is counted.</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of directors stated above.</w:t>
      </w:r>
    </w:p>
    <w:p>
      <w:pPr>
        <w:spacing w:after="0" w:line="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the Internet. If you requested or received paper proxy materials by mail, please complete, sign and return each proxy card to ensure that all of your shares are voted.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stockholder of record who has given a proxy may revoke it at any time before the closing of the polls by the inspector of elections at the meeting by:</w:t>
      </w:r>
    </w:p>
    <w:p>
      <w:pPr>
        <w:spacing w:after="0" w:line="15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to our Corporate Secretary (by any means) a written notice stating that the proxy is revoked;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signing and delivering a proxy bearing a later date;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or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and voting at the meeting (although attendance at the meeting will not, by itself, revoke a proxy).</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Please note, however, that if your shares are held of record by a brokerage firm, bank or other nominee and you wish to revoke a proxy, you must contact that firm to revoke or change any prior voting instructions.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the Proxy Materials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Notice of Internet Availability will provide you with instructions regarding how to:</w:t>
      </w:r>
    </w:p>
    <w:p>
      <w:pPr>
        <w:spacing w:after="0" w:line="13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view our proxy materials for the meeting through the Internet;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instruct us to mail paper copies of our future proxy materials to you;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instruct us to send our future proxy materials to you electronically by email.</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Results</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Voting results will be tabulated and certified by the inspector of elections appointed for the meeting. The preliminary voting results will be announced at the meeting and posted on our website at http://ir.anaptysbio.com. The final results will be tallied by the inspector of elections and filed with the SEC in a current report on Form 8-K within four business days of the meeting.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a “smaller reporting company,” as defined in Rule 12b-2 under the Exchange Act of 1934, as amended (the “Exchange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03" w:right="359" w:bottom="1440" w:gutter="0" w:footer="0" w:header="0"/>
        </w:sectPr>
      </w:pPr>
    </w:p>
    <w:bookmarkStart w:id="8" w:name="page9"/>
    <w:bookmarkEnd w:id="8"/>
    <w:p>
      <w:pPr>
        <w:spacing w:after="0" w:line="293" w:lineRule="auto"/>
        <w:rPr>
          <w:sz w:val="20"/>
          <w:szCs w:val="20"/>
          <w:color w:val="auto"/>
        </w:rPr>
      </w:pPr>
      <w:r>
        <w:rPr>
          <w:rFonts w:ascii="Arial" w:cs="Arial" w:eastAsia="Arial" w:hAnsi="Arial"/>
          <w:sz w:val="16"/>
          <w:szCs w:val="16"/>
          <w:color w:val="auto"/>
        </w:rPr>
        <w:t>Act”), and have elected to provide in this proxy statement certain scaled disclosures permitted under the Exchange Act for smaller reporting companies. We will remain a “smaller reporting company” until the fiscal year following the determination that our voting and non-voting common shares held by non-affiliates is at least $250 million measured on the last business day of our second fiscal quarter, or our annual revenues are at least $100 million during the most recently completed fiscal year and our voting and non-voting common shares held by non-affiliates is at least $700 million measured on the last business day of our second fiscal quarter. Accordingly, the information contained in this proxy statement and the matters to be voted on at the Annual Meeting may not be as extensive as the information and proxy proposals submitted by other public companies that are not smaller reporting companies.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895"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CORPORATE GOVERNANCE STANDARDS AND DIRECTOR INDEPENDENCE</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committed to good corporate governance practices. These practices provide an important framework within which our board of directors and management pursue our strategic objectives for the benefit of our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Leadership Structure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positions of Chief Executive Officer and Chairman of our board of directors are held by two different individuals (Mr. Hamza Suria and Dr.</w:t>
      </w:r>
    </w:p>
    <w:p>
      <w:pPr>
        <w:spacing w:after="0" w:line="3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James Topper, respectively). This structure allows our Chief Executive Officer to focus on our day-to-day business while our Chairman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Our board of directors also has a Lead Independent Director, Mr. Hollings Renton.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directors’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cybersecurity assessment and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common stock is listed on The Nasdaq Global Select Market (“Nasdaq”).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8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4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responsibilities. As a result of this review, our board of directors determined that Dr. Fenton, Ms. Hamill, Dr. Marquet, Mr. Renton, Mr. Schmid, Dr. Topper, Mr. Nodelman and Dr. Ware representing eight of our nine directors,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Related-Party Transactions.”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committee operates under a charter approved by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39" w:right="339" w:bottom="1440" w:gutter="0" w:footer="0" w:header="0"/>
        </w:sectPr>
      </w:pPr>
    </w:p>
    <w:bookmarkStart w:id="10" w:name="page11"/>
    <w:bookmarkEnd w:id="10"/>
    <w:p>
      <w:pPr>
        <w:ind w:right="860"/>
        <w:spacing w:after="0" w:line="375" w:lineRule="auto"/>
        <w:rPr>
          <w:sz w:val="20"/>
          <w:szCs w:val="20"/>
          <w:color w:val="auto"/>
        </w:rPr>
      </w:pPr>
      <w:r>
        <w:rPr>
          <w:rFonts w:ascii="Arial" w:cs="Arial" w:eastAsia="Arial" w:hAnsi="Arial"/>
          <w:sz w:val="18"/>
          <w:szCs w:val="18"/>
          <w:color w:val="auto"/>
        </w:rPr>
        <w:t xml:space="preserve">our board of directors. Copies of each committee’s charter are posted on the investor relations section of our website at http://ir.anaptysbio.com. </w:t>
      </w:r>
      <w:r>
        <w:rPr>
          <w:rFonts w:ascii="Arial" w:cs="Arial" w:eastAsia="Arial" w:hAnsi="Arial"/>
          <w:sz w:val="18"/>
          <w:szCs w:val="18"/>
          <w:b w:val="1"/>
          <w:bCs w:val="1"/>
          <w:i w:val="1"/>
          <w:iCs w:val="1"/>
          <w:color w:val="auto"/>
        </w:rPr>
        <w:t>Audit Committee</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audit committee is composed of Dr. Marquet, Ms. Hamill, Mr. Schmid and Dr. Ware. Mr. Schmid is the chairperson of our audit committee. Dr. Marquet, Ms. Hamill, Mr. Schmid and Dr. Ware each meet the requirements for independence under the current Nasdaq listing standards and SEC rules and regulations. Each member of our audit committee is financially literate. In addition, our board of directors has determined that each member of our audit committee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w:t>
      </w:r>
    </w:p>
    <w:p>
      <w:pPr>
        <w:spacing w:after="0" w:line="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accounting and financial reporting processes, including our financial statement audits and the integrity of our financial statements;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selecting and hiring our registered independent public accounting firm;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compensation committee is composed of Dr. Fenton, Ms. Hamill and Mr. Schmid. Dr. Fenton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spacing w:after="0" w:line="8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evaluating, recommending, approving and reviewing executive officer and director compensation arrangements, plans, policies and programs;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recommendations to our board of directors regarding any other board of director responsibilities relating to executive compensation;</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our compensation policies for elements of risk;</w:t>
      </w:r>
    </w:p>
    <w:p>
      <w:pPr>
        <w:spacing w:after="0" w:line="117"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and discussing with management the disclosures contained under the caption “Compensation Discussion and Analysis” for use in our annual proxy statement;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performing the other responsibilities set forth in its charters as in effect from time to time.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compensation committee retained an independent compensation consultant, Compensia, Inc. (“Compensia”), a national compensation consulting firm, to assist in structuring our executive officer and director compensation for 2021. Compensia provided our compensation committee with market data and analyses from a peer group of biotechnology companies with product candidates in a similar stage of development and similar financial and size characteristics. Compensia has not provided our company or our compensation committee with any other services during 2021 that would compromise its independence or pose a conflict of interest.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nominating and corporate governance committee is composed of Mr. Renton, Dr. Topper and Dr. Ware.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w:t>
      </w:r>
    </w:p>
    <w:p>
      <w:pPr>
        <w:spacing w:after="0" w:line="7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and recommending corporate governance guidelines and policies;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43" w:right="359" w:bottom="1440" w:gutter="0" w:footer="0" w:header="0"/>
        </w:sectPr>
      </w:pPr>
    </w:p>
    <w:bookmarkStart w:id="11" w:name="page12"/>
    <w:bookmarkEnd w:id="11"/>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advising our board of directors on other corporate governance matters.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Business Conduct and Ethics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for Directors or our Code of Conduct for Employees pertaining to a member of our board of directors or one of our executive officers will be disclosed on our website at the above-referenced address.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Prohibitions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our Insider Trading Policy, our employees, executive officers, and members of our board of directors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equity swaps, collars and exchange funds; or (iii) purchasing our securities on margin, borrowing against any account in which our securities are held, or pledging our securities as collateral for a loan.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2020.</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and Attendance</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board of directors and its committees meet regularly throughout the year and also hold special meetings and act by written consent from time to time. During 2020, the board of directors held eleven meetings, including by videoconference, the audit committee held four meetings, the compensation committee held four meetings and the nominating and corporate governance committee held four meetings. During 2020, none of the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Annual Stockholders’ Meeting</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Seven directors were in attendance at our 2020 annual meeting of stockholders, which was held prior to Dr. Marquet and Mr. Nodelman joining the Board of Directors in January 2021 and April 2021, respectively. We invite and encourage each member of our board of directors to attend our annual meetings of stockholders, however, we do not have a formal policy regarding attendance of annual meetings by the members of our board of directors.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Directors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Stockholders and interested parties who wish to communicate with our board of directors, non-management members of our board of directors as a group, a committee of the board of directors or a specific member of our board of directors (including our Chairman) may do so by letters addressed to the attention of our Corporate Secretary, AnaptysBio, Inc., 10770 Wateridge Circle, Suite 210, San Diego, CA 92121.</w:t>
      </w:r>
    </w:p>
    <w:p>
      <w:pPr>
        <w:spacing w:after="0" w:line="7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nominating and corporate governance committee is responsible for identifying, evaluating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nominating and corporate governance committee will recommend to the board of directors for selection all nominees to be proposed by the board of directors for election by the stockholders, including approval or recommendation of a slate of director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43" w:right="339" w:bottom="1440" w:gutter="0" w:footer="0" w:header="0"/>
        </w:sectPr>
      </w:pPr>
    </w:p>
    <w:bookmarkStart w:id="12" w:name="page13"/>
    <w:bookmarkEnd w:id="12"/>
    <w:p>
      <w:pPr>
        <w:ind w:right="360"/>
        <w:spacing w:after="0" w:line="277" w:lineRule="auto"/>
        <w:rPr>
          <w:sz w:val="20"/>
          <w:szCs w:val="20"/>
          <w:color w:val="auto"/>
        </w:rPr>
      </w:pPr>
      <w:r>
        <w:rPr>
          <w:rFonts w:ascii="Arial" w:cs="Arial" w:eastAsia="Arial" w:hAnsi="Arial"/>
          <w:sz w:val="18"/>
          <w:szCs w:val="18"/>
          <w:color w:val="auto"/>
        </w:rPr>
        <w:t>nominees to be proposed by the board of directors for election at each annual meeting of stockholders, and will recommend all director nominees to be appointed by the board of directors to fill interim director vacancies.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1.11 of our Bylaws. Any eligible stockholder who wishes to submit a nomination should review the requirements in the Bylaws on nominations by stockholders. Any nomination should be sent in writing to our Corporate Secretary, AnaptysBio, Inc., 10770 Wateridge Circle, Suite 210, San Diego, CA 92121. Submissions must include the full name of the proposed nominee, complete biographical information, a description of the proposed nominee’s qualifications as a director, other information specified in our Bylaws, and a representation that the nominating stockholder is a beneficial or record holder of our stock.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Stockholders are also advised to review our Bylaws, which contain additional requirements with respect to advance notice of stockholder proposals and director nominations.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043" w:right="35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CLASS I DIRECTORS</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board of directors is divided into three classes. Each class serves for three years, with the terms of office of the respective classes expiring in successive years. Directors and director nominees in Class I will stand for election at this meeting. The terms of office of directors in Class II and Class III do not expire until the annual meetings of stockholders to be held in 2022 and 2023,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Class I directors, whose terms will expire at this Annual Meeting, are Dr. Fenton, Dr. Topper and Mr. Nodelman.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nominating and corporate governance committee recommended to our board of directors, and our board of directors nominated, Dr. Fenton, Dr. Topper and Mr. Nodelman, each an incumbent Class I director, for election as Class I directors at the Annual Meeting. At the recommendation of our nominating and corporate governance committee, our board of directors proposes that each of Dr. Fenton, Dr. Topper and Mr. Nodelman be elected as a Class I director for a three-year term expiring at the annual meeting of stockholders to be held in 2024 and until such director’s successor is duly elected and qualified or until such director’s earlier resignation or removal.</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Each director will be elected by a plurality of the votes present in person or represented by proxy at the meeting and entitled to vote on the election of directors. This means that the three individuals nominated for election to the board of directors at the meeting receiving the highest number of “FOR” votes will be elected. You may either vote “FOR” one or more nominees or “WITHHOLD” your vote with respect to any or all of the individuals nominated for election to the board of directors. You may not cumulate votes in the election of directors. Shares represented by proxies will be voted “FOR” the election of each of the Class I nominees, unless the proxy is marked to withhold authority to so vote.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three directors.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the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nominees and their ages are provided in the table below. Additional biographical information for each nominee is set forth in the text below the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760" w:type="dxa"/>
            <w:vAlign w:val="bottom"/>
            <w:tcBorders>
              <w:bottom w:val="single" w:sz="8" w:color="auto"/>
            </w:tcBorders>
          </w:tcPr>
          <w:p>
            <w:pPr>
              <w:jc w:val="center"/>
              <w:ind w:left="1170"/>
              <w:spacing w:after="0"/>
              <w:rPr>
                <w:sz w:val="20"/>
                <w:szCs w:val="20"/>
                <w:color w:val="auto"/>
              </w:rPr>
            </w:pPr>
            <w:r>
              <w:rPr>
                <w:rFonts w:ascii="Arial" w:cs="Arial" w:eastAsia="Arial" w:hAnsi="Arial"/>
                <w:sz w:val="18"/>
                <w:szCs w:val="18"/>
                <w:b w:val="1"/>
                <w:bCs w:val="1"/>
                <w:color w:val="auto"/>
                <w:w w:val="88"/>
              </w:rPr>
              <w:t>Age</w:t>
            </w:r>
          </w:p>
        </w:tc>
        <w:tc>
          <w:tcPr>
            <w:tcW w:w="600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Position and Class</w:t>
            </w:r>
          </w:p>
        </w:tc>
      </w:tr>
      <w:tr>
        <w:trPr>
          <w:trHeight w:val="223"/>
        </w:trPr>
        <w:tc>
          <w:tcPr>
            <w:tcW w:w="34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Dennis Fenton, Ph.D.</w:t>
            </w:r>
            <w:r>
              <w:rPr>
                <w:rFonts w:ascii="Arial" w:cs="Arial" w:eastAsia="Arial" w:hAnsi="Arial"/>
                <w:sz w:val="23"/>
                <w:szCs w:val="23"/>
                <w:color w:val="auto"/>
                <w:vertAlign w:val="superscript"/>
              </w:rPr>
              <w:t>(1)</w:t>
            </w:r>
          </w:p>
        </w:tc>
        <w:tc>
          <w:tcPr>
            <w:tcW w:w="17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69</w:t>
            </w: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 Class I</w:t>
            </w:r>
          </w:p>
        </w:tc>
      </w:tr>
      <w:tr>
        <w:trPr>
          <w:trHeight w:val="230"/>
        </w:trPr>
        <w:tc>
          <w:tcPr>
            <w:tcW w:w="3480" w:type="dxa"/>
            <w:vAlign w:val="bottom"/>
          </w:tcPr>
          <w:p>
            <w:pPr>
              <w:ind w:left="20"/>
              <w:spacing w:after="0" w:line="230" w:lineRule="exact"/>
              <w:rPr>
                <w:sz w:val="20"/>
                <w:szCs w:val="20"/>
                <w:color w:val="auto"/>
              </w:rPr>
            </w:pPr>
            <w:r>
              <w:rPr>
                <w:rFonts w:ascii="Arial" w:cs="Arial" w:eastAsia="Arial" w:hAnsi="Arial"/>
                <w:sz w:val="18"/>
                <w:szCs w:val="18"/>
                <w:color w:val="auto"/>
              </w:rPr>
              <w:t>James Topper, M.D., Ph.D.</w:t>
            </w:r>
            <w:r>
              <w:rPr>
                <w:rFonts w:ascii="Arial" w:cs="Arial" w:eastAsia="Arial" w:hAnsi="Arial"/>
                <w:sz w:val="23"/>
                <w:szCs w:val="23"/>
                <w:color w:val="auto"/>
                <w:vertAlign w:val="superscript"/>
              </w:rPr>
              <w:t>(2)</w:t>
            </w:r>
          </w:p>
        </w:tc>
        <w:tc>
          <w:tcPr>
            <w:tcW w:w="1760" w:type="dxa"/>
            <w:vAlign w:val="bottom"/>
          </w:tcPr>
          <w:p>
            <w:pPr>
              <w:jc w:val="center"/>
              <w:ind w:left="1170"/>
              <w:spacing w:after="0"/>
              <w:rPr>
                <w:sz w:val="20"/>
                <w:szCs w:val="20"/>
                <w:color w:val="auto"/>
              </w:rPr>
            </w:pPr>
            <w:r>
              <w:rPr>
                <w:rFonts w:ascii="Arial" w:cs="Arial" w:eastAsia="Arial" w:hAnsi="Arial"/>
                <w:sz w:val="18"/>
                <w:szCs w:val="18"/>
                <w:color w:val="auto"/>
                <w:w w:val="89"/>
              </w:rPr>
              <w:t>59</w:t>
            </w:r>
          </w:p>
        </w:tc>
        <w:tc>
          <w:tcPr>
            <w:tcW w:w="6000" w:type="dxa"/>
            <w:vAlign w:val="bottom"/>
          </w:tcPr>
          <w:p>
            <w:pPr>
              <w:ind w:left="100"/>
              <w:spacing w:after="0"/>
              <w:rPr>
                <w:sz w:val="20"/>
                <w:szCs w:val="20"/>
                <w:color w:val="auto"/>
              </w:rPr>
            </w:pPr>
            <w:r>
              <w:rPr>
                <w:rFonts w:ascii="Arial" w:cs="Arial" w:eastAsia="Arial" w:hAnsi="Arial"/>
                <w:sz w:val="18"/>
                <w:szCs w:val="18"/>
                <w:color w:val="auto"/>
              </w:rPr>
              <w:t>Chairman of the Board, Class I</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Oleg Nodelman</w:t>
            </w:r>
          </w:p>
        </w:tc>
        <w:tc>
          <w:tcPr>
            <w:tcW w:w="176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9"/>
              </w:rPr>
              <w:t>44</w:t>
            </w: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 Class I</w:t>
            </w:r>
          </w:p>
        </w:tc>
      </w:tr>
    </w:tbl>
    <w:p>
      <w:pPr>
        <w:spacing w:after="0" w:line="310" w:lineRule="exact"/>
        <w:rPr>
          <w:sz w:val="20"/>
          <w:szCs w:val="20"/>
          <w:color w:val="auto"/>
        </w:rPr>
      </w:pPr>
    </w:p>
    <w:p>
      <w:pPr>
        <w:ind w:left="440" w:hanging="39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63" w:lineRule="exact"/>
        <w:rPr>
          <w:rFonts w:ascii="Arial" w:cs="Arial" w:eastAsia="Arial" w:hAnsi="Arial"/>
          <w:sz w:val="18"/>
          <w:szCs w:val="18"/>
          <w:color w:val="auto"/>
        </w:rPr>
      </w:pPr>
    </w:p>
    <w:p>
      <w:pPr>
        <w:ind w:left="440" w:hanging="39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Dennis Fenton, Ph.D</w:t>
      </w:r>
      <w:r>
        <w:rPr>
          <w:rFonts w:ascii="Arial" w:cs="Arial" w:eastAsia="Arial" w:hAnsi="Arial"/>
          <w:sz w:val="17"/>
          <w:szCs w:val="17"/>
          <w:i w:val="1"/>
          <w:iCs w:val="1"/>
          <w:color w:val="auto"/>
        </w:rPr>
        <w:t>.</w:t>
      </w:r>
      <w:r>
        <w:rPr>
          <w:rFonts w:ascii="Arial" w:cs="Arial" w:eastAsia="Arial" w:hAnsi="Arial"/>
          <w:sz w:val="17"/>
          <w:szCs w:val="17"/>
          <w:color w:val="auto"/>
        </w:rPr>
        <w:t>, has served as a member of our board of directors since March 2018. From 1981 to 2008, Dr. Fenton held numerous positions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Amgen, Inc., a 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Dr. Fenton currently serves on the board of directors of Sienna Biopharmaceuticals, Portola Pharmaceuticals, and Pfenex Inc. He previously served on the boards of directors of XenoPort, Inc. and Kythera Biopharmaceuticals, Inc., as well as several private company boards. Dr. Fenton holds a B.S. in Biology from Manhattan College and a Ph.D. in Microbiology from Rutgers University. Our board of directors believes that Dr. Fenton’s extensive experience in the life sciences industry provides him with the qualifications and skills to serve on our board of directors.</w:t>
      </w:r>
    </w:p>
    <w:p>
      <w:pPr>
        <w:spacing w:after="0" w:line="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James N. Topper, M.D., Ph.D., </w:t>
      </w:r>
      <w:r>
        <w:rPr>
          <w:rFonts w:ascii="Arial" w:cs="Arial" w:eastAsia="Arial" w:hAnsi="Arial"/>
          <w:sz w:val="18"/>
          <w:szCs w:val="18"/>
          <w:color w:val="auto"/>
        </w:rPr>
        <w:t>has served as a member of our board of directors since November 2007. Dr. Topper has been a partner with Frazier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since August 2003, serving as General Partner since 2005. 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and currently serves on Allena Pharmaceuticals, Alpine Immune Sciences, Amunix Pharmaceuticals, ILassen Therapeutics, Phathom Pharmaceuticals, and Seraxis. He is also a board observer for Alcresta Therapeutics and Sojournix. Dr. Topper received his M.D. and Ph.D. in biophysics from Stanford University and his B.S. in biology from the University of Michigan. Our board of directors believes that Dr. Topper’s experience overseeing Frazier Healthcare investments in biotechnology, senior-management experience in our industry, significant knowledge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99" w:right="339" w:bottom="1440" w:gutter="0" w:footer="0" w:header="0"/>
        </w:sectPr>
      </w:pPr>
    </w:p>
    <w:bookmarkStart w:id="14" w:name="page15"/>
    <w:bookmarkEnd w:id="14"/>
    <w:p>
      <w:pPr>
        <w:ind w:right="40"/>
        <w:spacing w:after="0" w:line="277" w:lineRule="auto"/>
        <w:rPr>
          <w:sz w:val="20"/>
          <w:szCs w:val="20"/>
          <w:color w:val="auto"/>
        </w:rPr>
      </w:pPr>
      <w:r>
        <w:rPr>
          <w:rFonts w:ascii="Arial" w:cs="Arial" w:eastAsia="Arial" w:hAnsi="Arial"/>
          <w:sz w:val="18"/>
          <w:szCs w:val="18"/>
          <w:color w:val="auto"/>
        </w:rPr>
        <w:t>medical and scientific matters affecting our business, and understanding of our industry provide him with the qualifications and skills to serve on our board of directors.</w:t>
      </w:r>
    </w:p>
    <w:p>
      <w:pPr>
        <w:spacing w:after="0" w:line="6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i w:val="1"/>
          <w:iCs w:val="1"/>
          <w:color w:val="auto"/>
        </w:rPr>
        <w:t xml:space="preserve">Oleg Nodelman </w:t>
      </w:r>
      <w:r>
        <w:rPr>
          <w:rFonts w:ascii="Arial" w:cs="Arial" w:eastAsia="Arial" w:hAnsi="Arial"/>
          <w:sz w:val="17"/>
          <w:szCs w:val="17"/>
          <w:color w:val="auto"/>
        </w:rPr>
        <w:t>has served as a member of our board of directors since April 2021. Mr. Nodelman has served as the Founder and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EcoR1 Capital LLC, a biotechnology-focused investment advisory firm, since January 2013. Before founding EcoR1, Mr. Nodelman served as a Portfolio Manager at BVF Partners, one of biotech’s first dedicated hedge funds, from 2001 to 2012. Prior to BVF Partners, Mr. Nodelman began his career in strategic consulting and organizational management at Mercer Management Consulting (now Oliver Wyman). Mr. Nodelman has served on the boards of directors of Prothena Corporation Public Limited Company, a clinical-stage neuroscience company focused on the discovery and development of novel therapies, since December 2019, Nuvation Bio Inc., a clinical-stage biopharmaceutical company tackling unmet needs in oncology, since February 2021, and HotKnot Therapeutics, Inc., a biotechnology company, since March 2021. Mr. Nodelman holds a Bachelor of Science in Foreign Service with a concentration in Science and Technology from Georgetown University. Our board of directors believes that Mr. Nodelman’s experience in venture capital investment and his service on the boards of directors of several public and private companies in the biotechnology industry provide him with the qualifications and skills to serve on our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directors who are serving or who have been appointed for terms that end following the meeting, and their ages, occupations and length of board service are provided in the table below. Additional biographical information for each nominee is set forth in the text below the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74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b w:val="1"/>
                <w:bCs w:val="1"/>
                <w:color w:val="auto"/>
                <w:w w:val="88"/>
              </w:rPr>
              <w:t>Age</w:t>
            </w:r>
          </w:p>
        </w:tc>
        <w:tc>
          <w:tcPr>
            <w:tcW w:w="592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Position and Class</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Hamza Suria, M.B.A.</w:t>
            </w:r>
          </w:p>
        </w:tc>
        <w:tc>
          <w:tcPr>
            <w:tcW w:w="174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89"/>
              </w:rPr>
              <w:t>44</w:t>
            </w: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President, Chief Executive Officer and Director, Class II</w:t>
            </w:r>
          </w:p>
        </w:tc>
      </w:tr>
      <w:tr>
        <w:trPr>
          <w:trHeight w:val="229"/>
        </w:trPr>
        <w:tc>
          <w:tcPr>
            <w:tcW w:w="3460" w:type="dxa"/>
            <w:vAlign w:val="bottom"/>
          </w:tcPr>
          <w:p>
            <w:pPr>
              <w:ind w:left="20"/>
              <w:spacing w:after="0" w:line="230" w:lineRule="exact"/>
              <w:rPr>
                <w:sz w:val="20"/>
                <w:szCs w:val="20"/>
                <w:color w:val="auto"/>
              </w:rPr>
            </w:pPr>
            <w:r>
              <w:rPr>
                <w:rFonts w:ascii="Arial" w:cs="Arial" w:eastAsia="Arial" w:hAnsi="Arial"/>
                <w:sz w:val="18"/>
                <w:szCs w:val="18"/>
                <w:color w:val="auto"/>
              </w:rPr>
              <w:t>J. Anthony Ware, M.D.</w:t>
            </w:r>
            <w:r>
              <w:rPr>
                <w:rFonts w:ascii="Arial" w:cs="Arial" w:eastAsia="Arial" w:hAnsi="Arial"/>
                <w:sz w:val="23"/>
                <w:szCs w:val="23"/>
                <w:color w:val="auto"/>
                <w:vertAlign w:val="superscript"/>
              </w:rPr>
              <w:t>(2)(3)</w:t>
            </w:r>
          </w:p>
        </w:tc>
        <w:tc>
          <w:tcPr>
            <w:tcW w:w="1740" w:type="dxa"/>
            <w:vAlign w:val="bottom"/>
          </w:tcPr>
          <w:p>
            <w:pPr>
              <w:jc w:val="center"/>
              <w:ind w:left="1150"/>
              <w:spacing w:after="0"/>
              <w:rPr>
                <w:sz w:val="20"/>
                <w:szCs w:val="20"/>
                <w:color w:val="auto"/>
              </w:rPr>
            </w:pPr>
            <w:r>
              <w:rPr>
                <w:rFonts w:ascii="Arial" w:cs="Arial" w:eastAsia="Arial" w:hAnsi="Arial"/>
                <w:sz w:val="18"/>
                <w:szCs w:val="18"/>
                <w:color w:val="auto"/>
                <w:w w:val="89"/>
              </w:rPr>
              <w:t>68</w:t>
            </w:r>
          </w:p>
        </w:tc>
        <w:tc>
          <w:tcPr>
            <w:tcW w:w="5920" w:type="dxa"/>
            <w:vAlign w:val="bottom"/>
          </w:tcPr>
          <w:p>
            <w:pPr>
              <w:ind w:left="100"/>
              <w:spacing w:after="0"/>
              <w:rPr>
                <w:sz w:val="20"/>
                <w:szCs w:val="20"/>
                <w:color w:val="auto"/>
              </w:rPr>
            </w:pPr>
            <w:r>
              <w:rPr>
                <w:rFonts w:ascii="Arial" w:cs="Arial" w:eastAsia="Arial" w:hAnsi="Arial"/>
                <w:sz w:val="18"/>
                <w:szCs w:val="18"/>
                <w:color w:val="auto"/>
              </w:rPr>
              <w:t>Director, Class II</w:t>
            </w:r>
          </w:p>
        </w:tc>
      </w:tr>
      <w:tr>
        <w:trPr>
          <w:trHeight w:val="229"/>
        </w:trPr>
        <w:tc>
          <w:tcPr>
            <w:tcW w:w="3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Laura J. Hamill </w:t>
            </w:r>
            <w:r>
              <w:rPr>
                <w:rFonts w:ascii="Arial" w:cs="Arial" w:eastAsia="Arial" w:hAnsi="Arial"/>
                <w:sz w:val="23"/>
                <w:szCs w:val="23"/>
                <w:color w:val="auto"/>
                <w:vertAlign w:val="superscript"/>
              </w:rPr>
              <w:t>(1)(3)</w:t>
            </w:r>
          </w:p>
        </w:tc>
        <w:tc>
          <w:tcPr>
            <w:tcW w:w="174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89"/>
              </w:rPr>
              <w:t>56</w:t>
            </w: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 Class II</w:t>
            </w:r>
          </w:p>
        </w:tc>
      </w:tr>
      <w:tr>
        <w:trPr>
          <w:trHeight w:val="230"/>
        </w:trPr>
        <w:tc>
          <w:tcPr>
            <w:tcW w:w="3460" w:type="dxa"/>
            <w:vAlign w:val="bottom"/>
          </w:tcPr>
          <w:p>
            <w:pPr>
              <w:ind w:left="20"/>
              <w:spacing w:after="0" w:line="230" w:lineRule="exact"/>
              <w:rPr>
                <w:sz w:val="20"/>
                <w:szCs w:val="20"/>
                <w:color w:val="auto"/>
              </w:rPr>
            </w:pPr>
            <w:r>
              <w:rPr>
                <w:rFonts w:ascii="Arial" w:cs="Arial" w:eastAsia="Arial" w:hAnsi="Arial"/>
                <w:sz w:val="18"/>
                <w:szCs w:val="18"/>
                <w:color w:val="auto"/>
              </w:rPr>
              <w:t>Hollings Renton, M.B.A.</w:t>
            </w:r>
            <w:r>
              <w:rPr>
                <w:rFonts w:ascii="Arial" w:cs="Arial" w:eastAsia="Arial" w:hAnsi="Arial"/>
                <w:sz w:val="23"/>
                <w:szCs w:val="23"/>
                <w:color w:val="auto"/>
                <w:vertAlign w:val="superscript"/>
              </w:rPr>
              <w:t>(2)(4)</w:t>
            </w:r>
          </w:p>
        </w:tc>
        <w:tc>
          <w:tcPr>
            <w:tcW w:w="1740" w:type="dxa"/>
            <w:vAlign w:val="bottom"/>
          </w:tcPr>
          <w:p>
            <w:pPr>
              <w:jc w:val="center"/>
              <w:ind w:left="1150"/>
              <w:spacing w:after="0"/>
              <w:rPr>
                <w:sz w:val="20"/>
                <w:szCs w:val="20"/>
                <w:color w:val="auto"/>
              </w:rPr>
            </w:pPr>
            <w:r>
              <w:rPr>
                <w:rFonts w:ascii="Arial" w:cs="Arial" w:eastAsia="Arial" w:hAnsi="Arial"/>
                <w:sz w:val="18"/>
                <w:szCs w:val="18"/>
                <w:color w:val="auto"/>
                <w:w w:val="89"/>
              </w:rPr>
              <w:t>74</w:t>
            </w:r>
          </w:p>
        </w:tc>
        <w:tc>
          <w:tcPr>
            <w:tcW w:w="5920" w:type="dxa"/>
            <w:vAlign w:val="bottom"/>
          </w:tcPr>
          <w:p>
            <w:pPr>
              <w:ind w:left="100"/>
              <w:spacing w:after="0"/>
              <w:rPr>
                <w:sz w:val="20"/>
                <w:szCs w:val="20"/>
                <w:color w:val="auto"/>
              </w:rPr>
            </w:pPr>
            <w:r>
              <w:rPr>
                <w:rFonts w:ascii="Arial" w:cs="Arial" w:eastAsia="Arial" w:hAnsi="Arial"/>
                <w:sz w:val="18"/>
                <w:szCs w:val="18"/>
                <w:color w:val="auto"/>
              </w:rPr>
              <w:t>Director, Class III</w:t>
            </w:r>
          </w:p>
        </w:tc>
      </w:tr>
      <w:tr>
        <w:trPr>
          <w:trHeight w:val="229"/>
        </w:trPr>
        <w:tc>
          <w:tcPr>
            <w:tcW w:w="3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John P. Schmid </w:t>
            </w:r>
            <w:r>
              <w:rPr>
                <w:rFonts w:ascii="Arial" w:cs="Arial" w:eastAsia="Arial" w:hAnsi="Arial"/>
                <w:sz w:val="23"/>
                <w:szCs w:val="23"/>
                <w:color w:val="auto"/>
                <w:vertAlign w:val="superscript"/>
              </w:rPr>
              <w:t>(1)(3)</w:t>
            </w:r>
          </w:p>
        </w:tc>
        <w:tc>
          <w:tcPr>
            <w:tcW w:w="174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89"/>
              </w:rPr>
              <w:t>58</w:t>
            </w: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 Class III</w:t>
            </w:r>
          </w:p>
        </w:tc>
      </w:tr>
      <w:tr>
        <w:trPr>
          <w:trHeight w:val="304"/>
        </w:trPr>
        <w:tc>
          <w:tcPr>
            <w:tcW w:w="3460" w:type="dxa"/>
            <w:vAlign w:val="bottom"/>
          </w:tcPr>
          <w:p>
            <w:pPr>
              <w:ind w:left="20"/>
              <w:spacing w:after="0"/>
              <w:rPr>
                <w:sz w:val="20"/>
                <w:szCs w:val="20"/>
                <w:color w:val="auto"/>
              </w:rPr>
            </w:pPr>
            <w:r>
              <w:rPr>
                <w:rFonts w:ascii="Arial" w:cs="Arial" w:eastAsia="Arial" w:hAnsi="Arial"/>
                <w:sz w:val="18"/>
                <w:szCs w:val="18"/>
                <w:color w:val="auto"/>
              </w:rPr>
              <w:t>Magda Marquet</w:t>
            </w:r>
            <w:r>
              <w:rPr>
                <w:rFonts w:ascii="Arial" w:cs="Arial" w:eastAsia="Arial" w:hAnsi="Arial"/>
                <w:sz w:val="23"/>
                <w:szCs w:val="23"/>
                <w:color w:val="auto"/>
                <w:vertAlign w:val="superscript"/>
              </w:rPr>
              <w:t>(3)</w:t>
            </w:r>
          </w:p>
        </w:tc>
        <w:tc>
          <w:tcPr>
            <w:tcW w:w="1740" w:type="dxa"/>
            <w:vAlign w:val="bottom"/>
          </w:tcPr>
          <w:p>
            <w:pPr>
              <w:jc w:val="center"/>
              <w:ind w:left="1150"/>
              <w:spacing w:after="0"/>
              <w:rPr>
                <w:sz w:val="20"/>
                <w:szCs w:val="20"/>
                <w:color w:val="auto"/>
              </w:rPr>
            </w:pPr>
            <w:r>
              <w:rPr>
                <w:rFonts w:ascii="Arial" w:cs="Arial" w:eastAsia="Arial" w:hAnsi="Arial"/>
                <w:sz w:val="18"/>
                <w:szCs w:val="18"/>
                <w:color w:val="auto"/>
                <w:w w:val="89"/>
              </w:rPr>
              <w:t>62</w:t>
            </w:r>
          </w:p>
        </w:tc>
        <w:tc>
          <w:tcPr>
            <w:tcW w:w="5920" w:type="dxa"/>
            <w:vAlign w:val="bottom"/>
          </w:tcPr>
          <w:p>
            <w:pPr>
              <w:ind w:left="100"/>
              <w:spacing w:after="0"/>
              <w:rPr>
                <w:sz w:val="20"/>
                <w:szCs w:val="20"/>
                <w:color w:val="auto"/>
              </w:rPr>
            </w:pPr>
            <w:r>
              <w:rPr>
                <w:rFonts w:ascii="Arial" w:cs="Arial" w:eastAsia="Arial" w:hAnsi="Arial"/>
                <w:sz w:val="18"/>
                <w:szCs w:val="18"/>
                <w:color w:val="auto"/>
              </w:rPr>
              <w:t>Director, Class III</w:t>
            </w:r>
          </w:p>
        </w:tc>
      </w:tr>
    </w:tbl>
    <w:p>
      <w:pPr>
        <w:spacing w:after="0" w:line="235" w:lineRule="exact"/>
        <w:rPr>
          <w:sz w:val="20"/>
          <w:szCs w:val="20"/>
          <w:color w:val="auto"/>
        </w:rPr>
      </w:pPr>
    </w:p>
    <w:p>
      <w:pPr>
        <w:ind w:left="440" w:hanging="39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63" w:lineRule="exact"/>
        <w:rPr>
          <w:rFonts w:ascii="Arial" w:cs="Arial" w:eastAsia="Arial" w:hAnsi="Arial"/>
          <w:sz w:val="18"/>
          <w:szCs w:val="18"/>
          <w:color w:val="auto"/>
        </w:rPr>
      </w:pPr>
    </w:p>
    <w:p>
      <w:pPr>
        <w:ind w:left="440" w:hanging="39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63" w:lineRule="exact"/>
        <w:rPr>
          <w:rFonts w:ascii="Arial" w:cs="Arial" w:eastAsia="Arial" w:hAnsi="Arial"/>
          <w:sz w:val="18"/>
          <w:szCs w:val="18"/>
          <w:color w:val="auto"/>
        </w:rPr>
      </w:pPr>
    </w:p>
    <w:p>
      <w:pPr>
        <w:ind w:left="440" w:hanging="39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63" w:lineRule="exact"/>
        <w:rPr>
          <w:rFonts w:ascii="Arial" w:cs="Arial" w:eastAsia="Arial" w:hAnsi="Arial"/>
          <w:sz w:val="18"/>
          <w:szCs w:val="18"/>
          <w:color w:val="auto"/>
        </w:rPr>
      </w:pPr>
    </w:p>
    <w:p>
      <w:pPr>
        <w:ind w:left="480" w:hanging="43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Hamza Suria, M.B.A., </w:t>
      </w:r>
      <w:r>
        <w:rPr>
          <w:rFonts w:ascii="Arial" w:cs="Arial" w:eastAsia="Arial" w:hAnsi="Arial"/>
          <w:sz w:val="17"/>
          <w:szCs w:val="17"/>
          <w:color w:val="auto"/>
        </w:rPr>
        <w:t>has served as our President and Chief Executive Officer and a member of our board of directors since July 2011. From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2009 to 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B.A. in biochemistry from Kalamazoo College. Our board of directors believes that Mr. Suria’s executive and industry experience, as well as his leadership in the development of our product pipeline across key therapeutic areas, provide him with the qualifications and skills to serve on our board of directors.</w:t>
      </w:r>
    </w:p>
    <w:p>
      <w:pPr>
        <w:spacing w:after="0" w:line="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J. Anthony Ware, M.D., </w:t>
      </w:r>
      <w:r>
        <w:rPr>
          <w:rFonts w:ascii="Arial" w:cs="Arial" w:eastAsia="Arial" w:hAnsi="Arial"/>
          <w:sz w:val="16"/>
          <w:szCs w:val="16"/>
          <w:color w:val="auto"/>
        </w:rPr>
        <w:t>has served as a member of our board of directors since August 2017. From 2001 to January 2018, Dr. Ware held numerous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at Eli Lilly and Company, a global pharmaceutical company, including Senior Vice President of 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 Coronary Care Unit at Beth Israel Hospital. Dr. Ware received his B.S. from Washburn University,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 disease. Our board of directors believes that Dr. Ware’s extensive academic and industry experience and significant knowledge of scientific matters provide him with the qualifications and skills to serve on our board of directors.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003" w:right="359" w:bottom="1440" w:gutter="0" w:footer="0" w:header="0"/>
        </w:sectPr>
      </w:pPr>
    </w:p>
    <w:bookmarkStart w:id="15" w:name="page16"/>
    <w:bookmarkEnd w:id="15"/>
    <w:p>
      <w:pPr>
        <w:spacing w:after="0" w:line="271" w:lineRule="auto"/>
        <w:rPr>
          <w:sz w:val="20"/>
          <w:szCs w:val="20"/>
          <w:color w:val="auto"/>
        </w:rPr>
      </w:pPr>
      <w:r>
        <w:rPr>
          <w:rFonts w:ascii="Arial" w:cs="Arial" w:eastAsia="Arial" w:hAnsi="Arial"/>
          <w:sz w:val="17"/>
          <w:szCs w:val="17"/>
          <w:b w:val="1"/>
          <w:bCs w:val="1"/>
          <w:i w:val="1"/>
          <w:iCs w:val="1"/>
          <w:color w:val="auto"/>
        </w:rPr>
        <w:t xml:space="preserve">Laura J. Hamill </w:t>
      </w:r>
      <w:r>
        <w:rPr>
          <w:rFonts w:ascii="Arial" w:cs="Arial" w:eastAsia="Arial" w:hAnsi="Arial"/>
          <w:sz w:val="17"/>
          <w:szCs w:val="17"/>
          <w:color w:val="auto"/>
        </w:rPr>
        <w:t>has served as a member of our board of directors since September 2019. From August 2018 to July 2019, Ms. Hamill served as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Worldwide Commercial Operations at Gilead Sciences, Inc., a biotechnology company, where she was responsible for leading the company’s commercial operations. Prior to joining Gilead, Ms. Hamill held a number of U.S. and international executive positions at Amgen, Inc., a biopharmaceutical company, from July 2000 to July 2018, most recently as Senior Vice President, U.S. Commercial Operations. In addition, Ms. Hamill previously held a variety of roles in the biopharmaceutical industry, including positions at F. Hoffmann-La Roche Ltd., a biopharmaceutical company. Ms. Hamill has served on numerous boards of directors, including Y-mAbs Therapeutics, Inc. and Acceleron Pharma, Inc. Ms. Hamill holds a bachelor’s degree in business administration from the University of Arizona. Our board believes that Ms. Hamill’s extensive experience in the biopharmaceutical industry and leadership skills provides her with the qualifications and skills to serve our board of directors.</w:t>
      </w:r>
    </w:p>
    <w:p>
      <w:pPr>
        <w:spacing w:after="0" w:line="6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Hollings Renton, M.B.A</w:t>
      </w:r>
      <w:r>
        <w:rPr>
          <w:rFonts w:ascii="Arial" w:cs="Arial" w:eastAsia="Arial" w:hAnsi="Arial"/>
          <w:sz w:val="17"/>
          <w:szCs w:val="17"/>
          <w:b w:val="1"/>
          <w:bCs w:val="1"/>
          <w:color w:val="auto"/>
        </w:rPr>
        <w:t>.</w:t>
      </w:r>
      <w:r>
        <w:rPr>
          <w:rFonts w:ascii="Arial" w:cs="Arial" w:eastAsia="Arial" w:hAnsi="Arial"/>
          <w:sz w:val="17"/>
          <w:szCs w:val="17"/>
          <w:color w:val="auto"/>
        </w:rPr>
        <w:t>, has served as a member of our board of directors since June 2015. Mr. Renton previously served as the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President of 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as chairperson of the board of directors of Portola Pharmaceuticals, Inc and serves on the board of Zymeworks, Inc. He previously served on the boards of directors of Cepheid, Inc., Kythera Biopharmaceuticals, Inc., Rigel Pharmaceuticals, Inc., Affymax Inc., Sangstat Medical Corporation, Special Olympics Northern California and the Biotechnology Industry Organization. Mr. Renton received his M.B.A. from the University of Michigan and his B.S. in Mathematics from Colorado State University. Our board of directors believes that Mr. Renton’s extensive industry experience and board memberships provide him with the qualifications and skills to serve on our board of directors.</w:t>
      </w:r>
    </w:p>
    <w:p>
      <w:pPr>
        <w:spacing w:after="0" w:line="7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John P. Schmid, M.B.A.</w:t>
      </w:r>
      <w:r>
        <w:rPr>
          <w:rFonts w:ascii="Arial" w:cs="Arial" w:eastAsia="Arial" w:hAnsi="Arial"/>
          <w:sz w:val="16"/>
          <w:szCs w:val="16"/>
          <w:color w:val="auto"/>
        </w:rPr>
        <w:t>, has served as a member of our board of directors since June 2015. Mr. Schmid served as Chief Financial Officer of Auspex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 1998 to 2003, and at Endonetics, a private medical device company, from 1995 to 1998. Mr. Schmid currently serves as a member of the board of directors of Neos Therapeutics, Poseida Therapeutics, Xeris Pharmaceuticals and Forge Therapeutics, all pharmaceutical companies, and as the chairman of the board of directors of Speak, Inc., a speakers bureau, which he helped found in 1989. Mr. Schmid received his M.B.A. from the University of San Diego and his B.A. from Wesleyan University. Our board of directors believes that Mr. Schmid’s extensive industry experience and executive positions at multiple biopharmaceutical companies qualify him to serve on our board of directors.</w:t>
      </w:r>
    </w:p>
    <w:p>
      <w:pPr>
        <w:spacing w:after="0" w:line="3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Magda Marquet, Ph.D</w:t>
      </w:r>
      <w:r>
        <w:rPr>
          <w:rFonts w:ascii="Arial" w:cs="Arial" w:eastAsia="Arial" w:hAnsi="Arial"/>
          <w:sz w:val="18"/>
          <w:szCs w:val="18"/>
          <w:color w:val="auto"/>
        </w:rPr>
        <w:t>, has served as a member of our board of directors since January 2021. Dr. Marquet currently serves on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Arcturus Therapeutics. She also served on the Board of Pfenex until its acquisition by Ligand Pharmaceuticals. In addition, she is the Chairman of the Board of Micronoma, Matrisys Biosciences and ProciseDx. As a former founder and CEO, Dr. Marquet holds a Ph.D in Biochemical Engineering from INSA/University of Toulouse, France. She has received numerous prestigious awards throughout her career including the 2005 Regional Ernst &amp; Young Entrepreneur of the Year award in the Life Sciences category, the Athena Pinnacle award, the Director of the Year award (Corporate Governance) from the Corporate Directors Forum and has been inducted into the CONNECT Entrepreneur Hall of Fame. Our board of directors believes Dr. Marquet’s broad operational, fund raising expertise including venture, private equity and venture debt, as well as her expertise in M&amp;A, global commercial development, regulatory strategies and building a winning culture of innovation and strategic growth provides her with the qualifications and skills to serve our board of directors.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familial relationships among any of our directors and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in the year ended December 31, 2020. Mr. Suria, our Chief Executive Officer, received no compensation for his service as a director in the year ended December 31, 2020.</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003"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3760" w:type="dxa"/>
            <w:vAlign w:val="bottom"/>
          </w:tcPr>
          <w:p>
            <w:pPr>
              <w:jc w:val="center"/>
              <w:ind w:left="2270"/>
              <w:spacing w:after="0"/>
              <w:rPr>
                <w:sz w:val="20"/>
                <w:szCs w:val="20"/>
                <w:color w:val="auto"/>
              </w:rPr>
            </w:pPr>
            <w:r>
              <w:rPr>
                <w:rFonts w:ascii="Arial" w:cs="Arial" w:eastAsia="Arial" w:hAnsi="Arial"/>
                <w:sz w:val="18"/>
                <w:szCs w:val="18"/>
                <w:b w:val="1"/>
                <w:bCs w:val="1"/>
                <w:color w:val="auto"/>
                <w:w w:val="89"/>
              </w:rPr>
              <w:t>Fees Earned</w:t>
            </w:r>
          </w:p>
        </w:tc>
        <w:tc>
          <w:tcPr>
            <w:tcW w:w="16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1"/>
              </w:rPr>
              <w:t>Option Awards</w:t>
            </w:r>
            <w:r>
              <w:rPr>
                <w:rFonts w:ascii="Arial" w:cs="Arial" w:eastAsia="Arial" w:hAnsi="Arial"/>
                <w:sz w:val="23"/>
                <w:szCs w:val="23"/>
                <w:b w:val="1"/>
                <w:bCs w:val="1"/>
                <w:color w:val="auto"/>
                <w:w w:val="91"/>
                <w:vertAlign w:val="superscript"/>
              </w:rPr>
              <w:t>(2)</w:t>
            </w:r>
          </w:p>
        </w:tc>
        <w:tc>
          <w:tcPr>
            <w:tcW w:w="11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4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23"/>
                <w:szCs w:val="23"/>
                <w:b w:val="1"/>
                <w:bCs w:val="1"/>
                <w:color w:val="auto"/>
                <w:vertAlign w:val="superscript"/>
              </w:rPr>
              <w:t>(1)</w:t>
            </w:r>
          </w:p>
        </w:tc>
        <w:tc>
          <w:tcPr>
            <w:tcW w:w="3760" w:type="dxa"/>
            <w:vAlign w:val="bottom"/>
          </w:tcPr>
          <w:p>
            <w:pPr>
              <w:jc w:val="center"/>
              <w:ind w:left="2310"/>
              <w:spacing w:after="0" w:line="176" w:lineRule="exact"/>
              <w:rPr>
                <w:sz w:val="20"/>
                <w:szCs w:val="20"/>
                <w:color w:val="auto"/>
              </w:rPr>
            </w:pPr>
            <w:r>
              <w:rPr>
                <w:rFonts w:ascii="Arial" w:cs="Arial" w:eastAsia="Arial" w:hAnsi="Arial"/>
                <w:sz w:val="18"/>
                <w:szCs w:val="18"/>
                <w:b w:val="1"/>
                <w:bCs w:val="1"/>
                <w:color w:val="auto"/>
                <w:w w:val="91"/>
              </w:rPr>
              <w:t>or Paid in Cash</w:t>
            </w:r>
          </w:p>
        </w:tc>
        <w:tc>
          <w:tcPr>
            <w:tcW w:w="16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auto"/>
            </w:tcBorders>
            <w:vMerge w:val="continue"/>
          </w:tcPr>
          <w:p>
            <w:pPr>
              <w:spacing w:after="0"/>
              <w:rPr>
                <w:sz w:val="19"/>
                <w:szCs w:val="19"/>
                <w:color w:val="auto"/>
              </w:rPr>
            </w:pPr>
          </w:p>
        </w:tc>
        <w:tc>
          <w:tcPr>
            <w:tcW w:w="3760" w:type="dxa"/>
            <w:vAlign w:val="bottom"/>
            <w:tcBorders>
              <w:bottom w:val="single" w:sz="8" w:color="auto"/>
            </w:tcBorders>
          </w:tcPr>
          <w:p>
            <w:pPr>
              <w:jc w:val="center"/>
              <w:ind w:left="2310"/>
              <w:spacing w:after="0"/>
              <w:rPr>
                <w:sz w:val="20"/>
                <w:szCs w:val="20"/>
                <w:color w:val="auto"/>
              </w:rPr>
            </w:pPr>
            <w:r>
              <w:rPr>
                <w:rFonts w:ascii="Arial" w:cs="Arial" w:eastAsia="Arial" w:hAnsi="Arial"/>
                <w:sz w:val="18"/>
                <w:szCs w:val="18"/>
                <w:b w:val="1"/>
                <w:bCs w:val="1"/>
                <w:color w:val="auto"/>
                <w:w w:val="90"/>
              </w:rPr>
              <w:t>($)</w:t>
            </w:r>
          </w:p>
        </w:tc>
        <w:tc>
          <w:tcPr>
            <w:tcW w:w="16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Fenton, Ph.D.</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133,197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200,697</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Laura J. Hamill</w:t>
            </w:r>
          </w:p>
        </w:tc>
        <w:tc>
          <w:tcPr>
            <w:tcW w:w="3760" w:type="dxa"/>
            <w:vAlign w:val="bottom"/>
          </w:tcPr>
          <w:p>
            <w:pPr>
              <w:jc w:val="right"/>
              <w:spacing w:after="0"/>
              <w:rPr>
                <w:sz w:val="20"/>
                <w:szCs w:val="20"/>
                <w:color w:val="auto"/>
              </w:rPr>
            </w:pPr>
            <w:r>
              <w:rPr>
                <w:rFonts w:ascii="Arial" w:cs="Arial" w:eastAsia="Arial" w:hAnsi="Arial"/>
                <w:sz w:val="18"/>
                <w:szCs w:val="18"/>
                <w:color w:val="auto"/>
              </w:rPr>
              <w:t>50,048</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133,197</w:t>
            </w:r>
          </w:p>
        </w:tc>
        <w:tc>
          <w:tcPr>
            <w:tcW w:w="1160" w:type="dxa"/>
            <w:vAlign w:val="bottom"/>
          </w:tcPr>
          <w:p>
            <w:pPr>
              <w:jc w:val="right"/>
              <w:spacing w:after="0"/>
              <w:rPr>
                <w:sz w:val="20"/>
                <w:szCs w:val="20"/>
                <w:color w:val="auto"/>
              </w:rPr>
            </w:pPr>
            <w:r>
              <w:rPr>
                <w:rFonts w:ascii="Arial" w:cs="Arial" w:eastAsia="Arial" w:hAnsi="Arial"/>
                <w:sz w:val="18"/>
                <w:szCs w:val="18"/>
                <w:color w:val="auto"/>
              </w:rPr>
              <w:t>183,245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Hollings Renton, M.B.A.</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133,197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200,697</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John P. Schmid, M.B.A.</w:t>
            </w:r>
          </w:p>
        </w:tc>
        <w:tc>
          <w:tcPr>
            <w:tcW w:w="3760" w:type="dxa"/>
            <w:vAlign w:val="bottom"/>
          </w:tcPr>
          <w:p>
            <w:pPr>
              <w:jc w:val="right"/>
              <w:spacing w:after="0"/>
              <w:rPr>
                <w:sz w:val="20"/>
                <w:szCs w:val="20"/>
                <w:color w:val="auto"/>
              </w:rPr>
            </w:pPr>
            <w:r>
              <w:rPr>
                <w:rFonts w:ascii="Arial" w:cs="Arial" w:eastAsia="Arial" w:hAnsi="Arial"/>
                <w:sz w:val="18"/>
                <w:szCs w:val="18"/>
                <w:color w:val="auto"/>
              </w:rPr>
              <w:t>60,000</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133,197</w:t>
            </w:r>
          </w:p>
        </w:tc>
        <w:tc>
          <w:tcPr>
            <w:tcW w:w="1160" w:type="dxa"/>
            <w:vAlign w:val="bottom"/>
          </w:tcPr>
          <w:p>
            <w:pPr>
              <w:jc w:val="right"/>
              <w:spacing w:after="0"/>
              <w:rPr>
                <w:sz w:val="20"/>
                <w:szCs w:val="20"/>
                <w:color w:val="auto"/>
              </w:rPr>
            </w:pPr>
            <w:r>
              <w:rPr>
                <w:rFonts w:ascii="Arial" w:cs="Arial" w:eastAsia="Arial" w:hAnsi="Arial"/>
                <w:sz w:val="18"/>
                <w:szCs w:val="18"/>
                <w:color w:val="auto"/>
              </w:rPr>
              <w:t>193,197</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N. Topper, M.D., Ph.D.</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133,197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201,947</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J. Anthony Ware, M.D.</w:t>
            </w:r>
          </w:p>
        </w:tc>
        <w:tc>
          <w:tcPr>
            <w:tcW w:w="3760" w:type="dxa"/>
            <w:vAlign w:val="bottom"/>
          </w:tcPr>
          <w:p>
            <w:pPr>
              <w:jc w:val="right"/>
              <w:spacing w:after="0"/>
              <w:rPr>
                <w:sz w:val="20"/>
                <w:szCs w:val="20"/>
                <w:color w:val="auto"/>
              </w:rPr>
            </w:pPr>
            <w:r>
              <w:rPr>
                <w:rFonts w:ascii="Arial" w:cs="Arial" w:eastAsia="Arial" w:hAnsi="Arial"/>
                <w:sz w:val="18"/>
                <w:szCs w:val="18"/>
                <w:color w:val="auto"/>
              </w:rPr>
              <w:t>66,250</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133,197</w:t>
            </w:r>
          </w:p>
        </w:tc>
        <w:tc>
          <w:tcPr>
            <w:tcW w:w="1160" w:type="dxa"/>
            <w:vAlign w:val="bottom"/>
          </w:tcPr>
          <w:p>
            <w:pPr>
              <w:jc w:val="right"/>
              <w:spacing w:after="0"/>
              <w:rPr>
                <w:sz w:val="20"/>
                <w:szCs w:val="20"/>
                <w:color w:val="auto"/>
              </w:rPr>
            </w:pPr>
            <w:r>
              <w:rPr>
                <w:rFonts w:ascii="Arial" w:cs="Arial" w:eastAsia="Arial" w:hAnsi="Arial"/>
                <w:sz w:val="18"/>
                <w:szCs w:val="18"/>
                <w:color w:val="auto"/>
              </w:rPr>
              <w:t>199,447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420" w:right="40" w:hanging="372"/>
        <w:spacing w:after="0" w:line="272" w:lineRule="auto"/>
        <w:tabs>
          <w:tab w:leader="none" w:pos="4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of December 31, 2020, Dr. Fenton held outstanding options to purchase 28,507 shares of common stock with a weighted-average exercise price of $71.62 per share; Ms. Hamill held outstanding options to purchase 19,268 shares of common stock with a weighted-average exercise price of $24.06 per share; Mr. Renton held outstanding options to purchase 89,156 shares of common stock with a weighted-average exercise price of $21.96 per share; Mr. Schmid held outstanding options to purchase 80,337 shares of common stock with a weighted-average exercise price of $23.41 per share; Dr. Topper held outstanding options to purchase 38,000 shares of common stock with a weighted-average exercise price of $43.22 per share; and Dr. Ware held outstanding options to purchase 62,265 shares of common stock with a weighted-average exercise price of $33.69 per share. All options accelerate in full upon a change in control of the company.</w:t>
      </w:r>
    </w:p>
    <w:p>
      <w:pPr>
        <w:spacing w:after="0" w:line="69" w:lineRule="exact"/>
        <w:rPr>
          <w:rFonts w:ascii="Arial" w:cs="Arial" w:eastAsia="Arial" w:hAnsi="Arial"/>
          <w:sz w:val="17"/>
          <w:szCs w:val="17"/>
          <w:color w:val="auto"/>
        </w:rPr>
      </w:pPr>
    </w:p>
    <w:p>
      <w:pPr>
        <w:ind w:left="420" w:right="20" w:hanging="372"/>
        <w:spacing w:after="0" w:line="255" w:lineRule="auto"/>
        <w:tabs>
          <w:tab w:leader="none" w:pos="4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represent the grant date fair value of the stock options granted to the directors during the year ended December 31, 2020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2020. Note that the amounts reported in this column reflect the accounting cost for these stock options, and do not correspond to the actual economic value that may be received by our directors from the options.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our non-employee director compensation policy each of our non-employee directors is provided with an annual retainer of $40,000. Additionally, our lead director and the non-executive chairpersons of our board of directors, audit, compensation and nominating, corporate governance and research and development committees will receive an additional annual payment of $20,000, $30,000, $15,000, $13,000, $10,000 and $15,000, respectively; and the other members of our audit, compensation and nominating, corporate governance and research and development committees will receive an additional annual payment of $8,000, $6,500, $5,000 and $10,000, respectively.</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Each of our non-employee directors will also receive an annual stock option grant in February to purchase 11,000 shares of common stock, which stock option will vest in equal monthly installments over one year, subject to the director’s continued service. Additionally, new non-employee directors will receive a stock option to purchase 11,000 shares of common stock, which stock option will vest in equal monthly installments over three years, subject to the director’s continued service. All stock options will accelerate in full upon a change in control.</w:t>
      </w:r>
    </w:p>
    <w:p>
      <w:pPr>
        <w:spacing w:after="0" w:line="167"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 xml:space="preserve">OUR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NOMINATED CLASS I DIRECTORS.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9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audit committee has selected KPMG LLP as our principal independent registered public accounting firm to perform the audit of our consolidated financial statements for the fiscal year ending December 31, 2021. KPMG LLP audited our financial statements for the fiscal years ended December 31, 2020 and 2019. We expect that representatives of KPMG LLP will be present at the Annual Meeting, will be able to make a statement if they so desire and will be available to respond to appropriate questions.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the Annual Meeting, the stockholders are being asked to ratify the appointment of KPMG LLP as our independent registered public accounting firm for the fiscal year ending December 31, 2021.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fees for services rendered by KPMG LLP for the years ended December 31, 2020 and 2019 (in thousands).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20"/>
              <w:spacing w:after="0"/>
              <w:rPr>
                <w:sz w:val="20"/>
                <w:szCs w:val="20"/>
                <w:color w:val="auto"/>
              </w:rPr>
            </w:pPr>
            <w:r>
              <w:rPr>
                <w:rFonts w:ascii="Arial" w:cs="Arial" w:eastAsia="Arial" w:hAnsi="Arial"/>
                <w:sz w:val="14"/>
                <w:szCs w:val="14"/>
                <w:b w:val="1"/>
                <w:bCs w:val="1"/>
                <w:color w:val="auto"/>
              </w:rPr>
              <w:t>Fees Billed to AnaptysBio</w:t>
            </w: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 2020</w:t>
            </w: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 2019</w:t>
            </w:r>
          </w:p>
        </w:tc>
      </w:tr>
      <w:tr>
        <w:trPr>
          <w:trHeight w:val="229"/>
        </w:trPr>
        <w:tc>
          <w:tcPr>
            <w:tcW w:w="7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Audit fees</w:t>
            </w:r>
            <w:r>
              <w:rPr>
                <w:rFonts w:ascii="Arial" w:cs="Arial" w:eastAsia="Arial" w:hAnsi="Arial"/>
                <w:sz w:val="9"/>
                <w:szCs w:val="9"/>
                <w:color w:val="auto"/>
              </w:rPr>
              <w:t>(1)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Borders>
              <w:top w:val="single" w:sz="8" w:color="CCEEFF"/>
            </w:tcBorders>
            <w:shd w:val="clear" w:color="auto" w:fill="CCEEFF"/>
          </w:tcPr>
          <w:p>
            <w:pPr>
              <w:spacing w:after="0"/>
              <w:rPr>
                <w:sz w:val="19"/>
                <w:szCs w:val="19"/>
                <w:color w:val="auto"/>
              </w:rPr>
            </w:pPr>
          </w:p>
        </w:tc>
      </w:tr>
      <w:tr>
        <w:trPr>
          <w:trHeight w:val="230"/>
        </w:trPr>
        <w:tc>
          <w:tcPr>
            <w:tcW w:w="778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Tax fees</w:t>
            </w:r>
            <w:r>
              <w:rPr>
                <w:rFonts w:ascii="Arial" w:cs="Arial" w:eastAsia="Arial" w:hAnsi="Arial"/>
                <w:sz w:val="9"/>
                <w:szCs w:val="9"/>
                <w:color w:val="auto"/>
              </w:rPr>
              <w:t>(2)</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tcPr>
          <w:p>
            <w:pPr>
              <w:spacing w:after="0"/>
              <w:rPr>
                <w:sz w:val="19"/>
                <w:szCs w:val="19"/>
                <w:color w:val="auto"/>
              </w:rPr>
            </w:pPr>
          </w:p>
        </w:tc>
      </w:tr>
      <w:tr>
        <w:trPr>
          <w:trHeight w:val="223"/>
        </w:trPr>
        <w:tc>
          <w:tcPr>
            <w:tcW w:w="7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9"/>
                <w:szCs w:val="19"/>
                <w:color w:val="auto"/>
              </w:rPr>
            </w:pPr>
          </w:p>
        </w:tc>
      </w:tr>
    </w:tbl>
    <w:p>
      <w:pPr>
        <w:spacing w:after="0" w:line="215" w:lineRule="exact"/>
        <w:rPr>
          <w:sz w:val="20"/>
          <w:szCs w:val="20"/>
          <w:color w:val="auto"/>
        </w:rPr>
      </w:pPr>
    </w:p>
    <w:p>
      <w:pPr>
        <w:ind w:left="440" w:right="160" w:hanging="414"/>
        <w:spacing w:after="0" w:line="22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Audit fees</w:t>
      </w:r>
      <w:r>
        <w:rPr>
          <w:rFonts w:ascii="Arial" w:cs="Arial" w:eastAsia="Arial" w:hAnsi="Arial"/>
          <w:sz w:val="18"/>
          <w:szCs w:val="18"/>
          <w:color w:val="auto"/>
        </w:rPr>
        <w:t>” 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the registration statements for our follow-on offerings.</w:t>
      </w:r>
    </w:p>
    <w:p>
      <w:pPr>
        <w:spacing w:after="0" w:line="1" w:lineRule="exact"/>
        <w:rPr>
          <w:rFonts w:ascii="Arial" w:cs="Arial" w:eastAsia="Arial" w:hAnsi="Arial"/>
          <w:sz w:val="18"/>
          <w:szCs w:val="18"/>
          <w:color w:val="auto"/>
        </w:rPr>
      </w:pPr>
    </w:p>
    <w:p>
      <w:pPr>
        <w:ind w:left="440" w:right="320" w:hanging="414"/>
        <w:spacing w:after="0" w:line="23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include fees related to tax compliance and advice. Tax advice fees encompass a variety of permissible services, including technical tax</w:t>
      </w:r>
      <w:r>
        <w:rPr>
          <w:rFonts w:ascii="Arial" w:cs="Arial" w:eastAsia="Arial" w:hAnsi="Arial"/>
          <w:sz w:val="18"/>
          <w:szCs w:val="18"/>
          <w:i w:val="1"/>
          <w:iCs w:val="1"/>
          <w:color w:val="auto"/>
        </w:rPr>
        <w:t xml:space="preserve"> </w:t>
      </w:r>
      <w:r>
        <w:rPr>
          <w:rFonts w:ascii="Arial" w:cs="Arial" w:eastAsia="Arial" w:hAnsi="Arial"/>
          <w:sz w:val="18"/>
          <w:szCs w:val="18"/>
          <w:color w:val="auto"/>
        </w:rPr>
        <w:t>advice related to federal and state income tax matters; and assistance with tax audits.</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of the audit committee or acting by unanimous written consent. During 2020, all services billed by KPMG LLP were pre-approved by the audit committee in accordance with this policy.</w:t>
      </w:r>
    </w:p>
    <w:p>
      <w:pPr>
        <w:spacing w:after="0" w:line="79"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PROPOSAL NO. 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0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The information contained in the following report of the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audit committee has reviewed and discussed with our management and KPMG LLP our audited consolidated financial statements as of and for the year ended December 31, 2020. The audit committee has also discussed with KPMG LLP the matters required to be discussed by applicable standards of the Public Company Accounting Oversight Board (United States).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Based on the review and discussions referred to above, the audit committee recommended to our board of directors that the audited consolidated financial statements as of and for the year ended December 31, 2020 be included in our annual report on Form 10-K for the year ended December 31, 2020 for filing with the Securities and Exchange Commission.</w:t>
      </w:r>
    </w:p>
    <w:p>
      <w:pPr>
        <w:spacing w:after="0" w:line="28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Submitted by the Audit Committee</w:t>
      </w:r>
    </w:p>
    <w:p>
      <w:pPr>
        <w:spacing w:after="0" w:line="6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John P. Schmid, M.B.A. (Chair)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Laura J. Hamill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Magda Marquet, Ph.D.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 Anthony Ware,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07"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NON-BINDING ADVISORY VOTE ON COMPENSATION OF OUR NAMED EXECUTIVE OFFICERS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seeking a non-binding, advisory stockholder vote on the compensation awarded to our named executive officers for the fiscal year ended December 31, 2020, known as a “Say on Pay” vote.</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Dodd-Frank Wall Street Reform and Consumer Protection Act of 2010 enables our stockholders to vote to approve, on an advisory, non-binding basis, the compensation of our named executive officers as disclosed in this proxy statement in accordance with Section 14A of the Exchange Act. At our 2019 annual meeting of stockholders, we asked our stockholders to express a preference for the frequency of our Say on Pay vote. The majority of our stockholders voted to hold the Say on Pay vote on an annual basis, and therefore, based on that vote, we present this vote every year.</w:t>
      </w:r>
    </w:p>
    <w:p>
      <w:pPr>
        <w:spacing w:after="0" w:line="1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described in detail in the “Executive Compensation” section of this proxy statement, our compensation program is designed to reward our executive officers at a level consistent with our overall strategic and financial performance and to provide remuneration sufficient to attract, retain and motivate them to exert their best efforts and create a successful company. Our philosophy is to tie a greater percentage of an executive officer’s compensation to stockholder returns and to keep cash compensation at a competitive level while providing the opportunity to be well-rewarded through equity if we perform well over time. We believe that our executive compensation program, with its balance of short-term incentives (including base salary and annual cash incentives tied to performance measures) and long-term incentives (including equity awards) reward sustained performance that is aligned with long-term stockholder interests. Stockholders are encouraged to read the Executive Compensation section of this proxy statement.</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Based on the above, we request that stockholders approve, on a non-binding advisory basis, the compensation of our named executive officers as described in this proxy statement pursuant to the following resolution:</w:t>
      </w:r>
    </w:p>
    <w:p>
      <w:pPr>
        <w:spacing w:after="0" w:line="16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AnaptysBio’s named executive officers, as disclosed in this proxy statement, including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section, compensation tables and narrative discussion, is hereby APPROVED.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Approval of named executive officer compensation requires the approval of a majority of the votes present or represented by proxy and entitled to vote thereon.</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an advisory vote, this proposal is non-binding. Although the vote is non-binding, our board of directors and compensation committee value the opinions of our stockholders and will consider the outcome of the vote when making future compensation decisions for our named executive officers.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APPROVAL OF 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3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15, 2021 for:</w:t>
      </w:r>
    </w:p>
    <w:p>
      <w:pPr>
        <w:spacing w:after="0" w:line="24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each of our directors;</w:t>
      </w:r>
    </w:p>
    <w:p>
      <w:pPr>
        <w:spacing w:after="0" w:line="57" w:lineRule="exact"/>
        <w:rPr>
          <w:rFonts w:ascii="Arial" w:cs="Arial" w:eastAsia="Arial" w:hAnsi="Arial"/>
          <w:sz w:val="22"/>
          <w:szCs w:val="22"/>
          <w:color w:val="auto"/>
        </w:rPr>
      </w:pPr>
    </w:p>
    <w:p>
      <w:pPr>
        <w:ind w:left="860" w:hanging="285"/>
        <w:spacing w:after="0"/>
        <w:tabs>
          <w:tab w:leader="none" w:pos="8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each of our named executive officers;</w:t>
      </w:r>
    </w:p>
    <w:p>
      <w:pPr>
        <w:spacing w:after="0" w:line="57" w:lineRule="exact"/>
        <w:rPr>
          <w:rFonts w:ascii="Arial" w:cs="Arial" w:eastAsia="Arial" w:hAnsi="Arial"/>
          <w:sz w:val="22"/>
          <w:szCs w:val="22"/>
          <w:color w:val="auto"/>
        </w:rPr>
      </w:pPr>
    </w:p>
    <w:p>
      <w:pPr>
        <w:ind w:left="840" w:hanging="265"/>
        <w:spacing w:after="0"/>
        <w:tabs>
          <w:tab w:leader="none" w:pos="8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all of our directors and executive officers as a group; and</w:t>
      </w:r>
    </w:p>
    <w:p>
      <w:pPr>
        <w:spacing w:after="0" w:line="57" w:lineRule="exact"/>
        <w:rPr>
          <w:rFonts w:ascii="Arial" w:cs="Arial" w:eastAsia="Arial" w:hAnsi="Arial"/>
          <w:sz w:val="22"/>
          <w:szCs w:val="22"/>
          <w:color w:val="auto"/>
        </w:rPr>
      </w:pPr>
    </w:p>
    <w:p>
      <w:pPr>
        <w:ind w:left="840" w:hanging="265"/>
        <w:spacing w:after="0"/>
        <w:tabs>
          <w:tab w:leader="none" w:pos="8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each person, or group of affiliated persons, known by us to be the beneficial owner of more than 5% of our common stock.</w:t>
      </w:r>
    </w:p>
    <w:p>
      <w:pPr>
        <w:spacing w:after="0" w:line="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Applicable percentage ownership is based on 27,367,355 shares of common stock issued and outstanding as of March 15, 2021.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March 15, 2021. We did not deem these shares outstanding, however, for the purpose of computing the percentage ownership of any other person. Unless otherwise indicated, the address of each beneficial owner listed in the table on the following page is c/o AnaptysBio, Inc., 10770 Wateridge Circle, Suite 210, San Diego, CA 92121.</w:t>
      </w: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8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Beneficial Owner</w:t>
            </w:r>
          </w:p>
        </w:tc>
        <w:tc>
          <w:tcPr>
            <w:tcW w:w="168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8"/>
              </w:rPr>
              <w:t>Shares Beneficially</w:t>
            </w:r>
          </w:p>
        </w:tc>
        <w:tc>
          <w:tcPr>
            <w:tcW w:w="15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Shares Beneficially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4"/>
            <w:vMerge w:val="continue"/>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Owned (#)</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6"/>
              </w:rPr>
              <w:t>Owned (%)</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02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i w:val="1"/>
                <w:iCs w:val="1"/>
                <w:color w:val="auto"/>
                <w:w w:val="87"/>
              </w:rPr>
              <w:t>Named Executive Officers and Directors</w:t>
            </w:r>
          </w:p>
        </w:tc>
        <w:tc>
          <w:tcPr>
            <w:tcW w:w="47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Hamza Suria, M.B.A. </w:t>
            </w:r>
            <w:r>
              <w:rPr>
                <w:rFonts w:ascii="Arial" w:cs="Arial" w:eastAsia="Arial" w:hAnsi="Arial"/>
                <w:sz w:val="23"/>
                <w:szCs w:val="23"/>
                <w:color w:val="auto"/>
                <w:vertAlign w:val="superscript"/>
              </w:rPr>
              <w:t>(1)</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942,704</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Dennis Mulroy</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Paul Lizzul, M.D., Ph.D., M.P.H., M.B.A.</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Dennis Fenton, Ph.D. </w:t>
            </w:r>
            <w:r>
              <w:rPr>
                <w:rFonts w:ascii="Arial" w:cs="Arial" w:eastAsia="Arial" w:hAnsi="Arial"/>
                <w:sz w:val="23"/>
                <w:szCs w:val="23"/>
                <w:color w:val="auto"/>
                <w:vertAlign w:val="superscript"/>
              </w:rPr>
              <w:t>(2)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31,257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Laura J. Hamill </w:t>
            </w:r>
            <w:r>
              <w:rPr>
                <w:rFonts w:ascii="Arial" w:cs="Arial" w:eastAsia="Arial" w:hAnsi="Arial"/>
                <w:sz w:val="23"/>
                <w:szCs w:val="23"/>
                <w:color w:val="auto"/>
                <w:vertAlign w:val="superscript"/>
              </w:rPr>
              <w:t>(3)</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19,185</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Magda Marquet, Ph.D. </w:t>
            </w:r>
            <w:r>
              <w:rPr>
                <w:rFonts w:ascii="Arial" w:cs="Arial" w:eastAsia="Arial" w:hAnsi="Arial"/>
                <w:sz w:val="23"/>
                <w:szCs w:val="23"/>
                <w:color w:val="auto"/>
                <w:vertAlign w:val="superscript"/>
              </w:rPr>
              <w:t>(4)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4,451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Oleg Nodelman </w:t>
            </w:r>
            <w:r>
              <w:rPr>
                <w:rFonts w:ascii="Arial" w:cs="Arial" w:eastAsia="Arial" w:hAnsi="Arial"/>
                <w:sz w:val="23"/>
                <w:szCs w:val="23"/>
                <w:color w:val="auto"/>
                <w:vertAlign w:val="superscript"/>
              </w:rPr>
              <w:t>(5)</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7,151,624</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26.1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Hollings Renton, M.B.A. </w:t>
            </w:r>
            <w:r>
              <w:rPr>
                <w:rFonts w:ascii="Arial" w:cs="Arial" w:eastAsia="Arial" w:hAnsi="Arial"/>
                <w:sz w:val="23"/>
                <w:szCs w:val="23"/>
                <w:color w:val="auto"/>
                <w:vertAlign w:val="superscript"/>
              </w:rPr>
              <w:t>(6)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91,906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John P. Schmid, M.B.A. </w:t>
            </w:r>
            <w:r>
              <w:rPr>
                <w:rFonts w:ascii="Arial" w:cs="Arial" w:eastAsia="Arial" w:hAnsi="Arial"/>
                <w:sz w:val="23"/>
                <w:szCs w:val="23"/>
                <w:color w:val="auto"/>
                <w:vertAlign w:val="superscript"/>
              </w:rPr>
              <w:t>(7)</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83,087</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James N. Topper, M.D., Ph.D. </w:t>
            </w:r>
            <w:r>
              <w:rPr>
                <w:rFonts w:ascii="Arial" w:cs="Arial" w:eastAsia="Arial" w:hAnsi="Arial"/>
                <w:sz w:val="23"/>
                <w:szCs w:val="23"/>
                <w:color w:val="auto"/>
                <w:vertAlign w:val="superscript"/>
              </w:rPr>
              <w:t>(8)</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1,102,074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Anthony Ware, M.D. </w:t>
            </w:r>
            <w:r>
              <w:rPr>
                <w:rFonts w:ascii="Arial" w:cs="Arial" w:eastAsia="Arial" w:hAnsi="Arial"/>
                <w:sz w:val="23"/>
                <w:szCs w:val="23"/>
                <w:color w:val="auto"/>
                <w:vertAlign w:val="superscript"/>
              </w:rPr>
              <w:t>(9)</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68,615</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Total Executive Officers and Directors as a Group (11 people) </w:t>
            </w:r>
            <w:r>
              <w:rPr>
                <w:rFonts w:ascii="Arial" w:cs="Arial" w:eastAsia="Arial" w:hAnsi="Arial"/>
                <w:sz w:val="23"/>
                <w:szCs w:val="23"/>
                <w:b w:val="1"/>
                <w:bCs w:val="1"/>
                <w:color w:val="auto"/>
                <w:vertAlign w:val="superscript"/>
              </w:rPr>
              <w:t>(10)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9,574,091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34.9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w w:val="85"/>
              </w:rPr>
              <w:t>5% Stockholders</w:t>
            </w:r>
          </w:p>
        </w:tc>
        <w:tc>
          <w:tcPr>
            <w:tcW w:w="6580" w:type="dxa"/>
            <w:vAlign w:val="bottom"/>
            <w:tcBorders>
              <w:bottom w:val="single" w:sz="8" w:color="CCEEFF"/>
            </w:tcBorders>
            <w:gridSpan w:val="3"/>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EcoR1 Capital LLC </w:t>
            </w:r>
            <w:r>
              <w:rPr>
                <w:rFonts w:ascii="Arial" w:cs="Arial" w:eastAsia="Arial" w:hAnsi="Arial"/>
                <w:sz w:val="23"/>
                <w:szCs w:val="23"/>
                <w:color w:val="auto"/>
                <w:vertAlign w:val="superscript"/>
              </w:rPr>
              <w:t>(11)</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7,151,624</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26.1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Tang Capital Partners, LP </w:t>
            </w:r>
            <w:r>
              <w:rPr>
                <w:rFonts w:ascii="Arial" w:cs="Arial" w:eastAsia="Arial" w:hAnsi="Arial"/>
                <w:sz w:val="23"/>
                <w:szCs w:val="23"/>
                <w:color w:val="auto"/>
                <w:vertAlign w:val="superscript"/>
              </w:rPr>
              <w:t>(12)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2,628,678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23"/>
                <w:szCs w:val="23"/>
                <w:color w:val="auto"/>
                <w:vertAlign w:val="superscript"/>
              </w:rPr>
              <w:t>(13)</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2,220,321</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23"/>
                <w:szCs w:val="23"/>
                <w:color w:val="auto"/>
                <w:vertAlign w:val="superscript"/>
              </w:rPr>
              <w:t>(14)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1,907,834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Perceptive Advisors LLC </w:t>
            </w:r>
            <w:r>
              <w:rPr>
                <w:rFonts w:ascii="Arial" w:cs="Arial" w:eastAsia="Arial" w:hAnsi="Arial"/>
                <w:sz w:val="23"/>
                <w:szCs w:val="23"/>
                <w:color w:val="auto"/>
                <w:vertAlign w:val="superscript"/>
              </w:rPr>
              <w:t>(15)</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1,495,336</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Point72 Asset Management, L.P. </w:t>
            </w:r>
            <w:r>
              <w:rPr>
                <w:rFonts w:ascii="Arial" w:cs="Arial" w:eastAsia="Arial" w:hAnsi="Arial"/>
                <w:sz w:val="23"/>
                <w:szCs w:val="23"/>
                <w:color w:val="auto"/>
                <w:vertAlign w:val="superscript"/>
              </w:rPr>
              <w:t>(16)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1,377,942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Represents beneficial ownership of less than one percent.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47" w:right="339" w:bottom="1440" w:gutter="0" w:footer="0" w:header="0"/>
        </w:sectPr>
      </w:pPr>
    </w:p>
    <w:bookmarkStart w:id="21" w:name="page22"/>
    <w:bookmarkEnd w:id="21"/>
    <w:p>
      <w:pPr>
        <w:ind w:left="494" w:right="120" w:hanging="494"/>
        <w:spacing w:after="0" w:line="235"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(a) 47,636 shares of common stock held directly by Mr. Suria and (b) 895,068 shares of common stock issuable to Mr. Suria upon the exercise of stock options that are exercisable within 60 days of March 15, 2021.</w:t>
      </w:r>
    </w:p>
    <w:p>
      <w:pPr>
        <w:ind w:left="494" w:right="80" w:hanging="494"/>
        <w:spacing w:after="0" w:line="23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31,257 shares of common stock issuable to Dr. Fenton upon the exercise of stock options that are exercisable within 60 days of March 15, 2021.</w:t>
      </w:r>
    </w:p>
    <w:p>
      <w:pPr>
        <w:spacing w:after="0" w:line="1" w:lineRule="exact"/>
        <w:rPr>
          <w:rFonts w:ascii="Arial" w:cs="Arial" w:eastAsia="Arial" w:hAnsi="Arial"/>
          <w:sz w:val="18"/>
          <w:szCs w:val="18"/>
          <w:color w:val="auto"/>
        </w:rPr>
      </w:pPr>
    </w:p>
    <w:p>
      <w:pPr>
        <w:ind w:left="494" w:right="40" w:hanging="494"/>
        <w:spacing w:after="0" w:line="23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19,185 shares of common stock issuable to Ms. Hamill upon the exercise of stock options that are exercisable within 60 days of March 15, 2021.</w:t>
      </w:r>
    </w:p>
    <w:p>
      <w:pPr>
        <w:spacing w:after="0" w:line="1" w:lineRule="exact"/>
        <w:rPr>
          <w:rFonts w:ascii="Arial" w:cs="Arial" w:eastAsia="Arial" w:hAnsi="Arial"/>
          <w:sz w:val="18"/>
          <w:szCs w:val="18"/>
          <w:color w:val="auto"/>
        </w:rPr>
      </w:pPr>
    </w:p>
    <w:p>
      <w:pPr>
        <w:ind w:left="494" w:right="20" w:hanging="494"/>
        <w:spacing w:after="0" w:line="23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4,451 shares of common stock issuable to Ms. Marquet upon the exercise of stock options that are exercisable within 60 days of March 15, 2021.</w:t>
      </w:r>
    </w:p>
    <w:p>
      <w:pPr>
        <w:spacing w:after="0" w:line="1" w:lineRule="exact"/>
        <w:rPr>
          <w:rFonts w:ascii="Arial" w:cs="Arial" w:eastAsia="Arial" w:hAnsi="Arial"/>
          <w:sz w:val="18"/>
          <w:szCs w:val="18"/>
          <w:color w:val="auto"/>
        </w:rPr>
      </w:pPr>
    </w:p>
    <w:p>
      <w:pPr>
        <w:ind w:left="494" w:right="120" w:hanging="494"/>
        <w:spacing w:after="0" w:line="23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the shares of common stock described in footnote 11 below. Mr. Nodelman joined our board of directors in April 2021, and disclaims beneficial ownership of such shares, except to the extent of his pecuniary interest therein.</w:t>
      </w:r>
    </w:p>
    <w:p>
      <w:pPr>
        <w:spacing w:after="0" w:line="1" w:lineRule="exact"/>
        <w:rPr>
          <w:rFonts w:ascii="Arial" w:cs="Arial" w:eastAsia="Arial" w:hAnsi="Arial"/>
          <w:sz w:val="18"/>
          <w:szCs w:val="18"/>
          <w:color w:val="auto"/>
        </w:rPr>
      </w:pPr>
    </w:p>
    <w:p>
      <w:pPr>
        <w:ind w:left="494" w:right="40" w:hanging="494"/>
        <w:spacing w:after="0" w:line="23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91,906 shares of common stock issuable to Mr. Renton upon the exercise of stock options that are exercisable within 60 days of March 15, 2021.</w:t>
      </w:r>
    </w:p>
    <w:p>
      <w:pPr>
        <w:spacing w:after="0" w:line="1" w:lineRule="exact"/>
        <w:rPr>
          <w:rFonts w:ascii="Arial" w:cs="Arial" w:eastAsia="Arial" w:hAnsi="Arial"/>
          <w:sz w:val="18"/>
          <w:szCs w:val="18"/>
          <w:color w:val="auto"/>
        </w:rPr>
      </w:pPr>
    </w:p>
    <w:p>
      <w:pPr>
        <w:ind w:left="494" w:hanging="494"/>
        <w:spacing w:after="0" w:line="23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83,087 shares of common stock issuable to Mr. Schmid upon the exercise of stock options that are exercisable within 60 days of March 15, 2021.</w:t>
      </w:r>
    </w:p>
    <w:p>
      <w:pPr>
        <w:spacing w:after="0" w:line="1" w:lineRule="exact"/>
        <w:rPr>
          <w:rFonts w:ascii="Arial" w:cs="Arial" w:eastAsia="Arial" w:hAnsi="Arial"/>
          <w:sz w:val="18"/>
          <w:szCs w:val="18"/>
          <w:color w:val="auto"/>
        </w:rPr>
      </w:pPr>
    </w:p>
    <w:p>
      <w:pPr>
        <w:ind w:left="494" w:right="40" w:hanging="494"/>
        <w:spacing w:after="0" w:line="248" w:lineRule="auto"/>
        <w:tabs>
          <w:tab w:leader="none" w:pos="494"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(a) 980,512 shares of common stock, (b) 80,812 shares of common stock held directly by Dr. Topper and (c) 40,750 shares of common stock issuable to Dr. Topper upon the exercise of stock options that are exercisable within 60 days of March 15, 2021.</w:t>
      </w:r>
    </w:p>
    <w:p>
      <w:pPr>
        <w:spacing w:after="0" w:line="1" w:lineRule="exact"/>
        <w:rPr>
          <w:rFonts w:ascii="Arial" w:cs="Arial" w:eastAsia="Arial" w:hAnsi="Arial"/>
          <w:sz w:val="17"/>
          <w:szCs w:val="17"/>
          <w:color w:val="auto"/>
        </w:rPr>
      </w:pPr>
    </w:p>
    <w:p>
      <w:pPr>
        <w:ind w:left="494" w:right="360" w:hanging="494"/>
        <w:spacing w:after="0" w:line="23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(a) 3,600 shares of common stock held directly by Dr. Ware and (b) 65,015 shares of common stock issuable to Dr. Ware upon the exercise of stock options that are exercisable within 60 days of March 15, 2021.</w:t>
      </w:r>
    </w:p>
    <w:p>
      <w:pPr>
        <w:spacing w:after="0" w:line="1" w:lineRule="exact"/>
        <w:rPr>
          <w:rFonts w:ascii="Arial" w:cs="Arial" w:eastAsia="Arial" w:hAnsi="Arial"/>
          <w:sz w:val="18"/>
          <w:szCs w:val="18"/>
          <w:color w:val="auto"/>
        </w:rPr>
      </w:pPr>
    </w:p>
    <w:p>
      <w:pPr>
        <w:ind w:left="494" w:right="220" w:hanging="494"/>
        <w:spacing w:after="0" w:line="248" w:lineRule="auto"/>
        <w:tabs>
          <w:tab w:leader="none" w:pos="494"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shares beneficially owned by our executive officers and directors. Consists of (a) 1,112,560 shares of common stock and (b) 1,309,907 shares of common stock issuable upon the exercise of stock options that are exercisable within 60 days of March 15, 2021.</w:t>
      </w:r>
    </w:p>
    <w:p>
      <w:pPr>
        <w:spacing w:after="0" w:line="1" w:lineRule="exact"/>
        <w:rPr>
          <w:rFonts w:ascii="Arial" w:cs="Arial" w:eastAsia="Arial" w:hAnsi="Arial"/>
          <w:sz w:val="17"/>
          <w:szCs w:val="17"/>
          <w:color w:val="auto"/>
        </w:rPr>
      </w:pPr>
    </w:p>
    <w:p>
      <w:pPr>
        <w:ind w:left="494" w:right="100" w:hanging="494"/>
        <w:spacing w:after="0" w:line="22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Schedule 13-D filed by EcoR1 Capital, LLC on March 10, 2021. Consists of 7,151,624 shares of common stock held directly by EcoR1 Capital Fund Qualified, L.P., EcoR1 Capital, LLC and Oleg Nodelman. The address of EcoR1 Capital, LLC is 357 Tehama Street #3, San Francisco, California 94103.</w:t>
      </w:r>
    </w:p>
    <w:p>
      <w:pPr>
        <w:ind w:left="494" w:right="120" w:hanging="494"/>
        <w:spacing w:after="0" w:line="22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Schedule 13-G/A filed by Tang Capital Partners, LP on February 16, 2021. Consists of 2,628,678 shares of common stock held directly by Tang Capital Partners, LP, Tang Capital Management, LLC and Kevin Tang. The address of Tang Capital Partners is 4747 Executive Drive, Suite 210, San Diego, California 92121.</w:t>
      </w:r>
    </w:p>
    <w:p>
      <w:pPr>
        <w:ind w:left="494" w:right="80" w:hanging="494"/>
        <w:spacing w:after="0" w:line="216"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Schedule 13-G/A filed by The Vanguard Group on February 10, 2021. Consists of 2,220,321 shares of common stock held by the following subsidiaries of The Vanguard Group: Vanguard Asset Management, Limited, Vanguard Fiduciary Trust Company, Vanguard Global Advisors, Vanguard Group (Ireland) Limited, Vanguard Investments Australia Ltd, Vanguard Investments Canada Inc., Vanguard Investments Hong Kong Limited, and Vanguard Investments UK, Limited. The address of The Vanguard Group is 100 Vanguard Blvd. Malvern, Pennsylvania 19355.</w:t>
      </w:r>
    </w:p>
    <w:p>
      <w:pPr>
        <w:ind w:left="494" w:right="80" w:hanging="494"/>
        <w:spacing w:after="0" w:line="226" w:lineRule="auto"/>
        <w:tabs>
          <w:tab w:leader="none" w:pos="494"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Schedule 13-G/A filed by BlackRock, Inc. (“Blackrock”) on January 29, 2021. Consists of 1,907,834 shares of common stock held by the following subsidiaries of BlackRock, Inc, or BlackRock: BlackRock Life Limited, BlackRock Advisors,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and BlackRock Fund Managers Ltd. Blackrock’s address is 55 East 52nd Street, New York, New York 10055.</w:t>
      </w:r>
    </w:p>
    <w:p>
      <w:pPr>
        <w:spacing w:after="0" w:line="2" w:lineRule="exact"/>
        <w:rPr>
          <w:rFonts w:ascii="Arial" w:cs="Arial" w:eastAsia="Arial" w:hAnsi="Arial"/>
          <w:sz w:val="17"/>
          <w:szCs w:val="17"/>
          <w:color w:val="auto"/>
        </w:rPr>
      </w:pPr>
    </w:p>
    <w:p>
      <w:pPr>
        <w:jc w:val="both"/>
        <w:ind w:left="494" w:right="180" w:hanging="494"/>
        <w:spacing w:after="0" w:line="224"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Schedule 13-G filed by Perceptive Advisors LLC on February 8, 2021. Consists of 1,495,336 shares of common stock held directly by Perceptive Advisors LLC, Joseph Edelman and Perceptive Life Sciences Master Fund, Ltd. The address of Perceptive Advisors LLC is 51 Astor Place, 10th Floor, New York, New York 10003.</w:t>
      </w:r>
    </w:p>
    <w:p>
      <w:pPr>
        <w:ind w:left="494" w:right="240" w:hanging="494"/>
        <w:spacing w:after="0" w:line="232" w:lineRule="auto"/>
        <w:tabs>
          <w:tab w:leader="none" w:pos="494"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Schedule 13-G filed by Point72 Asset Management, L.P. on January 13, 2021. Consists of 1,843,814 shares of common stock held directly by Point72 Asset Management, L.P., Point72 Capital Advisors, Inc., Cubist Systematic Strategies, LLC, and Steven A. Cohen. The address of Point72 Asset Management L.P., Point72 Capital Advisors Inc., and Mr. Cohen is 72 Cummings Point Road, Stamford, Connecticut, 06902; and the address of Cubist Systematic Strategies is 55 Hudson Yards, New York, New York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74"/>
          </w:cols>
          <w:pgMar w:left="346" w:top="1178" w:right="4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380" w:type="dxa"/>
            <w:vAlign w:val="bottom"/>
            <w:gridSpan w:val="2"/>
          </w:tcPr>
          <w:p>
            <w:pPr>
              <w:ind w:left="78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11220" w:type="dxa"/>
            <w:vAlign w:val="bottom"/>
            <w:gridSpan w:val="3"/>
          </w:tcPr>
          <w:p>
            <w:pPr>
              <w:spacing w:after="0"/>
              <w:rPr>
                <w:sz w:val="20"/>
                <w:szCs w:val="20"/>
                <w:color w:val="auto"/>
              </w:rPr>
            </w:pPr>
            <w:r>
              <w:rPr>
                <w:rFonts w:ascii="Arial" w:cs="Arial" w:eastAsia="Arial" w:hAnsi="Arial"/>
                <w:sz w:val="18"/>
                <w:szCs w:val="18"/>
                <w:color w:val="auto"/>
              </w:rPr>
              <w:t>The following table provides information regarding our executive officers as of April 26, 2021:</w:t>
            </w:r>
          </w:p>
        </w:tc>
      </w:tr>
      <w:tr>
        <w:trPr>
          <w:trHeight w:val="351"/>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88"/>
              </w:rPr>
              <w:t>Age</w:t>
            </w:r>
          </w:p>
        </w:tc>
        <w:tc>
          <w:tcPr>
            <w:tcW w:w="6080" w:type="dxa"/>
            <w:vAlign w:val="bottom"/>
            <w:tcBorders>
              <w:bottom w:val="single" w:sz="8" w:color="auto"/>
            </w:tcBorders>
          </w:tcPr>
          <w:p>
            <w:pPr>
              <w:ind w:left="276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30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Hamza Suria, M.B.A.</w:t>
            </w:r>
          </w:p>
        </w:tc>
        <w:tc>
          <w:tcPr>
            <w:tcW w:w="1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44</w:t>
            </w:r>
          </w:p>
        </w:tc>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Eric Loumeau, J.D.</w:t>
            </w:r>
          </w:p>
        </w:tc>
        <w:tc>
          <w:tcPr>
            <w:tcW w:w="1300" w:type="dxa"/>
            <w:vAlign w:val="bottom"/>
          </w:tcPr>
          <w:p>
            <w:pPr>
              <w:jc w:val="center"/>
              <w:ind w:left="710"/>
              <w:spacing w:after="0"/>
              <w:rPr>
                <w:sz w:val="20"/>
                <w:szCs w:val="20"/>
                <w:color w:val="auto"/>
              </w:rPr>
            </w:pPr>
            <w:r>
              <w:rPr>
                <w:rFonts w:ascii="Arial" w:cs="Arial" w:eastAsia="Arial" w:hAnsi="Arial"/>
                <w:sz w:val="18"/>
                <w:szCs w:val="18"/>
                <w:color w:val="auto"/>
                <w:w w:val="89"/>
              </w:rPr>
              <w:t>58</w:t>
            </w:r>
          </w:p>
        </w:tc>
        <w:tc>
          <w:tcPr>
            <w:tcW w:w="6080" w:type="dxa"/>
            <w:vAlign w:val="bottom"/>
          </w:tcPr>
          <w:p>
            <w:pPr>
              <w:ind w:left="100"/>
              <w:spacing w:after="0"/>
              <w:rPr>
                <w:sz w:val="20"/>
                <w:szCs w:val="20"/>
                <w:color w:val="auto"/>
              </w:rPr>
            </w:pPr>
            <w:r>
              <w:rPr>
                <w:rFonts w:ascii="Arial" w:cs="Arial" w:eastAsia="Arial" w:hAnsi="Arial"/>
                <w:sz w:val="18"/>
                <w:szCs w:val="18"/>
                <w:color w:val="auto"/>
              </w:rPr>
              <w:t>Chief Operating Officer</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Paul Lizzul, M.D., Ph.D., M.P.H., M.B.A.</w:t>
            </w:r>
          </w:p>
        </w:tc>
        <w:tc>
          <w:tcPr>
            <w:tcW w:w="1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46</w:t>
            </w:r>
          </w:p>
        </w:tc>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Chief Medical Officer</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Dennis Mulroy</w:t>
            </w:r>
          </w:p>
        </w:tc>
        <w:tc>
          <w:tcPr>
            <w:tcW w:w="1300" w:type="dxa"/>
            <w:vAlign w:val="bottom"/>
          </w:tcPr>
          <w:p>
            <w:pPr>
              <w:jc w:val="center"/>
              <w:ind w:left="710"/>
              <w:spacing w:after="0"/>
              <w:rPr>
                <w:sz w:val="20"/>
                <w:szCs w:val="20"/>
                <w:color w:val="auto"/>
              </w:rPr>
            </w:pPr>
            <w:r>
              <w:rPr>
                <w:rFonts w:ascii="Arial" w:cs="Arial" w:eastAsia="Arial" w:hAnsi="Arial"/>
                <w:sz w:val="18"/>
                <w:szCs w:val="18"/>
                <w:color w:val="auto"/>
                <w:w w:val="89"/>
              </w:rPr>
              <w:t>66</w:t>
            </w:r>
          </w:p>
        </w:tc>
        <w:tc>
          <w:tcPr>
            <w:tcW w:w="6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Mr. Suria’s biographical information is set forth above under the heading “Proposal No. 1 Election of Class I Directors – Nominees to the Board of Directors.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i w:val="1"/>
          <w:iCs w:val="1"/>
          <w:color w:val="auto"/>
        </w:rPr>
        <w:t xml:space="preserve">Eric Loumeau, J.D. </w:t>
      </w:r>
      <w:r>
        <w:rPr>
          <w:rFonts w:ascii="Arial" w:cs="Arial" w:eastAsia="Arial" w:hAnsi="Arial"/>
          <w:sz w:val="16"/>
          <w:szCs w:val="16"/>
          <w:color w:val="auto"/>
        </w:rPr>
        <w:t>has served as our Chief Operating Officer since July 2020 and as our General Counsel since August 2018. From September 2019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2020, Mr. Loumeau also served as our interim Chief Financial Officer from September 2019 to July 2020. Mr. Loumeau previously served as 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 experience as outside corporate counsel at national law firms includes tenures at Skadden, Arps, Slate, Meagher &amp; Flom LLP, Cooley LLP, Mintz Levin Cohn Ferris Glovsky and Popeo PC, and Bass, Berry &amp; Sims PLC. Mr. Loumeau received his J.D. from Boalt Hall School of Law at the University of California, Berkeley, and his B.S. in Finance from Brigham Young University.</w:t>
      </w:r>
    </w:p>
    <w:p>
      <w:pPr>
        <w:spacing w:after="0" w:line="16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Paul Lizzul M.D., Ph.D., M.P.H., M.B.A. </w:t>
      </w:r>
      <w:r>
        <w:rPr>
          <w:rFonts w:ascii="Arial" w:cs="Arial" w:eastAsia="Arial" w:hAnsi="Arial"/>
          <w:sz w:val="17"/>
          <w:szCs w:val="17"/>
          <w:color w:val="auto"/>
        </w:rPr>
        <w:t>has served as our Chief Medical Officer since July 2020. Dr. Lizzul previously served as Executive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Amgen Inc, a pharmaceutical company, for seven months. Before joining Amgen, he served as Chief Medical Officer of Sienna Biopharmaceuticals, Inc. four years, Senior Medical Director and Head of Safety at Kythera Biopharmaceuticals, Inc. for four years, and as an Assistant Professor of Dermatology and Associate Director of Clinical Research at the Tufts University School of Medicine for three years where he conducted investigator-initiated and industry sponsored clinical trials in inflammatory skin diseases (psoriasis). Dr. Lizzul has authored articles in academic journals on topics including inflammation, psoriasis, aesthetics (Kybella) and health care reform. Dr. Lizzul is a diplomat of the American Board of Dermatology and a faculty member of the American Academy of Dermatology and previously served on the FDA’s Dermatology and Ophthalmic Drugs Advisory Committee. Dr. Lizzul is a volunteer member of the teaching faculty in the Department of Dermatology at University of California, Los Angeles School of Medicine. Dr. Lizzul completed his post-graduate medical internship at Greenwich Hospital, Yale University School of Medicine and his dermatology residency at the University of California Davis, where he was appointed chief resident. Dr. Lizzul earned his B.S. in Biology from Rensselaer Polytechnic Institute, and an M.D., Ph.D. in Molecular Genetics and Microbiology and M.P.H. in Epidemiology/Outcomes from the Rutgers/Robert Wood Johnson Medical School. Dr. Lizzul also earned an M.B.A. in Entrepreneurship from the Rutgers Business School.</w:t>
      </w:r>
    </w:p>
    <w:p>
      <w:pPr>
        <w:spacing w:after="0" w:line="17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i w:val="1"/>
          <w:iCs w:val="1"/>
          <w:color w:val="auto"/>
        </w:rPr>
        <w:t xml:space="preserve">Dennis Mulroy </w:t>
      </w:r>
      <w:r>
        <w:rPr>
          <w:rFonts w:ascii="Arial" w:cs="Arial" w:eastAsia="Arial" w:hAnsi="Arial"/>
          <w:sz w:val="16"/>
          <w:szCs w:val="16"/>
          <w:color w:val="auto"/>
        </w:rPr>
        <w:t>has served as our Chief Financial Officer since July 2020. Mr. Mulroy previously served as Chief Financial Officer for La Jolla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Company from April 2015 to May 2020. From 2005 to 2015, he served as Chief Financial Officer of Taxus Cardium Pharmaceuticals Group, Inc. From 2004 to 2005, Mr. Mulroy served as Chief Financial Officer of Molecular Imaging, Inc. From 2001 to 2003, he served as Chief Financial Officer of SeraCare Life Sciences, Inc. Mr. Mulroy began his career at Ernst &amp; Young LLP. Mr. Mulroy received a B.S. degree in business administration, with an emphasis in accounting, from the University of San Diego and is a Certified Public Accountant (inactive) in the state of California.</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endeavor to maintain sound compensation governance standards consistent with our executive compensation policies and practices. Our compensation committee evaluates our executive compensation program on a regular basis (and no less than annually)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107" w:right="359" w:bottom="1440" w:gutter="0" w:footer="0" w:header="0"/>
        </w:sectPr>
      </w:pPr>
    </w:p>
    <w:bookmarkStart w:id="23" w:name="page24"/>
    <w:bookmarkEnd w:id="23"/>
    <w:p>
      <w:pPr>
        <w:ind w:left="580"/>
        <w:spacing w:after="0"/>
        <w:rPr>
          <w:sz w:val="20"/>
          <w:szCs w:val="20"/>
          <w:color w:val="auto"/>
        </w:rPr>
      </w:pPr>
      <w:r>
        <w:rPr>
          <w:rFonts w:ascii="Arial" w:cs="Arial" w:eastAsia="Arial" w:hAnsi="Arial"/>
          <w:sz w:val="18"/>
          <w:szCs w:val="18"/>
          <w:b w:val="1"/>
          <w:bCs w:val="1"/>
          <w:u w:val="single" w:color="auto"/>
          <w:color w:val="auto"/>
        </w:rPr>
        <w:t>What We Do</w:t>
      </w:r>
    </w:p>
    <w:p>
      <w:pPr>
        <w:spacing w:after="0" w:line="256" w:lineRule="exact"/>
        <w:rPr>
          <w:sz w:val="20"/>
          <w:szCs w:val="20"/>
          <w:color w:val="auto"/>
        </w:rPr>
      </w:pPr>
    </w:p>
    <w:p>
      <w:pPr>
        <w:ind w:left="1060" w:right="180" w:hanging="485"/>
        <w:spacing w:after="0" w:line="258" w:lineRule="auto"/>
        <w:tabs>
          <w:tab w:leader="none" w:pos="10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an Independent Compensation Committee. </w:t>
      </w:r>
      <w:r>
        <w:rPr>
          <w:rFonts w:ascii="Arial" w:cs="Arial" w:eastAsia="Arial" w:hAnsi="Arial"/>
          <w:sz w:val="18"/>
          <w:szCs w:val="18"/>
          <w:color w:val="auto"/>
        </w:rPr>
        <w:t>Our compensation committee consists solely of independent directors who establish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practices.</w:t>
      </w:r>
    </w:p>
    <w:p>
      <w:pPr>
        <w:spacing w:after="0" w:line="1" w:lineRule="exact"/>
        <w:rPr>
          <w:rFonts w:ascii="Arial" w:cs="Arial" w:eastAsia="Arial" w:hAnsi="Arial"/>
          <w:sz w:val="18"/>
          <w:szCs w:val="18"/>
          <w:color w:val="auto"/>
        </w:rPr>
      </w:pPr>
    </w:p>
    <w:p>
      <w:pPr>
        <w:ind w:left="1060" w:right="420" w:hanging="485"/>
        <w:spacing w:after="0" w:line="250" w:lineRule="auto"/>
        <w:tabs>
          <w:tab w:leader="none" w:pos="10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an Independent Compensation Advisor. </w:t>
      </w:r>
      <w:r>
        <w:rPr>
          <w:rFonts w:ascii="Arial" w:cs="Arial" w:eastAsia="Arial" w:hAnsi="Arial"/>
          <w:sz w:val="18"/>
          <w:szCs w:val="18"/>
          <w:color w:val="auto"/>
        </w:rPr>
        <w:t>Our compensation committee has engaged its own compensation consultant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analysis, and other advice on executive compensation independent of management. This consultant performed no other consulting or other services for us in 2020.</w:t>
      </w:r>
    </w:p>
    <w:p>
      <w:pPr>
        <w:spacing w:after="0" w:line="1" w:lineRule="exact"/>
        <w:rPr>
          <w:rFonts w:ascii="Arial" w:cs="Arial" w:eastAsia="Arial" w:hAnsi="Arial"/>
          <w:sz w:val="18"/>
          <w:szCs w:val="18"/>
          <w:color w:val="auto"/>
        </w:rPr>
      </w:pPr>
    </w:p>
    <w:p>
      <w:pPr>
        <w:ind w:left="1060" w:right="40" w:hanging="485"/>
        <w:spacing w:after="0" w:line="281" w:lineRule="auto"/>
        <w:tabs>
          <w:tab w:leader="none" w:pos="1055"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Executive Compensation Review. </w:t>
      </w:r>
      <w:r>
        <w:rPr>
          <w:rFonts w:ascii="Arial" w:cs="Arial" w:eastAsia="Arial" w:hAnsi="Arial"/>
          <w:sz w:val="16"/>
          <w:szCs w:val="16"/>
          <w:color w:val="auto"/>
        </w:rPr>
        <w:t>Our compensation committee conducts an annual review and approval of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2" w:lineRule="exact"/>
        <w:rPr>
          <w:rFonts w:ascii="Arial" w:cs="Arial" w:eastAsia="Arial" w:hAnsi="Arial"/>
          <w:sz w:val="16"/>
          <w:szCs w:val="16"/>
          <w:color w:val="auto"/>
        </w:rPr>
      </w:pPr>
    </w:p>
    <w:p>
      <w:pPr>
        <w:ind w:left="1060" w:right="180" w:hanging="485"/>
        <w:spacing w:after="0" w:line="250" w:lineRule="auto"/>
        <w:tabs>
          <w:tab w:leader="none" w:pos="10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At-Risk. </w:t>
      </w:r>
      <w:r>
        <w:rPr>
          <w:rFonts w:ascii="Arial" w:cs="Arial" w:eastAsia="Arial" w:hAnsi="Arial"/>
          <w:sz w:val="18"/>
          <w:szCs w:val="18"/>
          <w:color w:val="auto"/>
        </w:rPr>
        <w:t>Our executive compensation program is designed so that a significant portion of each of our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compensation is “at-risk” based on corporate performance, as well as equity-based, to align the interests of our executive officers and stockholders.</w:t>
      </w:r>
    </w:p>
    <w:p>
      <w:pPr>
        <w:spacing w:after="0" w:line="1" w:lineRule="exact"/>
        <w:rPr>
          <w:rFonts w:ascii="Arial" w:cs="Arial" w:eastAsia="Arial" w:hAnsi="Arial"/>
          <w:sz w:val="18"/>
          <w:szCs w:val="18"/>
          <w:color w:val="auto"/>
        </w:rPr>
      </w:pPr>
    </w:p>
    <w:p>
      <w:pPr>
        <w:ind w:left="1060" w:right="40" w:hanging="485"/>
        <w:spacing w:after="0" w:line="265" w:lineRule="auto"/>
        <w:tabs>
          <w:tab w:leader="none" w:pos="1055"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Use a “Pay-for-Performance” Philosophy. </w:t>
      </w:r>
      <w:r>
        <w:rPr>
          <w:rFonts w:ascii="Arial" w:cs="Arial" w:eastAsia="Arial" w:hAnsi="Arial"/>
          <w:sz w:val="17"/>
          <w:szCs w:val="17"/>
          <w:color w:val="auto"/>
        </w:rPr>
        <w:t>The majority of our Named Executive Officers’ compensation is directly linked to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through short-term performance-based annual bonuses and long-term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ind w:left="1060" w:right="20" w:hanging="485"/>
        <w:spacing w:after="0" w:line="260" w:lineRule="auto"/>
        <w:tabs>
          <w:tab w:leader="none" w:pos="10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Succession Planning. </w:t>
      </w:r>
      <w:r>
        <w:rPr>
          <w:rFonts w:ascii="Arial" w:cs="Arial" w:eastAsia="Arial" w:hAnsi="Arial"/>
          <w:sz w:val="18"/>
          <w:szCs w:val="18"/>
          <w:color w:val="auto"/>
        </w:rPr>
        <w:t>On an as-needed basis, we review the risks associated with our Named Executive Officer positions to ensure adequate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succession plans are in place.</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What We Do Not Do</w:t>
      </w:r>
    </w:p>
    <w:p>
      <w:pPr>
        <w:spacing w:after="0" w:line="256" w:lineRule="exact"/>
        <w:rPr>
          <w:sz w:val="20"/>
          <w:szCs w:val="20"/>
          <w:color w:val="auto"/>
        </w:rPr>
      </w:pPr>
    </w:p>
    <w:p>
      <w:pPr>
        <w:ind w:left="1060" w:hanging="485"/>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Guaranteed Bonuses. </w:t>
      </w:r>
      <w:r>
        <w:rPr>
          <w:rFonts w:ascii="Arial" w:cs="Arial" w:eastAsia="Arial" w:hAnsi="Arial"/>
          <w:sz w:val="18"/>
          <w:szCs w:val="18"/>
          <w:color w:val="auto"/>
        </w:rPr>
        <w:t>We do not provide guaranteed bonuses to our Named Executive Officers.</w:t>
      </w:r>
    </w:p>
    <w:p>
      <w:pPr>
        <w:spacing w:after="0" w:line="23" w:lineRule="exact"/>
        <w:rPr>
          <w:rFonts w:ascii="Arial" w:cs="Arial" w:eastAsia="Arial" w:hAnsi="Arial"/>
          <w:sz w:val="18"/>
          <w:szCs w:val="18"/>
          <w:color w:val="auto"/>
        </w:rPr>
      </w:pPr>
    </w:p>
    <w:p>
      <w:pPr>
        <w:ind w:left="1060" w:right="140" w:hanging="485"/>
        <w:spacing w:after="0" w:line="281" w:lineRule="auto"/>
        <w:tabs>
          <w:tab w:leader="none" w:pos="1055"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Executive Retirement Plans. </w:t>
      </w:r>
      <w:r>
        <w:rPr>
          <w:rFonts w:ascii="Arial" w:cs="Arial" w:eastAsia="Arial" w:hAnsi="Arial"/>
          <w:sz w:val="16"/>
          <w:szCs w:val="16"/>
          <w:color w:val="auto"/>
        </w:rPr>
        <w:t>We do not currently offer defined benefit pension plans or any non-qualified deferred compensation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arrangements to our Named Executive Officers other than the plans and arrangements that are available to employees generally.</w:t>
      </w:r>
    </w:p>
    <w:p>
      <w:pPr>
        <w:spacing w:after="0" w:line="1" w:lineRule="exact"/>
        <w:rPr>
          <w:rFonts w:ascii="Arial" w:cs="Arial" w:eastAsia="Arial" w:hAnsi="Arial"/>
          <w:sz w:val="16"/>
          <w:szCs w:val="16"/>
          <w:color w:val="auto"/>
        </w:rPr>
      </w:pPr>
    </w:p>
    <w:p>
      <w:pPr>
        <w:ind w:left="1060" w:right="400" w:hanging="485"/>
        <w:spacing w:after="0" w:line="250" w:lineRule="auto"/>
        <w:tabs>
          <w:tab w:leader="none" w:pos="10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Hedging or Pledging. </w:t>
      </w:r>
      <w:r>
        <w:rPr>
          <w:rFonts w:ascii="Arial" w:cs="Arial" w:eastAsia="Arial" w:hAnsi="Arial"/>
          <w:sz w:val="18"/>
          <w:szCs w:val="18"/>
          <w:color w:val="auto"/>
        </w:rPr>
        <w:t>We prohibit our employees (including our Named Executive Officers) and the non-employee members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from hedging or pledging our securities.</w:t>
      </w:r>
    </w:p>
    <w:p>
      <w:pPr>
        <w:ind w:left="1060" w:right="140" w:hanging="485"/>
        <w:spacing w:after="0" w:line="250" w:lineRule="auto"/>
        <w:tabs>
          <w:tab w:leader="none" w:pos="10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Gross-Ups on Executive Perquisites. </w:t>
      </w:r>
      <w:r>
        <w:rPr>
          <w:rFonts w:ascii="Arial" w:cs="Arial" w:eastAsia="Arial" w:hAnsi="Arial"/>
          <w:sz w:val="18"/>
          <w:szCs w:val="18"/>
          <w:color w:val="auto"/>
        </w:rPr>
        <w:t>We do not provide any tax reimbursement payments (including “gross-ups”) to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on any perquisites or other personal benefits.</w:t>
      </w:r>
    </w:p>
    <w:p>
      <w:pPr>
        <w:ind w:left="1060" w:right="480" w:hanging="485"/>
        <w:spacing w:after="0" w:line="250" w:lineRule="auto"/>
        <w:tabs>
          <w:tab w:leader="none" w:pos="10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Excise Tax Gross-Ups. </w:t>
      </w:r>
      <w:r>
        <w:rPr>
          <w:rFonts w:ascii="Arial" w:cs="Arial" w:eastAsia="Arial" w:hAnsi="Arial"/>
          <w:sz w:val="18"/>
          <w:szCs w:val="18"/>
          <w:color w:val="auto"/>
        </w:rPr>
        <w:t>We do not provide any contractual rights to excise tax reimbursement payments (including “gross-ups”)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or benefits contingent upon a change in control of the Company.</w:t>
      </w:r>
    </w:p>
    <w:p>
      <w:pPr>
        <w:ind w:left="1060" w:hanging="485"/>
        <w:spacing w:after="0" w:line="260" w:lineRule="auto"/>
        <w:tabs>
          <w:tab w:leader="none" w:pos="10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Special Welfare or Health Benefits. </w:t>
      </w:r>
      <w:r>
        <w:rPr>
          <w:rFonts w:ascii="Arial" w:cs="Arial" w:eastAsia="Arial" w:hAnsi="Arial"/>
          <w:sz w:val="18"/>
          <w:szCs w:val="18"/>
          <w:color w:val="auto"/>
        </w:rPr>
        <w:t>We do not provide our Named Executive Officers with any welfare or health benefit programs,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participation in our broad-based employee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Advisory Vote to Approve Named Executive Officer Compensation</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our 2020 Annual Meeting of Stockholders, we conducted our non-binding stockholder advisory vote on the compensation of our named executive officers (commonly known as a “Say-on-Pay” vote). Approximately 89.9% of the votes cast approved our executive compensation program for 2019. Our board of directors and our compensation committee consider the result of the Say-on-Pay vote in determining the compensation of our executive officers, including our named executive officers. Based on the strong level of support for our executive compensation program demonstrated by the result of last year’s Say-on-Pay vote, among other factors, our board of directors and our compensation committee determined not to implement significant changes to our executive compensation program for 2020.</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value the opinion of our stockholders. Our board of directors and our compensation committee will continue to consider the result of the Say-on-Pay vote, as well as feedback received throughout the year, when making compensation decisions for our executive officers.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consistent with the recommendation of our board of directors and the preference of our stockholders as reflected in the non-binding stockholder advisory vote on the frequency of future Say-on-Pay votes held at our 2019 Annual Meeting of Stockholders, we continue to hold future Say-on-Pay votes on an annual basis. Accordingly, after the vote at the Annual Meeting to which this Proxy Statement relates, our next Say-on-Pay vote will be conducted at our 2022 Annual Meeting of Stockholders.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13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Executive Compensation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objectives of our executive compensation program, policies, and practices are to:</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competitive compensation which enables us to attract and retain high-caliber executives;</w:t>
      </w:r>
    </w:p>
    <w:p>
      <w:pPr>
        <w:spacing w:after="0" w:line="23"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reward the achievement of our business objectives by directly linking annual bonuses to the achievement of objectives that build long-term stockholder value;</w:t>
      </w:r>
    </w:p>
    <w:p>
      <w:pPr>
        <w:ind w:left="660" w:right="4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 both corporate and individual performance by providing opportunities for career advancement and opportunities for above-median short-term and long-term compensation based on measurable corporate and individual performance; and</w:t>
      </w: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aligning the interests of our executives with those of our stockholders by incentivizing and rewarding the creation of stockholder value.</w:t>
      </w:r>
    </w:p>
    <w:p>
      <w:pPr>
        <w:spacing w:after="0" w:line="2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executive compensation program has reflected, and we expect that it will continue to reflect, our industry and life-cycle stage, including the fact that we are a biotechnology company whose product candidates are in pre-clinical and clinical development and remain subject to regulatory approval. As a result, our revenues have been and will continue to be limited, and we expect to continue to incur net losses for at least the next several years. In an effort to preserve cash resources,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long-term incentive compensation, we have also implemented an annual performance-based cash bonus plan for our Named Executive Officers. Payments under this cash bonus plan are based primarily on our level of achievement of pre-established corporate performance goals to reflect the fact that our Named Executive Officers make the key strategic decisions influencing our Company as a whole.</w:t>
      </w:r>
    </w:p>
    <w:p>
      <w:pPr>
        <w:spacing w:after="0" w:line="1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52"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Our compensation committee engages an external compensation consultant to assist it by providing information, analysis, and other advice relating to our executive compensation program and the decisions resulting from its annual executive compensation review. The compensation consultant reports directly to our compensation committee and its chair, and serves at the discretion of our compensation committee, which reviews the engagement annually.</w:t>
      </w:r>
    </w:p>
    <w:p>
      <w:pPr>
        <w:spacing w:after="0" w:line="17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2020, our compensation committee retained Compensia to serve as its compensation advisor to advise on executive compensation matters, including competitive market pay practices for our executive officers, and with the data analysis and selection of the compensation peer group.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Positioning</w:t>
      </w:r>
    </w:p>
    <w:p>
      <w:pPr>
        <w:spacing w:after="0" w:line="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2020, our compensation committee directed Compensia to again refresh our compensation peer group in light of our adjusted market capitalization. In evaluating the companies to comprise the compensation peer group at that time, Compensia considered the following criteria: (i) biotechnology and pharmaceutical companies with therapeutic similarity in inflammation, immune-oncology, and other antibody-based therapies; (ii) with lead drugs in phase II or III or pending approval; (iii) 25 - 230 employees; and (iv) a market capitalization of 0.33x to 3.0x our market capitalization.</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a review of the analysis prepared by Compensia, in September 2020 our compensation committee approved an updated compensation peer group, referred to as the December 2020 peer group, consisting of the following companies: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11" w:right="339" w:bottom="1440" w:gutter="0" w:footer="0" w:header="0"/>
        </w:sectPr>
      </w:pPr>
    </w:p>
    <w:bookmarkStart w:id="25" w:name="page26"/>
    <w:bookmarkEnd w:id="25"/>
    <w:tbl>
      <w:tblPr>
        <w:tblLayout w:type="fixed"/>
        <w:tblInd w:w="500" w:type="dxa"/>
        <w:tblCellMar>
          <w:top w:w="0" w:type="dxa"/>
          <w:left w:w="0" w:type="dxa"/>
          <w:bottom w:w="0" w:type="dxa"/>
          <w:right w:w="0" w:type="dxa"/>
        </w:tblCellMar>
      </w:tblP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Aeglea BioTherapeutics</w:t>
            </w:r>
          </w:p>
        </w:tc>
        <w:tc>
          <w:tcPr>
            <w:tcW w:w="3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CytomX Therapeutics</w:t>
            </w:r>
          </w:p>
        </w:tc>
        <w:tc>
          <w:tcPr>
            <w:tcW w:w="4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Prothena</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Arcus Biosciences</w:t>
            </w:r>
          </w:p>
        </w:tc>
        <w:tc>
          <w:tcPr>
            <w:tcW w:w="3200" w:type="dxa"/>
            <w:vAlign w:val="bottom"/>
          </w:tcPr>
          <w:p>
            <w:pPr>
              <w:ind w:left="620"/>
              <w:spacing w:after="0"/>
              <w:rPr>
                <w:sz w:val="20"/>
                <w:szCs w:val="20"/>
                <w:color w:val="auto"/>
              </w:rPr>
            </w:pPr>
            <w:r>
              <w:rPr>
                <w:rFonts w:ascii="Arial" w:cs="Arial" w:eastAsia="Arial" w:hAnsi="Arial"/>
                <w:sz w:val="18"/>
                <w:szCs w:val="18"/>
                <w:color w:val="auto"/>
              </w:rPr>
              <w:t>Five Prime Therapeutics</w:t>
            </w:r>
          </w:p>
        </w:tc>
        <w:tc>
          <w:tcPr>
            <w:tcW w:w="4240" w:type="dxa"/>
            <w:vAlign w:val="bottom"/>
          </w:tcPr>
          <w:p>
            <w:pPr>
              <w:ind w:left="820"/>
              <w:spacing w:after="0"/>
              <w:rPr>
                <w:sz w:val="20"/>
                <w:szCs w:val="20"/>
                <w:color w:val="auto"/>
              </w:rPr>
            </w:pPr>
            <w:r>
              <w:rPr>
                <w:rFonts w:ascii="Arial" w:cs="Arial" w:eastAsia="Arial" w:hAnsi="Arial"/>
                <w:sz w:val="18"/>
                <w:szCs w:val="18"/>
                <w:color w:val="auto"/>
              </w:rPr>
              <w:t>Sangamo Therapeutics</w:t>
            </w: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Atara Biotherapeutics</w:t>
            </w:r>
          </w:p>
        </w:tc>
        <w:tc>
          <w:tcPr>
            <w:tcW w:w="3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Gossamer Bio</w:t>
            </w:r>
          </w:p>
        </w:tc>
        <w:tc>
          <w:tcPr>
            <w:tcW w:w="4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Seres Therapeutics</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Calithera Biosciences</w:t>
            </w:r>
          </w:p>
        </w:tc>
        <w:tc>
          <w:tcPr>
            <w:tcW w:w="3200" w:type="dxa"/>
            <w:vAlign w:val="bottom"/>
          </w:tcPr>
          <w:p>
            <w:pPr>
              <w:ind w:left="620"/>
              <w:spacing w:after="0"/>
              <w:rPr>
                <w:sz w:val="20"/>
                <w:szCs w:val="20"/>
                <w:color w:val="auto"/>
              </w:rPr>
            </w:pPr>
            <w:r>
              <w:rPr>
                <w:rFonts w:ascii="Arial" w:cs="Arial" w:eastAsia="Arial" w:hAnsi="Arial"/>
                <w:sz w:val="18"/>
                <w:szCs w:val="18"/>
                <w:color w:val="auto"/>
              </w:rPr>
              <w:t>ImmunoGen</w:t>
            </w:r>
          </w:p>
        </w:tc>
        <w:tc>
          <w:tcPr>
            <w:tcW w:w="4240" w:type="dxa"/>
            <w:vAlign w:val="bottom"/>
          </w:tcPr>
          <w:p>
            <w:pPr>
              <w:ind w:left="820"/>
              <w:spacing w:after="0"/>
              <w:rPr>
                <w:sz w:val="20"/>
                <w:szCs w:val="20"/>
                <w:color w:val="auto"/>
              </w:rPr>
            </w:pPr>
            <w:r>
              <w:rPr>
                <w:rFonts w:ascii="Arial" w:cs="Arial" w:eastAsia="Arial" w:hAnsi="Arial"/>
                <w:sz w:val="18"/>
                <w:szCs w:val="18"/>
                <w:color w:val="auto"/>
              </w:rPr>
              <w:t>Syndax Pharmaceuticals</w:t>
            </w: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Constellation Pharmaceuticals</w:t>
            </w:r>
          </w:p>
        </w:tc>
        <w:tc>
          <w:tcPr>
            <w:tcW w:w="3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Jounce Therapeutics</w:t>
            </w:r>
          </w:p>
        </w:tc>
        <w:tc>
          <w:tcPr>
            <w:tcW w:w="4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Voyager Therapeutics</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Corbus Pharmaceuticals</w:t>
            </w:r>
          </w:p>
        </w:tc>
        <w:tc>
          <w:tcPr>
            <w:tcW w:w="3200" w:type="dxa"/>
            <w:vAlign w:val="bottom"/>
          </w:tcPr>
          <w:p>
            <w:pPr>
              <w:ind w:left="620"/>
              <w:spacing w:after="0"/>
              <w:rPr>
                <w:sz w:val="20"/>
                <w:szCs w:val="20"/>
                <w:color w:val="auto"/>
              </w:rPr>
            </w:pPr>
            <w:r>
              <w:rPr>
                <w:rFonts w:ascii="Arial" w:cs="Arial" w:eastAsia="Arial" w:hAnsi="Arial"/>
                <w:sz w:val="18"/>
                <w:szCs w:val="18"/>
                <w:color w:val="auto"/>
              </w:rPr>
              <w:t>Kura Oncology</w:t>
            </w:r>
          </w:p>
        </w:tc>
        <w:tc>
          <w:tcPr>
            <w:tcW w:w="4240" w:type="dxa"/>
            <w:vAlign w:val="bottom"/>
          </w:tcPr>
          <w:p>
            <w:pPr>
              <w:ind w:left="820"/>
              <w:spacing w:after="0"/>
              <w:rPr>
                <w:sz w:val="20"/>
                <w:szCs w:val="20"/>
                <w:color w:val="auto"/>
              </w:rPr>
            </w:pPr>
            <w:r>
              <w:rPr>
                <w:rFonts w:ascii="Arial" w:cs="Arial" w:eastAsia="Arial" w:hAnsi="Arial"/>
                <w:sz w:val="18"/>
                <w:szCs w:val="18"/>
                <w:color w:val="auto"/>
              </w:rPr>
              <w:t>ZIOPHARM Oncology</w:t>
            </w: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CymaBay Therapeutics</w:t>
            </w:r>
          </w:p>
        </w:tc>
        <w:tc>
          <w:tcPr>
            <w:tcW w:w="3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MacroGenics</w:t>
            </w:r>
          </w:p>
        </w:tc>
        <w:tc>
          <w:tcPr>
            <w:tcW w:w="424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used this compensation peer group as a reference for its compensation decisions in December 2020.</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compensation practices of the applicable compensation peer group was the primary guide used by our compensation committee in 2020 to compare the competitiveness of each compensation element and overall compensation levels (base salary, target annual cash bonus opportunities, and long-term incentive compensation) for purposes of decisions relating to 2020 compensation.</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Our compensation committee reviews our compensation peer group each year (unless there have been significant changes to either our business model or market capitalization) and makes adjustments to its composition if warranted, taking into account changes in both our business and the businesses of the companies in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030"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provided to certain of our executive officers during the years ended December 31, 2020 and 2019. These executive officers, who include our principal executive officer and the two most highly-compensated executive officers (other than our principal executive officer) who were serving as executive officers at the end of the fiscal year ended December 31, 2020, were:</w:t>
      </w:r>
    </w:p>
    <w:p>
      <w:pPr>
        <w:spacing w:after="0" w:line="21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Hamza Suria, M.B.A., President, Chief Executive Officer and Director;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Dennis Mulroy, Chief Financial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Paul F. Lizzul, M.D., Ph.D., M.P.H., M.B.A., Chief Medical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refer to these individuals as our “named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for services rendered during the years ended December 31,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Salary</w:t>
            </w:r>
          </w:p>
        </w:tc>
        <w:tc>
          <w:tcPr>
            <w:tcW w:w="142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6"/>
              </w:rPr>
              <w:t>Option Award</w:t>
            </w:r>
            <w:r>
              <w:rPr>
                <w:rFonts w:ascii="Arial" w:cs="Arial" w:eastAsia="Arial" w:hAnsi="Arial"/>
                <w:sz w:val="23"/>
                <w:szCs w:val="23"/>
                <w:b w:val="1"/>
                <w:bCs w:val="1"/>
                <w:color w:val="auto"/>
                <w:w w:val="96"/>
                <w:vertAlign w:val="superscript"/>
              </w:rPr>
              <w:t>(1)</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20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3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9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Year</w:t>
            </w:r>
          </w:p>
        </w:tc>
        <w:tc>
          <w:tcPr>
            <w:tcW w:w="12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Compensation</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Incentive Plan ($)</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63"/>
        </w:trPr>
        <w:tc>
          <w:tcPr>
            <w:tcW w:w="3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Hamza Suria, M.B.A.</w:t>
            </w:r>
          </w:p>
        </w:tc>
        <w:tc>
          <w:tcPr>
            <w:tcW w:w="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311,850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6,540</w:t>
            </w:r>
            <w:r>
              <w:rPr>
                <w:rFonts w:ascii="Arial" w:cs="Arial" w:eastAsia="Arial" w:hAnsi="Arial"/>
                <w:sz w:val="23"/>
                <w:szCs w:val="23"/>
                <w:color w:val="auto"/>
                <w:w w:val="84"/>
                <w:vertAlign w:val="superscript"/>
              </w:rPr>
              <w:t>(2)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885,390</w:t>
            </w: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line="176" w:lineRule="exact"/>
              <w:rPr>
                <w:sz w:val="20"/>
                <w:szCs w:val="20"/>
                <w:color w:val="auto"/>
              </w:rPr>
            </w:pPr>
            <w:r>
              <w:rPr>
                <w:rFonts w:ascii="Arial" w:cs="Arial" w:eastAsia="Arial" w:hAnsi="Arial"/>
                <w:sz w:val="18"/>
                <w:szCs w:val="18"/>
                <w:i w:val="1"/>
                <w:iCs w:val="1"/>
                <w:color w:val="auto"/>
              </w:rPr>
              <w:t>President, Chief Executive Officer and</w:t>
            </w: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140"/>
              <w:spacing w:after="0"/>
              <w:rPr>
                <w:sz w:val="20"/>
                <w:szCs w:val="20"/>
                <w:color w:val="auto"/>
              </w:rPr>
            </w:pPr>
            <w:r>
              <w:rPr>
                <w:rFonts w:ascii="Arial" w:cs="Arial" w:eastAsia="Arial" w:hAnsi="Arial"/>
                <w:sz w:val="18"/>
                <w:szCs w:val="18"/>
                <w:i w:val="1"/>
                <w:iCs w:val="1"/>
                <w:color w:val="auto"/>
              </w:rPr>
              <w:t>Director</w:t>
            </w:r>
          </w:p>
        </w:tc>
        <w:tc>
          <w:tcPr>
            <w:tcW w:w="900" w:type="dxa"/>
            <w:vAlign w:val="bottom"/>
          </w:tcPr>
          <w:p>
            <w:pPr>
              <w:ind w:left="200"/>
              <w:spacing w:after="0"/>
              <w:rPr>
                <w:sz w:val="20"/>
                <w:szCs w:val="20"/>
                <w:color w:val="auto"/>
              </w:rPr>
            </w:pPr>
            <w:r>
              <w:rPr>
                <w:rFonts w:ascii="Arial" w:cs="Arial" w:eastAsia="Arial" w:hAnsi="Arial"/>
                <w:sz w:val="18"/>
                <w:szCs w:val="18"/>
                <w:color w:val="auto"/>
              </w:rPr>
              <w:t>2019</w:t>
            </w:r>
          </w:p>
        </w:tc>
        <w:tc>
          <w:tcPr>
            <w:tcW w:w="1200" w:type="dxa"/>
            <w:vAlign w:val="bottom"/>
          </w:tcPr>
          <w:p>
            <w:pPr>
              <w:jc w:val="right"/>
              <w:spacing w:after="0"/>
              <w:rPr>
                <w:sz w:val="20"/>
                <w:szCs w:val="20"/>
                <w:color w:val="auto"/>
              </w:rPr>
            </w:pPr>
            <w:r>
              <w:rPr>
                <w:rFonts w:ascii="Arial" w:cs="Arial" w:eastAsia="Arial" w:hAnsi="Arial"/>
                <w:sz w:val="18"/>
                <w:szCs w:val="18"/>
                <w:color w:val="auto"/>
              </w:rPr>
              <w:t>567,000</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7,301,646</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line="243" w:lineRule="exact"/>
              <w:rPr>
                <w:sz w:val="20"/>
                <w:szCs w:val="20"/>
                <w:color w:val="auto"/>
              </w:rPr>
            </w:pPr>
            <w:r>
              <w:rPr>
                <w:rFonts w:ascii="Arial" w:cs="Arial" w:eastAsia="Arial" w:hAnsi="Arial"/>
                <w:sz w:val="18"/>
                <w:szCs w:val="18"/>
                <w:color w:val="auto"/>
                <w:w w:val="84"/>
              </w:rPr>
              <w:t>6,540</w:t>
            </w:r>
            <w:r>
              <w:rPr>
                <w:rFonts w:ascii="Arial" w:cs="Arial" w:eastAsia="Arial" w:hAnsi="Arial"/>
                <w:sz w:val="23"/>
                <w:szCs w:val="23"/>
                <w:color w:val="auto"/>
                <w:w w:val="84"/>
                <w:vertAlign w:val="superscript"/>
              </w:rPr>
              <w:t>(2)</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7,875,186</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Dennis Mulroy</w:t>
            </w:r>
            <w:r>
              <w:rPr>
                <w:rFonts w:ascii="Arial" w:cs="Arial" w:eastAsia="Arial" w:hAnsi="Arial"/>
                <w:sz w:val="23"/>
                <w:szCs w:val="23"/>
                <w:color w:val="auto"/>
                <w:vertAlign w:val="superscript"/>
              </w:rPr>
              <w:t>(3)</w:t>
            </w:r>
          </w:p>
        </w:tc>
        <w:tc>
          <w:tcPr>
            <w:tcW w:w="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184,872</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1,358,918</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74,317</w:t>
            </w:r>
          </w:p>
        </w:tc>
        <w:tc>
          <w:tcPr>
            <w:tcW w:w="150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4,746</w:t>
            </w:r>
            <w:r>
              <w:rPr>
                <w:rFonts w:ascii="Arial" w:cs="Arial" w:eastAsia="Arial" w:hAnsi="Arial"/>
                <w:sz w:val="23"/>
                <w:szCs w:val="23"/>
                <w:color w:val="auto"/>
                <w:w w:val="84"/>
                <w:vertAlign w:val="superscript"/>
              </w:rPr>
              <w:t>(4)</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1,622,853</w:t>
            </w:r>
          </w:p>
        </w:tc>
        <w:tc>
          <w:tcPr>
            <w:tcW w:w="0" w:type="dxa"/>
            <w:vAlign w:val="bottom"/>
          </w:tcPr>
          <w:p>
            <w:pPr>
              <w:spacing w:after="0"/>
              <w:rPr>
                <w:sz w:val="1"/>
                <w:szCs w:val="1"/>
                <w:color w:val="auto"/>
              </w:rPr>
            </w:pPr>
          </w:p>
        </w:tc>
      </w:tr>
      <w:tr>
        <w:trPr>
          <w:trHeight w:val="243"/>
        </w:trPr>
        <w:tc>
          <w:tcPr>
            <w:tcW w:w="340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w w:val="99"/>
              </w:rPr>
              <w:t>Paul Lizzul, M.D., Ph.D., M.PH., M.B.A.</w:t>
            </w:r>
            <w:r>
              <w:rPr>
                <w:rFonts w:ascii="Arial" w:cs="Arial" w:eastAsia="Arial" w:hAnsi="Arial"/>
                <w:sz w:val="28"/>
                <w:szCs w:val="28"/>
                <w:color w:val="auto"/>
                <w:w w:val="99"/>
                <w:vertAlign w:val="superscript"/>
              </w:rPr>
              <w:t>(5)</w:t>
            </w:r>
          </w:p>
        </w:tc>
        <w:tc>
          <w:tcPr>
            <w:tcW w:w="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168,205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1,238,769</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67,322</w:t>
            </w:r>
          </w:p>
        </w:tc>
        <w:tc>
          <w:tcPr>
            <w:tcW w:w="1500" w:type="dxa"/>
            <w:vAlign w:val="bottom"/>
            <w:shd w:val="clear" w:color="auto" w:fill="CCEEFF"/>
          </w:tcPr>
          <w:p>
            <w:pPr>
              <w:jc w:val="center"/>
              <w:ind w:right="10"/>
              <w:spacing w:after="0" w:line="256" w:lineRule="exact"/>
              <w:rPr>
                <w:sz w:val="20"/>
                <w:szCs w:val="20"/>
                <w:color w:val="auto"/>
              </w:rPr>
            </w:pPr>
            <w:r>
              <w:rPr>
                <w:rFonts w:ascii="Arial" w:cs="Arial" w:eastAsia="Arial" w:hAnsi="Arial"/>
                <w:sz w:val="18"/>
                <w:szCs w:val="18"/>
                <w:color w:val="auto"/>
                <w:w w:val="85"/>
              </w:rPr>
              <w:t>104,238</w:t>
            </w:r>
            <w:r>
              <w:rPr>
                <w:rFonts w:ascii="Arial" w:cs="Arial" w:eastAsia="Arial" w:hAnsi="Arial"/>
                <w:sz w:val="23"/>
                <w:szCs w:val="23"/>
                <w:color w:val="auto"/>
                <w:w w:val="85"/>
                <w:vertAlign w:val="superscript"/>
              </w:rPr>
              <w:t>(6)</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1,578,534</w:t>
            </w: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i w:val="1"/>
                <w:iCs w:val="1"/>
                <w:color w:val="auto"/>
              </w:rPr>
              <w:t>Chief Medical Officer</w:t>
            </w: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420" w:right="100" w:hanging="372"/>
        <w:spacing w:after="0" w:line="273" w:lineRule="auto"/>
        <w:tabs>
          <w:tab w:leader="none" w:pos="44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amounts reported in the Option Awards column represent the grant date fair value of the stock options granted to the Named Executive Officers during the years ended December 31, 2020 and 2019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2020. Note that the amounts reported in this column reflect the accounting cost for these stock options, and do not correspond to the actual economic value that may be received by our Named Executive Officers from the options.</w:t>
      </w:r>
    </w:p>
    <w:p>
      <w:pPr>
        <w:spacing w:after="0" w:line="15" w:lineRule="exact"/>
        <w:rPr>
          <w:rFonts w:ascii="Arial" w:cs="Arial" w:eastAsia="Arial" w:hAnsi="Arial"/>
          <w:sz w:val="17"/>
          <w:szCs w:val="17"/>
          <w:color w:val="auto"/>
        </w:rPr>
      </w:pPr>
    </w:p>
    <w:p>
      <w:pPr>
        <w:ind w:left="440" w:hanging="39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401(k) matching contributions and group term life insurance premiums paid by us on behalf of Mr. Suria.</w:t>
      </w:r>
    </w:p>
    <w:p>
      <w:pPr>
        <w:spacing w:after="0" w:line="63" w:lineRule="exact"/>
        <w:rPr>
          <w:rFonts w:ascii="Arial" w:cs="Arial" w:eastAsia="Arial" w:hAnsi="Arial"/>
          <w:sz w:val="18"/>
          <w:szCs w:val="18"/>
          <w:color w:val="auto"/>
        </w:rPr>
      </w:pPr>
    </w:p>
    <w:p>
      <w:pPr>
        <w:ind w:left="440" w:hanging="39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Mulroy joined the company in July 2020.</w:t>
      </w:r>
    </w:p>
    <w:p>
      <w:pPr>
        <w:spacing w:after="0" w:line="63" w:lineRule="exact"/>
        <w:rPr>
          <w:rFonts w:ascii="Arial" w:cs="Arial" w:eastAsia="Arial" w:hAnsi="Arial"/>
          <w:sz w:val="18"/>
          <w:szCs w:val="18"/>
          <w:color w:val="auto"/>
        </w:rPr>
      </w:pPr>
    </w:p>
    <w:p>
      <w:pPr>
        <w:ind w:left="440" w:hanging="39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401(k) matching contributions and group term life insurance premiums paid by us on behalf of Mr. Mulroy.</w:t>
      </w:r>
    </w:p>
    <w:p>
      <w:pPr>
        <w:spacing w:after="0" w:line="63" w:lineRule="exact"/>
        <w:rPr>
          <w:rFonts w:ascii="Arial" w:cs="Arial" w:eastAsia="Arial" w:hAnsi="Arial"/>
          <w:sz w:val="18"/>
          <w:szCs w:val="18"/>
          <w:color w:val="auto"/>
        </w:rPr>
      </w:pPr>
    </w:p>
    <w:p>
      <w:pPr>
        <w:ind w:left="440" w:hanging="39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Lizzul joined the company in July 2020.</w:t>
      </w:r>
    </w:p>
    <w:p>
      <w:pPr>
        <w:spacing w:after="0" w:line="63" w:lineRule="exact"/>
        <w:rPr>
          <w:rFonts w:ascii="Arial" w:cs="Arial" w:eastAsia="Arial" w:hAnsi="Arial"/>
          <w:sz w:val="18"/>
          <w:szCs w:val="18"/>
          <w:color w:val="auto"/>
        </w:rPr>
      </w:pPr>
    </w:p>
    <w:p>
      <w:pPr>
        <w:ind w:left="420" w:right="160" w:hanging="372"/>
        <w:spacing w:after="0" w:line="277" w:lineRule="auto"/>
        <w:tabs>
          <w:tab w:leader="none" w:pos="4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a sign-on bonus of $100,000 paid to Dr. Lizzul upon joining the company and 401(k) matching contributions and group term life insurance premiums paid by us on behalf of Dr. Lizzul.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31" w:right="3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each of the Named Executive Officers, information regarding outstanding stock options held as of December 31,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9"/>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85"/>
              </w:rPr>
              <w:t>Securities</w:t>
            </w:r>
          </w:p>
        </w:tc>
        <w:tc>
          <w:tcPr>
            <w:tcW w:w="160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85"/>
              </w:rPr>
              <w:t>Securities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1"/>
              </w:rPr>
              <w:t>Underlying</w:t>
            </w:r>
          </w:p>
        </w:tc>
        <w:tc>
          <w:tcPr>
            <w:tcW w:w="160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1"/>
              </w:rPr>
              <w:t>Underlying</w:t>
            </w:r>
          </w:p>
        </w:tc>
        <w:tc>
          <w:tcPr>
            <w:tcW w:w="140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3"/>
              </w:rPr>
              <w:t>Option</w:t>
            </w:r>
          </w:p>
        </w:tc>
        <w:tc>
          <w:tcPr>
            <w:tcW w:w="1520" w:type="dxa"/>
            <w:vAlign w:val="bottom"/>
          </w:tcPr>
          <w:p>
            <w:pPr>
              <w:spacing w:after="0"/>
              <w:rPr>
                <w:sz w:val="16"/>
                <w:szCs w:val="16"/>
                <w:color w:val="auto"/>
              </w:rPr>
            </w:pPr>
          </w:p>
        </w:tc>
      </w:tr>
      <w:tr>
        <w:trPr>
          <w:trHeight w:val="203"/>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87"/>
              </w:rPr>
              <w:t>Unexercised</w:t>
            </w:r>
          </w:p>
        </w:tc>
        <w:tc>
          <w:tcPr>
            <w:tcW w:w="16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87"/>
              </w:rPr>
              <w:t>Unexercised</w:t>
            </w:r>
          </w:p>
        </w:tc>
        <w:tc>
          <w:tcPr>
            <w:tcW w:w="14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89"/>
              </w:rPr>
              <w:t>Exercise</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Option</w:t>
            </w:r>
          </w:p>
        </w:tc>
      </w:tr>
      <w:tr>
        <w:trPr>
          <w:trHeight w:val="189"/>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0"/>
              </w:rPr>
              <w:t>Options (#)</w:t>
            </w:r>
          </w:p>
        </w:tc>
        <w:tc>
          <w:tcPr>
            <w:tcW w:w="160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0"/>
              </w:rPr>
              <w:t>Options (#)</w:t>
            </w:r>
          </w:p>
        </w:tc>
        <w:tc>
          <w:tcPr>
            <w:tcW w:w="14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0"/>
              </w:rPr>
              <w:t>Price</w:t>
            </w: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Expiration</w:t>
            </w:r>
          </w:p>
        </w:tc>
      </w:tr>
      <w:tr>
        <w:trPr>
          <w:trHeight w:val="234"/>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92"/>
              </w:rPr>
              <w:t>Grant Date</w:t>
            </w:r>
            <w:r>
              <w:rPr>
                <w:rFonts w:ascii="Arial" w:cs="Arial" w:eastAsia="Arial" w:hAnsi="Arial"/>
                <w:sz w:val="23"/>
                <w:szCs w:val="23"/>
                <w:b w:val="1"/>
                <w:bCs w:val="1"/>
                <w:color w:val="auto"/>
                <w:w w:val="92"/>
                <w:vertAlign w:val="superscript"/>
              </w:rPr>
              <w:t>(1)</w:t>
            </w:r>
          </w:p>
        </w:tc>
        <w:tc>
          <w:tcPr>
            <w:tcW w:w="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37"/>
        </w:trPr>
        <w:tc>
          <w:tcPr>
            <w:tcW w:w="3500" w:type="dxa"/>
            <w:vAlign w:val="bottom"/>
            <w:gridSpan w:val="2"/>
          </w:tcPr>
          <w:p>
            <w:pPr>
              <w:ind w:left="20"/>
              <w:spacing w:after="0" w:line="236" w:lineRule="exact"/>
              <w:rPr>
                <w:sz w:val="20"/>
                <w:szCs w:val="20"/>
                <w:color w:val="auto"/>
              </w:rPr>
            </w:pPr>
            <w:r>
              <w:rPr>
                <w:rFonts w:ascii="Arial" w:cs="Arial" w:eastAsia="Arial" w:hAnsi="Arial"/>
                <w:sz w:val="18"/>
                <w:szCs w:val="18"/>
                <w:color w:val="auto"/>
              </w:rPr>
              <w:t>Hamza Suria, M.B.A.</w:t>
            </w:r>
            <w:r>
              <w:rPr>
                <w:rFonts w:ascii="Arial" w:cs="Arial" w:eastAsia="Arial" w:hAnsi="Arial"/>
                <w:sz w:val="23"/>
                <w:szCs w:val="23"/>
                <w:color w:val="auto"/>
                <w:vertAlign w:val="superscript"/>
              </w:rPr>
              <w:t>(2)</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Dec. 9, 2011</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40,361</w:t>
            </w:r>
          </w:p>
        </w:tc>
        <w:tc>
          <w:tcPr>
            <w:tcW w:w="140" w:type="dxa"/>
            <w:vAlign w:val="bottom"/>
          </w:tcPr>
          <w:p>
            <w:pPr>
              <w:spacing w:after="0"/>
              <w:rPr>
                <w:sz w:val="20"/>
                <w:szCs w:val="20"/>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1.12</w:t>
            </w: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Dec. 8, 2021</w:t>
            </w:r>
          </w:p>
        </w:tc>
      </w:tr>
      <w:tr>
        <w:trPr>
          <w:trHeight w:val="229"/>
        </w:trPr>
        <w:tc>
          <w:tcPr>
            <w:tcW w:w="3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Feb. 1, 2012</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15,993</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31, 2022</w:t>
            </w:r>
          </w:p>
        </w:tc>
      </w:tr>
      <w:tr>
        <w:trPr>
          <w:trHeight w:val="229"/>
        </w:trPr>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Feb. 1, 2012</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73,291</w:t>
            </w:r>
          </w:p>
        </w:tc>
        <w:tc>
          <w:tcPr>
            <w:tcW w:w="140" w:type="dxa"/>
            <w:vAlign w:val="bottom"/>
          </w:tcPr>
          <w:p>
            <w:pPr>
              <w:spacing w:after="0"/>
              <w:rPr>
                <w:sz w:val="19"/>
                <w:szCs w:val="19"/>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1.12</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Jan. 31, 2022</w:t>
            </w:r>
          </w:p>
        </w:tc>
      </w:tr>
      <w:tr>
        <w:trPr>
          <w:trHeight w:val="230"/>
        </w:trPr>
        <w:tc>
          <w:tcPr>
            <w:tcW w:w="3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Dec. 17, 2012</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19,425</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0.91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 16, 2022</w:t>
            </w:r>
          </w:p>
        </w:tc>
      </w:tr>
      <w:tr>
        <w:trPr>
          <w:trHeight w:val="229"/>
        </w:trPr>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Sep. 16, 2014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51,840</w:t>
            </w:r>
          </w:p>
        </w:tc>
        <w:tc>
          <w:tcPr>
            <w:tcW w:w="140" w:type="dxa"/>
            <w:vAlign w:val="bottom"/>
          </w:tcPr>
          <w:p>
            <w:pPr>
              <w:spacing w:after="0"/>
              <w:rPr>
                <w:sz w:val="19"/>
                <w:szCs w:val="19"/>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0.70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Sep. 16, 2024</w:t>
            </w:r>
          </w:p>
        </w:tc>
      </w:tr>
      <w:tr>
        <w:trPr>
          <w:trHeight w:val="230"/>
        </w:trPr>
        <w:tc>
          <w:tcPr>
            <w:tcW w:w="3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Aug. 14, 2015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265,928</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6.93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14, 2025</w:t>
            </w:r>
          </w:p>
        </w:tc>
      </w:tr>
      <w:tr>
        <w:trPr>
          <w:trHeight w:val="229"/>
        </w:trPr>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Feb. 24, 2017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215,625</w:t>
            </w:r>
          </w:p>
        </w:tc>
        <w:tc>
          <w:tcPr>
            <w:tcW w:w="1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9,375</w:t>
            </w: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24.60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 24, 2027</w:t>
            </w:r>
          </w:p>
        </w:tc>
      </w:tr>
      <w:tr>
        <w:trPr>
          <w:trHeight w:val="229"/>
        </w:trPr>
        <w:tc>
          <w:tcPr>
            <w:tcW w:w="3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Jan. 26, 2018</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45,938</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17,062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106.84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 26, 2028</w:t>
            </w:r>
          </w:p>
        </w:tc>
      </w:tr>
      <w:tr>
        <w:trPr>
          <w:trHeight w:val="230"/>
        </w:trPr>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Feb. 8, 2019</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43,083</w:t>
            </w:r>
          </w:p>
        </w:tc>
        <w:tc>
          <w:tcPr>
            <w:tcW w:w="1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50,917</w:t>
            </w: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68.89</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Feb. 7, 2029</w:t>
            </w:r>
          </w:p>
        </w:tc>
      </w:tr>
      <w:tr>
        <w:trPr>
          <w:trHeight w:val="229"/>
        </w:trPr>
        <w:tc>
          <w:tcPr>
            <w:tcW w:w="3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Dec. 13, 2019</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70,000</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210,000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14.02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 12, 2029</w:t>
            </w:r>
          </w:p>
        </w:tc>
      </w:tr>
      <w:tr>
        <w:trPr>
          <w:trHeight w:val="229"/>
        </w:trPr>
        <w:tc>
          <w:tcPr>
            <w:tcW w:w="3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Dennis Mulroy</w:t>
            </w:r>
            <w:r>
              <w:rPr>
                <w:rFonts w:ascii="Arial" w:cs="Arial" w:eastAsia="Arial" w:hAnsi="Arial"/>
                <w:sz w:val="23"/>
                <w:szCs w:val="23"/>
                <w:color w:val="auto"/>
                <w:vertAlign w:val="superscript"/>
              </w:rPr>
              <w:t>(3)</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July 13, 2020</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90,600</w:t>
            </w: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20.16</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July 12, 2030</w:t>
            </w: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Paul Lizzul</w:t>
            </w:r>
            <w:r>
              <w:rPr>
                <w:rFonts w:ascii="Arial" w:cs="Arial" w:eastAsia="Arial" w:hAnsi="Arial"/>
                <w:sz w:val="23"/>
                <w:szCs w:val="23"/>
                <w:color w:val="auto"/>
                <w:vertAlign w:val="superscript"/>
              </w:rPr>
              <w:t>(4)</w:t>
            </w: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July 30, 2020</w:t>
            </w:r>
          </w:p>
        </w:tc>
        <w:tc>
          <w:tcPr>
            <w:tcW w:w="1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90,000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29, 2030</w:t>
            </w:r>
          </w:p>
        </w:tc>
      </w:tr>
    </w:tbl>
    <w:p>
      <w:pPr>
        <w:spacing w:after="0" w:line="188" w:lineRule="exact"/>
        <w:rPr>
          <w:sz w:val="20"/>
          <w:szCs w:val="20"/>
          <w:color w:val="auto"/>
        </w:rPr>
      </w:pPr>
    </w:p>
    <w:p>
      <w:pPr>
        <w:ind w:left="420" w:right="20" w:hanging="412"/>
        <w:spacing w:after="0" w:line="295" w:lineRule="auto"/>
        <w:tabs>
          <w:tab w:leader="none" w:pos="3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stock-option awards granted prior to our IPO in January 2017 were granted under our Amended and Restated 2006 Equity Incentive Plan, and all stock-option awards granted subsequent to our IPO were granted under our 2017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spacing w:after="0" w:line="3" w:lineRule="exact"/>
        <w:rPr>
          <w:rFonts w:ascii="Arial" w:cs="Arial" w:eastAsia="Arial" w:hAnsi="Arial"/>
          <w:sz w:val="16"/>
          <w:szCs w:val="16"/>
          <w:color w:val="auto"/>
        </w:rPr>
      </w:pPr>
    </w:p>
    <w:p>
      <w:pPr>
        <w:ind w:left="420" w:hanging="412"/>
        <w:spacing w:after="0" w:line="269" w:lineRule="auto"/>
        <w:tabs>
          <w:tab w:leader="none" w:pos="4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options vested as to their underlying shares as follows: (i) the shares underlying the options granted on December 9, 2011, February 1, 2012, December 17, 2012, September 16, 2014 and August 14, 2015, have fully vested; (ii) of the 225,000 shares underlying the option granted on February 24, 2017, 1/4 vested on February 24, 2018, and 1/48 vest on the twenty-fourth day of each succeeding calendar month, starting March 24, 2018; (iii) of the 63,000 shares underlying the option granted on January 26, 2018, 1/4 vested on January 26, 2019, and 1/48 vest on the twenty-sixth day of each succeeding calendar month, starting February 26, 2019; (iv) of the 94,000 shares underlying the option granted on February 8, 2019, 1/4 vest on February 8, 2020, and 1/48 vest on the eighth day of each succeeding calendar month, starting March 8, 2020; and (v) of the 280,000 shares underlying the option granted on December 13, 2019, 1/4 vest on December 13, 2020, and 1/48 vest on the thirteenth day of each succeeding calendar month, starting January 13, 2021. If we experience a change of control and Mr. Suria is terminated without “cause” or resigns for “good reason” (each as defined in the employment agreement) upon the occurrence of, or within 13 months following, such change of control, and provided that Mr. Suria delivers a signed settlement and general release in favor of us and satisfies all conditions to make such release effective, then each of Mr. Suria’s then currently outstanding stock options will vest in full.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39" w:right="339" w:bottom="1440" w:gutter="0" w:footer="0" w:header="0"/>
        </w:sectPr>
      </w:pPr>
    </w:p>
    <w:bookmarkStart w:id="28" w:name="page29"/>
    <w:bookmarkEnd w:id="28"/>
    <w:p>
      <w:pPr>
        <w:ind w:left="420" w:right="60" w:hanging="412"/>
        <w:spacing w:after="0" w:line="259" w:lineRule="auto"/>
        <w:tabs>
          <w:tab w:leader="none" w:pos="44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90,600 shares underlying the option granted on July 13, 2020, 1/4 vest on July 13, 2021, and 1/48 vest on the thirteenth day of each succeeding calendar month, starting August 13, 2021. If we experience a change in control and Mr. Mulroy is terminated without “cause” or resigns for “good reason” (each as defined in the Mulroy Employment Agreement) upon the occurrence of, or within 13 months following, such change of control, and provided that Mr. Mulroy delivers a signed settlement and general release in favor of us and satisfies all conditions to make such release effective, then each of Mr. Mulroy’s then currently outstanding stock options will vest in full.</w:t>
      </w:r>
    </w:p>
    <w:p>
      <w:pPr>
        <w:spacing w:after="0" w:line="200" w:lineRule="exact"/>
        <w:rPr>
          <w:rFonts w:ascii="Arial" w:cs="Arial" w:eastAsia="Arial" w:hAnsi="Arial"/>
          <w:sz w:val="17"/>
          <w:szCs w:val="17"/>
          <w:color w:val="auto"/>
        </w:rPr>
      </w:pPr>
    </w:p>
    <w:p>
      <w:pPr>
        <w:ind w:left="420" w:right="40" w:hanging="412"/>
        <w:spacing w:after="0" w:line="241" w:lineRule="auto"/>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90,000 shares underlying the option granted on July 30, 2020, 1/4 vest on July 30, 2021, and 1/48 vest on the thirtieth day of each succeeding calendar month, starting August 30, 2021. If we experience a change in control and Dr. Lizzul is terminated without “cause” or resigns for “good reason” (each as defined in the Lizzul Employment Agreement) upon the occurrence of, or within 13 months following, such change of control, and provided that Dr. Lizzul delivers a signed settlement and general release in favor of us and satisfies all conditions to make such release effective, then each of Dr. Lizzul’s then currently outstanding stock options will vest in full.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terms and conditions of employment of each of Mr. Suria, Mr. Mulroy and Dr. Lizzul are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Suria’s Employment Agreement</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an employment agreement effective as of January 26, 2018, or the Suria Employment Agreement, Mr. Suria serves as our President and Chief Executive Officer. The Suria Employment Agreement sets forth the principal terms and conditions of his employment, including his annual base salary, subject to periodic review and an annual target cash bonus opportunity of up to 55% of his base salary, which bonus is earned based on our achievement of specified performance goals established by our board of directors, the achievement of which is evaluated by our board of directors. Mr. Suria’s employment is at will and may be terminated at any time, with or without cause. However, pursuant to the terms of the Suria Employment Agreement, Mr. Suria will be entitled to severance benefits upon a qualifying termination of employment as described in “—Potential Payments upon Termination or Change in Control” below.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Mulroy's Employment Agreement</w:t>
      </w:r>
    </w:p>
    <w:p>
      <w:pPr>
        <w:spacing w:after="0" w:line="27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Pursuant to an employment agreement effective as of July 15, 2020, or the Mulroy Employment Agreement, Mr. Mulroy serves as our Chief Financial Officer. The Mulroy Employment Agreement sets forth the principal terms and conditions of his employment, including his annual base salary, subject to periodic review and an annual target cash bonus opportunity of up to 40% of his base salary, which bonus is earned based on our achievement of performance goals established by our chief executive officer, the achievement of which is evaluated by our chief executive officer and board of directors. Mr. Mulroy’s employment is at will and may be terminated at any time, with or without cause. However, pursuant to the terms of the Mulroy Employment Agreement, Mr. Mulroy will be entitled to severance benefits upon a qualifying termination of employment as described in “—Potential Payments upon Termination or Change in Control”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Lizzul's Employment Agreement</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an employment agreement effective as of July 31, 2020, or the Lizzul Employment Agreement, Dr. Lizzul serves as our Chief Medical Officer. The Lizzul Employment Agreement set forth the principal terms and conditions of his employment, including his annual base salary, subject to periodic review and an annual target cash bonus opportunity of up to 40% of his base salary, which bonus is earned based on our achievement of performance goals established by our chief executive officer, the achievement of which is evaluated by our chief executive officer and board of directors. Dr. Lizzul’s employment is at will and may be terminated at any time, with or without cause. However, pursuant to the terms of the Lizzul Employment Agreement, Dr. Lizzul will be entitled to severance benefits upon a qualifying termination of employment as described in “—Potential Payments upon Termination or Change in Control”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Pursuant to the Suria Employment Agreement, the Mulroy Employment Agreement and the Lizzul Employment Agreement, in the event that Mr. Suria, Mr. Mulroy or Dr. Lizzul is terminated without “cause” or resigns for “good reason” (each as defined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935" w:right="359" w:bottom="1440" w:gutter="0" w:footer="0" w:header="0"/>
        </w:sectPr>
      </w:pPr>
    </w:p>
    <w:bookmarkStart w:id="29" w:name="page30"/>
    <w:bookmarkEnd w:id="29"/>
    <w:p>
      <w:pPr>
        <w:ind w:right="20"/>
        <w:spacing w:after="0" w:line="255" w:lineRule="auto"/>
        <w:rPr>
          <w:sz w:val="20"/>
          <w:szCs w:val="20"/>
          <w:color w:val="auto"/>
        </w:rPr>
      </w:pPr>
      <w:r>
        <w:rPr>
          <w:rFonts w:ascii="Arial" w:cs="Arial" w:eastAsia="Arial" w:hAnsi="Arial"/>
          <w:sz w:val="18"/>
          <w:szCs w:val="18"/>
          <w:color w:val="auto"/>
        </w:rPr>
        <w:t>in the applicable employment agreement), provided that each delivers a signed settlement and general release in favor of us and satisfies all conditions to make such release effective, (i) in the case of Mr. Suria, he will receive continued severance payments for twelve months, and in the case of Dr. Lizzul and Mr. Mulroy, nine months, and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Suria, and nine months, in the case of Dr. Lizzul and Mr. Mulroy, or such earlier date on which coverage with a new employer is obtained.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of control and Mr. Suria is terminated without “cause” or resigns for “good reason” (each as defined in the Suria Employment Agreement) upon the occurrence of, or within 13 months following, such change of control, and provided that Mr. Suria delivers a signed settlement and general release in favor of us and satisfies all conditions to make such release effective, (i) Mr. Suria will receive the continued severance payments and COBRA premiums described above for eighteen months and (ii) his then-current outstanding stock options will vest in full.</w:t>
      </w: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the Mulroy Employment Agreement, if we experience a change in control and Mr. Mulroy is terminated without “cause” or resigns for “good reason” (each as defined in the Mulroy Employment Agreement) upon the occurrence of, or within 13 months following, such change of control, and provided that Mr. Mulroy delivers a signed settlement and general release in favor of us and satisfies all conditions to make such release effective, (i) Mr. Mulroy will receive the severance payments and COBRA premiums described above for twelve months and (ii) his currently outstanding stock options will vest in full.</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Lizzul Employment Agreement, if we experience a change in control and Dr. Lizzul is terminated without “cause” or resigns for “good reason” (each as defined in the Lizzul Employment Agreement) upon the occurrence of, or within 13 months following, such change of control, and provided that Dr. Lizzul delivers a signed settlement and general release in favor of us and satisfies all conditions to make such release effective, (i) Dr. Lizzul will receive the severance payments and COBRA premiums described above for twelve months and (ii) his currently outstanding stock options will vest in full.</w:t>
      </w:r>
    </w:p>
    <w:p>
      <w:pPr>
        <w:spacing w:after="0" w:line="21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Each employment agreement contains a “better after-tax” provision, which provides that if any of the payments to Mr. Suria, Mr. Mulroy or Dr. Lizzul,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935" w:right="3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3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information as of December 31, 2020 with respect to compensation plans under which shares of our common stock may be issued.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securities</w:t>
            </w:r>
          </w:p>
        </w:tc>
        <w:tc>
          <w:tcPr>
            <w:tcW w:w="1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for future issuance under</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166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exercise</w:t>
            </w: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of outstanding</w:t>
            </w: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of outstanding</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35"/>
        </w:trPr>
        <w:tc>
          <w:tcPr>
            <w:tcW w:w="5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88"/>
        </w:trPr>
        <w:tc>
          <w:tcPr>
            <w:tcW w:w="57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and rights(#)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and rights($)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column(a)) (#)</w:t>
            </w:r>
          </w:p>
        </w:tc>
        <w:tc>
          <w:tcPr>
            <w:tcW w:w="0" w:type="dxa"/>
            <w:vAlign w:val="bottom"/>
          </w:tcPr>
          <w:p>
            <w:pPr>
              <w:spacing w:after="0"/>
              <w:rPr>
                <w:sz w:val="1"/>
                <w:szCs w:val="1"/>
                <w:color w:val="auto"/>
              </w:rPr>
            </w:pPr>
          </w:p>
        </w:tc>
      </w:tr>
      <w:tr>
        <w:trPr>
          <w:trHeight w:val="183"/>
        </w:trPr>
        <w:tc>
          <w:tcPr>
            <w:tcW w:w="5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5"/>
                <w:szCs w:val="15"/>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31"/>
        </w:trPr>
        <w:tc>
          <w:tcPr>
            <w:tcW w:w="5740" w:type="dxa"/>
            <w:vAlign w:val="bottom"/>
            <w:gridSpan w:val="2"/>
            <w:shd w:val="clear" w:color="auto" w:fill="CCEEFF"/>
          </w:tcPr>
          <w:p>
            <w:pPr>
              <w:ind w:left="60"/>
              <w:spacing w:after="0" w:line="231"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3"/>
                <w:szCs w:val="23"/>
                <w:color w:val="auto"/>
                <w:vertAlign w:val="superscript"/>
              </w:rPr>
              <w:t>(1)(2)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2,920,700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3,983,783</w:t>
            </w:r>
          </w:p>
        </w:tc>
        <w:tc>
          <w:tcPr>
            <w:tcW w:w="0" w:type="dxa"/>
            <w:vAlign w:val="bottom"/>
          </w:tcPr>
          <w:p>
            <w:pPr>
              <w:spacing w:after="0"/>
              <w:rPr>
                <w:sz w:val="1"/>
                <w:szCs w:val="1"/>
                <w:color w:val="auto"/>
              </w:rPr>
            </w:pPr>
          </w:p>
        </w:tc>
      </w:tr>
      <w:tr>
        <w:trPr>
          <w:trHeight w:val="229"/>
        </w:trPr>
        <w:tc>
          <w:tcPr>
            <w:tcW w:w="5740" w:type="dxa"/>
            <w:vAlign w:val="bottom"/>
            <w:gridSpan w:val="2"/>
          </w:tcPr>
          <w:p>
            <w:pPr>
              <w:ind w:left="60"/>
              <w:spacing w:after="0"/>
              <w:rPr>
                <w:sz w:val="20"/>
                <w:szCs w:val="20"/>
                <w:color w:val="auto"/>
              </w:rPr>
            </w:pPr>
            <w:r>
              <w:rPr>
                <w:rFonts w:ascii="Arial" w:cs="Arial" w:eastAsia="Arial" w:hAnsi="Arial"/>
                <w:sz w:val="18"/>
                <w:szCs w:val="18"/>
                <w:color w:val="auto"/>
              </w:rPr>
              <w:t>Equity compensation plans not approved by security holders</w:t>
            </w: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2,920,700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3,983,783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our 2006 Equity Incentive Plan, 2017 Equity Incentive Plan and our 2017 Employee Stock Purchase Plan.</w:t>
      </w:r>
    </w:p>
    <w:p>
      <w:pPr>
        <w:spacing w:after="0" w:line="63" w:lineRule="exact"/>
        <w:rPr>
          <w:rFonts w:ascii="Arial" w:cs="Arial" w:eastAsia="Arial" w:hAnsi="Arial"/>
          <w:sz w:val="18"/>
          <w:szCs w:val="18"/>
          <w:color w:val="auto"/>
        </w:rPr>
      </w:pPr>
    </w:p>
    <w:p>
      <w:pPr>
        <w:ind w:left="420" w:hanging="412"/>
        <w:spacing w:after="0" w:line="269" w:lineRule="auto"/>
        <w:tabs>
          <w:tab w:leader="none" w:pos="4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have ceased issuing awards under our Amended and Restated 2006 Equity Incentive Plan as of the effective date of our 2017 Equity Incentive Plan. Any shares of common stock that are subject to outstanding awards under the 2006 Equity Incentive Plan that are issuable upon the exercise of stock options that expire or become unexercisable for any reason without having been exercised in full will generally be available for future grant and issuance under our 2017 Equity Incentive Plan. In addition, the number of shares reserved for issuance under our 2017 Equity Incentive Plan increased automatically by 4% on January 1, 2021 and will increase automatically on the first day of January of each of 2022 through 2028 by the number of shares equal to 4% of the total outstanding shares of our common stock as of the immediately preceding December 31 or a lower number approved by our board of directors or compensation committee. There are 1,217,237 shares of common stock available for issuance under the 2017 Employee Stock Purchase Plan and will increase automatically on the first day of January of each of 2022 through 2028 by the number of shares equal to 1% of the total outstanding shares of our common stock as of the immediately preceding December 31 or a lower number approved by our board of directors or compensation committee.</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1107"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From January 1, 2020 to the present, there have been no transactions, and there are currently no proposed transactions, in which the amount involved exceeds $120,000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One” and “Executive Compensation” above.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$120,000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107" w:right="359" w:bottom="1440" w:gutter="0" w:footer="0" w:header="0"/>
        </w:sectPr>
      </w:pPr>
    </w:p>
    <w:bookmarkStart w:id="32" w:name="page33"/>
    <w:bookmarkEnd w:id="32"/>
    <w:p>
      <w:pPr>
        <w:ind w:left="436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to be presented at Next Annual Meeting</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 xml:space="preserve">Requirements for Stockholder Proposals to be Brought Before an Annual Meeting. </w:t>
      </w:r>
      <w:r>
        <w:rPr>
          <w:rFonts w:ascii="Arial" w:cs="Arial" w:eastAsia="Arial" w:hAnsi="Arial"/>
          <w:sz w:val="18"/>
          <w:szCs w:val="18"/>
          <w:color w:val="auto"/>
        </w:rPr>
        <w:t>Our bylaws provide that for stockholder nominations to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other proposals to be considered at an annual meeting, the stockholder must give timely notice thereof in writing to the Corporate Secretary at AnaptysBio, Inc., 10770 Wateridge Circle, Suite 210, San Diego, CA 92121.</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be timely for our company’s 2022 annual meeting of stockholders, a stockholder’s notice must be delivered to or mailed and received by our Corporate Secretary at our principal executive offices not earlier than the close of business on March 4, 2022 and not later than the close of business on April 3, 2022. A stockholder’s notice to the Corporate Secretary must set 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spacing w:after="0" w:line="1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Requirements for Stockholder Proposals to be Considered for Inclusion in our Proxy Materials. </w:t>
      </w:r>
      <w:r>
        <w:rPr>
          <w:rFonts w:ascii="Arial" w:cs="Arial" w:eastAsia="Arial" w:hAnsi="Arial"/>
          <w:sz w:val="16"/>
          <w:szCs w:val="16"/>
          <w:color w:val="auto"/>
        </w:rPr>
        <w:t>Stockholder proposals submitted pursuant to Rule 14a-8</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Exchange Act and intended to be presented at our 2022 annual meeting of stockholders must be received by us not later than December 27, 2021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16 of the Exchange Act requires our directors, executive officers and any persons who own more than 10% of our common stock, to file initial reports of ownership and reports of changes in ownership with the SEC. Such persons are required by SEC regulation to furnish us with copies of all Section 16(a) forms that they file. Based solely on our review of the copies of such forms furnished to us and written representations from the directors and executive officers, we believe that all Section 16(a) filing requirements were timely met in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will mail without charge, upon written request, a copy of our annual report on Form 10-K for the year ended December 31, 2020, including the financial statements and list of exhibits, and any exhibit specifically requested. Requests should be sent to:</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10770 Wateridge Circle, Suite 210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annual report on Form 10-K is also available at http://ir.anaptysbio.com.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 Stockholders Sharing the Same Address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You may revoke your consent at any time by contacting your broker.</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Upon written or oral request, we will undertake to promptly deliver a separate copy of the Notice of Internet Availability and, if applicable, annual report on Form 10-K and other proxy materials to any stockholder at a shared address to which a single copy</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107" w:right="379" w:bottom="1440" w:gutter="0" w:footer="0" w:header="0"/>
        </w:sectPr>
      </w:pPr>
    </w:p>
    <w:bookmarkStart w:id="33" w:name="page34"/>
    <w:bookmarkEnd w:id="33"/>
    <w:p>
      <w:pPr>
        <w:jc w:val="both"/>
        <w:spacing w:after="0" w:line="342" w:lineRule="auto"/>
        <w:rPr>
          <w:sz w:val="20"/>
          <w:szCs w:val="20"/>
          <w:color w:val="auto"/>
        </w:rPr>
      </w:pPr>
      <w:r>
        <w:rPr>
          <w:rFonts w:ascii="Arial" w:cs="Arial" w:eastAsia="Arial" w:hAnsi="Arial"/>
          <w:sz w:val="16"/>
          <w:szCs w:val="16"/>
          <w:color w:val="auto"/>
        </w:rPr>
        <w:t>of any of those documents was delivered. To receive a separate copy of the Notice of Internet Availability and, if applicable, annual report on Form 10-K and other proxy materials, you may write our Corporate Secretary at 10770 Wateridge Circle, Suite 210, San Diego, CA 92121, or call 1 (858) 362-6348.</w:t>
      </w:r>
    </w:p>
    <w:p>
      <w:pPr>
        <w:spacing w:after="0" w:line="12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Any stockholders who share the same address and currently receive multiple copies of our Notice of Internet Availability or annual report on Form 10-K and other proxy materials who wish to receive only one copy in the future can contact their bank, broker or other holder of record to request information about “householding” or our Corporate Secretary at the address or telephone number listed above.</w:t>
      </w: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1111" w:right="53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does not presently intend to bring any other business before the meeting and, so far as is known to the board of directors,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320" w:top="1147" w:right="41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595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95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936625</wp:posOffset>
            </wp:positionH>
            <wp:positionV relativeFrom="page">
              <wp:posOffset>577215</wp:posOffset>
            </wp:positionV>
            <wp:extent cx="5683250" cy="7492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683250" cy="74923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lvl w:ilvl="1">
      <w:lvlJc w:val="left"/>
      <w:lvlText w:val="x"/>
      <w:numFmt w:val="bullet"/>
      <w:start w:val="1"/>
    </w:lvl>
    <w:lvl w:ilvl="2">
      <w:lvlJc w:val="left"/>
      <w:lvlText w:val="%3)"/>
      <w:numFmt w:val="decimal"/>
      <w:start w:val="1"/>
    </w:lvl>
    <w:lvl w:ilvl="3">
      <w:lvlJc w:val="left"/>
      <w:lvlText w:val="%4)"/>
      <w:numFmt w:val="decimal"/>
      <w:start w:val="2"/>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3"/>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2021-04-26T15:29:33Z</dcterms:created>
  <dcterms:modified xsi:type="dcterms:W3CDTF">2021-04-26T15:29:33Z</dcterms:modified>
</cp:coreProperties>
</file>