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3299"/>
        <w:spacing w:after="0" w:line="246" w:lineRule="auto"/>
        <w:rPr>
          <w:sz w:val="20"/>
          <w:szCs w:val="20"/>
          <w:color w:val="auto"/>
        </w:rPr>
      </w:pPr>
      <w:r>
        <w:rPr>
          <w:rFonts w:ascii="Times New Roman" w:cs="Times New Roman" w:eastAsia="Times New Roman" w:hAnsi="Times New Roman"/>
          <w:sz w:val="22"/>
          <w:szCs w:val="22"/>
          <w:b w:val="1"/>
          <w:bCs w:val="1"/>
          <w:color w:val="auto"/>
        </w:rPr>
        <w:t>240.13d-102 Schedule 13G - Information to be included in statements filed pursuant to 240.13d-1(b), (c), and (d) and amendments thereto filed pursuant to 240.13d-2.</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 Washington, D.C. 20549</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Schedule 13G</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(Amendment No. 1)*</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(CUSIP Number)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032724106</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December 31, 2022</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Schedule is filed:</w:t>
      </w:r>
    </w:p>
    <w:p>
      <w:pPr>
        <w:spacing w:after="0" w:line="209" w:lineRule="exact"/>
        <w:rPr>
          <w:sz w:val="24"/>
          <w:szCs w:val="24"/>
          <w:color w:val="auto"/>
        </w:rPr>
      </w:pPr>
    </w:p>
    <w:p>
      <w:pPr>
        <w:ind w:left="180" w:hanging="172"/>
        <w:spacing w:after="0"/>
        <w:tabs>
          <w:tab w:leader="none" w:pos="1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13d-1(b)</w:t>
      </w:r>
    </w:p>
    <w:p>
      <w:pPr>
        <w:spacing w:after="0" w:line="233"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 Rule 13d-1(c)</w:t>
      </w:r>
    </w:p>
    <w:p>
      <w:pPr>
        <w:spacing w:after="0" w:line="233"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13d-1(d)</w:t>
      </w:r>
    </w:p>
    <w:p>
      <w:pPr>
        <w:spacing w:after="0" w:line="233" w:lineRule="exact"/>
        <w:rPr>
          <w:sz w:val="24"/>
          <w:szCs w:val="24"/>
          <w:color w:val="auto"/>
        </w:rPr>
      </w:pPr>
    </w:p>
    <w:p>
      <w:pPr>
        <w:ind w:right="3459"/>
        <w:spacing w:after="0" w:line="239"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3379"/>
        <w:spacing w:after="0" w:line="238"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1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2897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Times New Roman" w:cs="Times New Roman" w:eastAsia="Times New Roman" w:hAnsi="Times New Roman"/>
                <w:sz w:val="22"/>
                <w:szCs w:val="22"/>
                <w:color w:val="auto"/>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Names of reporting persons</w:t>
            </w:r>
          </w:p>
        </w:tc>
        <w:tc>
          <w:tcPr>
            <w:tcW w:w="7680" w:type="dxa"/>
            <w:vAlign w:val="bottom"/>
            <w:tcBorders>
              <w:top w:val="single" w:sz="8" w:color="auto"/>
              <w:bottom w:val="single" w:sz="8" w:color="auto"/>
              <w:right w:val="single" w:sz="8" w:color="auto"/>
            </w:tcBorders>
          </w:tcPr>
          <w:p>
            <w:pPr>
              <w:ind w:left="140"/>
              <w:spacing w:after="0" w:line="250" w:lineRule="exact"/>
              <w:rPr>
                <w:sz w:val="20"/>
                <w:szCs w:val="20"/>
                <w:color w:val="auto"/>
              </w:rPr>
            </w:pPr>
            <w:r>
              <w:rPr>
                <w:rFonts w:ascii="Times New Roman" w:cs="Times New Roman" w:eastAsia="Times New Roman" w:hAnsi="Times New Roman"/>
                <w:sz w:val="22"/>
                <w:szCs w:val="22"/>
                <w:color w:val="auto"/>
              </w:rPr>
              <w:t>Point72 Asset Management, L.P.</w:t>
            </w:r>
          </w:p>
        </w:tc>
        <w:tc>
          <w:tcPr>
            <w:tcW w:w="74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(2)</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74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7680" w:type="dxa"/>
            <w:vAlign w:val="bottom"/>
            <w:tcBorders>
              <w:bottom w:val="single" w:sz="8" w:color="auto"/>
              <w:right w:val="single" w:sz="8" w:color="auto"/>
            </w:tcBorders>
          </w:tcPr>
          <w:p>
            <w:pPr>
              <w:ind w:left="380"/>
              <w:spacing w:after="0" w:line="243" w:lineRule="exact"/>
              <w:rPr>
                <w:sz w:val="20"/>
                <w:szCs w:val="20"/>
                <w:color w:val="auto"/>
              </w:rPr>
            </w:pPr>
            <w:r>
              <w:rPr>
                <w:rFonts w:ascii="Times New Roman" w:cs="Times New Roman" w:eastAsia="Times New Roman" w:hAnsi="Times New Roman"/>
                <w:sz w:val="22"/>
                <w:szCs w:val="22"/>
                <w:color w:val="auto"/>
              </w:rPr>
              <w:t>(see instructions)</w:t>
            </w:r>
          </w:p>
        </w:tc>
        <w:tc>
          <w:tcPr>
            <w:tcW w:w="74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(3)</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SEC use only</w:t>
            </w:r>
          </w:p>
        </w:tc>
        <w:tc>
          <w:tcPr>
            <w:tcW w:w="76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(4)</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Citizenship or place of organization Delaware</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Number of shares beneficially owned by each reporting person with:</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Sole voting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Shared voting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2,124,200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Shared dispositive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2,124,200</w:t>
            </w:r>
          </w:p>
        </w:tc>
        <w:tc>
          <w:tcPr>
            <w:tcW w:w="740" w:type="dxa"/>
            <w:vAlign w:val="bottom"/>
            <w:tcBorders>
              <w:bottom w:val="single" w:sz="8" w:color="auto"/>
            </w:tcBorders>
          </w:tcPr>
          <w:p>
            <w:pPr>
              <w:spacing w:after="0"/>
              <w:rPr>
                <w:sz w:val="21"/>
                <w:szCs w:val="21"/>
                <w:color w:val="auto"/>
              </w:rPr>
            </w:pPr>
          </w:p>
        </w:tc>
      </w:tr>
      <w:tr>
        <w:trPr>
          <w:trHeight w:val="216"/>
        </w:trPr>
        <w:tc>
          <w:tcPr>
            <w:tcW w:w="320" w:type="dxa"/>
            <w:vAlign w:val="bottom"/>
          </w:tcPr>
          <w:p>
            <w:pPr>
              <w:ind w:left="40"/>
              <w:spacing w:after="0" w:line="216" w:lineRule="exact"/>
              <w:rPr>
                <w:sz w:val="20"/>
                <w:szCs w:val="20"/>
                <w:color w:val="auto"/>
              </w:rPr>
            </w:pPr>
            <w:r>
              <w:rPr>
                <w:rFonts w:ascii="Times New Roman" w:cs="Times New Roman" w:eastAsia="Times New Roman" w:hAnsi="Times New Roman"/>
                <w:sz w:val="22"/>
                <w:szCs w:val="22"/>
                <w:color w:val="auto"/>
              </w:rPr>
              <w:t>(9)</w:t>
            </w:r>
          </w:p>
        </w:tc>
        <w:tc>
          <w:tcPr>
            <w:tcW w:w="10180" w:type="dxa"/>
            <w:vAlign w:val="bottom"/>
            <w:tcBorders>
              <w:right w:val="single" w:sz="8" w:color="auto"/>
            </w:tcBorders>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740" w:type="dxa"/>
            <w:vAlign w:val="bottom"/>
          </w:tcPr>
          <w:p>
            <w:pPr>
              <w:spacing w:after="0"/>
              <w:rPr>
                <w:sz w:val="18"/>
                <w:szCs w:val="18"/>
                <w:color w:val="auto"/>
              </w:rPr>
            </w:pPr>
          </w:p>
        </w:tc>
      </w:tr>
      <w:tr>
        <w:trPr>
          <w:trHeight w:val="277"/>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2,124,200</w:t>
            </w:r>
          </w:p>
        </w:tc>
        <w:tc>
          <w:tcPr>
            <w:tcW w:w="76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16"/>
        </w:trPr>
        <w:tc>
          <w:tcPr>
            <w:tcW w:w="10500" w:type="dxa"/>
            <w:vAlign w:val="bottom"/>
            <w:tcBorders>
              <w:right w:val="single" w:sz="8" w:color="auto"/>
            </w:tcBorders>
            <w:gridSpan w:val="3"/>
          </w:tcPr>
          <w:p>
            <w:pPr>
              <w:ind w:left="40"/>
              <w:spacing w:after="0" w:line="216" w:lineRule="exact"/>
              <w:rPr>
                <w:sz w:val="20"/>
                <w:szCs w:val="20"/>
                <w:color w:val="auto"/>
              </w:rPr>
            </w:pPr>
            <w:r>
              <w:rPr>
                <w:rFonts w:ascii="Times New Roman" w:cs="Times New Roman" w:eastAsia="Times New Roman" w:hAnsi="Times New Roman"/>
                <w:sz w:val="22"/>
                <w:szCs w:val="22"/>
                <w:color w:val="auto"/>
              </w:rPr>
              <w:t>(10) Check if the aggregate amount in Row (9) excludes certain shares</w:t>
            </w:r>
          </w:p>
        </w:tc>
        <w:tc>
          <w:tcPr>
            <w:tcW w:w="740" w:type="dxa"/>
            <w:vAlign w:val="bottom"/>
          </w:tcPr>
          <w:p>
            <w:pPr>
              <w:spacing w:after="0"/>
              <w:rPr>
                <w:sz w:val="18"/>
                <w:szCs w:val="18"/>
                <w:color w:val="auto"/>
              </w:rPr>
            </w:pPr>
          </w:p>
        </w:tc>
      </w:tr>
      <w:tr>
        <w:trPr>
          <w:trHeight w:val="277"/>
        </w:trPr>
        <w:tc>
          <w:tcPr>
            <w:tcW w:w="2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(see instructions)</w:t>
            </w:r>
          </w:p>
        </w:tc>
        <w:tc>
          <w:tcPr>
            <w:tcW w:w="76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(11) Percent of class represented by amount in Row (9) 7.5%</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(12) Type of reporting person (see instructions) PN</w:t>
            </w:r>
          </w:p>
        </w:tc>
        <w:tc>
          <w:tcPr>
            <w:tcW w:w="740" w:type="dxa"/>
            <w:vAlign w:val="bottom"/>
            <w:tcBorders>
              <w:bottom w:val="single" w:sz="8" w:color="auto"/>
            </w:tcBorders>
          </w:tcPr>
          <w:p>
            <w:pPr>
              <w:spacing w:after="0"/>
              <w:rPr>
                <w:sz w:val="21"/>
                <w:szCs w:val="21"/>
                <w:color w:val="auto"/>
              </w:rPr>
            </w:pPr>
          </w:p>
        </w:tc>
      </w:tr>
      <w:tr>
        <w:trPr>
          <w:trHeight w:val="439"/>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2897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Times New Roman" w:cs="Times New Roman" w:eastAsia="Times New Roman" w:hAnsi="Times New Roman"/>
                <w:sz w:val="22"/>
                <w:szCs w:val="22"/>
                <w:color w:val="auto"/>
              </w:rPr>
              <w:t>(1)</w:t>
            </w:r>
          </w:p>
        </w:tc>
        <w:tc>
          <w:tcPr>
            <w:tcW w:w="10180" w:type="dxa"/>
            <w:vAlign w:val="bottom"/>
            <w:tcBorders>
              <w:top w:val="single" w:sz="8" w:color="auto"/>
              <w:bottom w:val="single" w:sz="8" w:color="auto"/>
              <w:right w:val="single" w:sz="8" w:color="auto"/>
            </w:tcBorders>
            <w:gridSpan w:val="2"/>
          </w:tcPr>
          <w:p>
            <w:pPr>
              <w:ind w:left="20"/>
              <w:spacing w:after="0" w:line="250" w:lineRule="exact"/>
              <w:rPr>
                <w:sz w:val="20"/>
                <w:szCs w:val="20"/>
                <w:color w:val="auto"/>
              </w:rPr>
            </w:pPr>
            <w:r>
              <w:rPr>
                <w:rFonts w:ascii="Times New Roman" w:cs="Times New Roman" w:eastAsia="Times New Roman" w:hAnsi="Times New Roman"/>
                <w:sz w:val="22"/>
                <w:szCs w:val="22"/>
                <w:color w:val="auto"/>
              </w:rPr>
              <w:t>Names of reporting persons  Point72 Capital Advisors, Inc.</w:t>
            </w:r>
          </w:p>
        </w:tc>
        <w:tc>
          <w:tcPr>
            <w:tcW w:w="74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(2)</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74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7900" w:type="dxa"/>
            <w:vAlign w:val="bottom"/>
            <w:tcBorders>
              <w:bottom w:val="single" w:sz="8" w:color="auto"/>
              <w:right w:val="single" w:sz="8" w:color="auto"/>
            </w:tcBorders>
          </w:tcPr>
          <w:p>
            <w:pPr>
              <w:ind w:left="600"/>
              <w:spacing w:after="0" w:line="243" w:lineRule="exact"/>
              <w:rPr>
                <w:sz w:val="20"/>
                <w:szCs w:val="20"/>
                <w:color w:val="auto"/>
              </w:rPr>
            </w:pPr>
            <w:r>
              <w:rPr>
                <w:rFonts w:ascii="Times New Roman" w:cs="Times New Roman" w:eastAsia="Times New Roman" w:hAnsi="Times New Roman"/>
                <w:sz w:val="22"/>
                <w:szCs w:val="22"/>
                <w:color w:val="auto"/>
              </w:rPr>
              <w:t>(see instructions)</w:t>
            </w:r>
          </w:p>
        </w:tc>
        <w:tc>
          <w:tcPr>
            <w:tcW w:w="74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(3)</w:t>
            </w:r>
          </w:p>
        </w:tc>
        <w:tc>
          <w:tcPr>
            <w:tcW w:w="228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SEC use only</w:t>
            </w:r>
          </w:p>
        </w:tc>
        <w:tc>
          <w:tcPr>
            <w:tcW w:w="790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(4)</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Citizenship or place of organization Delaware</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Number of shares beneficially owned by each reporting person with:</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28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Sole voting power</w:t>
            </w:r>
          </w:p>
        </w:tc>
        <w:tc>
          <w:tcPr>
            <w:tcW w:w="7900" w:type="dxa"/>
            <w:vAlign w:val="bottom"/>
            <w:tcBorders>
              <w:bottom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228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Shared voting power</w:t>
            </w:r>
          </w:p>
        </w:tc>
        <w:tc>
          <w:tcPr>
            <w:tcW w:w="7900" w:type="dxa"/>
            <w:vAlign w:val="bottom"/>
            <w:tcBorders>
              <w:bottom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2,124,200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28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7900" w:type="dxa"/>
            <w:vAlign w:val="bottom"/>
            <w:tcBorders>
              <w:bottom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228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Shared dispositive power</w:t>
            </w:r>
          </w:p>
        </w:tc>
        <w:tc>
          <w:tcPr>
            <w:tcW w:w="7900" w:type="dxa"/>
            <w:vAlign w:val="bottom"/>
            <w:tcBorders>
              <w:bottom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2,124,200</w:t>
            </w:r>
          </w:p>
        </w:tc>
        <w:tc>
          <w:tcPr>
            <w:tcW w:w="740" w:type="dxa"/>
            <w:vAlign w:val="bottom"/>
            <w:tcBorders>
              <w:bottom w:val="single" w:sz="8" w:color="auto"/>
            </w:tcBorders>
          </w:tcPr>
          <w:p>
            <w:pPr>
              <w:spacing w:after="0"/>
              <w:rPr>
                <w:sz w:val="21"/>
                <w:szCs w:val="21"/>
                <w:color w:val="auto"/>
              </w:rPr>
            </w:pPr>
          </w:p>
        </w:tc>
      </w:tr>
      <w:tr>
        <w:trPr>
          <w:trHeight w:val="216"/>
        </w:trPr>
        <w:tc>
          <w:tcPr>
            <w:tcW w:w="320" w:type="dxa"/>
            <w:vAlign w:val="bottom"/>
          </w:tcPr>
          <w:p>
            <w:pPr>
              <w:ind w:left="40"/>
              <w:spacing w:after="0" w:line="216" w:lineRule="exact"/>
              <w:rPr>
                <w:sz w:val="20"/>
                <w:szCs w:val="20"/>
                <w:color w:val="auto"/>
              </w:rPr>
            </w:pPr>
            <w:r>
              <w:rPr>
                <w:rFonts w:ascii="Times New Roman" w:cs="Times New Roman" w:eastAsia="Times New Roman" w:hAnsi="Times New Roman"/>
                <w:sz w:val="22"/>
                <w:szCs w:val="22"/>
                <w:color w:val="auto"/>
              </w:rPr>
              <w:t>(9)</w:t>
            </w:r>
          </w:p>
        </w:tc>
        <w:tc>
          <w:tcPr>
            <w:tcW w:w="10180" w:type="dxa"/>
            <w:vAlign w:val="bottom"/>
            <w:tcBorders>
              <w:right w:val="single" w:sz="8" w:color="auto"/>
            </w:tcBorders>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740" w:type="dxa"/>
            <w:vAlign w:val="bottom"/>
          </w:tcPr>
          <w:p>
            <w:pPr>
              <w:spacing w:after="0"/>
              <w:rPr>
                <w:sz w:val="18"/>
                <w:szCs w:val="18"/>
                <w:color w:val="auto"/>
              </w:rPr>
            </w:pPr>
          </w:p>
        </w:tc>
      </w:tr>
      <w:tr>
        <w:trPr>
          <w:trHeight w:val="277"/>
        </w:trPr>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2,124,200</w:t>
            </w:r>
          </w:p>
        </w:tc>
        <w:tc>
          <w:tcPr>
            <w:tcW w:w="79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16"/>
        </w:trPr>
        <w:tc>
          <w:tcPr>
            <w:tcW w:w="10500" w:type="dxa"/>
            <w:vAlign w:val="bottom"/>
            <w:tcBorders>
              <w:right w:val="single" w:sz="8" w:color="auto"/>
            </w:tcBorders>
            <w:gridSpan w:val="3"/>
          </w:tcPr>
          <w:p>
            <w:pPr>
              <w:ind w:left="40"/>
              <w:spacing w:after="0" w:line="216" w:lineRule="exact"/>
              <w:rPr>
                <w:sz w:val="20"/>
                <w:szCs w:val="20"/>
                <w:color w:val="auto"/>
              </w:rPr>
            </w:pPr>
            <w:r>
              <w:rPr>
                <w:rFonts w:ascii="Times New Roman" w:cs="Times New Roman" w:eastAsia="Times New Roman" w:hAnsi="Times New Roman"/>
                <w:sz w:val="22"/>
                <w:szCs w:val="22"/>
                <w:color w:val="auto"/>
              </w:rPr>
              <w:t>(10) Check if the aggregate amount in Row (9) excludes certain shares</w:t>
            </w:r>
          </w:p>
        </w:tc>
        <w:tc>
          <w:tcPr>
            <w:tcW w:w="740" w:type="dxa"/>
            <w:vAlign w:val="bottom"/>
          </w:tcPr>
          <w:p>
            <w:pPr>
              <w:spacing w:after="0"/>
              <w:rPr>
                <w:sz w:val="18"/>
                <w:szCs w:val="18"/>
                <w:color w:val="auto"/>
              </w:rPr>
            </w:pPr>
          </w:p>
        </w:tc>
      </w:tr>
      <w:tr>
        <w:trPr>
          <w:trHeight w:val="277"/>
        </w:trPr>
        <w:tc>
          <w:tcPr>
            <w:tcW w:w="2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(see instructions)</w:t>
            </w:r>
          </w:p>
        </w:tc>
        <w:tc>
          <w:tcPr>
            <w:tcW w:w="79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(11) Percent of class represented by amount in Row (9) 7.5%</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(12) Type of reporting person (see instructions) CO</w:t>
            </w:r>
          </w:p>
        </w:tc>
        <w:tc>
          <w:tcPr>
            <w:tcW w:w="740" w:type="dxa"/>
            <w:vAlign w:val="bottom"/>
            <w:tcBorders>
              <w:bottom w:val="single" w:sz="8" w:color="auto"/>
            </w:tcBorders>
          </w:tcPr>
          <w:p>
            <w:pPr>
              <w:spacing w:after="0"/>
              <w:rPr>
                <w:sz w:val="21"/>
                <w:szCs w:val="21"/>
                <w:color w:val="auto"/>
              </w:rPr>
            </w:pPr>
          </w:p>
        </w:tc>
      </w:tr>
      <w:tr>
        <w:trPr>
          <w:trHeight w:val="439"/>
        </w:trPr>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2897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Times New Roman" w:cs="Times New Roman" w:eastAsia="Times New Roman" w:hAnsi="Times New Roman"/>
                <w:sz w:val="22"/>
                <w:szCs w:val="22"/>
                <w:color w:val="auto"/>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Names of reporting persons</w:t>
            </w:r>
          </w:p>
        </w:tc>
        <w:tc>
          <w:tcPr>
            <w:tcW w:w="7680" w:type="dxa"/>
            <w:vAlign w:val="bottom"/>
            <w:tcBorders>
              <w:top w:val="single" w:sz="8" w:color="auto"/>
              <w:bottom w:val="single" w:sz="8" w:color="auto"/>
              <w:right w:val="single" w:sz="8" w:color="auto"/>
            </w:tcBorders>
          </w:tcPr>
          <w:p>
            <w:pPr>
              <w:ind w:left="140"/>
              <w:spacing w:after="0" w:line="250" w:lineRule="exact"/>
              <w:rPr>
                <w:sz w:val="20"/>
                <w:szCs w:val="20"/>
                <w:color w:val="auto"/>
              </w:rPr>
            </w:pPr>
            <w:r>
              <w:rPr>
                <w:rFonts w:ascii="Times New Roman" w:cs="Times New Roman" w:eastAsia="Times New Roman" w:hAnsi="Times New Roman"/>
                <w:sz w:val="22"/>
                <w:szCs w:val="22"/>
                <w:color w:val="auto"/>
              </w:rPr>
              <w:t>Steven A. Cohen</w:t>
            </w:r>
          </w:p>
        </w:tc>
        <w:tc>
          <w:tcPr>
            <w:tcW w:w="74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(2)</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74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7680" w:type="dxa"/>
            <w:vAlign w:val="bottom"/>
            <w:tcBorders>
              <w:bottom w:val="single" w:sz="8" w:color="auto"/>
              <w:right w:val="single" w:sz="8" w:color="auto"/>
            </w:tcBorders>
          </w:tcPr>
          <w:p>
            <w:pPr>
              <w:ind w:left="380"/>
              <w:spacing w:after="0" w:line="243" w:lineRule="exact"/>
              <w:rPr>
                <w:sz w:val="20"/>
                <w:szCs w:val="20"/>
                <w:color w:val="auto"/>
              </w:rPr>
            </w:pPr>
            <w:r>
              <w:rPr>
                <w:rFonts w:ascii="Times New Roman" w:cs="Times New Roman" w:eastAsia="Times New Roman" w:hAnsi="Times New Roman"/>
                <w:sz w:val="22"/>
                <w:szCs w:val="22"/>
                <w:color w:val="auto"/>
              </w:rPr>
              <w:t>(see instructions)</w:t>
            </w:r>
          </w:p>
        </w:tc>
        <w:tc>
          <w:tcPr>
            <w:tcW w:w="740" w:type="dxa"/>
            <w:vAlign w:val="bottom"/>
            <w:tcBorders>
              <w:bottom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(3)</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SEC use only</w:t>
            </w:r>
          </w:p>
        </w:tc>
        <w:tc>
          <w:tcPr>
            <w:tcW w:w="76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(4)</w:t>
            </w:r>
          </w:p>
        </w:tc>
        <w:tc>
          <w:tcPr>
            <w:tcW w:w="10180" w:type="dxa"/>
            <w:vAlign w:val="bottom"/>
            <w:tcBorders>
              <w:bottom w:val="single" w:sz="8" w:color="auto"/>
              <w:right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Citizenship or place of organization United States</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Number of shares beneficially owned by each reporting person with:</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Sole voting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Shared voting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2,124,200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74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Shared dispositive power</w:t>
            </w:r>
          </w:p>
        </w:tc>
        <w:tc>
          <w:tcPr>
            <w:tcW w:w="7680" w:type="dxa"/>
            <w:vAlign w:val="bottom"/>
            <w:tcBorders>
              <w:bottom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2,124,200</w:t>
            </w:r>
          </w:p>
        </w:tc>
        <w:tc>
          <w:tcPr>
            <w:tcW w:w="740" w:type="dxa"/>
            <w:vAlign w:val="bottom"/>
            <w:tcBorders>
              <w:bottom w:val="single" w:sz="8" w:color="auto"/>
            </w:tcBorders>
          </w:tcPr>
          <w:p>
            <w:pPr>
              <w:spacing w:after="0"/>
              <w:rPr>
                <w:sz w:val="21"/>
                <w:szCs w:val="21"/>
                <w:color w:val="auto"/>
              </w:rPr>
            </w:pPr>
          </w:p>
        </w:tc>
      </w:tr>
      <w:tr>
        <w:trPr>
          <w:trHeight w:val="216"/>
        </w:trPr>
        <w:tc>
          <w:tcPr>
            <w:tcW w:w="320" w:type="dxa"/>
            <w:vAlign w:val="bottom"/>
          </w:tcPr>
          <w:p>
            <w:pPr>
              <w:ind w:left="40"/>
              <w:spacing w:after="0" w:line="216" w:lineRule="exact"/>
              <w:rPr>
                <w:sz w:val="20"/>
                <w:szCs w:val="20"/>
                <w:color w:val="auto"/>
              </w:rPr>
            </w:pPr>
            <w:r>
              <w:rPr>
                <w:rFonts w:ascii="Times New Roman" w:cs="Times New Roman" w:eastAsia="Times New Roman" w:hAnsi="Times New Roman"/>
                <w:sz w:val="22"/>
                <w:szCs w:val="22"/>
                <w:color w:val="auto"/>
              </w:rPr>
              <w:t>(9)</w:t>
            </w:r>
          </w:p>
        </w:tc>
        <w:tc>
          <w:tcPr>
            <w:tcW w:w="10180" w:type="dxa"/>
            <w:vAlign w:val="bottom"/>
            <w:tcBorders>
              <w:right w:val="single" w:sz="8" w:color="auto"/>
            </w:tcBorders>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740" w:type="dxa"/>
            <w:vAlign w:val="bottom"/>
          </w:tcPr>
          <w:p>
            <w:pPr>
              <w:spacing w:after="0"/>
              <w:rPr>
                <w:sz w:val="18"/>
                <w:szCs w:val="18"/>
                <w:color w:val="auto"/>
              </w:rPr>
            </w:pPr>
          </w:p>
        </w:tc>
      </w:tr>
      <w:tr>
        <w:trPr>
          <w:trHeight w:val="277"/>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2,124,200</w:t>
            </w:r>
          </w:p>
        </w:tc>
        <w:tc>
          <w:tcPr>
            <w:tcW w:w="76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16"/>
        </w:trPr>
        <w:tc>
          <w:tcPr>
            <w:tcW w:w="10500" w:type="dxa"/>
            <w:vAlign w:val="bottom"/>
            <w:tcBorders>
              <w:right w:val="single" w:sz="8" w:color="auto"/>
            </w:tcBorders>
            <w:gridSpan w:val="3"/>
          </w:tcPr>
          <w:p>
            <w:pPr>
              <w:ind w:left="40"/>
              <w:spacing w:after="0" w:line="216" w:lineRule="exact"/>
              <w:rPr>
                <w:sz w:val="20"/>
                <w:szCs w:val="20"/>
                <w:color w:val="auto"/>
              </w:rPr>
            </w:pPr>
            <w:r>
              <w:rPr>
                <w:rFonts w:ascii="Times New Roman" w:cs="Times New Roman" w:eastAsia="Times New Roman" w:hAnsi="Times New Roman"/>
                <w:sz w:val="22"/>
                <w:szCs w:val="22"/>
                <w:color w:val="auto"/>
              </w:rPr>
              <w:t>(10) Check if the aggregate amount in Row (9) excludes certain shares</w:t>
            </w:r>
          </w:p>
        </w:tc>
        <w:tc>
          <w:tcPr>
            <w:tcW w:w="740" w:type="dxa"/>
            <w:vAlign w:val="bottom"/>
          </w:tcPr>
          <w:p>
            <w:pPr>
              <w:spacing w:after="0"/>
              <w:rPr>
                <w:sz w:val="18"/>
                <w:szCs w:val="18"/>
                <w:color w:val="auto"/>
              </w:rPr>
            </w:pPr>
          </w:p>
        </w:tc>
      </w:tr>
      <w:tr>
        <w:trPr>
          <w:trHeight w:val="277"/>
        </w:trPr>
        <w:tc>
          <w:tcPr>
            <w:tcW w:w="2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(see instructions)</w:t>
            </w:r>
          </w:p>
        </w:tc>
        <w:tc>
          <w:tcPr>
            <w:tcW w:w="76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(11) Percent of class represented by amount in Row (9) 7.5%</w:t>
            </w:r>
          </w:p>
        </w:tc>
        <w:tc>
          <w:tcPr>
            <w:tcW w:w="740" w:type="dxa"/>
            <w:vAlign w:val="bottom"/>
            <w:tcBorders>
              <w:bottom w:val="single" w:sz="8" w:color="auto"/>
            </w:tcBorders>
          </w:tcPr>
          <w:p>
            <w:pPr>
              <w:spacing w:after="0"/>
              <w:rPr>
                <w:sz w:val="21"/>
                <w:szCs w:val="21"/>
                <w:color w:val="auto"/>
              </w:rPr>
            </w:pPr>
          </w:p>
        </w:tc>
      </w:tr>
      <w:tr>
        <w:trPr>
          <w:trHeight w:val="250"/>
        </w:trPr>
        <w:tc>
          <w:tcPr>
            <w:tcW w:w="10500" w:type="dxa"/>
            <w:vAlign w:val="bottom"/>
            <w:tcBorders>
              <w:bottom w:val="single" w:sz="8" w:color="auto"/>
              <w:right w:val="single" w:sz="8" w:color="auto"/>
            </w:tcBorders>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(12) Type of reporting person (see instructions) IN</w:t>
            </w:r>
          </w:p>
        </w:tc>
        <w:tc>
          <w:tcPr>
            <w:tcW w:w="740" w:type="dxa"/>
            <w:vAlign w:val="bottom"/>
            <w:tcBorders>
              <w:bottom w:val="single" w:sz="8" w:color="auto"/>
            </w:tcBorders>
          </w:tcPr>
          <w:p>
            <w:pPr>
              <w:spacing w:after="0"/>
              <w:rPr>
                <w:sz w:val="21"/>
                <w:szCs w:val="21"/>
                <w:color w:val="auto"/>
              </w:rPr>
            </w:pPr>
          </w:p>
        </w:tc>
      </w:tr>
      <w:tr>
        <w:trPr>
          <w:trHeight w:val="682"/>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Item 1(a) Name of issuer: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1(b) 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10770 Wateridge Circle, Suite 210, San Diego, CA 92121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2(a) 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statement is filed by: (i) Point72 Asset Management, L.P. (“Point72 Asset</w:t>
      </w:r>
    </w:p>
    <w:p>
      <w:pPr>
        <w:spacing w:after="0" w:line="14" w:lineRule="exact"/>
        <w:rPr>
          <w:sz w:val="20"/>
          <w:szCs w:val="20"/>
          <w:color w:val="auto"/>
        </w:rPr>
      </w:pPr>
    </w:p>
    <w:p>
      <w:pPr>
        <w:ind w:right="1719"/>
        <w:spacing w:after="0" w:line="233" w:lineRule="auto"/>
        <w:rPr>
          <w:sz w:val="20"/>
          <w:szCs w:val="20"/>
          <w:color w:val="auto"/>
        </w:rPr>
      </w:pPr>
      <w:r>
        <w:rPr>
          <w:rFonts w:ascii="Times New Roman" w:cs="Times New Roman" w:eastAsia="Times New Roman" w:hAnsi="Times New Roman"/>
          <w:sz w:val="22"/>
          <w:szCs w:val="22"/>
          <w:color w:val="auto"/>
        </w:rPr>
        <w:t>Management”) with respect to shares of common stock, par value $0.001 per share (“Shares”), of the Issuer held by Point72 Associates, LLC, an investment fund it manages (“Point72 Associates”); (ii) Point72 Capital Advisors, Inc. (“Point72 Capital Advisors Inc.”) with respect to Shares held by Point72 Associates; and (iii) Steven A. Cohen (“Mr. Cohen”) with respect to Shares beneficially owned by Point72 Asset Management and Point72 Capital Advisors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2(b) Address or principal business office or, if none, residence:</w:t>
      </w:r>
    </w:p>
    <w:p>
      <w:pPr>
        <w:spacing w:after="0" w:line="233" w:lineRule="exact"/>
        <w:rPr>
          <w:sz w:val="20"/>
          <w:szCs w:val="20"/>
          <w:color w:val="auto"/>
        </w:rPr>
      </w:pPr>
    </w:p>
    <w:p>
      <w:pPr>
        <w:jc w:val="both"/>
        <w:ind w:right="3619"/>
        <w:spacing w:after="0" w:line="244" w:lineRule="auto"/>
        <w:rPr>
          <w:sz w:val="20"/>
          <w:szCs w:val="20"/>
          <w:color w:val="auto"/>
        </w:rPr>
      </w:pPr>
      <w:r>
        <w:rPr>
          <w:rFonts w:ascii="Times New Roman" w:cs="Times New Roman" w:eastAsia="Times New Roman" w:hAnsi="Times New Roman"/>
          <w:sz w:val="22"/>
          <w:szCs w:val="22"/>
          <w:color w:val="auto"/>
        </w:rPr>
        <w:t>The address of the principal business office of Point72 Asset Management, Point72 Capital Advisors Inc., and Mr. Cohen is 72 Cummings Point Road, Stamford, CT 06902.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2(c) Citizenship:</w:t>
      </w:r>
    </w:p>
    <w:p>
      <w:pPr>
        <w:spacing w:after="0" w:line="233" w:lineRule="exact"/>
        <w:rPr>
          <w:sz w:val="20"/>
          <w:szCs w:val="20"/>
          <w:color w:val="auto"/>
        </w:rPr>
      </w:pPr>
    </w:p>
    <w:p>
      <w:pPr>
        <w:ind w:right="1799"/>
        <w:spacing w:after="0" w:line="258" w:lineRule="auto"/>
        <w:rPr>
          <w:sz w:val="20"/>
          <w:szCs w:val="20"/>
          <w:color w:val="auto"/>
        </w:rPr>
      </w:pPr>
      <w:r>
        <w:rPr>
          <w:rFonts w:ascii="Times New Roman" w:cs="Times New Roman" w:eastAsia="Times New Roman" w:hAnsi="Times New Roman"/>
          <w:sz w:val="22"/>
          <w:szCs w:val="22"/>
          <w:color w:val="auto"/>
        </w:rPr>
        <w:t>Point72 Asset Management is a Delaware limited partnership. Point72 Capital Advisors Inc. is a Delaware corporation. Mr. Cohen is a United States citizen.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2(d) 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2(e) CUSIP Number: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032724106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Item 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i w:val="1"/>
          <w:iCs w:val="1"/>
          <w:color w:val="auto"/>
        </w:rPr>
        <w:t xml:space="preserve">Item 4. </w:t>
      </w:r>
      <w:r>
        <w:rPr>
          <w:rFonts w:ascii="Times New Roman" w:cs="Times New Roman" w:eastAsia="Times New Roman" w:hAnsi="Times New Roman"/>
          <w:sz w:val="22"/>
          <w:szCs w:val="22"/>
          <w:color w:val="auto"/>
        </w:rPr>
        <w:t>Ownership</w:t>
      </w:r>
    </w:p>
    <w:p>
      <w:pPr>
        <w:spacing w:after="0" w:line="236" w:lineRule="exact"/>
        <w:rPr>
          <w:sz w:val="20"/>
          <w:szCs w:val="20"/>
          <w:color w:val="auto"/>
        </w:rPr>
      </w:pPr>
    </w:p>
    <w:p>
      <w:pPr>
        <w:jc w:val="both"/>
        <w:ind w:right="1779"/>
        <w:spacing w:after="0" w:line="244" w:lineRule="auto"/>
        <w:rPr>
          <w:sz w:val="20"/>
          <w:szCs w:val="20"/>
          <w:color w:val="auto"/>
        </w:rPr>
      </w:pPr>
      <w:r>
        <w:rPr>
          <w:rFonts w:ascii="Times New Roman" w:cs="Times New Roman" w:eastAsia="Times New Roman" w:hAnsi="Times New Roman"/>
          <w:sz w:val="22"/>
          <w:szCs w:val="22"/>
          <w:color w:val="auto"/>
        </w:rPr>
        <w:t>The information required by Items 4(a) – (c) is set forth in Rows (5) – (11) of the cover page for each Reporting Person hereto and is incorporated herein by reference for each Reporting Person. Such information is as of the close of business on December 31, 2022.</w:t>
      </w:r>
    </w:p>
    <w:p>
      <w:pPr>
        <w:spacing w:after="0" w:line="200" w:lineRule="exact"/>
        <w:rPr>
          <w:sz w:val="20"/>
          <w:szCs w:val="20"/>
          <w:color w:val="auto"/>
        </w:rPr>
      </w:pPr>
    </w:p>
    <w:p>
      <w:pPr>
        <w:ind w:right="1739"/>
        <w:spacing w:after="0" w:line="235" w:lineRule="auto"/>
        <w:rPr>
          <w:sz w:val="20"/>
          <w:szCs w:val="20"/>
          <w:color w:val="auto"/>
        </w:rPr>
      </w:pPr>
      <w:r>
        <w:rPr>
          <w:rFonts w:ascii="Times New Roman" w:cs="Times New Roman" w:eastAsia="Times New Roman" w:hAnsi="Times New Roman"/>
          <w:sz w:val="22"/>
          <w:szCs w:val="22"/>
          <w:color w:val="auto"/>
        </w:rPr>
        <w:t>Point72 Asset Management, Point72 Capital Advisors Inc., and Mr. Cohen own directly no Shares. Pursuant to an investment 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Act, the beneficial owner of the Shares reported herein.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5. </w:t>
      </w:r>
      <w:r>
        <w:rPr>
          <w:rFonts w:ascii="Times New Roman" w:cs="Times New Roman" w:eastAsia="Times New Roman" w:hAnsi="Times New Roman"/>
          <w:sz w:val="22"/>
          <w:szCs w:val="22"/>
          <w:color w:val="auto"/>
        </w:rPr>
        <w:t>Ownership of 5 Percent or Less of a Class.</w:t>
      </w:r>
    </w:p>
    <w:p>
      <w:pPr>
        <w:spacing w:after="0" w:line="237" w:lineRule="exact"/>
        <w:rPr>
          <w:sz w:val="20"/>
          <w:szCs w:val="20"/>
          <w:color w:val="auto"/>
        </w:rPr>
      </w:pPr>
    </w:p>
    <w:p>
      <w:pPr>
        <w:jc w:val="both"/>
        <w:ind w:right="3879"/>
        <w:spacing w:after="0" w:line="244"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5 percent of the class of securities, check the following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6. </w:t>
      </w:r>
      <w:r>
        <w:rPr>
          <w:rFonts w:ascii="Times New Roman" w:cs="Times New Roman" w:eastAsia="Times New Roman" w:hAnsi="Times New Roman"/>
          <w:sz w:val="22"/>
          <w:szCs w:val="22"/>
          <w:color w:val="auto"/>
        </w:rPr>
        <w:t>Ownership of More than 5 Percent on Behalf of Another Person.</w:t>
      </w:r>
    </w:p>
    <w:p>
      <w:pPr>
        <w:spacing w:after="0" w:line="237" w:lineRule="exact"/>
        <w:rPr>
          <w:sz w:val="20"/>
          <w:szCs w:val="20"/>
          <w:color w:val="auto"/>
        </w:rPr>
      </w:pPr>
    </w:p>
    <w:p>
      <w:pPr>
        <w:ind w:right="1939"/>
        <w:spacing w:after="0" w:line="258" w:lineRule="auto"/>
        <w:rPr>
          <w:sz w:val="20"/>
          <w:szCs w:val="20"/>
          <w:color w:val="auto"/>
        </w:rPr>
      </w:pPr>
      <w:r>
        <w:rPr>
          <w:rFonts w:ascii="Times New Roman" w:cs="Times New Roman" w:eastAsia="Times New Roman" w:hAnsi="Times New Roman"/>
          <w:sz w:val="22"/>
          <w:szCs w:val="22"/>
          <w:color w:val="auto"/>
        </w:rPr>
        <w:t>Point72 Associates has the right to receive or the power to direct the receipt of dividends from, or the proceeds from the sale of, the Shares reported herein.</w:t>
      </w:r>
    </w:p>
    <w:p>
      <w:pPr>
        <w:spacing w:after="0" w:line="181" w:lineRule="exact"/>
        <w:rPr>
          <w:sz w:val="20"/>
          <w:szCs w:val="20"/>
          <w:color w:val="auto"/>
        </w:rPr>
      </w:pPr>
    </w:p>
    <w:p>
      <w:pPr>
        <w:jc w:val="both"/>
        <w:ind w:right="353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Item 7. </w:t>
      </w:r>
      <w:r>
        <w:rPr>
          <w:rFonts w:ascii="Times New Roman" w:cs="Times New Roman" w:eastAsia="Times New Roman" w:hAnsi="Times New Roman"/>
          <w:sz w:val="22"/>
          <w:szCs w:val="22"/>
          <w:color w:val="auto"/>
        </w:rPr>
        <w:t>Identification and Classification of the Subsidiary Which Acquired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Security Being Reporting on by the Parent Holding Company or Control Person.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8. </w:t>
      </w:r>
      <w:r>
        <w:rPr>
          <w:rFonts w:ascii="Times New Roman" w:cs="Times New Roman" w:eastAsia="Times New Roman" w:hAnsi="Times New Roman"/>
          <w:sz w:val="22"/>
          <w:szCs w:val="22"/>
          <w:color w:val="auto"/>
        </w:rPr>
        <w:t>Identification and Classification of Members of the Group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9. </w:t>
      </w:r>
      <w:r>
        <w:rPr>
          <w:rFonts w:ascii="Times New Roman" w:cs="Times New Roman" w:eastAsia="Times New Roman" w:hAnsi="Times New Roman"/>
          <w:sz w:val="22"/>
          <w:szCs w:val="22"/>
          <w:color w:val="auto"/>
        </w:rPr>
        <w:t>Notice of Dissolution of Group.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10. </w:t>
      </w:r>
      <w:r>
        <w:rPr>
          <w:rFonts w:ascii="Times New Roman" w:cs="Times New Roman" w:eastAsia="Times New Roman" w:hAnsi="Times New Roman"/>
          <w:sz w:val="22"/>
          <w:szCs w:val="22"/>
          <w:color w:val="auto"/>
        </w:rPr>
        <w:t>Certifications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w:t>
      </w:r>
    </w:p>
    <w:p>
      <w:pPr>
        <w:spacing w:after="0" w:line="14" w:lineRule="exact"/>
        <w:rPr>
          <w:sz w:val="20"/>
          <w:szCs w:val="20"/>
          <w:color w:val="auto"/>
        </w:rPr>
      </w:pPr>
    </w:p>
    <w:p>
      <w:pPr>
        <w:ind w:right="3059"/>
        <w:spacing w:after="0" w:line="241" w:lineRule="auto"/>
        <w:rPr>
          <w:sz w:val="20"/>
          <w:szCs w:val="20"/>
          <w:color w:val="auto"/>
        </w:rPr>
      </w:pPr>
      <w:r>
        <w:rPr>
          <w:rFonts w:ascii="Times New Roman" w:cs="Times New Roman" w:eastAsia="Times New Roman" w:hAnsi="Times New Roman"/>
          <w:sz w:val="21"/>
          <w:szCs w:val="21"/>
          <w:color w:val="auto"/>
        </w:rPr>
        <w:t>the securities referred to above were not acquired and are not held for the purpose of or with the effect of changing or influencing the control of the issuer of</w:t>
      </w:r>
    </w:p>
    <w:p>
      <w:pPr>
        <w:spacing w:after="0" w:line="1" w:lineRule="exact"/>
        <w:rPr>
          <w:sz w:val="20"/>
          <w:szCs w:val="20"/>
          <w:color w:val="auto"/>
        </w:rPr>
      </w:pPr>
    </w:p>
    <w:p>
      <w:pPr>
        <w:ind w:right="3699"/>
        <w:spacing w:after="0" w:line="237"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0" w:right="1440" w:bottom="1440" w:gutter="0" w:footer="0" w:header="0"/>
        </w:sectPr>
      </w:pPr>
    </w:p>
    <w:bookmarkStart w:id="6" w:name="page7"/>
    <w:bookmarkEnd w:id="6"/>
    <w:p>
      <w:pPr>
        <w:ind w:right="3179"/>
        <w:spacing w:after="0" w:line="245" w:lineRule="auto"/>
        <w:rPr>
          <w:sz w:val="20"/>
          <w:szCs w:val="20"/>
          <w:color w:val="auto"/>
        </w:rPr>
      </w:pPr>
      <w:r>
        <w:rPr>
          <w:rFonts w:ascii="Times New Roman" w:cs="Times New Roman" w:eastAsia="Times New Roman" w:hAnsi="Times New Roman"/>
          <w:sz w:val="22"/>
          <w:szCs w:val="22"/>
          <w:i w:val="1"/>
          <w:iCs w:val="1"/>
          <w:color w:val="auto"/>
        </w:rPr>
        <w:t xml:space="preserve">Signature. </w:t>
      </w:r>
      <w:r>
        <w:rPr>
          <w:rFonts w:ascii="Times New Roman" w:cs="Times New Roman" w:eastAsia="Times New Roman" w:hAnsi="Times New Roman"/>
          <w:sz w:val="22"/>
          <w:szCs w:val="22"/>
          <w:color w:val="auto"/>
        </w:rPr>
        <w:t>After reasonable inquiry and to the best of my knowledge and belief,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 certify that the information set forth in this statement is true, complete and correct.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u w:val="single" w:color="auto"/>
          <w:color w:val="auto"/>
        </w:rPr>
        <w:t>February 14, 2023</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STEVEN A. COHEN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rPr>
          <w:sz w:val="20"/>
          <w:szCs w:val="20"/>
          <w:color w:val="auto"/>
        </w:rPr>
      </w:pPr>
      <w:r>
        <w:rPr>
          <w:rFonts w:ascii="Times New Roman" w:cs="Times New Roman" w:eastAsia="Times New Roman" w:hAnsi="Times New Roman"/>
          <w:sz w:val="22"/>
          <w:szCs w:val="22"/>
          <w:color w:val="auto"/>
        </w:rPr>
        <w:t>Title: Authorized Person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2023-02-14T18:05:42Z</dcterms:created>
  <dcterms:modified xsi:type="dcterms:W3CDTF">2023-02-14T18:05:42Z</dcterms:modified>
</cp:coreProperties>
</file>