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456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5669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MULROY DENNIS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09/14/2022</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00" w:type="dxa"/>
            <w:vAlign w:val="bottom"/>
            <w:gridSpan w:val="8"/>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1"/>
                <w:szCs w:val="21"/>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09/14/2022</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12,000</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1"/>
                <w:szCs w:val="21"/>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12,000</w:t>
            </w:r>
          </w:p>
        </w:tc>
        <w:tc>
          <w:tcPr>
            <w:tcW w:w="60" w:type="dxa"/>
            <w:vAlign w:val="bottom"/>
          </w:tcPr>
          <w:p>
            <w:pPr>
              <w:spacing w:after="0"/>
              <w:rPr>
                <w:sz w:val="21"/>
                <w:szCs w:val="21"/>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12,000</w:t>
            </w:r>
            <w:r>
              <w:rPr>
                <w:rFonts w:ascii="Times New Roman" w:cs="Times New Roman" w:eastAsia="Times New Roman" w:hAnsi="Times New Roman"/>
                <w:sz w:val="21"/>
                <w:szCs w:val="21"/>
                <w:color w:val="008000"/>
                <w:vertAlign w:val="superscript"/>
              </w:rPr>
              <w:t>(3)</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one-time retention grant of restricted stock units ("RSUs"). Each RSU represents a contingent right to receive 1 share of the Issuer's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 of the total RSUs vest on September 14, 2023 and September 14, 2024, subject to the Reporting Person's provision of service to the Issuer on each vesting date.</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12,000 shares of common stock as set forth in Table II above, the Reporting Person also holds (i) additional options to purchase up to an aggregate of 215,600 shares of common stock, which options vest according to their terms, and (ii) 964 shares of common stock held 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09/16/2022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6840"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2022-09-16T16:09:24Z</dcterms:created>
  <dcterms:modified xsi:type="dcterms:W3CDTF">2022-09-16T16:09:24Z</dcterms:modified>
</cp:coreProperties>
</file>