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-199390</wp:posOffset>
            </wp:positionV>
            <wp:extent cx="2624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165735</wp:posOffset>
            </wp:positionV>
            <wp:extent cx="2624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183515</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28" w:lineRule="exact"/>
        <w:rPr>
          <w:sz w:val="24"/>
          <w:szCs w:val="24"/>
          <w:color w:val="auto"/>
        </w:rPr>
      </w:pPr>
    </w:p>
    <w:p>
      <w:pPr>
        <w:ind w:left="3460"/>
        <w:spacing w:after="0"/>
        <w:tabs>
          <w:tab w:leader="none" w:pos="6760" w:val="left"/>
          <w:tab w:leader="none" w:pos="7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23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180340</wp:posOffset>
            </wp:positionV>
            <wp:extent cx="262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ANAPTYSBIO, INC.</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180340</wp:posOffset>
            </wp:positionV>
            <wp:extent cx="262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2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82" w:lineRule="exact"/>
        <w:rPr>
          <w:sz w:val="24"/>
          <w:szCs w:val="24"/>
          <w:color w:val="auto"/>
        </w:rPr>
      </w:pPr>
    </w:p>
    <w:p>
      <w:pPr>
        <w:sectPr>
          <w:pgSz w:w="11900" w:h="16838" w:orient="portrait"/>
          <w:cols w:equalWidth="0" w:num="2">
            <w:col w:w="7260" w:space="720"/>
            <w:col w:w="3440"/>
          </w:cols>
          <w:pgMar w:left="240" w:top="486" w:right="239" w:bottom="1440" w:gutter="0" w:footer="0" w:header="0"/>
          <w:type w:val="continuous"/>
        </w:sectPr>
      </w:pPr>
    </w:p>
    <w:p>
      <w:pPr>
        <w:ind w:left="21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30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6980" w:space="720"/>
            <w:col w:w="3720"/>
          </w:cols>
          <w:pgMar w:left="240" w:top="486" w:right="23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182245</wp:posOffset>
            </wp:positionV>
            <wp:extent cx="2624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p>
      <w:pPr>
        <w:spacing w:after="0" w:line="34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080" w:type="dxa"/>
            <w:vAlign w:val="bottom"/>
          </w:tcPr>
          <w:p>
            <w:pPr>
              <w:ind w:left="580"/>
              <w:spacing w:after="0"/>
              <w:rPr>
                <w:sz w:val="20"/>
                <w:szCs w:val="20"/>
                <w:color w:val="auto"/>
              </w:rPr>
            </w:pPr>
            <w:r>
              <w:rPr>
                <w:rFonts w:ascii="Arial" w:cs="Arial" w:eastAsia="Arial" w:hAnsi="Arial"/>
                <w:sz w:val="18"/>
                <w:szCs w:val="18"/>
                <w:color w:val="auto"/>
              </w:rPr>
              <w:t>x (Do not check if a smaller reporting company)</w:t>
            </w:r>
          </w:p>
        </w:tc>
        <w:tc>
          <w:tcPr>
            <w:tcW w:w="3380" w:type="dxa"/>
            <w:vAlign w:val="bottom"/>
          </w:tcPr>
          <w:p>
            <w:pPr>
              <w:ind w:left="9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380" w:type="dxa"/>
            <w:vAlign w:val="bottom"/>
          </w:tcPr>
          <w:p>
            <w:pPr>
              <w:ind w:left="9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20"/>
              <w:spacing w:after="0"/>
              <w:rPr>
                <w:sz w:val="20"/>
                <w:szCs w:val="20"/>
                <w:color w:val="auto"/>
              </w:rPr>
            </w:pPr>
            <w:r>
              <w:rPr>
                <w:rFonts w:ascii="Arial" w:cs="Arial" w:eastAsia="Arial" w:hAnsi="Arial"/>
                <w:sz w:val="18"/>
                <w:szCs w:val="18"/>
                <w:color w:val="auto"/>
              </w:rPr>
              <w:t>x</w:t>
            </w:r>
          </w:p>
        </w:tc>
      </w:tr>
    </w:tbl>
    <w:p>
      <w:pPr>
        <w:spacing w:after="0" w:line="67" w:lineRule="exact"/>
        <w:rPr>
          <w:sz w:val="24"/>
          <w:szCs w:val="24"/>
          <w:color w:val="auto"/>
        </w:rPr>
      </w:pPr>
    </w:p>
    <w:p>
      <w:pPr>
        <w:jc w:val="both"/>
        <w:ind w:right="140"/>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 w:lineRule="exact"/>
        <w:rPr>
          <w:sz w:val="24"/>
          <w:szCs w:val="24"/>
          <w:color w:val="auto"/>
        </w:rPr>
      </w:pPr>
    </w:p>
    <w:p>
      <w:pPr>
        <w:spacing w:after="0" w:line="207" w:lineRule="exact"/>
        <w:tabs>
          <w:tab w:leader="none" w:pos="7640" w:val="left"/>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As of August 8, 2017, there were 20,342,484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177800</wp:posOffset>
            </wp:positionV>
            <wp:extent cx="2624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1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40" w:type="dxa"/>
            <w:vAlign w:val="bottom"/>
            <w:gridSpan w:val="8"/>
          </w:tcPr>
          <w:p>
            <w:pPr>
              <w:jc w:val="center"/>
              <w:ind w:right="2260"/>
              <w:spacing w:after="0"/>
              <w:rPr>
                <w:sz w:val="20"/>
                <w:szCs w:val="20"/>
                <w:color w:val="auto"/>
              </w:rPr>
            </w:pPr>
            <w:r>
              <w:rPr>
                <w:rFonts w:ascii="Arial" w:cs="Arial" w:eastAsia="Arial" w:hAnsi="Arial"/>
                <w:sz w:val="22"/>
                <w:szCs w:val="22"/>
                <w:b w:val="1"/>
                <w:bCs w:val="1"/>
                <w:color w:val="auto"/>
                <w:w w:val="98"/>
              </w:rPr>
              <w:t>ANAPTYSBIO, INC.</w:t>
            </w:r>
          </w:p>
        </w:tc>
      </w:tr>
      <w:tr>
        <w:trPr>
          <w:trHeight w:val="281"/>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gridSpan w:val="8"/>
          </w:tcPr>
          <w:p>
            <w:pPr>
              <w:jc w:val="center"/>
              <w:ind w:right="2240"/>
              <w:spacing w:after="0"/>
              <w:rPr>
                <w:sz w:val="20"/>
                <w:szCs w:val="20"/>
                <w:color w:val="auto"/>
              </w:rPr>
            </w:pPr>
            <w:r>
              <w:rPr>
                <w:rFonts w:ascii="Arial" w:cs="Arial" w:eastAsia="Arial" w:hAnsi="Arial"/>
                <w:sz w:val="22"/>
                <w:szCs w:val="22"/>
                <w:b w:val="1"/>
                <w:bCs w:val="1"/>
                <w:color w:val="auto"/>
                <w:w w:val="97"/>
              </w:rPr>
              <w:t>TABLE OF CONTENTS</w:t>
            </w:r>
          </w:p>
        </w:tc>
      </w:tr>
      <w:tr>
        <w:trPr>
          <w:trHeight w:val="895"/>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gridSpan w:val="8"/>
          </w:tcPr>
          <w:p>
            <w:pPr>
              <w:jc w:val="center"/>
              <w:ind w:right="2020"/>
              <w:spacing w:after="0"/>
              <w:rPr>
                <w:sz w:val="20"/>
                <w:szCs w:val="20"/>
                <w:color w:val="auto"/>
              </w:rPr>
            </w:pPr>
            <w:r>
              <w:rPr>
                <w:rFonts w:ascii="Arial" w:cs="Arial" w:eastAsia="Arial" w:hAnsi="Arial"/>
                <w:sz w:val="18"/>
                <w:szCs w:val="18"/>
                <w:b w:val="1"/>
                <w:bCs w:val="1"/>
                <w:color w:val="auto"/>
              </w:rPr>
              <w:t>PART I. FINANCIAL INFORMATION</w:t>
            </w:r>
          </w:p>
        </w:tc>
      </w:tr>
      <w:tr>
        <w:trPr>
          <w:trHeight w:val="405"/>
        </w:trPr>
        <w:tc>
          <w:tcPr>
            <w:tcW w:w="182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33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4180" w:type="dxa"/>
            <w:vAlign w:val="bottom"/>
            <w:gridSpan w:val="7"/>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5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30, 2017 and December 31, 2016</w:t>
              </w:r>
            </w:hyperlink>
          </w:p>
        </w:tc>
        <w:tc>
          <w:tcPr>
            <w:tcW w:w="2260" w:type="dxa"/>
            <w:vAlign w:val="bottom"/>
            <w:gridSpan w:val="3"/>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75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and Comprehensive Income (Loss) for the Three and Six Months</w:t>
              </w:r>
            </w:hyperlink>
          </w:p>
        </w:tc>
      </w:tr>
      <w:tr>
        <w:trPr>
          <w:trHeight w:val="196"/>
        </w:trPr>
        <w:tc>
          <w:tcPr>
            <w:tcW w:w="1820" w:type="dxa"/>
            <w:vAlign w:val="bottom"/>
          </w:tcPr>
          <w:p>
            <w:pPr>
              <w:spacing w:after="0"/>
              <w:rPr>
                <w:sz w:val="17"/>
                <w:szCs w:val="17"/>
                <w:color w:val="auto"/>
              </w:rPr>
            </w:pPr>
          </w:p>
        </w:tc>
        <w:tc>
          <w:tcPr>
            <w:tcW w:w="22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Ended June 30, 2017 and 2016</w:t>
              </w:r>
            </w:hyperlink>
          </w:p>
        </w:tc>
        <w:tc>
          <w:tcPr>
            <w:tcW w:w="5340" w:type="dxa"/>
            <w:vAlign w:val="bottom"/>
            <w:gridSpan w:val="9"/>
          </w:tcPr>
          <w:p>
            <w:pPr>
              <w:spacing w:after="0"/>
              <w:rPr>
                <w:sz w:val="17"/>
                <w:szCs w:val="17"/>
                <w:color w:val="auto"/>
              </w:rPr>
            </w:pPr>
          </w:p>
        </w:tc>
      </w:tr>
      <w:tr>
        <w:trPr>
          <w:trHeight w:val="331"/>
        </w:trPr>
        <w:tc>
          <w:tcPr>
            <w:tcW w:w="1820" w:type="dxa"/>
            <w:vAlign w:val="bottom"/>
          </w:tcPr>
          <w:p>
            <w:pPr>
              <w:spacing w:after="0"/>
              <w:rPr>
                <w:sz w:val="24"/>
                <w:szCs w:val="24"/>
                <w:color w:val="auto"/>
              </w:rPr>
            </w:pPr>
          </w:p>
        </w:tc>
        <w:tc>
          <w:tcPr>
            <w:tcW w:w="65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for the Six Months Ended June 30, 2017 and 2016</w:t>
              </w:r>
            </w:hyperlink>
          </w:p>
        </w:tc>
        <w:tc>
          <w:tcPr>
            <w:tcW w:w="1020" w:type="dxa"/>
            <w:vAlign w:val="bottom"/>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the Unaudited Consolidated Financial Statements</w:t>
              </w:r>
            </w:hyperlink>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2.</w:t>
              </w:r>
            </w:hyperlink>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100" w:type="dxa"/>
            <w:vAlign w:val="bottom"/>
            <w:gridSpan w:val="2"/>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3.</w:t>
              </w:r>
            </w:hyperlink>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3200" w:type="dxa"/>
            <w:vAlign w:val="bottom"/>
            <w:gridSpan w:val="4"/>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4.</w:t>
              </w:r>
            </w:hyperlink>
          </w:p>
        </w:tc>
        <w:tc>
          <w:tcPr>
            <w:tcW w:w="756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r>
      <w:tr>
        <w:trPr>
          <w:trHeight w:val="696"/>
        </w:trPr>
        <w:tc>
          <w:tcPr>
            <w:tcW w:w="18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gridSpan w:val="8"/>
          </w:tcPr>
          <w:p>
            <w:pPr>
              <w:jc w:val="center"/>
              <w:ind w:right="2020"/>
              <w:spacing w:after="0"/>
              <w:rPr>
                <w:sz w:val="20"/>
                <w:szCs w:val="20"/>
                <w:color w:val="auto"/>
              </w:rPr>
            </w:pPr>
            <w:r>
              <w:rPr>
                <w:rFonts w:ascii="Arial" w:cs="Arial" w:eastAsia="Arial" w:hAnsi="Arial"/>
                <w:sz w:val="18"/>
                <w:szCs w:val="18"/>
                <w:b w:val="1"/>
                <w:bCs w:val="1"/>
                <w:color w:val="auto"/>
              </w:rPr>
              <w:t>PART II. OTHER INFORMATION</w:t>
            </w:r>
          </w:p>
        </w:tc>
      </w:tr>
      <w:tr>
        <w:trPr>
          <w:trHeight w:val="554"/>
        </w:trPr>
        <w:tc>
          <w:tcPr>
            <w:tcW w:w="182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1.</w:t>
              </w:r>
            </w:hyperlink>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6220" w:type="dxa"/>
            <w:vAlign w:val="bottom"/>
            <w:gridSpan w:val="11"/>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1A.</w:t>
              </w:r>
            </w:hyperlink>
          </w:p>
        </w:tc>
        <w:tc>
          <w:tcPr>
            <w:tcW w:w="756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2.</w:t>
              </w:r>
            </w:hyperlink>
          </w:p>
        </w:tc>
        <w:tc>
          <w:tcPr>
            <w:tcW w:w="7560" w:type="dxa"/>
            <w:vAlign w:val="bottom"/>
            <w:gridSpan w:val="1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r>
      <w:tr>
        <w:trPr>
          <w:trHeight w:val="331"/>
        </w:trPr>
        <w:tc>
          <w:tcPr>
            <w:tcW w:w="1820" w:type="dxa"/>
            <w:vAlign w:val="bottom"/>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3.</w:t>
              </w:r>
            </w:hyperlink>
          </w:p>
        </w:tc>
        <w:tc>
          <w:tcPr>
            <w:tcW w:w="4340" w:type="dxa"/>
            <w:vAlign w:val="bottom"/>
            <w:tcBorders>
              <w:top w:val="single" w:sz="8" w:color="0000EE"/>
            </w:tcBorders>
            <w:gridSpan w:val="1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Defaults Upon Senior Securities</w:t>
              </w:r>
            </w:hyperlink>
          </w:p>
        </w:tc>
        <w:tc>
          <w:tcPr>
            <w:tcW w:w="3220" w:type="dxa"/>
            <w:vAlign w:val="bottom"/>
            <w:gridSpan w:val="5"/>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4.</w:t>
              </w:r>
            </w:hyperlink>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5240" w:type="dxa"/>
            <w:vAlign w:val="bottom"/>
            <w:gridSpan w:val="8"/>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5.</w:t>
              </w:r>
            </w:hyperlink>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5800" w:type="dxa"/>
            <w:vAlign w:val="bottom"/>
            <w:gridSpan w:val="10"/>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6.</w:t>
              </w:r>
            </w:hyperlink>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Exhibits</w:t>
              </w:r>
            </w:hyperlink>
          </w:p>
        </w:tc>
        <w:tc>
          <w:tcPr>
            <w:tcW w:w="6960" w:type="dxa"/>
            <w:vAlign w:val="bottom"/>
            <w:gridSpan w:val="16"/>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7">
              <w:r>
                <w:rPr>
                  <w:rFonts w:ascii="Arial" w:cs="Arial" w:eastAsia="Arial" w:hAnsi="Arial"/>
                  <w:sz w:val="18"/>
                  <w:szCs w:val="18"/>
                  <w:color w:val="0000EE"/>
                  <w:w w:val="85"/>
                </w:rPr>
                <w:t>Signatures</w:t>
              </w:r>
            </w:hyperlink>
          </w:p>
        </w:tc>
        <w:tc>
          <w:tcPr>
            <w:tcW w:w="6800" w:type="dxa"/>
            <w:vAlign w:val="bottom"/>
            <w:gridSpan w:val="15"/>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 Index</w:t>
              </w:r>
            </w:hyperlink>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-4424680</wp:posOffset>
            </wp:positionV>
            <wp:extent cx="717804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-3978275</wp:posOffset>
            </wp:positionV>
            <wp:extent cx="717804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600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-3395345</wp:posOffset>
            </wp:positionV>
            <wp:extent cx="717804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-2949575</wp:posOffset>
            </wp:positionV>
            <wp:extent cx="717804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-2503805</wp:posOffset>
            </wp:positionV>
            <wp:extent cx="717804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20574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-2125980</wp:posOffset>
            </wp:positionV>
            <wp:extent cx="71780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20574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-1697355</wp:posOffset>
            </wp:positionV>
            <wp:extent cx="717804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-1251585</wp:posOffset>
            </wp:positionV>
            <wp:extent cx="717804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-805180</wp:posOffset>
            </wp:positionV>
            <wp:extent cx="717804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-359410</wp:posOffset>
            </wp:positionV>
            <wp:extent cx="717804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53975</wp:posOffset>
            </wp:positionV>
            <wp:extent cx="1003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p>
      <w:pPr>
        <w:spacing w:after="0" w:line="144" w:lineRule="exact"/>
        <w:rPr>
          <w:sz w:val="20"/>
          <w:szCs w:val="20"/>
          <w:color w:val="auto"/>
        </w:rPr>
      </w:pPr>
    </w:p>
    <w:p>
      <w:pPr>
        <w:ind w:left="460"/>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p>
      <w:pPr>
        <w:spacing w:after="0" w:line="360" w:lineRule="exact"/>
        <w:rPr>
          <w:sz w:val="20"/>
          <w:szCs w:val="20"/>
          <w:color w:val="auto"/>
        </w:rPr>
      </w:pPr>
    </w:p>
    <w:p>
      <w:pPr>
        <w:ind w:left="460"/>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p>
      <w:pPr>
        <w:spacing w:after="0" w:line="144" w:lineRule="exact"/>
        <w:rPr>
          <w:sz w:val="20"/>
          <w:szCs w:val="20"/>
          <w:color w:val="auto"/>
        </w:rPr>
      </w:pPr>
    </w:p>
    <w:p>
      <w:pPr>
        <w:ind w:left="46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p>
      <w:pPr>
        <w:spacing w:after="0" w:line="144" w:lineRule="exact"/>
        <w:rPr>
          <w:sz w:val="20"/>
          <w:szCs w:val="20"/>
          <w:color w:val="auto"/>
        </w:rPr>
      </w:pPr>
    </w:p>
    <w:p>
      <w:pPr>
        <w:ind w:left="460"/>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20">
        <w:r>
          <w:rPr>
            <w:rFonts w:ascii="Arial" w:cs="Arial" w:eastAsia="Arial" w:hAnsi="Arial"/>
            <w:sz w:val="18"/>
            <w:szCs w:val="18"/>
            <w:color w:val="auto"/>
          </w:rPr>
          <w:t>18</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6">
        <w:r>
          <w:rPr>
            <w:rFonts w:ascii="Arial" w:cs="Arial" w:eastAsia="Arial" w:hAnsi="Arial"/>
            <w:sz w:val="18"/>
            <w:szCs w:val="18"/>
            <w:color w:val="auto"/>
          </w:rPr>
          <w:t>64</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6">
        <w:r>
          <w:rPr>
            <w:rFonts w:ascii="Arial" w:cs="Arial" w:eastAsia="Arial" w:hAnsi="Arial"/>
            <w:sz w:val="18"/>
            <w:szCs w:val="18"/>
            <w:color w:val="auto"/>
          </w:rPr>
          <w:t>64</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6">
        <w:r>
          <w:rPr>
            <w:rFonts w:ascii="Arial" w:cs="Arial" w:eastAsia="Arial" w:hAnsi="Arial"/>
            <w:sz w:val="18"/>
            <w:szCs w:val="18"/>
            <w:color w:val="auto"/>
          </w:rPr>
          <w:t>64</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6">
        <w:r>
          <w:rPr>
            <w:rFonts w:ascii="Arial" w:cs="Arial" w:eastAsia="Arial" w:hAnsi="Arial"/>
            <w:sz w:val="18"/>
            <w:szCs w:val="18"/>
            <w:color w:val="auto"/>
          </w:rPr>
          <w:t>64</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6">
        <w:r>
          <w:rPr>
            <w:rFonts w:ascii="Arial" w:cs="Arial" w:eastAsia="Arial" w:hAnsi="Arial"/>
            <w:sz w:val="18"/>
            <w:szCs w:val="18"/>
            <w:color w:val="auto"/>
          </w:rPr>
          <w:t>64</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p>
      <w:pPr>
        <w:sectPr>
          <w:pgSz w:w="11900" w:h="16838" w:orient="portrait"/>
          <w:cols w:equalWidth="0" w:num="2">
            <w:col w:w="9380" w:space="620"/>
            <w:col w:w="980"/>
          </w:cols>
          <w:pgMar w:left="320" w:top="369" w:right="599"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left="34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left="3420"/>
        <w:spacing w:after="0"/>
        <w:rPr>
          <w:sz w:val="20"/>
          <w:szCs w:val="20"/>
          <w:color w:val="auto"/>
        </w:rPr>
      </w:pPr>
      <w:r>
        <w:rPr>
          <w:rFonts w:ascii="Arial" w:cs="Arial" w:eastAsia="Arial" w:hAnsi="Arial"/>
          <w:sz w:val="18"/>
          <w:szCs w:val="18"/>
          <w:b w:val="1"/>
          <w:bCs w:val="1"/>
          <w:color w:val="auto"/>
        </w:rPr>
        <w:t>(in thousands, except par value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Receivable from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Australian tax incentive receivable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vendor deposits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financing costs</w:t>
      </w:r>
    </w:p>
    <w:p>
      <w:pPr>
        <w:spacing w:after="0" w:line="86" w:lineRule="exact"/>
        <w:rPr>
          <w:sz w:val="20"/>
          <w:szCs w:val="20"/>
          <w:color w:val="auto"/>
        </w:rPr>
      </w:pPr>
    </w:p>
    <w:p>
      <w:pPr>
        <w:ind w:left="520"/>
        <w:spacing w:after="0"/>
        <w:tabs>
          <w:tab w:leader="none" w:pos="790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89" w:lineRule="exact"/>
        <w:rPr>
          <w:sz w:val="20"/>
          <w:szCs w:val="20"/>
          <w:color w:val="auto"/>
        </w:rPr>
      </w:pPr>
    </w:p>
    <w:p>
      <w:pPr>
        <w:jc w:val="center"/>
        <w:ind w:left="3440"/>
        <w:spacing w:after="0"/>
        <w:rPr>
          <w:sz w:val="20"/>
          <w:szCs w:val="20"/>
          <w:color w:val="auto"/>
        </w:rPr>
      </w:pPr>
      <w:r>
        <w:rPr>
          <w:rFonts w:ascii="Arial" w:cs="Arial" w:eastAsia="Arial" w:hAnsi="Arial"/>
          <w:sz w:val="16"/>
          <w:szCs w:val="16"/>
          <w:b w:val="1"/>
          <w:bCs w:val="1"/>
          <w:color w:val="auto"/>
        </w:rPr>
        <w:t>LIABILITIES, CONVERTIBLE PREFERRED STOCK AND</w:t>
      </w:r>
    </w:p>
    <w:p>
      <w:pPr>
        <w:spacing w:after="0" w:line="32" w:lineRule="exact"/>
        <w:rPr>
          <w:sz w:val="20"/>
          <w:szCs w:val="20"/>
          <w:color w:val="auto"/>
        </w:rPr>
      </w:pPr>
    </w:p>
    <w:p>
      <w:pPr>
        <w:jc w:val="center"/>
        <w:ind w:left="3440"/>
        <w:spacing w:after="0"/>
        <w:rPr>
          <w:sz w:val="20"/>
          <w:szCs w:val="20"/>
          <w:color w:val="auto"/>
        </w:rPr>
      </w:pPr>
      <w:r>
        <w:rPr>
          <w:rFonts w:ascii="Arial" w:cs="Arial" w:eastAsia="Arial" w:hAnsi="Arial"/>
          <w:sz w:val="16"/>
          <w:szCs w:val="16"/>
          <w:b w:val="1"/>
          <w:bCs w:val="1"/>
          <w:color w:val="auto"/>
        </w:rPr>
        <w:t>STOCKHOLDERS’ EQUITY (DEFICIT)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payable,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payable,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Preferred stock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100" w:lineRule="exact"/>
        <w:rPr>
          <w:sz w:val="20"/>
          <w:szCs w:val="20"/>
          <w:color w:val="auto"/>
        </w:rPr>
      </w:pPr>
    </w:p>
    <w:p>
      <w:pPr>
        <w:ind w:left="40" w:right="320"/>
        <w:spacing w:after="0" w:line="293" w:lineRule="auto"/>
        <w:rPr>
          <w:sz w:val="20"/>
          <w:szCs w:val="20"/>
          <w:color w:val="auto"/>
        </w:rPr>
      </w:pPr>
      <w:r>
        <w:rPr>
          <w:rFonts w:ascii="Arial" w:cs="Arial" w:eastAsia="Arial" w:hAnsi="Arial"/>
          <w:sz w:val="16"/>
          <w:szCs w:val="16"/>
          <w:color w:val="auto"/>
        </w:rPr>
        <w:t>Series B convertible preferred stock, $0.001 par value, no shares and 3,963 authorized, issued and outstanding at June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left="40" w:right="560"/>
        <w:spacing w:after="0" w:line="293" w:lineRule="auto"/>
        <w:rPr>
          <w:sz w:val="20"/>
          <w:szCs w:val="20"/>
          <w:color w:val="auto"/>
        </w:rPr>
      </w:pPr>
      <w:r>
        <w:rPr>
          <w:rFonts w:ascii="Arial" w:cs="Arial" w:eastAsia="Arial" w:hAnsi="Arial"/>
          <w:sz w:val="16"/>
          <w:szCs w:val="16"/>
          <w:color w:val="auto"/>
        </w:rPr>
        <w:t>Series C convertible preferred stock, $0.001 par value, no shares and 1,887 shares authorized, no shares and 1,593 shares issued and outstanding at June 30, 2017 and December 31, 2016, respectively</w:t>
      </w:r>
    </w:p>
    <w:p>
      <w:pPr>
        <w:spacing w:after="0" w:line="23" w:lineRule="exact"/>
        <w:rPr>
          <w:sz w:val="20"/>
          <w:szCs w:val="20"/>
          <w:color w:val="auto"/>
        </w:rPr>
      </w:pPr>
    </w:p>
    <w:p>
      <w:pPr>
        <w:ind w:left="40" w:right="200"/>
        <w:spacing w:after="0" w:line="293" w:lineRule="auto"/>
        <w:rPr>
          <w:sz w:val="20"/>
          <w:szCs w:val="20"/>
          <w:color w:val="auto"/>
        </w:rPr>
      </w:pPr>
      <w:r>
        <w:rPr>
          <w:rFonts w:ascii="Arial" w:cs="Arial" w:eastAsia="Arial" w:hAnsi="Arial"/>
          <w:sz w:val="16"/>
          <w:szCs w:val="16"/>
          <w:color w:val="auto"/>
        </w:rPr>
        <w:t>Series C-1 convertible preferred stock, $0.001 par value, no shares and 474 shares authorized, issued and outstanding at June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left="40" w:right="200"/>
        <w:spacing w:after="0" w:line="293" w:lineRule="auto"/>
        <w:rPr>
          <w:sz w:val="20"/>
          <w:szCs w:val="20"/>
          <w:color w:val="auto"/>
        </w:rPr>
      </w:pPr>
      <w:r>
        <w:rPr>
          <w:rFonts w:ascii="Arial" w:cs="Arial" w:eastAsia="Arial" w:hAnsi="Arial"/>
          <w:sz w:val="16"/>
          <w:szCs w:val="16"/>
          <w:color w:val="auto"/>
        </w:rPr>
        <w:t>Series D convertible preferred stock, $0.001 par value, no shares and 5,491 shares authorized, issued and outstanding at June 30, 2017 and December 31, 2016, respectively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left="40" w:right="360"/>
        <w:spacing w:after="0" w:line="293" w:lineRule="auto"/>
        <w:rPr>
          <w:sz w:val="20"/>
          <w:szCs w:val="20"/>
          <w:color w:val="auto"/>
        </w:rPr>
      </w:pPr>
      <w:r>
        <w:rPr>
          <w:rFonts w:ascii="Arial" w:cs="Arial" w:eastAsia="Arial" w:hAnsi="Arial"/>
          <w:sz w:val="16"/>
          <w:szCs w:val="16"/>
          <w:color w:val="auto"/>
        </w:rPr>
        <w:t>Preferred stock, $0.001 par value, 10,000 shares and no shares authorized, issued or outstanding at June 30, 2017 and December 31, 2016, respectively</w:t>
      </w:r>
    </w:p>
    <w:p>
      <w:pPr>
        <w:spacing w:after="0" w:line="23" w:lineRule="exact"/>
        <w:rPr>
          <w:sz w:val="20"/>
          <w:szCs w:val="20"/>
          <w:color w:val="auto"/>
        </w:rPr>
      </w:pPr>
    </w:p>
    <w:p>
      <w:pPr>
        <w:ind w:left="40" w:right="900"/>
        <w:spacing w:after="0" w:line="293" w:lineRule="auto"/>
        <w:rPr>
          <w:sz w:val="20"/>
          <w:szCs w:val="20"/>
          <w:color w:val="auto"/>
        </w:rPr>
      </w:pPr>
      <w:r>
        <w:rPr>
          <w:rFonts w:ascii="Arial" w:cs="Arial" w:eastAsia="Arial" w:hAnsi="Arial"/>
          <w:sz w:val="16"/>
          <w:szCs w:val="16"/>
          <w:color w:val="auto"/>
        </w:rPr>
        <w:t>Common stock, $0.001 par value, 500,000 and 17,214 authorized, 20,290 shares and 2,651 shares issued and outstanding at June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Additional paid in capital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520"/>
        <w:spacing w:after="0"/>
        <w:tabs>
          <w:tab w:leader="none" w:pos="7900" w:val="left"/>
        </w:tabs>
        <w:rPr>
          <w:sz w:val="20"/>
          <w:szCs w:val="20"/>
          <w:color w:val="auto"/>
        </w:rPr>
      </w:pPr>
      <w:r>
        <w:rPr>
          <w:rFonts w:ascii="Arial" w:cs="Arial" w:eastAsia="Arial" w:hAnsi="Arial"/>
          <w:sz w:val="16"/>
          <w:szCs w:val="16"/>
          <w:color w:val="auto"/>
        </w:rPr>
        <w:t>Total liabilities, convertible preferred stock and stockholders’ equity (deficit)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0" w:type="dxa"/>
            <w:vAlign w:val="bottom"/>
          </w:tcPr>
          <w:p>
            <w:pPr>
              <w:jc w:val="center"/>
              <w:ind w:right="488"/>
              <w:spacing w:after="0"/>
              <w:rPr>
                <w:sz w:val="20"/>
                <w:szCs w:val="20"/>
                <w:color w:val="auto"/>
              </w:rPr>
            </w:pPr>
            <w:r>
              <w:rPr>
                <w:rFonts w:ascii="Arial" w:cs="Arial" w:eastAsia="Arial" w:hAnsi="Arial"/>
                <w:sz w:val="14"/>
                <w:szCs w:val="14"/>
                <w:b w:val="1"/>
                <w:bCs w:val="1"/>
                <w:color w:val="auto"/>
                <w:w w:val="92"/>
              </w:rPr>
              <w:t>June 30, 2017</w:t>
            </w:r>
          </w:p>
        </w:tc>
        <w:tc>
          <w:tcPr>
            <w:tcW w:w="16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December 31, 2016</w:t>
            </w:r>
          </w:p>
        </w:tc>
      </w:tr>
      <w:tr>
        <w:trPr>
          <w:trHeight w:val="258"/>
        </w:trPr>
        <w:tc>
          <w:tcPr>
            <w:tcW w:w="1400" w:type="dxa"/>
            <w:vAlign w:val="bottom"/>
          </w:tcPr>
          <w:p>
            <w:pPr>
              <w:jc w:val="center"/>
              <w:ind w:right="488"/>
              <w:spacing w:after="0"/>
              <w:rPr>
                <w:sz w:val="20"/>
                <w:szCs w:val="20"/>
                <w:color w:val="auto"/>
              </w:rPr>
            </w:pPr>
            <w:r>
              <w:rPr>
                <w:rFonts w:ascii="Arial" w:cs="Arial" w:eastAsia="Arial" w:hAnsi="Arial"/>
                <w:sz w:val="14"/>
                <w:szCs w:val="14"/>
                <w:b w:val="1"/>
                <w:bCs w:val="1"/>
                <w:color w:val="auto"/>
                <w:w w:val="94"/>
              </w:rPr>
              <w:t>(unaudited)</w:t>
            </w:r>
          </w:p>
        </w:tc>
        <w:tc>
          <w:tcPr>
            <w:tcW w:w="16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-172085</wp:posOffset>
            </wp:positionV>
            <wp:extent cx="10979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tbl>
      <w:tblPr>
        <w:tblLayout w:type="fixed"/>
        <w:tblInd w:w="640" w:type="dxa"/>
        <w:tblCellMar>
          <w:top w:w="0" w:type="dxa"/>
          <w:left w:w="0" w:type="dxa"/>
          <w:bottom w:w="0" w:type="dxa"/>
          <w:right w:w="0" w:type="dxa"/>
        </w:tblCellMar>
      </w:tblPr>
      <w:tr>
        <w:trPr>
          <w:trHeight w:val="206"/>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30,752</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51,232</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1,225</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5,637</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4,118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75,607</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3,852</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1,633</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115,848</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58,208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543</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471</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13,912</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46</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60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3,441</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130,409</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62,180</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947"/>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3,724</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2,278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3,230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3,429</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3,125</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10,079</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5,708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10,987</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13,809</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168</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3,241</w:t>
            </w:r>
          </w:p>
        </w:tc>
      </w:tr>
      <w:tr>
        <w:trPr>
          <w:trHeight w:val="74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28,220</w:t>
            </w:r>
          </w:p>
        </w:tc>
      </w:tr>
      <w:tr>
        <w:trPr>
          <w:trHeight w:val="47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6,452</w:t>
            </w:r>
          </w:p>
        </w:tc>
      </w:tr>
      <w:tr>
        <w:trPr>
          <w:trHeight w:val="47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2,156</w:t>
            </w:r>
          </w:p>
        </w:tc>
      </w:tr>
      <w:tr>
        <w:trPr>
          <w:trHeight w:val="47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40,688</w:t>
            </w:r>
          </w:p>
        </w:tc>
      </w:tr>
      <w:tr>
        <w:trPr>
          <w:trHeight w:val="74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20</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178,297</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16,672</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w w:val="93"/>
              </w:rPr>
              <w:t>(69,083)</w:t>
            </w: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(54,923)</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109,175</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(38,248)</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130,409</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62,180</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-8255</wp:posOffset>
            </wp:positionV>
            <wp:extent cx="10979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-368300</wp:posOffset>
            </wp:positionV>
            <wp:extent cx="10979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-4887595</wp:posOffset>
            </wp:positionV>
            <wp:extent cx="10979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-5059045</wp:posOffset>
            </wp:positionV>
            <wp:extent cx="1097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-6088380</wp:posOffset>
            </wp:positionV>
            <wp:extent cx="10979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340"/>
            <w:col w:w="3080"/>
          </w:cols>
          <w:pgMar w:left="240" w:top="364" w:right="23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420"/>
          </w:cols>
          <w:pgMar w:left="240" w:top="364"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Collaboration revenue</w:t>
            </w: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99"/>
              </w:rPr>
              <w:t>5,850</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7,000</w:t>
            </w: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10,716</w:t>
            </w: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7,205</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99"/>
              </w:rPr>
              <w:t>2,335</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15,140</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7,121</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2,350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1,152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4,403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2,371</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9,555</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99"/>
              </w:rPr>
              <w:t>3,487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19,543</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9,492</w:t>
            </w:r>
          </w:p>
        </w:tc>
        <w:tc>
          <w:tcPr>
            <w:tcW w:w="0" w:type="dxa"/>
            <w:vAlign w:val="bottom"/>
          </w:tcPr>
          <w:p>
            <w:pPr>
              <w:spacing w:after="0"/>
              <w:rPr>
                <w:sz w:val="1"/>
                <w:szCs w:val="1"/>
                <w:color w:val="auto"/>
              </w:rPr>
            </w:pPr>
          </w:p>
        </w:tc>
      </w:tr>
      <w:tr>
        <w:trPr>
          <w:trHeight w:val="217"/>
        </w:trPr>
        <w:tc>
          <w:tcPr>
            <w:tcW w:w="5620" w:type="dxa"/>
            <w:vAlign w:val="bottom"/>
          </w:tcPr>
          <w:p>
            <w:pPr>
              <w:ind w:left="800"/>
              <w:spacing w:after="0"/>
              <w:rPr>
                <w:sz w:val="20"/>
                <w:szCs w:val="20"/>
                <w:color w:val="auto"/>
              </w:rPr>
            </w:pPr>
            <w:r>
              <w:rPr>
                <w:rFonts w:ascii="Arial" w:cs="Arial" w:eastAsia="Arial" w:hAnsi="Arial"/>
                <w:sz w:val="16"/>
                <w:szCs w:val="16"/>
                <w:color w:val="auto"/>
              </w:rPr>
              <w:t>Income (loss) from operations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(2,555)</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2,363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(12,543)</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6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7"/>
        </w:trPr>
        <w:tc>
          <w:tcPr>
            <w:tcW w:w="5620" w:type="dxa"/>
            <w:vAlign w:val="bottom"/>
          </w:tcPr>
          <w:p>
            <w:pPr>
              <w:ind w:left="76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(2,684)</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2,322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(14,119)</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Net income attributed to participating securities</w:t>
            </w:r>
          </w:p>
        </w:tc>
        <w:tc>
          <w:tcPr>
            <w:tcW w:w="32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6"/>
              </w:rPr>
              <w:t>(2,141)</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17"/>
        </w:trPr>
        <w:tc>
          <w:tcPr>
            <w:tcW w:w="5620" w:type="dxa"/>
            <w:vAlign w:val="bottom"/>
          </w:tcPr>
          <w:p>
            <w:pPr>
              <w:ind w:left="520"/>
              <w:spacing w:after="0"/>
              <w:rPr>
                <w:sz w:val="20"/>
                <w:szCs w:val="20"/>
                <w:color w:val="auto"/>
              </w:rPr>
            </w:pPr>
            <w:r>
              <w:rPr>
                <w:rFonts w:ascii="Arial" w:cs="Arial" w:eastAsia="Arial" w:hAnsi="Arial"/>
                <w:sz w:val="16"/>
                <w:szCs w:val="16"/>
                <w:color w:val="auto"/>
              </w:rPr>
              <w:t>Net income (loss) attributed to common stockholders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(2,684)</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(14,119)</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Unrealized loss on available for sale securities</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620" w:type="dxa"/>
            <w:vAlign w:val="bottom"/>
          </w:tcPr>
          <w:p>
            <w:pPr>
              <w:ind w:left="760"/>
              <w:spacing w:after="0"/>
              <w:rPr>
                <w:sz w:val="20"/>
                <w:szCs w:val="20"/>
                <w:color w:val="auto"/>
              </w:rPr>
            </w:pPr>
            <w:r>
              <w:rPr>
                <w:rFonts w:ascii="Arial" w:cs="Arial" w:eastAsia="Arial" w:hAnsi="Arial"/>
                <w:sz w:val="16"/>
                <w:szCs w:val="16"/>
                <w:color w:val="auto"/>
              </w:rPr>
              <w:t>Other comprehensive loss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FF0FC"/>
            </w:tcBorders>
            <w:shd w:val="clear" w:color="auto" w:fill="CFF0FC"/>
          </w:tcPr>
          <w:p>
            <w:pPr>
              <w:ind w:left="96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(2,730)</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(14,178)</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vMerge w:val="restart"/>
          </w:tcPr>
          <w:p>
            <w:pPr>
              <w:ind w:left="280"/>
              <w:spacing w:after="0"/>
              <w:rPr>
                <w:sz w:val="20"/>
                <w:szCs w:val="20"/>
                <w:color w:val="auto"/>
              </w:rPr>
            </w:pPr>
            <w:r>
              <w:rPr>
                <w:rFonts w:ascii="Arial" w:cs="Arial" w:eastAsia="Arial" w:hAnsi="Arial"/>
                <w:sz w:val="16"/>
                <w:szCs w:val="16"/>
                <w:color w:val="auto"/>
              </w:rPr>
              <w:t>Net income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6"/>
                <w:szCs w:val="16"/>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7"/>
                <w:szCs w:val="17"/>
                <w:color w:val="auto"/>
              </w:rPr>
            </w:pP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7"/>
                <w:szCs w:val="17"/>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62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2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620" w:type="dxa"/>
            <w:vAlign w:val="bottom"/>
          </w:tcPr>
          <w:p>
            <w:pPr>
              <w:ind w:left="52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20,271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2,635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17,797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FF0FC"/>
            </w:tcBorders>
            <w:shd w:val="clear" w:color="auto" w:fill="CFF0FC"/>
          </w:tcPr>
          <w:p>
            <w:pPr>
              <w:ind w:left="520"/>
              <w:spacing w:after="0" w:line="177" w:lineRule="exact"/>
              <w:rPr>
                <w:sz w:val="20"/>
                <w:szCs w:val="20"/>
                <w:color w:val="auto"/>
              </w:rPr>
            </w:pPr>
            <w:r>
              <w:rPr>
                <w:rFonts w:ascii="Arial" w:cs="Arial" w:eastAsia="Arial" w:hAnsi="Arial"/>
                <w:sz w:val="16"/>
                <w:szCs w:val="16"/>
                <w:color w:val="auto"/>
              </w:rPr>
              <w:t>Diluted</w:t>
            </w: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20,271</w:t>
            </w: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99"/>
              </w:rPr>
              <w:t>3,498</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17,797</w:t>
            </w:r>
          </w:p>
        </w:tc>
        <w:tc>
          <w:tcPr>
            <w:tcW w:w="1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3,497</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834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(14,119)</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Stock-based compensation</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2,304</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Non-cash interest expense</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4"/>
        </w:trPr>
        <w:tc>
          <w:tcPr>
            <w:tcW w:w="834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Receivable from collaborative partners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7"/>
        </w:trPr>
        <w:tc>
          <w:tcPr>
            <w:tcW w:w="8340" w:type="dxa"/>
            <w:vAlign w:val="bottom"/>
          </w:tcPr>
          <w:p>
            <w:pPr>
              <w:ind w:left="520"/>
              <w:spacing w:after="0"/>
              <w:rPr>
                <w:sz w:val="20"/>
                <w:szCs w:val="20"/>
                <w:color w:val="auto"/>
              </w:rPr>
            </w:pPr>
            <w:r>
              <w:rPr>
                <w:rFonts w:ascii="Arial" w:cs="Arial" w:eastAsia="Arial" w:hAnsi="Arial"/>
                <w:sz w:val="16"/>
                <w:szCs w:val="16"/>
                <w:color w:val="auto"/>
              </w:rPr>
              <w:t>Australian tax incentive receivable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(2,490)</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37"/>
        </w:trPr>
        <w:tc>
          <w:tcPr>
            <w:tcW w:w="8340" w:type="dxa"/>
            <w:vAlign w:val="bottom"/>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Income taxes payable</w:t>
            </w:r>
          </w:p>
        </w:tc>
        <w:tc>
          <w:tcPr>
            <w:tcW w:w="3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8340" w:type="dxa"/>
            <w:vAlign w:val="bottom"/>
          </w:tcPr>
          <w:p>
            <w:pPr>
              <w:ind w:left="52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(10,740)</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Acquisition of investments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(89,353)</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(89,506)</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initial public offering, net of underwriters fees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80,213</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issuance of common stock, upon the exercise of warrants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Payments for repurchase of common stock</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Payments for offering costs</w:t>
            </w:r>
          </w:p>
        </w:tc>
        <w:tc>
          <w:tcPr>
            <w:tcW w:w="36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(1,485)</w:t>
            </w: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7"/>
        </w:trPr>
        <w:tc>
          <w:tcPr>
            <w:tcW w:w="8340" w:type="dxa"/>
            <w:vAlign w:val="bottom"/>
          </w:tcPr>
          <w:p>
            <w:pPr>
              <w:ind w:left="76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79,766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6"/>
                <w:szCs w:val="16"/>
                <w:color w:val="auto"/>
              </w:rPr>
              <w:t>Net decrease in cash, cash equivalents, and restricted cash</w:t>
            </w:r>
          </w:p>
        </w:tc>
        <w:tc>
          <w:tcPr>
            <w:tcW w:w="3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(20,480)</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51,292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51,744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30,812</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50,646</w:t>
            </w:r>
          </w:p>
        </w:tc>
        <w:tc>
          <w:tcPr>
            <w:tcW w:w="0" w:type="dxa"/>
            <w:vAlign w:val="bottom"/>
          </w:tcPr>
          <w:p>
            <w:pPr>
              <w:spacing w:after="0"/>
              <w:rPr>
                <w:sz w:val="1"/>
                <w:szCs w:val="1"/>
                <w:color w:val="auto"/>
              </w:rPr>
            </w:pPr>
          </w:p>
        </w:tc>
      </w:tr>
      <w:tr>
        <w:trPr>
          <w:trHeight w:val="20"/>
        </w:trPr>
        <w:tc>
          <w:tcPr>
            <w:tcW w:w="8340" w:type="dxa"/>
            <w:vAlign w:val="bottom"/>
            <w:tcBorders>
              <w:top w:val="single" w:sz="8" w:color="CFF0FC"/>
              <w:bottom w:val="single" w:sz="8" w:color="CFF0FC"/>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Arial" w:cs="Arial" w:eastAsia="Arial" w:hAnsi="Arial"/>
                <w:sz w:val="16"/>
                <w:szCs w:val="16"/>
                <w:b w:val="1"/>
                <w:bCs w:val="1"/>
                <w:color w:val="auto"/>
              </w:rPr>
              <w:t>INFORMATION</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Interest paid</w:t>
            </w: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Amounts accrued for property and equipment</w:t>
            </w: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Amounts accrued for offering costs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Reclassification of warrants to equity</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4,607</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in vitro, the natural process of antibody generation. We currently generate revenue from our collaborative research and development arrangements.</w:t>
      </w:r>
    </w:p>
    <w:p>
      <w:pPr>
        <w:spacing w:after="0" w:line="187"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at June 30, 2017, have an accumulated deficit of $69.1 million. Through June 30, 2017, all of our financial support has been provided primarily from the sale of our common and preferred stock, proceeds from the issuance of convertible debt and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Initial Public Offering and Related Transactions</w:t>
      </w:r>
    </w:p>
    <w:p>
      <w:pPr>
        <w:spacing w:after="0" w:line="117"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On January 31, 2017, we completed an initial public offering, or IPO, selling 5,750,000 shares of common stock at $15.00 per share. Proceeds from our initial public offering net of underwriting discounts and commissions were $80.2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each of the following occurred in connection with the completion of the IPO on January 31, 2017:</w:t>
      </w:r>
    </w:p>
    <w:p>
      <w:pPr>
        <w:spacing w:after="0" w:line="117" w:lineRule="exact"/>
        <w:rPr>
          <w:sz w:val="20"/>
          <w:szCs w:val="20"/>
          <w:color w:val="auto"/>
        </w:rPr>
      </w:pPr>
    </w:p>
    <w:p>
      <w:pPr>
        <w:ind w:left="900" w:hanging="48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11,520,698 shares of common stock; and</w:t>
      </w:r>
    </w:p>
    <w:p>
      <w:pPr>
        <w:spacing w:after="0" w:line="117" w:lineRule="exact"/>
        <w:rPr>
          <w:rFonts w:ascii="Arial" w:cs="Arial" w:eastAsia="Arial" w:hAnsi="Arial"/>
          <w:sz w:val="18"/>
          <w:szCs w:val="18"/>
          <w:color w:val="auto"/>
        </w:rPr>
      </w:pPr>
    </w:p>
    <w:p>
      <w:pPr>
        <w:ind w:left="880" w:right="140" w:hanging="440"/>
        <w:spacing w:after="0" w:line="277"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conversion of warrants to purchase 377,195 shares of convertible preferred stock into warrants to purchase 377,195 shares of common stock and the resultant reclassification of the warrant liability to additional paid-in capital.</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20" w:firstLine="446"/>
        <w:spacing w:after="0" w:line="342" w:lineRule="auto"/>
        <w:rPr>
          <w:sz w:val="20"/>
          <w:szCs w:val="20"/>
          <w:color w:val="auto"/>
        </w:rPr>
      </w:pPr>
      <w:r>
        <w:rPr>
          <w:rFonts w:ascii="Arial" w:cs="Arial" w:eastAsia="Arial" w:hAnsi="Arial"/>
          <w:sz w:val="16"/>
          <w:szCs w:val="16"/>
          <w:color w:val="auto"/>
        </w:rPr>
        <w:t>On January 13, 2017, we amended and restated our certificate of incorporation to effect a one for seven reverse stock split of every outstanding share of our preferred and common stock. The financial statements and accompanying footnotes have been retroactively restated to reflect the reverse stock split.</w:t>
      </w:r>
    </w:p>
    <w:p>
      <w:pPr>
        <w:spacing w:after="0" w:line="228" w:lineRule="exact"/>
        <w:rPr>
          <w:sz w:val="20"/>
          <w:szCs w:val="20"/>
          <w:color w:val="auto"/>
        </w:rPr>
      </w:pPr>
    </w:p>
    <w:p>
      <w:pPr>
        <w:ind w:left="260" w:right="7840" w:hanging="252"/>
        <w:spacing w:after="0" w:line="378" w:lineRule="auto"/>
        <w:tabs>
          <w:tab w:leader="none" w:pos="19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firstLine="446"/>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Operating results for the six months ended June 30, 2017 are not necessarily indicative of the results that may be expected for the year ending December 31, 2017. The financial statements should be read in conjunction with our audited financial statements for the year ended December 31, 2016, included in our Annual Form 10-K.</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6" w:name="page7"/>
    <w:bookmarkEnd w:id="6"/>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 accompanying consolidated financial statements include us and our wholly-owned Australian subsidiary, which was established in March 2015. All intercompany accounts and transactions have been eliminated in consolidation. We operate in one reportable segment and our functional and reporting currency is the U.S. dollar.</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446"/>
        <w:spacing w:after="0" w:line="297"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 Term and Long Term Investments</w:t>
      </w:r>
    </w:p>
    <w:p>
      <w:pPr>
        <w:spacing w:after="0" w:line="11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Unrealized gains and losses, deemed temporary in nature, are reported as a component of accumulated other comprehensive income (loss), net of tax. A decline in the fair value of any security below cost that is deemed other than temporary results in a charge to earnings and the corresponding establishment of a new cost basis for the security. Dividend and interest income are recognized when earned. Realized gains and losses are included in earnings and are derived using the specific identification method for determining the cost of securities sold.</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Financial instruments that potentially subject us to a concentration of credit risk consist of cash and cash equivalents and certain investments in money market funds,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77"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Comprehensive income (loss) represents all changes in stockholders’ equity (deficit) except those resulting from distributions to stockholders. Our unrealized losses on investments represent the only component of other comprehensive loss that is excluded from the reported net income (loss).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7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Basic net income (loss) per common share is computed by dividing net income (loss) by the weighted-average number of common shares outstanding during the period. Diluted net income (loss) per share is computed by dividing net income (loss) by the weighted-average number of common equivalent shares outstanding for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2"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period. Diluted net income (loss) per share includes any dilutive effect from outstanding stock options and warrants using the treasury stock method.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Computations for basic and diluted net income (loss) per common share are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F0FC"/>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0FC"/>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620" w:type="dxa"/>
            <w:vAlign w:val="bottom"/>
            <w:tcBorders>
              <w:bottom w:val="single" w:sz="8" w:color="CCF0FC"/>
            </w:tcBorders>
            <w:shd w:val="clear" w:color="auto" w:fill="CCF0FC"/>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F0FC"/>
            </w:tcBorders>
            <w:shd w:val="clear" w:color="auto" w:fill="CCF0FC"/>
          </w:tcPr>
          <w:p>
            <w:pPr>
              <w:spacing w:after="0"/>
              <w:rPr>
                <w:sz w:val="21"/>
                <w:szCs w:val="21"/>
                <w:color w:val="auto"/>
              </w:rPr>
            </w:pPr>
          </w:p>
        </w:tc>
        <w:tc>
          <w:tcPr>
            <w:tcW w:w="106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360" w:type="dxa"/>
            <w:vAlign w:val="bottom"/>
            <w:tcBorders>
              <w:bottom w:val="single" w:sz="8" w:color="CCF0FC"/>
            </w:tcBorders>
            <w:shd w:val="clear" w:color="auto" w:fill="CCF0FC"/>
          </w:tcPr>
          <w:p>
            <w:pPr>
              <w:spacing w:after="0"/>
              <w:rPr>
                <w:sz w:val="21"/>
                <w:szCs w:val="21"/>
                <w:color w:val="auto"/>
              </w:rPr>
            </w:pPr>
          </w:p>
        </w:tc>
        <w:tc>
          <w:tcPr>
            <w:tcW w:w="1000" w:type="dxa"/>
            <w:vAlign w:val="bottom"/>
            <w:tcBorders>
              <w:bottom w:val="single" w:sz="8" w:color="CCF0FC"/>
            </w:tcBorders>
            <w:shd w:val="clear" w:color="auto" w:fill="CCF0FC"/>
          </w:tcPr>
          <w:p>
            <w:pPr>
              <w:spacing w:after="0"/>
              <w:rPr>
                <w:sz w:val="21"/>
                <w:szCs w:val="21"/>
                <w:color w:val="auto"/>
              </w:rPr>
            </w:pPr>
          </w:p>
        </w:tc>
        <w:tc>
          <w:tcPr>
            <w:tcW w:w="100" w:type="dxa"/>
            <w:vAlign w:val="bottom"/>
            <w:tcBorders>
              <w:bottom w:val="single" w:sz="8" w:color="CCF0FC"/>
            </w:tcBorders>
            <w:shd w:val="clear" w:color="auto" w:fill="CCF0FC"/>
          </w:tcPr>
          <w:p>
            <w:pPr>
              <w:spacing w:after="0"/>
              <w:rPr>
                <w:sz w:val="21"/>
                <w:szCs w:val="21"/>
                <w:color w:val="auto"/>
              </w:rPr>
            </w:pPr>
          </w:p>
        </w:tc>
        <w:tc>
          <w:tcPr>
            <w:tcW w:w="340" w:type="dxa"/>
            <w:vAlign w:val="bottom"/>
            <w:tcBorders>
              <w:bottom w:val="single" w:sz="8" w:color="CCF0FC"/>
            </w:tcBorders>
            <w:shd w:val="clear" w:color="auto" w:fill="CCF0FC"/>
          </w:tcPr>
          <w:p>
            <w:pPr>
              <w:spacing w:after="0"/>
              <w:rPr>
                <w:sz w:val="21"/>
                <w:szCs w:val="21"/>
                <w:color w:val="auto"/>
              </w:rPr>
            </w:pPr>
          </w:p>
        </w:tc>
        <w:tc>
          <w:tcPr>
            <w:tcW w:w="102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520" w:type="dxa"/>
            <w:vAlign w:val="bottom"/>
            <w:tcBorders>
              <w:bottom w:val="single" w:sz="8" w:color="CCF0FC"/>
            </w:tcBorders>
            <w:shd w:val="clear" w:color="auto" w:fill="CCF0FC"/>
          </w:tcPr>
          <w:p>
            <w:pPr>
              <w:spacing w:after="0"/>
              <w:rPr>
                <w:sz w:val="21"/>
                <w:szCs w:val="21"/>
                <w:color w:val="auto"/>
              </w:rPr>
            </w:pPr>
          </w:p>
        </w:tc>
        <w:tc>
          <w:tcPr>
            <w:tcW w:w="840" w:type="dxa"/>
            <w:vAlign w:val="bottom"/>
            <w:tcBorders>
              <w:bottom w:val="single" w:sz="8" w:color="CCF0FC"/>
            </w:tcBorders>
            <w:shd w:val="clear" w:color="auto" w:fill="CCF0FC"/>
          </w:tcPr>
          <w:p>
            <w:pPr>
              <w:spacing w:after="0"/>
              <w:rPr>
                <w:sz w:val="21"/>
                <w:szCs w:val="2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(14,119)</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1,434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F0FC"/>
            </w:tcBorders>
            <w:shd w:val="clear" w:color="auto" w:fill="CCF0FC"/>
          </w:tcPr>
          <w:p>
            <w:pPr>
              <w:ind w:left="220"/>
              <w:spacing w:after="0"/>
              <w:rPr>
                <w:sz w:val="20"/>
                <w:szCs w:val="20"/>
                <w:color w:val="auto"/>
              </w:rPr>
            </w:pPr>
            <w:r>
              <w:rPr>
                <w:rFonts w:ascii="Arial" w:cs="Arial" w:eastAsia="Arial" w:hAnsi="Arial"/>
                <w:sz w:val="18"/>
                <w:szCs w:val="18"/>
                <w:color w:val="auto"/>
              </w:rPr>
              <w:t>Net income attributed to participating securities</w:t>
            </w:r>
          </w:p>
        </w:tc>
        <w:tc>
          <w:tcPr>
            <w:tcW w:w="320" w:type="dxa"/>
            <w:vAlign w:val="bottom"/>
            <w:tcBorders>
              <w:bottom w:val="single" w:sz="8" w:color="CCF0FC"/>
            </w:tcBorders>
            <w:shd w:val="clear" w:color="auto" w:fill="CCF0FC"/>
          </w:tcPr>
          <w:p>
            <w:pPr>
              <w:spacing w:after="0"/>
              <w:rPr>
                <w:sz w:val="23"/>
                <w:szCs w:val="23"/>
                <w:color w:val="auto"/>
              </w:rPr>
            </w:pPr>
          </w:p>
        </w:tc>
        <w:tc>
          <w:tcPr>
            <w:tcW w:w="1180" w:type="dxa"/>
            <w:vAlign w:val="bottom"/>
            <w:tcBorders>
              <w:bottom w:val="single" w:sz="8" w:color="CCF0FC"/>
            </w:tcBorders>
            <w:gridSpan w:val="2"/>
            <w:shd w:val="clear" w:color="auto" w:fill="CC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F0FC"/>
            </w:tcBorders>
            <w:shd w:val="clear" w:color="auto" w:fill="CCF0FC"/>
          </w:tcPr>
          <w:p>
            <w:pPr>
              <w:spacing w:after="0"/>
              <w:rPr>
                <w:sz w:val="23"/>
                <w:szCs w:val="23"/>
                <w:color w:val="auto"/>
              </w:rPr>
            </w:pPr>
          </w:p>
        </w:tc>
        <w:tc>
          <w:tcPr>
            <w:tcW w:w="1000" w:type="dxa"/>
            <w:vAlign w:val="bottom"/>
            <w:tcBorders>
              <w:bottom w:val="single" w:sz="8" w:color="CCF0FC"/>
            </w:tcBorders>
            <w:shd w:val="clear" w:color="auto" w:fill="CCF0FC"/>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F0FC"/>
            </w:tcBorders>
            <w:shd w:val="clear" w:color="auto" w:fill="CCF0FC"/>
          </w:tcPr>
          <w:p>
            <w:pPr>
              <w:spacing w:after="0"/>
              <w:rPr>
                <w:sz w:val="23"/>
                <w:szCs w:val="23"/>
                <w:color w:val="auto"/>
              </w:rPr>
            </w:pPr>
          </w:p>
        </w:tc>
        <w:tc>
          <w:tcPr>
            <w:tcW w:w="340" w:type="dxa"/>
            <w:vAlign w:val="bottom"/>
            <w:tcBorders>
              <w:bottom w:val="single" w:sz="8" w:color="CCF0FC"/>
            </w:tcBorders>
            <w:shd w:val="clear" w:color="auto" w:fill="CCF0FC"/>
          </w:tcPr>
          <w:p>
            <w:pPr>
              <w:spacing w:after="0"/>
              <w:rPr>
                <w:sz w:val="23"/>
                <w:szCs w:val="23"/>
                <w:color w:val="auto"/>
              </w:rPr>
            </w:pPr>
          </w:p>
        </w:tc>
        <w:tc>
          <w:tcPr>
            <w:tcW w:w="1140" w:type="dxa"/>
            <w:vAlign w:val="bottom"/>
            <w:tcBorders>
              <w:bottom w:val="single" w:sz="8" w:color="CCF0FC"/>
            </w:tcBorders>
            <w:gridSpan w:val="2"/>
            <w:shd w:val="clear" w:color="auto" w:fill="CCF0FC"/>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F0FC"/>
            </w:tcBorders>
            <w:shd w:val="clear" w:color="auto" w:fill="CCF0FC"/>
          </w:tcPr>
          <w:p>
            <w:pPr>
              <w:spacing w:after="0"/>
              <w:rPr>
                <w:sz w:val="23"/>
                <w:szCs w:val="23"/>
                <w:color w:val="auto"/>
              </w:rPr>
            </w:pPr>
          </w:p>
        </w:tc>
        <w:tc>
          <w:tcPr>
            <w:tcW w:w="840" w:type="dxa"/>
            <w:vAlign w:val="bottom"/>
            <w:tcBorders>
              <w:bottom w:val="single" w:sz="8" w:color="CCF0FC"/>
            </w:tcBorders>
            <w:shd w:val="clear" w:color="auto" w:fill="CCF0FC"/>
          </w:tcPr>
          <w:p>
            <w:pPr>
              <w:jc w:val="right"/>
              <w:spacing w:after="0"/>
              <w:rPr>
                <w:sz w:val="20"/>
                <w:szCs w:val="20"/>
                <w:color w:val="auto"/>
              </w:rPr>
            </w:pPr>
            <w:r>
              <w:rPr>
                <w:rFonts w:ascii="Arial" w:cs="Arial" w:eastAsia="Arial" w:hAnsi="Arial"/>
                <w:sz w:val="18"/>
                <w:szCs w:val="18"/>
                <w:color w:val="auto"/>
              </w:rPr>
              <w:t>(1,434)</w:t>
            </w:r>
          </w:p>
        </w:tc>
      </w:tr>
      <w:tr>
        <w:trPr>
          <w:trHeight w:val="237"/>
        </w:trPr>
        <w:tc>
          <w:tcPr>
            <w:tcW w:w="5620" w:type="dxa"/>
            <w:vAlign w:val="bottom"/>
          </w:tcPr>
          <w:p>
            <w:pPr>
              <w:ind w:left="220"/>
              <w:spacing w:after="0"/>
              <w:rPr>
                <w:sz w:val="20"/>
                <w:szCs w:val="20"/>
                <w:color w:val="auto"/>
              </w:rPr>
            </w:pPr>
            <w:r>
              <w:rPr>
                <w:rFonts w:ascii="Arial" w:cs="Arial" w:eastAsia="Arial" w:hAnsi="Arial"/>
                <w:sz w:val="18"/>
                <w:szCs w:val="18"/>
                <w:color w:val="auto"/>
              </w:rPr>
              <w:t>Net income (loss) attributed to common stockholders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F0FC"/>
            </w:tcBorders>
            <w:shd w:val="clear" w:color="auto" w:fill="CCF0FC"/>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F0FC"/>
            </w:tcBorders>
            <w:shd w:val="clear" w:color="auto" w:fill="CCF0FC"/>
          </w:tcPr>
          <w:p>
            <w:pPr>
              <w:spacing w:after="0"/>
              <w:rPr>
                <w:sz w:val="21"/>
                <w:szCs w:val="21"/>
                <w:color w:val="auto"/>
              </w:rPr>
            </w:pPr>
          </w:p>
        </w:tc>
        <w:tc>
          <w:tcPr>
            <w:tcW w:w="106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360" w:type="dxa"/>
            <w:vAlign w:val="bottom"/>
            <w:tcBorders>
              <w:bottom w:val="single" w:sz="8" w:color="CCF0FC"/>
            </w:tcBorders>
            <w:shd w:val="clear" w:color="auto" w:fill="CCF0FC"/>
          </w:tcPr>
          <w:p>
            <w:pPr>
              <w:spacing w:after="0"/>
              <w:rPr>
                <w:sz w:val="21"/>
                <w:szCs w:val="21"/>
                <w:color w:val="auto"/>
              </w:rPr>
            </w:pPr>
          </w:p>
        </w:tc>
        <w:tc>
          <w:tcPr>
            <w:tcW w:w="1000" w:type="dxa"/>
            <w:vAlign w:val="bottom"/>
            <w:tcBorders>
              <w:bottom w:val="single" w:sz="8" w:color="CCF0FC"/>
            </w:tcBorders>
            <w:shd w:val="clear" w:color="auto" w:fill="CCF0FC"/>
          </w:tcPr>
          <w:p>
            <w:pPr>
              <w:spacing w:after="0"/>
              <w:rPr>
                <w:sz w:val="21"/>
                <w:szCs w:val="21"/>
                <w:color w:val="auto"/>
              </w:rPr>
            </w:pPr>
          </w:p>
        </w:tc>
        <w:tc>
          <w:tcPr>
            <w:tcW w:w="100" w:type="dxa"/>
            <w:vAlign w:val="bottom"/>
            <w:tcBorders>
              <w:bottom w:val="single" w:sz="8" w:color="CCF0FC"/>
            </w:tcBorders>
            <w:shd w:val="clear" w:color="auto" w:fill="CCF0FC"/>
          </w:tcPr>
          <w:p>
            <w:pPr>
              <w:spacing w:after="0"/>
              <w:rPr>
                <w:sz w:val="21"/>
                <w:szCs w:val="21"/>
                <w:color w:val="auto"/>
              </w:rPr>
            </w:pPr>
          </w:p>
        </w:tc>
        <w:tc>
          <w:tcPr>
            <w:tcW w:w="340" w:type="dxa"/>
            <w:vAlign w:val="bottom"/>
            <w:tcBorders>
              <w:bottom w:val="single" w:sz="8" w:color="CCF0FC"/>
            </w:tcBorders>
            <w:shd w:val="clear" w:color="auto" w:fill="CCF0FC"/>
          </w:tcPr>
          <w:p>
            <w:pPr>
              <w:spacing w:after="0"/>
              <w:rPr>
                <w:sz w:val="21"/>
                <w:szCs w:val="21"/>
                <w:color w:val="auto"/>
              </w:rPr>
            </w:pPr>
          </w:p>
        </w:tc>
        <w:tc>
          <w:tcPr>
            <w:tcW w:w="102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520" w:type="dxa"/>
            <w:vAlign w:val="bottom"/>
            <w:tcBorders>
              <w:bottom w:val="single" w:sz="8" w:color="CCF0FC"/>
            </w:tcBorders>
            <w:shd w:val="clear" w:color="auto" w:fill="CCF0FC"/>
          </w:tcPr>
          <w:p>
            <w:pPr>
              <w:spacing w:after="0"/>
              <w:rPr>
                <w:sz w:val="21"/>
                <w:szCs w:val="21"/>
                <w:color w:val="auto"/>
              </w:rPr>
            </w:pPr>
          </w:p>
        </w:tc>
        <w:tc>
          <w:tcPr>
            <w:tcW w:w="840" w:type="dxa"/>
            <w:vAlign w:val="bottom"/>
            <w:tcBorders>
              <w:bottom w:val="single" w:sz="8" w:color="CCF0FC"/>
            </w:tcBorders>
            <w:shd w:val="clear" w:color="auto" w:fill="CCF0FC"/>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20,271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17,797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2,632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F0FC"/>
            </w:tcBorders>
            <w:shd w:val="clear" w:color="auto" w:fill="CCF0FC"/>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CCF0FC"/>
            </w:tcBorders>
            <w:shd w:val="clear" w:color="auto" w:fill="CCF0FC"/>
          </w:tcPr>
          <w:p>
            <w:pPr>
              <w:spacing w:after="0"/>
              <w:rPr>
                <w:sz w:val="21"/>
                <w:szCs w:val="21"/>
                <w:color w:val="auto"/>
              </w:rPr>
            </w:pPr>
          </w:p>
        </w:tc>
        <w:tc>
          <w:tcPr>
            <w:tcW w:w="106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360" w:type="dxa"/>
            <w:vAlign w:val="bottom"/>
            <w:tcBorders>
              <w:bottom w:val="single" w:sz="8" w:color="CCF0FC"/>
            </w:tcBorders>
            <w:shd w:val="clear" w:color="auto" w:fill="CCF0FC"/>
          </w:tcPr>
          <w:p>
            <w:pPr>
              <w:spacing w:after="0"/>
              <w:rPr>
                <w:sz w:val="21"/>
                <w:szCs w:val="21"/>
                <w:color w:val="auto"/>
              </w:rPr>
            </w:pPr>
          </w:p>
        </w:tc>
        <w:tc>
          <w:tcPr>
            <w:tcW w:w="1000" w:type="dxa"/>
            <w:vAlign w:val="bottom"/>
            <w:tcBorders>
              <w:bottom w:val="single" w:sz="8" w:color="CCF0FC"/>
            </w:tcBorders>
            <w:shd w:val="clear" w:color="auto" w:fill="CCF0FC"/>
          </w:tcPr>
          <w:p>
            <w:pPr>
              <w:spacing w:after="0"/>
              <w:rPr>
                <w:sz w:val="21"/>
                <w:szCs w:val="21"/>
                <w:color w:val="auto"/>
              </w:rPr>
            </w:pPr>
          </w:p>
        </w:tc>
        <w:tc>
          <w:tcPr>
            <w:tcW w:w="100" w:type="dxa"/>
            <w:vAlign w:val="bottom"/>
            <w:tcBorders>
              <w:bottom w:val="single" w:sz="8" w:color="CCF0FC"/>
            </w:tcBorders>
            <w:shd w:val="clear" w:color="auto" w:fill="CCF0FC"/>
          </w:tcPr>
          <w:p>
            <w:pPr>
              <w:spacing w:after="0"/>
              <w:rPr>
                <w:sz w:val="21"/>
                <w:szCs w:val="21"/>
                <w:color w:val="auto"/>
              </w:rPr>
            </w:pPr>
          </w:p>
        </w:tc>
        <w:tc>
          <w:tcPr>
            <w:tcW w:w="340" w:type="dxa"/>
            <w:vAlign w:val="bottom"/>
            <w:tcBorders>
              <w:bottom w:val="single" w:sz="8" w:color="CCF0FC"/>
            </w:tcBorders>
            <w:shd w:val="clear" w:color="auto" w:fill="CCF0FC"/>
          </w:tcPr>
          <w:p>
            <w:pPr>
              <w:spacing w:after="0"/>
              <w:rPr>
                <w:sz w:val="21"/>
                <w:szCs w:val="21"/>
                <w:color w:val="auto"/>
              </w:rPr>
            </w:pPr>
          </w:p>
        </w:tc>
        <w:tc>
          <w:tcPr>
            <w:tcW w:w="102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520" w:type="dxa"/>
            <w:vAlign w:val="bottom"/>
            <w:tcBorders>
              <w:bottom w:val="single" w:sz="8" w:color="CCF0FC"/>
            </w:tcBorders>
            <w:shd w:val="clear" w:color="auto" w:fill="CCF0FC"/>
          </w:tcPr>
          <w:p>
            <w:pPr>
              <w:spacing w:after="0"/>
              <w:rPr>
                <w:sz w:val="21"/>
                <w:szCs w:val="21"/>
                <w:color w:val="auto"/>
              </w:rPr>
            </w:pPr>
          </w:p>
        </w:tc>
        <w:tc>
          <w:tcPr>
            <w:tcW w:w="840" w:type="dxa"/>
            <w:vAlign w:val="bottom"/>
            <w:tcBorders>
              <w:bottom w:val="single" w:sz="8" w:color="CCF0FC"/>
            </w:tcBorders>
            <w:shd w:val="clear" w:color="auto" w:fill="CCF0FC"/>
          </w:tcPr>
          <w:p>
            <w:pPr>
              <w:spacing w:after="0"/>
              <w:rPr>
                <w:sz w:val="21"/>
                <w:szCs w:val="21"/>
                <w:color w:val="auto"/>
              </w:rPr>
            </w:pPr>
          </w:p>
        </w:tc>
      </w:tr>
      <w:tr>
        <w:trPr>
          <w:trHeight w:val="243"/>
        </w:trPr>
        <w:tc>
          <w:tcPr>
            <w:tcW w:w="562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837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F0FC"/>
            </w:tcBorders>
            <w:shd w:val="clear" w:color="auto" w:fill="CCF0FC"/>
          </w:tcPr>
          <w:p>
            <w:pPr>
              <w:ind w:left="120"/>
              <w:spacing w:after="0"/>
              <w:rPr>
                <w:sz w:val="20"/>
                <w:szCs w:val="20"/>
                <w:color w:val="auto"/>
              </w:rPr>
            </w:pPr>
            <w:r>
              <w:rPr>
                <w:rFonts w:ascii="Arial" w:cs="Arial" w:eastAsia="Arial" w:hAnsi="Arial"/>
                <w:sz w:val="18"/>
                <w:szCs w:val="18"/>
                <w:color w:val="auto"/>
              </w:rPr>
              <w:t>Warrants</w:t>
            </w:r>
          </w:p>
        </w:tc>
        <w:tc>
          <w:tcPr>
            <w:tcW w:w="320" w:type="dxa"/>
            <w:vAlign w:val="bottom"/>
            <w:tcBorders>
              <w:bottom w:val="single" w:sz="8" w:color="CCF0FC"/>
            </w:tcBorders>
            <w:shd w:val="clear" w:color="auto" w:fill="CCF0FC"/>
          </w:tcPr>
          <w:p>
            <w:pPr>
              <w:spacing w:after="0"/>
              <w:rPr>
                <w:sz w:val="23"/>
                <w:szCs w:val="23"/>
                <w:color w:val="auto"/>
              </w:rPr>
            </w:pPr>
          </w:p>
        </w:tc>
        <w:tc>
          <w:tcPr>
            <w:tcW w:w="1180" w:type="dxa"/>
            <w:vAlign w:val="bottom"/>
            <w:tcBorders>
              <w:bottom w:val="single" w:sz="8" w:color="CCF0FC"/>
            </w:tcBorders>
            <w:gridSpan w:val="2"/>
            <w:shd w:val="clear" w:color="auto" w:fill="CC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F0FC"/>
            </w:tcBorders>
            <w:shd w:val="clear" w:color="auto" w:fill="CCF0FC"/>
          </w:tcPr>
          <w:p>
            <w:pPr>
              <w:spacing w:after="0"/>
              <w:rPr>
                <w:sz w:val="23"/>
                <w:szCs w:val="23"/>
                <w:color w:val="auto"/>
              </w:rPr>
            </w:pPr>
          </w:p>
        </w:tc>
        <w:tc>
          <w:tcPr>
            <w:tcW w:w="1000" w:type="dxa"/>
            <w:vAlign w:val="bottom"/>
            <w:tcBorders>
              <w:bottom w:val="single" w:sz="8" w:color="CCF0FC"/>
            </w:tcBorders>
            <w:shd w:val="clear" w:color="auto" w:fill="CCF0FC"/>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F0FC"/>
            </w:tcBorders>
            <w:shd w:val="clear" w:color="auto" w:fill="CCF0FC"/>
          </w:tcPr>
          <w:p>
            <w:pPr>
              <w:spacing w:after="0"/>
              <w:rPr>
                <w:sz w:val="23"/>
                <w:szCs w:val="23"/>
                <w:color w:val="auto"/>
              </w:rPr>
            </w:pPr>
          </w:p>
        </w:tc>
        <w:tc>
          <w:tcPr>
            <w:tcW w:w="340" w:type="dxa"/>
            <w:vAlign w:val="bottom"/>
            <w:tcBorders>
              <w:bottom w:val="single" w:sz="8" w:color="CCF0FC"/>
            </w:tcBorders>
            <w:shd w:val="clear" w:color="auto" w:fill="CCF0FC"/>
          </w:tcPr>
          <w:p>
            <w:pPr>
              <w:spacing w:after="0"/>
              <w:rPr>
                <w:sz w:val="23"/>
                <w:szCs w:val="23"/>
                <w:color w:val="auto"/>
              </w:rPr>
            </w:pPr>
          </w:p>
        </w:tc>
        <w:tc>
          <w:tcPr>
            <w:tcW w:w="1140" w:type="dxa"/>
            <w:vAlign w:val="bottom"/>
            <w:tcBorders>
              <w:bottom w:val="single" w:sz="8" w:color="CCF0FC"/>
            </w:tcBorders>
            <w:gridSpan w:val="2"/>
            <w:shd w:val="clear" w:color="auto" w:fill="CCF0FC"/>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F0FC"/>
            </w:tcBorders>
            <w:shd w:val="clear" w:color="auto" w:fill="CCF0FC"/>
          </w:tcPr>
          <w:p>
            <w:pPr>
              <w:spacing w:after="0"/>
              <w:rPr>
                <w:sz w:val="23"/>
                <w:szCs w:val="23"/>
                <w:color w:val="auto"/>
              </w:rPr>
            </w:pPr>
          </w:p>
        </w:tc>
        <w:tc>
          <w:tcPr>
            <w:tcW w:w="840" w:type="dxa"/>
            <w:vAlign w:val="bottom"/>
            <w:tcBorders>
              <w:bottom w:val="single" w:sz="8" w:color="CCF0FC"/>
            </w:tcBorders>
            <w:shd w:val="clear" w:color="auto" w:fill="CCF0FC"/>
          </w:tcPr>
          <w:p>
            <w:pPr>
              <w:jc w:val="right"/>
              <w:ind w:right="12"/>
              <w:spacing w:after="0"/>
              <w:rPr>
                <w:sz w:val="20"/>
                <w:szCs w:val="20"/>
                <w:color w:val="auto"/>
              </w:rPr>
            </w:pPr>
            <w:r>
              <w:rPr>
                <w:rFonts w:ascii="Arial" w:cs="Arial" w:eastAsia="Arial" w:hAnsi="Arial"/>
                <w:sz w:val="18"/>
                <w:szCs w:val="18"/>
                <w:color w:val="auto"/>
              </w:rPr>
              <w:t>28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20,271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17,797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3,497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0"/>
        </w:trPr>
        <w:tc>
          <w:tcPr>
            <w:tcW w:w="5620" w:type="dxa"/>
            <w:vAlign w:val="bottom"/>
            <w:shd w:val="clear" w:color="auto" w:fill="CCF0FC"/>
          </w:tcPr>
          <w:p>
            <w:pPr>
              <w:spacing w:after="0"/>
              <w:rPr>
                <w:sz w:val="19"/>
                <w:szCs w:val="19"/>
                <w:color w:val="auto"/>
              </w:rPr>
            </w:pPr>
          </w:p>
        </w:tc>
        <w:tc>
          <w:tcPr>
            <w:tcW w:w="320" w:type="dxa"/>
            <w:vAlign w:val="bottom"/>
            <w:shd w:val="clear" w:color="auto" w:fill="CCF0FC"/>
          </w:tcPr>
          <w:p>
            <w:pPr>
              <w:spacing w:after="0"/>
              <w:rPr>
                <w:sz w:val="19"/>
                <w:szCs w:val="19"/>
                <w:color w:val="auto"/>
              </w:rPr>
            </w:pPr>
          </w:p>
        </w:tc>
        <w:tc>
          <w:tcPr>
            <w:tcW w:w="1060" w:type="dxa"/>
            <w:vAlign w:val="bottom"/>
            <w:shd w:val="clear" w:color="auto" w:fill="CCF0FC"/>
          </w:tcPr>
          <w:p>
            <w:pPr>
              <w:spacing w:after="0"/>
              <w:rPr>
                <w:sz w:val="19"/>
                <w:szCs w:val="19"/>
                <w:color w:val="auto"/>
              </w:rPr>
            </w:pPr>
          </w:p>
        </w:tc>
        <w:tc>
          <w:tcPr>
            <w:tcW w:w="120" w:type="dxa"/>
            <w:vAlign w:val="bottom"/>
            <w:shd w:val="clear" w:color="auto" w:fill="CCF0FC"/>
          </w:tcPr>
          <w:p>
            <w:pPr>
              <w:spacing w:after="0"/>
              <w:rPr>
                <w:sz w:val="19"/>
                <w:szCs w:val="19"/>
                <w:color w:val="auto"/>
              </w:rPr>
            </w:pPr>
          </w:p>
        </w:tc>
        <w:tc>
          <w:tcPr>
            <w:tcW w:w="360" w:type="dxa"/>
            <w:vAlign w:val="bottom"/>
            <w:shd w:val="clear" w:color="auto" w:fill="CCF0FC"/>
          </w:tcPr>
          <w:p>
            <w:pPr>
              <w:spacing w:after="0"/>
              <w:rPr>
                <w:sz w:val="19"/>
                <w:szCs w:val="19"/>
                <w:color w:val="auto"/>
              </w:rPr>
            </w:pPr>
          </w:p>
        </w:tc>
        <w:tc>
          <w:tcPr>
            <w:tcW w:w="1000" w:type="dxa"/>
            <w:vAlign w:val="bottom"/>
            <w:shd w:val="clear" w:color="auto" w:fill="CCF0FC"/>
          </w:tcPr>
          <w:p>
            <w:pPr>
              <w:spacing w:after="0"/>
              <w:rPr>
                <w:sz w:val="19"/>
                <w:szCs w:val="19"/>
                <w:color w:val="auto"/>
              </w:rPr>
            </w:pPr>
          </w:p>
        </w:tc>
        <w:tc>
          <w:tcPr>
            <w:tcW w:w="100" w:type="dxa"/>
            <w:vAlign w:val="bottom"/>
            <w:shd w:val="clear" w:color="auto" w:fill="CCF0FC"/>
          </w:tcPr>
          <w:p>
            <w:pPr>
              <w:spacing w:after="0"/>
              <w:rPr>
                <w:sz w:val="19"/>
                <w:szCs w:val="19"/>
                <w:color w:val="auto"/>
              </w:rPr>
            </w:pPr>
          </w:p>
        </w:tc>
        <w:tc>
          <w:tcPr>
            <w:tcW w:w="340" w:type="dxa"/>
            <w:vAlign w:val="bottom"/>
            <w:shd w:val="clear" w:color="auto" w:fill="CCF0FC"/>
          </w:tcPr>
          <w:p>
            <w:pPr>
              <w:spacing w:after="0"/>
              <w:rPr>
                <w:sz w:val="19"/>
                <w:szCs w:val="19"/>
                <w:color w:val="auto"/>
              </w:rPr>
            </w:pPr>
          </w:p>
        </w:tc>
        <w:tc>
          <w:tcPr>
            <w:tcW w:w="1020" w:type="dxa"/>
            <w:vAlign w:val="bottom"/>
            <w:shd w:val="clear" w:color="auto" w:fill="CCF0FC"/>
          </w:tcPr>
          <w:p>
            <w:pPr>
              <w:spacing w:after="0"/>
              <w:rPr>
                <w:sz w:val="19"/>
                <w:szCs w:val="19"/>
                <w:color w:val="auto"/>
              </w:rPr>
            </w:pPr>
          </w:p>
        </w:tc>
        <w:tc>
          <w:tcPr>
            <w:tcW w:w="120" w:type="dxa"/>
            <w:vAlign w:val="bottom"/>
            <w:shd w:val="clear" w:color="auto" w:fill="CCF0FC"/>
          </w:tcPr>
          <w:p>
            <w:pPr>
              <w:spacing w:after="0"/>
              <w:rPr>
                <w:sz w:val="19"/>
                <w:szCs w:val="19"/>
                <w:color w:val="auto"/>
              </w:rPr>
            </w:pPr>
          </w:p>
        </w:tc>
        <w:tc>
          <w:tcPr>
            <w:tcW w:w="520" w:type="dxa"/>
            <w:vAlign w:val="bottom"/>
            <w:shd w:val="clear" w:color="auto" w:fill="CCF0FC"/>
          </w:tcPr>
          <w:p>
            <w:pPr>
              <w:spacing w:after="0"/>
              <w:rPr>
                <w:sz w:val="19"/>
                <w:szCs w:val="19"/>
                <w:color w:val="auto"/>
              </w:rPr>
            </w:pPr>
          </w:p>
        </w:tc>
        <w:tc>
          <w:tcPr>
            <w:tcW w:w="840" w:type="dxa"/>
            <w:vAlign w:val="bottom"/>
            <w:shd w:val="clear" w:color="auto" w:fill="CCF0FC"/>
          </w:tcPr>
          <w:p>
            <w:pPr>
              <w:spacing w:after="0"/>
              <w:rPr>
                <w:sz w:val="19"/>
                <w:szCs w:val="19"/>
                <w:color w:val="auto"/>
              </w:rPr>
            </w:pPr>
          </w:p>
        </w:tc>
      </w:tr>
      <w:tr>
        <w:trPr>
          <w:trHeight w:val="304"/>
        </w:trPr>
        <w:tc>
          <w:tcPr>
            <w:tcW w:w="5620" w:type="dxa"/>
            <w:vAlign w:val="bottom"/>
            <w:tcBorders>
              <w:bottom w:val="single" w:sz="8" w:color="CCF0FC"/>
            </w:tcBorders>
          </w:tcPr>
          <w:p>
            <w:pPr>
              <w:ind w:left="120"/>
              <w:spacing w:after="0"/>
              <w:rPr>
                <w:sz w:val="20"/>
                <w:szCs w:val="20"/>
                <w:color w:val="auto"/>
              </w:rPr>
            </w:pPr>
            <w:r>
              <w:rPr>
                <w:rFonts w:ascii="Arial" w:cs="Arial" w:eastAsia="Arial" w:hAnsi="Arial"/>
                <w:sz w:val="18"/>
                <w:szCs w:val="18"/>
                <w:color w:val="auto"/>
              </w:rPr>
              <w:t>Net income (loss) per share, 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F0FC"/>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F0FC"/>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F0FC"/>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5620" w:type="dxa"/>
            <w:vAlign w:val="bottom"/>
            <w:tcBorders>
              <w:bottom w:val="single" w:sz="8" w:color="CCF0FC"/>
            </w:tcBorders>
            <w:shd w:val="clear" w:color="auto" w:fill="CCF0FC"/>
          </w:tcPr>
          <w:p>
            <w:pPr>
              <w:ind w:left="120"/>
              <w:spacing w:after="0"/>
              <w:rPr>
                <w:sz w:val="20"/>
                <w:szCs w:val="20"/>
                <w:color w:val="auto"/>
              </w:rPr>
            </w:pPr>
            <w:r>
              <w:rPr>
                <w:rFonts w:ascii="Arial" w:cs="Arial" w:eastAsia="Arial" w:hAnsi="Arial"/>
                <w:sz w:val="18"/>
                <w:szCs w:val="18"/>
                <w:color w:val="auto"/>
              </w:rPr>
              <w:t>Net income (loss) per share, diluted</w:t>
            </w:r>
          </w:p>
        </w:tc>
        <w:tc>
          <w:tcPr>
            <w:tcW w:w="320" w:type="dxa"/>
            <w:vAlign w:val="bottom"/>
            <w:tcBorders>
              <w:bottom w:val="single" w:sz="8" w:color="auto"/>
            </w:tcBorders>
            <w:shd w:val="clear" w:color="auto" w:fill="CC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F0FC"/>
            </w:tcBorders>
            <w:shd w:val="clear" w:color="auto" w:fill="CCF0FC"/>
          </w:tcPr>
          <w:p>
            <w:pPr>
              <w:spacing w:after="0"/>
              <w:rPr>
                <w:sz w:val="21"/>
                <w:szCs w:val="21"/>
                <w:color w:val="auto"/>
              </w:rPr>
            </w:pPr>
          </w:p>
        </w:tc>
        <w:tc>
          <w:tcPr>
            <w:tcW w:w="360" w:type="dxa"/>
            <w:vAlign w:val="bottom"/>
            <w:tcBorders>
              <w:bottom w:val="single" w:sz="8" w:color="auto"/>
            </w:tcBorders>
            <w:shd w:val="clear" w:color="auto" w:fill="CC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0FC"/>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F0FC"/>
            </w:tcBorders>
            <w:shd w:val="clear" w:color="auto" w:fill="CCF0FC"/>
          </w:tcPr>
          <w:p>
            <w:pPr>
              <w:spacing w:after="0"/>
              <w:rPr>
                <w:sz w:val="21"/>
                <w:szCs w:val="21"/>
                <w:color w:val="auto"/>
              </w:rPr>
            </w:pPr>
          </w:p>
        </w:tc>
        <w:tc>
          <w:tcPr>
            <w:tcW w:w="340" w:type="dxa"/>
            <w:vAlign w:val="bottom"/>
            <w:tcBorders>
              <w:bottom w:val="single" w:sz="8" w:color="auto"/>
            </w:tcBorders>
            <w:shd w:val="clear" w:color="auto" w:fill="CC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F0FC"/>
            </w:tcBorders>
            <w:shd w:val="clear" w:color="auto" w:fill="CCF0FC"/>
          </w:tcPr>
          <w:p>
            <w:pPr>
              <w:spacing w:after="0"/>
              <w:rPr>
                <w:sz w:val="21"/>
                <w:szCs w:val="21"/>
                <w:color w:val="auto"/>
              </w:rPr>
            </w:pPr>
          </w:p>
        </w:tc>
        <w:tc>
          <w:tcPr>
            <w:tcW w:w="520" w:type="dxa"/>
            <w:vAlign w:val="bottom"/>
            <w:tcBorders>
              <w:bottom w:val="single" w:sz="8" w:color="auto"/>
            </w:tcBorders>
            <w:shd w:val="clear" w:color="auto" w:fill="CCF0FC"/>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F0FC"/>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income (loss) per share because to do so would be anti-dilutive (in common stock equivalent shares):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3"/>
          </w:tcPr>
          <w:p>
            <w:pPr>
              <w:jc w:val="center"/>
              <w:ind w:left="759"/>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5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87"/>
        </w:trPr>
        <w:tc>
          <w:tcPr>
            <w:tcW w:w="562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560" w:type="dxa"/>
            <w:vAlign w:val="bottom"/>
            <w:tcBorders>
              <w:bottom w:val="single" w:sz="8" w:color="auto"/>
            </w:tcBorders>
            <w:gridSpan w:val="3"/>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84"/>
              </w:rPr>
              <w:t>1,910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Warrants to purchase common stock</w:t>
            </w:r>
          </w:p>
        </w:tc>
        <w:tc>
          <w:tcPr>
            <w:tcW w:w="840" w:type="dxa"/>
            <w:vAlign w:val="bottom"/>
          </w:tcPr>
          <w:p>
            <w:pPr>
              <w:spacing w:after="0"/>
              <w:rPr>
                <w:sz w:val="21"/>
                <w:szCs w:val="21"/>
                <w:color w:val="auto"/>
              </w:rPr>
            </w:pPr>
          </w:p>
        </w:tc>
        <w:tc>
          <w:tcPr>
            <w:tcW w:w="540" w:type="dxa"/>
            <w:vAlign w:val="bottom"/>
          </w:tcPr>
          <w:p>
            <w:pPr>
              <w:jc w:val="right"/>
              <w:ind w:right="57"/>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8"/>
                <w:szCs w:val="18"/>
                <w:color w:val="auto"/>
                <w:w w:val="84"/>
              </w:rPr>
              <w:t>2,108</w:t>
            </w:r>
          </w:p>
        </w:tc>
        <w:tc>
          <w:tcPr>
            <w:tcW w:w="12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981</w:t>
            </w:r>
          </w:p>
        </w:tc>
        <w:tc>
          <w:tcPr>
            <w:tcW w:w="14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ind w:right="20" w:firstLine="446"/>
        <w:spacing w:after="0" w:line="289" w:lineRule="auto"/>
        <w:rPr>
          <w:sz w:val="20"/>
          <w:szCs w:val="20"/>
          <w:color w:val="auto"/>
        </w:rPr>
      </w:pPr>
      <w:r>
        <w:rPr>
          <w:rFonts w:ascii="Arial" w:cs="Arial" w:eastAsia="Arial" w:hAnsi="Arial"/>
          <w:sz w:val="16"/>
          <w:szCs w:val="16"/>
          <w:color w:val="auto"/>
        </w:rPr>
        <w:t xml:space="preserve">In March 2016, the Financial Accounting Standards Board (the “FASB”) issued Accounting Standards Update (“ASU”) 2016-09,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Share-Based Payment Accounting</w:t>
      </w:r>
      <w:r>
        <w:rPr>
          <w:rFonts w:ascii="Arial" w:cs="Arial" w:eastAsia="Arial" w:hAnsi="Arial"/>
          <w:sz w:val="16"/>
          <w:szCs w:val="16"/>
          <w:color w:val="auto"/>
        </w:rPr>
        <w:t>. Under the new guidance, additional paid-in capital pools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eliminated and entities will be required to recognize the income tax effects of share-based awards in the income statement when share-based awards vest or are settled. ASU 2016-09 also changes the classification of excess tax benefits on the statement of cash flows. It also will allow an employer to repurchase more of an employee's shares than it can currently for tax withholding purposes without triggering liability accounting and to make a policy election to either account for forfeitures as they occur or to continue the current practice of estimating forfeitures at the time of grant. ASU 2016-09 became effective for annual reporting periods beginning January 1, 2017, including interim periods thereafter. Upon adoption of this standard in January 2017, we recognized a cumulative increase of $41,000 to our accumulated deficit as a result of a change in accounting policy, due to our transition from calculating an estimated forfeiture rate at grant date to recording actual forfeitures as they occur. We did not record any other adjustments upon adoption of this standard.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8" w:name="page9"/>
    <w:bookmarkEnd w:id="8"/>
    <w:p>
      <w:pPr>
        <w:ind w:right="160" w:firstLine="446"/>
        <w:spacing w:after="0" w:line="27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which requires companies to include cash and cash equivalents that have restrictions on withdrawal or use in total cash and cash equivalents on the statement of cash flows. ASU 2016-18 becomes effective for annual reporting periods beginning January 1, 2018, including interim periods thereafter; early adoption is permitted, including adoption in an interim period. Upon early adoption of this standard in January 2017, we adjusted our consolidated statement of cash flows to include $60,000 in restricted cash in the beginning and ending cash balance. We did not record any other adjustments upon adoption of this standard.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46"/>
        <w:spacing w:after="0" w:line="28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will transition this standard using the modified retrospective approach for our annual reporting period beginning January 1, 2018. While we are continuing to assess all potential impacts of the standard, we currently believe the most significant impacts relate to our accounting for variable consideration including revenues related to contingent “milestone” based payments and our disclosures required under the new standard as it relates to our two ongoing collaboration agreements, TESARO and Celgene. Application of the new standard requires that variable consideration be recognized to the extent that it is probable that a significant reversal in the amount of revenue will not occur when the uncertainty associated with the variable consideration is subsequently resolved. Accordingly, we may be required to recognize milestone payments earlier in the period in which we determine a significant reversal will not occur, rather than when the milestone is achieved. However, we have reviewed the TESARO and Celgene agreements and have determined that given the nature of potential milestones owed to us under these agreements, and the inherent risk involved in developing drugs, we believe that the majority of potential milestones will not be recognizable as of the standard adoption date. Additionally, while we currently disaggregate our revenue disclosures by collaborative agreement, additional discussion surrounding significant estimates made by management may be required.</w:t>
      </w:r>
    </w:p>
    <w:p>
      <w:pPr>
        <w:spacing w:after="0" w:line="17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which intends to enhance the reporting model for financial instruments by providing users of financial instruments with more</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While we are currently assessing the impact of adopting this standard, we do not anticipate this standard will have a material impact on our consolidated financial statements.</w:t>
      </w:r>
    </w:p>
    <w:p>
      <w:pPr>
        <w:spacing w:after="0" w:line="189"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reviewing all contracts outstanding including our existing facility lease agreement and are assessing the impact that this standard will have on our consolidated financial statements.</w:t>
      </w:r>
    </w:p>
    <w:p>
      <w:pPr>
        <w:spacing w:after="0" w:line="187" w:lineRule="exact"/>
        <w:rPr>
          <w:sz w:val="20"/>
          <w:szCs w:val="20"/>
          <w:color w:val="auto"/>
        </w:rPr>
      </w:pPr>
    </w:p>
    <w:p>
      <w:pPr>
        <w:jc w:val="both"/>
        <w:ind w:right="60" w:firstLine="446"/>
        <w:spacing w:after="0" w:line="312"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which provides further guidance as to what constitutes a modification to the terms of shared based compensation, in order to create consistency in practice amongst all entities. ASU 2017-09 becomes effective for annual reporting periods beginning after December 15, 2017, including interim periods thereafter; early adoption is permitted, including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ind w:right="260"/>
        <w:spacing w:after="0" w:line="277" w:lineRule="auto"/>
        <w:rPr>
          <w:sz w:val="20"/>
          <w:szCs w:val="20"/>
          <w:color w:val="auto"/>
        </w:rPr>
      </w:pPr>
      <w:r>
        <w:rPr>
          <w:rFonts w:ascii="Arial" w:cs="Arial" w:eastAsia="Arial" w:hAnsi="Arial"/>
          <w:sz w:val="18"/>
          <w:szCs w:val="18"/>
          <w:color w:val="auto"/>
        </w:rPr>
        <w:t>adoption in an interim period. We intend to adopt this standard as of January 1, 2018, and do not anticipate this standard will have a material impact on our consolidated financial statements.</w:t>
      </w:r>
    </w:p>
    <w:p>
      <w:pPr>
        <w:spacing w:after="0" w:line="170"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Equity from Liabilities (Topic 480)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(Topic 815), </w:t>
      </w:r>
      <w:r>
        <w:rPr>
          <w:rFonts w:ascii="Arial" w:cs="Arial" w:eastAsia="Arial" w:hAnsi="Arial"/>
          <w:sz w:val="17"/>
          <w:szCs w:val="17"/>
          <w:color w:val="auto"/>
        </w:rPr>
        <w:t>which addresses the complexity of accounting for certain financial instruments with down round features and finalizes pending</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related to mandatorily redeemable noncontrolling interests. Under ASU 2017-11, when determining whether certain financial instruments should be classified as liabilities or equity instruments, a down round feature no longer precludes equity classification when assessing whether the instrument is indexed to an entity’s own stock. ASU 2017-11 becomes effective for annual reporting periods beginning after December 15, 2018, including interim periods thereafter; early adoption is permitted, including adoption in an interim period. We intend to adopt this standard as of January 1, 2019, and do not anticipate this standard will have a material impact on our consolidated financial statements.</w:t>
      </w:r>
    </w:p>
    <w:p>
      <w:pPr>
        <w:spacing w:after="0" w:line="282" w:lineRule="exact"/>
        <w:rPr>
          <w:sz w:val="20"/>
          <w:szCs w:val="20"/>
          <w:color w:val="auto"/>
        </w:rPr>
      </w:pPr>
    </w:p>
    <w:p>
      <w:pPr>
        <w:ind w:left="260" w:right="7040" w:hanging="252"/>
        <w:spacing w:after="0" w:line="378" w:lineRule="auto"/>
        <w:tabs>
          <w:tab w:leader="none" w:pos="19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50"/>
        </w:trPr>
        <w:tc>
          <w:tcPr>
            <w:tcW w:w="766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Laboratory equipment</w:t>
            </w:r>
          </w:p>
        </w:tc>
        <w:tc>
          <w:tcPr>
            <w:tcW w:w="32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3,476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(3,888)</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 property and equipment,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Accrued Expenses</w:t>
            </w: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ind w:left="460"/>
              <w:spacing w:after="0"/>
              <w:rPr>
                <w:sz w:val="20"/>
                <w:szCs w:val="20"/>
                <w:color w:val="auto"/>
              </w:rPr>
            </w:pPr>
            <w:r>
              <w:rPr>
                <w:rFonts w:ascii="Arial" w:cs="Arial" w:eastAsia="Arial" w:hAnsi="Arial"/>
                <w:sz w:val="18"/>
                <w:szCs w:val="18"/>
                <w:color w:val="auto"/>
              </w:rPr>
              <w:t>Accrued expenses consist of the following:</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4"/>
                <w:szCs w:val="2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24"/>
                <w:szCs w:val="24"/>
                <w:color w:val="auto"/>
              </w:rPr>
            </w:pPr>
          </w:p>
        </w:tc>
        <w:tc>
          <w:tcPr>
            <w:tcW w:w="160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50"/>
        </w:trPr>
        <w:tc>
          <w:tcPr>
            <w:tcW w:w="766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32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893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research and contract manufacturing expenses</w:t>
            </w:r>
          </w:p>
        </w:tc>
        <w:tc>
          <w:tcPr>
            <w:tcW w:w="3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accrued expenses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3,230</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right="7240" w:hanging="252"/>
        <w:spacing w:after="0" w:line="375" w:lineRule="auto"/>
        <w:tabs>
          <w:tab w:leader="none" w:pos="197"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Collaborative Research and Development Agreements TESARO Collaboration</w:t>
      </w:r>
    </w:p>
    <w:p>
      <w:pPr>
        <w:spacing w:after="0" w:line="1"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an undisclosed fourth target for an upfront license fee of $2.0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ind w:firstLine="446"/>
        <w:spacing w:after="0" w:line="270" w:lineRule="auto"/>
        <w:rPr>
          <w:sz w:val="20"/>
          <w:szCs w:val="20"/>
          <w:color w:val="auto"/>
        </w:rPr>
      </w:pPr>
      <w:r>
        <w:rPr>
          <w:rFonts w:ascii="Arial" w:cs="Arial" w:eastAsia="Arial" w:hAnsi="Arial"/>
          <w:sz w:val="17"/>
          <w:szCs w:val="17"/>
          <w:color w:val="auto"/>
        </w:rPr>
        <w:t>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w:t>
      </w:r>
    </w:p>
    <w:p>
      <w:pPr>
        <w:spacing w:after="0" w:line="178"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 xml:space="preserve">During the year ended December 31, 2015, we achieved two $1.0 million milestones upon initiation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good laboratory practices (GLPs), for an AnaptysBio-generated anti-PD-1 antagonist antibody (TSR-042) and an AnaptysBio-generated anti-TIM-3 antagonist antibody (TSR-022), each being advanced by TESARO, for which we recognized $77,000 and $0.2 million during the three and six months ended June 30, 2016.</w:t>
      </w:r>
    </w:p>
    <w:p>
      <w:pPr>
        <w:spacing w:after="0" w:line="147"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for which we recognized $0.4 million and $3.3 million during the three and six months ended June 30, 2016. The $4.0 million milestone payment was received in February 2016.</w:t>
      </w:r>
    </w:p>
    <w:p>
      <w:pPr>
        <w:spacing w:after="0" w:line="18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In May 2016, TESARO received clearance of their IND from the FDA for AnaptysBio-generated anti-TIM3 antagonist antibody (TSR-022) resulting in us earning a $4.0 million milestone payment, for which we recognized $3.3 million during the three and six months ended June 30, 2016. The $4.0 million milestone payment was received in June 2016.</w:t>
      </w:r>
    </w:p>
    <w:p>
      <w:pPr>
        <w:spacing w:after="0" w:line="100"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In April 2017, TESARO initiated a registration program for an AnaptysBio-generated anti-PD-1 antagonist antibody (TSR-042) resulting in a $3.0 million milestone payment being earned. We recognized the $3.0 million payment as revenue during the three and six months ended June 30, 2017. The $3.0 million payment was received in May 2017.</w:t>
      </w:r>
    </w:p>
    <w:p>
      <w:pPr>
        <w:spacing w:after="0" w:line="100"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In June 2017, TESARO received clearance of their IND from the FDA for an AnaptysBio-generated anti-LAG-3 antagonist antibody (TSR-033) resulting in us earning a $4.0 million milestone payment. We recognized the $4.0 million payment as revenue during the three and six months ended June 30, 2017. The $4 million payment was received in June 2017.</w:t>
      </w:r>
    </w:p>
    <w:p>
      <w:pPr>
        <w:spacing w:after="0" w:line="181"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Revenue from future contingent milestone payments will be recognized if and when such payments become due, subject to satisfaction of all of the criteria necessary to recognize revenue at that time.</w:t>
      </w:r>
    </w:p>
    <w:p>
      <w:pPr>
        <w:spacing w:after="0" w:line="170" w:lineRule="exact"/>
        <w:rPr>
          <w:sz w:val="20"/>
          <w:szCs w:val="20"/>
          <w:color w:val="auto"/>
        </w:rPr>
      </w:pPr>
    </w:p>
    <w:p>
      <w:pPr>
        <w:ind w:right="240" w:firstLine="446"/>
        <w:spacing w:after="0" w:line="286" w:lineRule="auto"/>
        <w:rPr>
          <w:sz w:val="20"/>
          <w:szCs w:val="20"/>
          <w:color w:val="auto"/>
        </w:rPr>
      </w:pPr>
      <w:r>
        <w:rPr>
          <w:rFonts w:ascii="Arial" w:cs="Arial" w:eastAsia="Arial" w:hAnsi="Arial"/>
          <w:sz w:val="17"/>
          <w:szCs w:val="17"/>
          <w:color w:val="auto"/>
        </w:rPr>
        <w:t>We recognized $7.0 million in revenue under this agreement during the three months ended June 30, 2017 related to two milestones earned. Revenue recognized under this agreement aggregated $5.4 million during the three months ended June 30, 2016, which includes $3.8 million related to milestones earned, $1.0 million in funding for research and development, $0.6 million for the amortization of the upfront fee.</w:t>
      </w:r>
    </w:p>
    <w:p>
      <w:pPr>
        <w:spacing w:after="0" w:line="166" w:lineRule="exact"/>
        <w:rPr>
          <w:sz w:val="20"/>
          <w:szCs w:val="20"/>
          <w:color w:val="auto"/>
        </w:rPr>
      </w:pPr>
    </w:p>
    <w:p>
      <w:pPr>
        <w:jc w:val="both"/>
        <w:ind w:right="380" w:firstLine="446"/>
        <w:spacing w:after="0" w:line="286" w:lineRule="auto"/>
        <w:rPr>
          <w:sz w:val="20"/>
          <w:szCs w:val="20"/>
          <w:color w:val="auto"/>
        </w:rPr>
      </w:pPr>
      <w:r>
        <w:rPr>
          <w:rFonts w:ascii="Arial" w:cs="Arial" w:eastAsia="Arial" w:hAnsi="Arial"/>
          <w:sz w:val="17"/>
          <w:szCs w:val="17"/>
          <w:color w:val="auto"/>
        </w:rPr>
        <w:t>We recognized $7.0 million in revenue under this agreement during the six months ended June 30, 2017 related to two milestones earned. Revenue recognized under this agreement aggregated $10.2 million during the six months ended June 30, 2016, which includes $6.7 million related to milestones earned, $2.2 million in funding for research and development services and $1.3 million for the amortization of the upfront fee.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90" w:lineRule="exact"/>
        <w:rPr>
          <w:sz w:val="20"/>
          <w:szCs w:val="20"/>
          <w:color w:val="auto"/>
        </w:rPr>
      </w:pPr>
    </w:p>
    <w:p>
      <w:pPr>
        <w:jc w:val="both"/>
        <w:ind w:right="120" w:firstLine="44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93"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earning a $0.5 million milestone payment in June 2016. We recognized the $0.5 million milestone payment as revenue during the three and six months ended June 30, 2016. The $0.5 million milestone payment was received in June 2016.</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revenue recognized under this agreement during the three and six months ended June 30,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and each bear a fixed rate of interest of 6.97%. The Term B Loans for an aggregate of $5.0 million were initially available for draw through December 31, 2015, contingent upon our first multi-dose PK/toxicology studies on at least two development programs and the Term C Loans for an aggregate of $5.0 million were initially available for draw through December 31, 2016, contingent upon receiving FDA approval on IND submission on at least two development programs.</w:t>
      </w:r>
    </w:p>
    <w:p>
      <w:pPr>
        <w:spacing w:after="0" w:line="193"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41,208 shares of Series C Preferred Stock at an exercise price of $4.55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If the Term B Loans and Term C Loans were issued, they would bear interest at the greater of 6.95% or the 3-month LIBOR plus 6.72%, with principal payments beginning February 1, 2017 and with final maturity in January 2019.</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2016, we further amended the Loan Agreement to (i) allow for the Term B Loans and Term C Loans to be drawn on December 30, 2016,</w:t>
      </w:r>
    </w:p>
    <w:p>
      <w:pPr>
        <w:spacing w:after="0" w:line="46" w:lineRule="exact"/>
        <w:rPr>
          <w:sz w:val="20"/>
          <w:szCs w:val="20"/>
          <w:color w:val="auto"/>
        </w:rPr>
      </w:pPr>
    </w:p>
    <w:p>
      <w:pPr>
        <w:ind w:right="20" w:firstLine="8"/>
        <w:spacing w:after="0" w:line="290" w:lineRule="auto"/>
        <w:tabs>
          <w:tab w:leader="none" w:pos="265"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delay principal repayments of all Term Loans until February 1, 2018 and (iii) amend the interest rate for each Term Loan. The Term B Loans and the Term C Loans were drawn on December 30, 2016. As of June 30, 2017, the Term Loans are due in seven monthly interest-only payments through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2" w:name="page13"/>
    <w:bookmarkEnd w:id="12"/>
    <w:p>
      <w:pPr>
        <w:ind w:right="320"/>
        <w:spacing w:after="0" w:line="308" w:lineRule="auto"/>
        <w:rPr>
          <w:sz w:val="20"/>
          <w:szCs w:val="20"/>
          <w:color w:val="auto"/>
        </w:rPr>
      </w:pPr>
      <w:r>
        <w:rPr>
          <w:rFonts w:ascii="Arial" w:cs="Arial" w:eastAsia="Arial" w:hAnsi="Arial"/>
          <w:sz w:val="17"/>
          <w:szCs w:val="17"/>
          <w:color w:val="auto"/>
        </w:rPr>
        <w:t>January 2018, followed by 24 equal monthly principal and interest payments beginning February 1, 2018, with final maturity in January 2020. Each Loan bears interest equal to the greater of 3-month U.S. LIBOR plus 6.37% or 7.3%. The interest rate was 7.58% as of June 30, 2017.</w:t>
      </w:r>
    </w:p>
    <w:p>
      <w:pPr>
        <w:spacing w:after="0" w:line="147"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In connection with the issuance of the Term B &amp; C Loans, we issued detachable, fully vested warrants to purchase an aggregate of 82,416 shares of Series C Preferred Stock at an exercise price of $4.55 per share to the lenders, which are subject to change under anti-dilution provisions. The warrants are exercisable at any time through December 2026. The grant-date fair value of the warrants of $0.9 million was recorded as a liability, with a reduction to the carrying value of the Term B &amp; C Loans, and which is recognized as additional interest expense over the remaining term of the Loans. The initial fair value of the warrants was determined using the Black-Scholes option pricing model with the following assumptions: a stock price volatility of 79.2%, an expected life equal to the contractual term of the warrants of ten years and a risk-free interest rate of 2.45%. As discussed in Note 7 below, all of the outstanding warrants to purchase shares of preferred stock automatically converted into warrants to purchase shares of common stock in connection with the IPO and are accounted for as equity from the conversion date forward.</w:t>
      </w:r>
    </w:p>
    <w:p>
      <w:pPr>
        <w:spacing w:after="0" w:line="179" w:lineRule="exact"/>
        <w:rPr>
          <w:sz w:val="20"/>
          <w:szCs w:val="20"/>
          <w:color w:val="auto"/>
        </w:rPr>
      </w:pPr>
    </w:p>
    <w:p>
      <w:pPr>
        <w:ind w:right="120" w:firstLine="446"/>
        <w:spacing w:after="0" w:line="286" w:lineRule="auto"/>
        <w:rPr>
          <w:sz w:val="20"/>
          <w:szCs w:val="20"/>
          <w:color w:val="auto"/>
        </w:rPr>
      </w:pPr>
      <w:r>
        <w:rPr>
          <w:rFonts w:ascii="Arial" w:cs="Arial" w:eastAsia="Arial" w:hAnsi="Arial"/>
          <w:sz w:val="17"/>
          <w:szCs w:val="17"/>
          <w:color w:val="auto"/>
        </w:rPr>
        <w:t>As of June 30, 2017, the carrying amount of the Term Loans were $14.1 million, which is net of discounts of $0.9 million and of which $3.1 million is classified as current liabilities as of June 30, 2017. The effective interest rate on the Term Loans at June 30, 2017 was 11.97%. As of June 30, 2017, future principal maturities of the Term Loans were $6.9 million, $7.5 million and $0.6 million in 2018, 2019 and 2020, respectively.</w:t>
      </w:r>
    </w:p>
    <w:p>
      <w:pPr>
        <w:spacing w:after="0" w:line="166" w:lineRule="exact"/>
        <w:rPr>
          <w:sz w:val="20"/>
          <w:szCs w:val="20"/>
          <w:color w:val="auto"/>
        </w:rPr>
      </w:pPr>
    </w:p>
    <w:p>
      <w:pPr>
        <w:ind w:right="820" w:firstLine="446"/>
        <w:spacing w:after="0" w:line="277" w:lineRule="auto"/>
        <w:rPr>
          <w:sz w:val="20"/>
          <w:szCs w:val="20"/>
          <w:color w:val="auto"/>
        </w:rPr>
      </w:pPr>
      <w:r>
        <w:rPr>
          <w:rFonts w:ascii="Arial" w:cs="Arial" w:eastAsia="Arial" w:hAnsi="Arial"/>
          <w:sz w:val="18"/>
          <w:szCs w:val="18"/>
          <w:color w:val="auto"/>
        </w:rPr>
        <w:t>The Term Loans are secured by a first priority interest in most of our assets, excluding intellectual property. As of June 30, 2017, we were in compliance with the covenants contained in the Loan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Available for Sale Investments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Our financial instruments consist principally of cash, cash equivalents, restricted cash, short-term and long-term investments, receivables, accounts payable, notes payable and, through January 31, 2017, preferred stock warrant liabilities. Certain of our financial assets and liabilities have been recorded at fair value in the consolidated balance sheet in accordance with the accounting standards for fair value measurements.</w:t>
      </w:r>
    </w:p>
    <w:p>
      <w:pPr>
        <w:spacing w:after="0" w:line="16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3"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Level 3 - Unobservable inputs that are supported by little or no market activities, therefore requiring an entity to develop its own assumptions.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3" w:name="page14"/>
    <w:bookmarkEnd w:id="13"/>
    <w:p>
      <w:pPr>
        <w:ind w:left="38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17"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9"/>
              </w:rPr>
              <w:t>Fair Value Measurements at End of Period Using:</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Quoted Market</w:t>
            </w: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4"/>
                <w:szCs w:val="14"/>
                <w:color w:val="auto"/>
              </w:rPr>
            </w:pPr>
          </w:p>
        </w:tc>
        <w:tc>
          <w:tcPr>
            <w:tcW w:w="134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Prices for</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Other Observable</w:t>
            </w:r>
          </w:p>
        </w:tc>
        <w:tc>
          <w:tcPr>
            <w:tcW w:w="260" w:type="dxa"/>
            <w:vAlign w:val="bottom"/>
          </w:tcPr>
          <w:p>
            <w:pPr>
              <w:spacing w:after="0"/>
              <w:rPr>
                <w:sz w:val="12"/>
                <w:szCs w:val="12"/>
                <w:color w:val="auto"/>
              </w:rPr>
            </w:pPr>
          </w:p>
        </w:tc>
        <w:tc>
          <w:tcPr>
            <w:tcW w:w="13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3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92"/>
        </w:trPr>
        <w:tc>
          <w:tcPr>
            <w:tcW w:w="4700" w:type="dxa"/>
            <w:vAlign w:val="bottom"/>
            <w:gridSpan w:val="4"/>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4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9"/>
        </w:trPr>
        <w:tc>
          <w:tcPr>
            <w:tcW w:w="4700" w:type="dxa"/>
            <w:vAlign w:val="bottom"/>
            <w:tcBorders>
              <w:top w:val="single" w:sz="8" w:color="CFF0FC"/>
            </w:tcBorders>
            <w:gridSpan w:val="4"/>
            <w:shd w:val="clear" w:color="auto" w:fill="CFF0FC"/>
          </w:tcPr>
          <w:p>
            <w:pPr>
              <w:ind w:left="40"/>
              <w:spacing w:after="0" w:line="189" w:lineRule="exact"/>
              <w:rPr>
                <w:sz w:val="20"/>
                <w:szCs w:val="20"/>
                <w:color w:val="auto"/>
              </w:rPr>
            </w:pPr>
            <w:r>
              <w:rPr>
                <w:rFonts w:ascii="Arial" w:cs="Arial" w:eastAsia="Arial" w:hAnsi="Arial"/>
                <w:sz w:val="18"/>
                <w:szCs w:val="18"/>
                <w:b w:val="1"/>
                <w:bCs w:val="1"/>
                <w:color w:val="auto"/>
              </w:rPr>
              <w:t>At June 30, 2017</w:t>
            </w:r>
          </w:p>
        </w:tc>
        <w:tc>
          <w:tcPr>
            <w:tcW w:w="10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280" w:type="dxa"/>
            <w:vAlign w:val="bottom"/>
            <w:tcBorders>
              <w:top w:val="single" w:sz="8" w:color="auto"/>
            </w:tcBorders>
            <w:shd w:val="clear" w:color="auto" w:fill="CFF0FC"/>
          </w:tcPr>
          <w:p>
            <w:pPr>
              <w:spacing w:after="0"/>
              <w:rPr>
                <w:sz w:val="5"/>
                <w:szCs w:val="5"/>
                <w:color w:val="auto"/>
              </w:rPr>
            </w:pPr>
          </w:p>
        </w:tc>
        <w:tc>
          <w:tcPr>
            <w:tcW w:w="400" w:type="dxa"/>
            <w:vAlign w:val="bottom"/>
            <w:tcBorders>
              <w:top w:val="single" w:sz="8" w:color="CFF0FC"/>
            </w:tcBorders>
            <w:shd w:val="clear" w:color="auto" w:fill="CFF0FC"/>
          </w:tcPr>
          <w:p>
            <w:pPr>
              <w:spacing w:after="0"/>
              <w:rPr>
                <w:sz w:val="5"/>
                <w:szCs w:val="5"/>
                <w:color w:val="auto"/>
              </w:rPr>
            </w:pPr>
          </w:p>
        </w:tc>
        <w:tc>
          <w:tcPr>
            <w:tcW w:w="2980" w:type="dxa"/>
            <w:vAlign w:val="bottom"/>
            <w:tcBorders>
              <w:top w:val="single" w:sz="8" w:color="CFF0FC"/>
            </w:tcBorders>
            <w:shd w:val="clear" w:color="auto" w:fill="CFF0FC"/>
          </w:tcPr>
          <w:p>
            <w:pPr>
              <w:spacing w:after="0"/>
              <w:rPr>
                <w:sz w:val="5"/>
                <w:szCs w:val="5"/>
                <w:color w:val="auto"/>
              </w:rPr>
            </w:pPr>
          </w:p>
        </w:tc>
        <w:tc>
          <w:tcPr>
            <w:tcW w:w="100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3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14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134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21,891</w:t>
            </w:r>
          </w:p>
        </w:tc>
        <w:tc>
          <w:tcPr>
            <w:tcW w:w="100" w:type="dxa"/>
            <w:vAlign w:val="bottom"/>
          </w:tcPr>
          <w:p>
            <w:pPr>
              <w:spacing w:after="0"/>
              <w:rPr>
                <w:sz w:val="24"/>
                <w:szCs w:val="24"/>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21,891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100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8,404</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8,404</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100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36,522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36,522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(2)</w:t>
            </w:r>
          </w:p>
        </w:tc>
        <w:tc>
          <w:tcPr>
            <w:tcW w:w="100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19,408</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4"/>
                <w:szCs w:val="24"/>
                <w:color w:val="auto"/>
              </w:rPr>
            </w:pPr>
          </w:p>
        </w:tc>
        <w:tc>
          <w:tcPr>
            <w:tcW w:w="14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19,408</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Commercial obligations</w:t>
            </w:r>
            <w:r>
              <w:rPr>
                <w:rFonts w:ascii="Arial" w:cs="Arial" w:eastAsia="Arial" w:hAnsi="Arial"/>
                <w:sz w:val="25"/>
                <w:szCs w:val="25"/>
                <w:color w:val="auto"/>
                <w:vertAlign w:val="superscript"/>
              </w:rPr>
              <w:t>(3)</w:t>
            </w:r>
          </w:p>
        </w:tc>
        <w:tc>
          <w:tcPr>
            <w:tcW w:w="100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33,589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33,589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gridSpan w:val="4"/>
            <w:shd w:val="clear" w:color="auto" w:fill="CFF0FC"/>
          </w:tcPr>
          <w:p>
            <w:pPr>
              <w:ind w:left="40"/>
              <w:spacing w:after="0" w:line="202" w:lineRule="exact"/>
              <w:rPr>
                <w:sz w:val="20"/>
                <w:szCs w:val="20"/>
                <w:color w:val="auto"/>
              </w:rPr>
            </w:pPr>
            <w:r>
              <w:rPr>
                <w:rFonts w:ascii="Arial" w:cs="Arial" w:eastAsia="Arial" w:hAnsi="Arial"/>
                <w:sz w:val="18"/>
                <w:szCs w:val="18"/>
                <w:b w:val="1"/>
                <w:bCs w:val="1"/>
                <w:color w:val="auto"/>
              </w:rPr>
              <w:t>At December 31, 2016</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auto"/>
            </w:tcBorders>
            <w:shd w:val="clear" w:color="auto" w:fill="CFF0FC"/>
          </w:tcPr>
          <w:p>
            <w:pPr>
              <w:spacing w:after="0"/>
              <w:rPr>
                <w:sz w:val="4"/>
                <w:szCs w:val="4"/>
                <w:color w:val="auto"/>
              </w:rPr>
            </w:pPr>
          </w:p>
        </w:tc>
        <w:tc>
          <w:tcPr>
            <w:tcW w:w="400" w:type="dxa"/>
            <w:vAlign w:val="bottom"/>
            <w:tcBorders>
              <w:top w:val="single" w:sz="8" w:color="auto"/>
            </w:tcBorders>
            <w:shd w:val="clear" w:color="auto" w:fill="CFF0FC"/>
          </w:tcPr>
          <w:p>
            <w:pPr>
              <w:spacing w:after="0"/>
              <w:rPr>
                <w:sz w:val="4"/>
                <w:szCs w:val="4"/>
                <w:color w:val="auto"/>
              </w:rPr>
            </w:pPr>
          </w:p>
        </w:tc>
        <w:tc>
          <w:tcPr>
            <w:tcW w:w="29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38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14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13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31,955</w:t>
            </w:r>
          </w:p>
        </w:tc>
        <w:tc>
          <w:tcPr>
            <w:tcW w:w="100" w:type="dxa"/>
            <w:vAlign w:val="bottom"/>
          </w:tcPr>
          <w:p>
            <w:pPr>
              <w:spacing w:after="0"/>
              <w:rPr>
                <w:sz w:val="24"/>
                <w:szCs w:val="24"/>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31,955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100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17,620</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17,620</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Preferred stock warrant liabilities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722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3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Included in cash and cash equivalents, and restricted cash in the accompanying consolidated balance sheets.</w:t>
      </w:r>
    </w:p>
    <w:p>
      <w:pPr>
        <w:spacing w:after="0" w:line="28" w:lineRule="exact"/>
        <w:rPr>
          <w:rFonts w:ascii="Arial" w:cs="Arial" w:eastAsia="Arial" w:hAnsi="Arial"/>
          <w:sz w:val="25"/>
          <w:szCs w:val="25"/>
          <w:color w:val="auto"/>
          <w:vertAlign w:val="superscript"/>
        </w:rPr>
      </w:pPr>
    </w:p>
    <w:p>
      <w:pPr>
        <w:ind w:left="460" w:hanging="452"/>
        <w:spacing w:after="0" w:line="186" w:lineRule="auto"/>
        <w:tabs>
          <w:tab w:leader="none" w:pos="4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2"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Included in short-term investments in the accompanying consolidated balance sheets.</w:t>
      </w:r>
    </w:p>
    <w:p>
      <w:pPr>
        <w:spacing w:after="0" w:line="256"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Australian tax incentive receivable, accounts payable, and accrued expenses approximate fair value due to their short-term nature.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methods and assumptions were used to estimate the fair value of our financial instruments for which it is practicable to estimate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81" w:lineRule="exact"/>
        <w:rPr>
          <w:sz w:val="20"/>
          <w:szCs w:val="20"/>
          <w:color w:val="auto"/>
        </w:rPr>
      </w:pPr>
    </w:p>
    <w:p>
      <w:pPr>
        <w:jc w:val="both"/>
        <w:ind w:right="260" w:firstLine="446"/>
        <w:spacing w:after="0" w:line="312" w:lineRule="auto"/>
        <w:rPr>
          <w:sz w:val="20"/>
          <w:szCs w:val="20"/>
          <w:color w:val="auto"/>
        </w:rPr>
      </w:pPr>
      <w:r>
        <w:rPr>
          <w:rFonts w:ascii="Arial" w:cs="Arial" w:eastAsia="Arial" w:hAnsi="Arial"/>
          <w:sz w:val="16"/>
          <w:szCs w:val="16"/>
          <w:i w:val="1"/>
          <w:iCs w:val="1"/>
          <w:color w:val="auto"/>
        </w:rPr>
        <w:t xml:space="preserve">Warrant Liabilities. </w:t>
      </w:r>
      <w:r>
        <w:rPr>
          <w:rFonts w:ascii="Arial" w:cs="Arial" w:eastAsia="Arial" w:hAnsi="Arial"/>
          <w:sz w:val="16"/>
          <w:szCs w:val="16"/>
          <w:color w:val="auto"/>
        </w:rPr>
        <w:t>Our preferred stock warrants were accounted for as derivative liabilities and measured at fair value on a recurring basis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31, 2017 as they contained features that were either not afforded equity classification or embodied risks that were not clearly and closely related to host contracts. We estimated the fair value of these derivatives utilizing the Black-Scholes option-pricing model, which requires Level 3 inputs.</w:t>
      </w:r>
    </w:p>
    <w:p>
      <w:pPr>
        <w:spacing w:after="0" w:line="147"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As discussed in Note 7 below, all of the outstanding warrants to purchase shares of preferred stock automatically converted into warrants to purchase shares of common stock in connection with the IPO and are accounted for as equity from the conversion date forward. Prior to the conversion, we estimated the fair value of convertible preferred stock warrants at the time of issuance and subsequent remeasurement using the Black-Scholes option-pricing model at each reporting date.</w:t>
      </w:r>
    </w:p>
    <w:p>
      <w:pPr>
        <w:spacing w:after="0" w:line="187" w:lineRule="exact"/>
        <w:rPr>
          <w:sz w:val="20"/>
          <w:szCs w:val="20"/>
          <w:color w:val="auto"/>
        </w:rPr>
      </w:pPr>
    </w:p>
    <w:p>
      <w:pPr>
        <w:jc w:val="both"/>
        <w:ind w:right="200" w:firstLine="44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4" w:name="page15"/>
    <w:bookmarkEnd w:id="14"/>
    <w:p>
      <w:pPr>
        <w:ind w:left="50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as of January 31, 2017, the conversion date, and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32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Fair value of preferred stock</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14"/>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ind w:right="94"/>
              <w:spacing w:after="0"/>
              <w:rPr>
                <w:sz w:val="20"/>
                <w:szCs w:val="20"/>
                <w:color w:val="auto"/>
              </w:rPr>
            </w:pPr>
            <w:r>
              <w:rPr>
                <w:rFonts w:ascii="Arial" w:cs="Arial" w:eastAsia="Arial" w:hAnsi="Arial"/>
                <w:sz w:val="18"/>
                <w:szCs w:val="18"/>
                <w:color w:val="auto"/>
              </w:rPr>
              <w:t>12.67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4.55</w:t>
            </w: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Dividend Yield</w:t>
            </w:r>
          </w:p>
        </w:tc>
        <w:tc>
          <w:tcPr>
            <w:tcW w:w="2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Contractual term (in years)</w:t>
            </w:r>
          </w:p>
        </w:tc>
        <w:tc>
          <w:tcPr>
            <w:tcW w:w="28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3.8</w:t>
            </w: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Weighted-average measurement date fair value per share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9.65</w:t>
            </w:r>
          </w:p>
        </w:tc>
      </w:tr>
      <w:tr>
        <w:trPr>
          <w:trHeight w:val="27"/>
        </w:trPr>
        <w:tc>
          <w:tcPr>
            <w:tcW w:w="82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Preferred Stock Warrant Liabilities: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gains (losses) included in other expense</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382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Reclassification of warrant liabilities to equity</w:t>
            </w:r>
          </w:p>
        </w:tc>
        <w:tc>
          <w:tcPr>
            <w:tcW w:w="36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4,607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r>
      <w:tr>
        <w:trPr>
          <w:trHeight w:val="20"/>
        </w:trPr>
        <w:tc>
          <w:tcPr>
            <w:tcW w:w="83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our other financial instruments estimated as of June 30, 2017 and December 31, 2016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 2017</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6"/>
                <w:szCs w:val="16"/>
                <w:color w:val="auto"/>
              </w:rPr>
            </w:pPr>
          </w:p>
        </w:tc>
      </w:tr>
      <w:tr>
        <w:trPr>
          <w:trHeight w:val="166"/>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4"/>
                <w:szCs w:val="14"/>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6"/>
                <w:szCs w:val="16"/>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w w:val="90"/>
              </w:rPr>
              <w:t>Value</w:t>
            </w:r>
          </w:p>
        </w:tc>
      </w:tr>
      <w:tr>
        <w:trPr>
          <w:trHeight w:val="243"/>
        </w:trPr>
        <w:tc>
          <w:tcPr>
            <w:tcW w:w="51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Notes payable</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14,112</w:t>
            </w:r>
          </w:p>
        </w:tc>
        <w:tc>
          <w:tcPr>
            <w:tcW w:w="120" w:type="dxa"/>
            <w:vAlign w:val="bottom"/>
            <w:tcBorders>
              <w:top w:val="single" w:sz="8" w:color="CFF0FC"/>
            </w:tcBorders>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15,653</w:t>
            </w:r>
          </w:p>
        </w:tc>
        <w:tc>
          <w:tcPr>
            <w:tcW w:w="1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13,809</w:t>
            </w:r>
          </w:p>
        </w:tc>
        <w:tc>
          <w:tcPr>
            <w:tcW w:w="10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15,531</w:t>
            </w:r>
          </w:p>
        </w:tc>
      </w:tr>
      <w:tr>
        <w:trPr>
          <w:trHeight w:val="27"/>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methods and assumptions were used to estimate the fair value of our notes payable:</w:t>
      </w:r>
    </w:p>
    <w:p>
      <w:pPr>
        <w:spacing w:after="0" w:line="225"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—We use the income approach to value the aforementioned debt instrument. We use a present value calculation to discount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117"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In February 2017 we began investing our excess cash in agency securities, debt instruments of financial institutions and corporations, or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June 30, 2017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Unrealized Losses</w:t>
            </w:r>
          </w:p>
        </w:tc>
        <w:tc>
          <w:tcPr>
            <w:tcW w:w="280" w:type="dxa"/>
            <w:vAlign w:val="bottom"/>
          </w:tcPr>
          <w:p>
            <w:pPr>
              <w:spacing w:after="0"/>
              <w:rPr>
                <w:sz w:val="16"/>
                <w:szCs w:val="16"/>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5160" w:type="dxa"/>
            <w:vAlign w:val="bottom"/>
            <w:tcBorders>
              <w:top w:val="single" w:sz="8" w:color="CFF0FC"/>
            </w:tcBorders>
            <w:shd w:val="clear" w:color="auto" w:fill="CFF0FC"/>
          </w:tcPr>
          <w:p>
            <w:pPr>
              <w:ind w:left="40"/>
              <w:spacing w:after="0" w:line="270"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19,422</w:t>
            </w:r>
          </w:p>
        </w:tc>
        <w:tc>
          <w:tcPr>
            <w:tcW w:w="12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tcBorders>
            <w:shd w:val="clear" w:color="auto" w:fill="CFF0FC"/>
          </w:tcPr>
          <w:p>
            <w:pPr>
              <w:spacing w:after="0"/>
              <w:rPr>
                <w:sz w:val="23"/>
                <w:szCs w:val="23"/>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19,408</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Commercial obligations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33,611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33,589</w:t>
            </w:r>
          </w:p>
        </w:tc>
        <w:tc>
          <w:tcPr>
            <w:tcW w:w="0" w:type="dxa"/>
            <w:vAlign w:val="bottom"/>
          </w:tcPr>
          <w:p>
            <w:pPr>
              <w:spacing w:after="0"/>
              <w:rPr>
                <w:sz w:val="1"/>
                <w:szCs w:val="1"/>
                <w:color w:val="auto"/>
              </w:rPr>
            </w:pPr>
          </w:p>
        </w:tc>
      </w:tr>
      <w:tr>
        <w:trPr>
          <w:trHeight w:val="270"/>
        </w:trPr>
        <w:tc>
          <w:tcPr>
            <w:tcW w:w="5160" w:type="dxa"/>
            <w:vAlign w:val="bottom"/>
            <w:shd w:val="clear" w:color="auto" w:fill="CFF0FC"/>
          </w:tcPr>
          <w:p>
            <w:pPr>
              <w:ind w:left="40"/>
              <w:spacing w:after="0" w:line="27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(3)</w:t>
            </w:r>
          </w:p>
        </w:tc>
        <w:tc>
          <w:tcPr>
            <w:tcW w:w="2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36,545</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36,522</w:t>
            </w:r>
          </w:p>
        </w:tc>
        <w:tc>
          <w:tcPr>
            <w:tcW w:w="0" w:type="dxa"/>
            <w:vAlign w:val="bottom"/>
          </w:tcPr>
          <w:p>
            <w:pPr>
              <w:spacing w:after="0"/>
              <w:rPr>
                <w:sz w:val="1"/>
                <w:szCs w:val="1"/>
                <w:color w:val="auto"/>
              </w:rPr>
            </w:pPr>
          </w:p>
        </w:tc>
      </w:tr>
      <w:tr>
        <w:trPr>
          <w:trHeight w:val="237"/>
        </w:trPr>
        <w:tc>
          <w:tcPr>
            <w:tcW w:w="5160" w:type="dxa"/>
            <w:vAlign w:val="bottom"/>
          </w:tcPr>
          <w:p>
            <w:pPr>
              <w:ind w:left="26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89,578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89,519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-728345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-728345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-728345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63" w:lineRule="exact"/>
        <w:rPr>
          <w:sz w:val="20"/>
          <w:szCs w:val="20"/>
          <w:color w:val="auto"/>
        </w:rPr>
      </w:pPr>
    </w:p>
    <w:p>
      <w:pPr>
        <w:ind w:left="460" w:right="160" w:hanging="452"/>
        <w:spacing w:after="0" w:line="216"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Of our outstanding Agency securities, $10.5 million have maturity dates of less than one year and $8.9 million have a maturity date of between one to two years as of June 30, 2017.</w:t>
      </w:r>
    </w:p>
    <w:p>
      <w:pPr>
        <w:spacing w:after="0" w:line="1" w:lineRule="exact"/>
        <w:rPr>
          <w:rFonts w:ascii="Arial" w:cs="Arial" w:eastAsia="Arial" w:hAnsi="Arial"/>
          <w:sz w:val="25"/>
          <w:szCs w:val="25"/>
          <w:color w:val="auto"/>
          <w:vertAlign w:val="superscript"/>
        </w:rPr>
      </w:pPr>
    </w:p>
    <w:p>
      <w:pPr>
        <w:ind w:left="460" w:hanging="452"/>
        <w:spacing w:after="0" w:line="202"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Of our outstanding Commercial obligations, $33.6 million have maturity dates of less than one year.</w:t>
      </w:r>
    </w:p>
    <w:p>
      <w:pPr>
        <w:spacing w:after="0" w:line="2" w:lineRule="exact"/>
        <w:rPr>
          <w:rFonts w:ascii="Arial" w:cs="Arial" w:eastAsia="Arial" w:hAnsi="Arial"/>
          <w:sz w:val="25"/>
          <w:szCs w:val="25"/>
          <w:color w:val="auto"/>
          <w:vertAlign w:val="superscript"/>
        </w:rPr>
      </w:pPr>
    </w:p>
    <w:p>
      <w:pPr>
        <w:ind w:left="460" w:right="260" w:hanging="452"/>
        <w:spacing w:after="0" w:line="208"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Of our outstanding U.S. Treasury securities $31.5 million have maturity dates of less than one year and $5.0 million have a maturity date of between one to two years as of June 30, 2017.</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and Preferred Stock</w:t>
      </w:r>
    </w:p>
    <w:p>
      <w:pPr>
        <w:spacing w:after="0" w:line="117"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On January 13, 2017, we amended our Certificate of Incorporation to increase the number of authorized shares of common stock to 60,000,000 with a par value of $0.001 per share and decrease the number of authorized shares of preferred stock to 11,520,698 with a par value of $0.001 per share. Subsequently, on January 31, 2017, upon completion of our IPO, we amended our Certificate of Incorporation to increase the number of authorized shares of common stock to 500,000,000 with a par value of $0.001 and decrease the number of preferred shares of common stock to 10,000,000 with a par value of $0.001 per share.</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20" w:firstLine="446"/>
        <w:spacing w:after="0" w:line="308" w:lineRule="auto"/>
        <w:rPr>
          <w:sz w:val="20"/>
          <w:szCs w:val="20"/>
          <w:color w:val="auto"/>
        </w:rPr>
      </w:pPr>
      <w:r>
        <w:rPr>
          <w:rFonts w:ascii="Arial" w:cs="Arial" w:eastAsia="Arial" w:hAnsi="Arial"/>
          <w:sz w:val="17"/>
          <w:szCs w:val="17"/>
          <w:color w:val="auto"/>
        </w:rPr>
        <w:t>Of the 500,000,000 shares of common stock authorized, 20,289,907 shares were issued and outstanding as of June 30, 2017. Common stock reserved for future issuance upon the exercise, issuance or conversion of the respective equity instruments at June 30,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Issued and Outstanding: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1600" w:type="dxa"/>
            <w:vAlign w:val="bottom"/>
          </w:tcPr>
          <w:p>
            <w:pPr>
              <w:jc w:val="right"/>
              <w:spacing w:after="0"/>
              <w:rPr>
                <w:sz w:val="20"/>
                <w:szCs w:val="20"/>
                <w:color w:val="auto"/>
              </w:rPr>
            </w:pPr>
            <w:r>
              <w:rPr>
                <w:rFonts w:ascii="Arial" w:cs="Arial" w:eastAsia="Arial" w:hAnsi="Arial"/>
                <w:sz w:val="18"/>
                <w:szCs w:val="18"/>
                <w:color w:val="auto"/>
              </w:rPr>
              <w:t>2,643,180</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 for shares of common stock</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198,009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Shares reserved for future award grants</w:t>
            </w:r>
          </w:p>
        </w:tc>
        <w:tc>
          <w:tcPr>
            <w:tcW w:w="1600" w:type="dxa"/>
            <w:vAlign w:val="bottom"/>
          </w:tcPr>
          <w:p>
            <w:pPr>
              <w:jc w:val="right"/>
              <w:spacing w:after="0"/>
              <w:rPr>
                <w:sz w:val="20"/>
                <w:szCs w:val="20"/>
                <w:color w:val="auto"/>
              </w:rPr>
            </w:pPr>
            <w:r>
              <w:rPr>
                <w:rFonts w:ascii="Arial" w:cs="Arial" w:eastAsia="Arial" w:hAnsi="Arial"/>
                <w:sz w:val="18"/>
                <w:szCs w:val="18"/>
                <w:color w:val="auto"/>
              </w:rPr>
              <w:t>1,244,014</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4,085,203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440" w:firstLine="446"/>
        <w:spacing w:after="0" w:line="277" w:lineRule="auto"/>
        <w:rPr>
          <w:sz w:val="20"/>
          <w:szCs w:val="20"/>
          <w:color w:val="auto"/>
        </w:rPr>
      </w:pPr>
      <w:r>
        <w:rPr>
          <w:rFonts w:ascii="Arial" w:cs="Arial" w:eastAsia="Arial" w:hAnsi="Arial"/>
          <w:sz w:val="18"/>
          <w:szCs w:val="18"/>
          <w:color w:val="auto"/>
        </w:rPr>
        <w:t>During the six months ended June 30, 2017, warrants for the purchase of 296,669 shares of common stock were exercised, of which 179,047 were exercised by a net exercise method. As a result, we issued 250,448 shares of common stock, net.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Equity Incentive Plans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A total of 1,955,506 shares of common stock were initially reserved for issuance under the 2017 plan, including 308,343 that were rolled over from the 2006 Plan. In addition, the number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w:t>
      </w:r>
    </w:p>
    <w:p>
      <w:pPr>
        <w:spacing w:after="0" w:line="59"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As of June 30, 2017, there were 2,643,180 options outstanding to purchase shares of common stock and 1,244,014 shares of common stock reserved for future stock awards under the 2017 Plan.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 the execution and delivery of the underwriting agreement for our initial public offering on January 26, 2017. A total of 218,000 shares of common stock are initially reserved for issuance under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right="180" w:firstLine="446"/>
        <w:spacing w:after="0" w:line="286" w:lineRule="auto"/>
        <w:rPr>
          <w:sz w:val="20"/>
          <w:szCs w:val="20"/>
          <w:color w:val="auto"/>
        </w:rPr>
      </w:pPr>
      <w:r>
        <w:rPr>
          <w:rFonts w:ascii="Arial" w:cs="Arial" w:eastAsia="Arial" w:hAnsi="Arial"/>
          <w:sz w:val="17"/>
          <w:szCs w:val="17"/>
          <w:color w:val="auto"/>
        </w:rPr>
        <w:t>Stock options granted to employees and nonemployees generally vest over a four-year period while stock options granted to directors vest over a one year period. Each have a maximum term of ten years from the date of grant, subject to earlier cancellation prior to vesting upon cessation of service to us. A summary of the activity related to stock option awards during the six months ended June 30, 2017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320" w:type="dxa"/>
            <w:vAlign w:val="bottom"/>
          </w:tcPr>
          <w:p>
            <w:pPr>
              <w:spacing w:after="0"/>
              <w:rPr>
                <w:sz w:val="14"/>
                <w:szCs w:val="14"/>
                <w:color w:val="auto"/>
              </w:rPr>
            </w:pPr>
          </w:p>
        </w:tc>
        <w:tc>
          <w:tcPr>
            <w:tcW w:w="138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38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Price per</w:t>
            </w: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2"/>
                <w:szCs w:val="12"/>
                <w:color w:val="auto"/>
              </w:rPr>
            </w:pPr>
          </w:p>
        </w:tc>
        <w:tc>
          <w:tcPr>
            <w:tcW w:w="138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FF0FC"/>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Borders>
              <w:bottom w:val="single" w:sz="8" w:color="CFF0FC"/>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January 1, 2017</w:t>
            </w:r>
          </w:p>
        </w:tc>
        <w:tc>
          <w:tcPr>
            <w:tcW w:w="172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1,879,428</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964,141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Exercises</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(117,475)</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Forfeitures and cancellations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(82,914)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FF0F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5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3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June 30, 2017</w:t>
            </w: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2,643,180</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FF0FC"/>
            </w:tcBorders>
            <w:shd w:val="clear" w:color="auto" w:fill="CFF0FC"/>
          </w:tcPr>
          <w:p>
            <w:pPr>
              <w:spacing w:after="0"/>
              <w:rPr>
                <w:sz w:val="22"/>
                <w:szCs w:val="22"/>
                <w:color w:val="auto"/>
              </w:rPr>
            </w:pP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8"/>
                <w:szCs w:val="18"/>
                <w:color w:val="auto"/>
              </w:rPr>
              <w:t>35,734.8</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Exercisable at June 30, 2017</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vMerge w:val="continue"/>
          </w:tcPr>
          <w:p>
            <w:pPr>
              <w:spacing w:after="0"/>
              <w:rPr>
                <w:sz w:val="21"/>
                <w:szCs w:val="21"/>
                <w:color w:val="auto"/>
              </w:rPr>
            </w:pPr>
          </w:p>
        </w:tc>
        <w:tc>
          <w:tcPr>
            <w:tcW w:w="17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1,067,981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22"/>
              <w:spacing w:after="0"/>
              <w:rPr>
                <w:sz w:val="20"/>
                <w:szCs w:val="20"/>
                <w:color w:val="auto"/>
              </w:rPr>
            </w:pPr>
            <w:r>
              <w:rPr>
                <w:rFonts w:ascii="Arial" w:cs="Arial" w:eastAsia="Arial" w:hAnsi="Arial"/>
                <w:sz w:val="18"/>
                <w:szCs w:val="18"/>
                <w:color w:val="auto"/>
              </w:rPr>
              <w:t>22,315.3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446"/>
        <w:spacing w:after="0" w:line="342" w:lineRule="auto"/>
        <w:rPr>
          <w:sz w:val="20"/>
          <w:szCs w:val="20"/>
          <w:color w:val="auto"/>
        </w:rPr>
      </w:pPr>
      <w:r>
        <w:rPr>
          <w:rFonts w:ascii="Arial" w:cs="Arial" w:eastAsia="Arial" w:hAnsi="Arial"/>
          <w:sz w:val="16"/>
          <w:szCs w:val="16"/>
          <w:color w:val="auto"/>
        </w:rPr>
        <w:t>Total cash received from the exercise of stock options was approximately $0.5 million during the six months ended June 30, 2017. As a result of the adoption of ASU 2016-09 and the elimination of a forfeiture rate as discussed in Note 2 above, all options outstanding are considered expected to fully vest.</w:t>
      </w:r>
    </w:p>
    <w:p>
      <w:pPr>
        <w:spacing w:after="0" w:line="124"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Certain stock option grants under the 2006 Plan provide for exercise of the stock option prior to vesting. Shares of common stock issued upon exercise of unvested options are subject to repurchase by us at the respective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88" w:right="239" w:bottom="1440" w:gutter="0" w:footer="0" w:header="0"/>
        </w:sectPr>
      </w:pPr>
    </w:p>
    <w:bookmarkStart w:id="17" w:name="page18"/>
    <w:bookmarkEnd w:id="17"/>
    <w:p>
      <w:pPr>
        <w:ind w:right="200"/>
        <w:spacing w:after="0" w:line="277" w:lineRule="auto"/>
        <w:rPr>
          <w:sz w:val="20"/>
          <w:szCs w:val="20"/>
          <w:color w:val="auto"/>
        </w:rPr>
      </w:pPr>
      <w:r>
        <w:rPr>
          <w:rFonts w:ascii="Arial" w:cs="Arial" w:eastAsia="Arial" w:hAnsi="Arial"/>
          <w:sz w:val="18"/>
          <w:szCs w:val="18"/>
          <w:color w:val="auto"/>
        </w:rPr>
        <w:t>original exercise price until vested. Consideration received for the exercise of unvested stock options is recorded as a liability and reclassified into equity as the related award vests.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0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21780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10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4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6.25</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104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3"/>
              </w:rPr>
              <w:t>15.12</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3.78</w:t>
            </w:r>
          </w:p>
        </w:tc>
      </w:tr>
      <w:tr>
        <w:trPr>
          <w:trHeight w:val="27"/>
        </w:trPr>
        <w:tc>
          <w:tcPr>
            <w:tcW w:w="79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964,141 and 30,567 stock options granted during the six months ended June 30, 2017 and 2016, respectively.</w:t>
      </w:r>
    </w:p>
    <w:p>
      <w:pPr>
        <w:spacing w:after="0" w:line="171"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We determine the appropriate, risk free interest rate, expected term for employee stock based awards, contractual term for nonemployee stock based awards, and volatility assumptions. The weighted-average expected option term for employee and director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89" w:lineRule="exact"/>
        <w:rPr>
          <w:sz w:val="20"/>
          <w:szCs w:val="20"/>
          <w:color w:val="auto"/>
        </w:rPr>
      </w:pPr>
    </w:p>
    <w:p>
      <w:pPr>
        <w:ind w:right="900" w:firstLine="446"/>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204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413</w:t>
            </w:r>
          </w:p>
        </w:tc>
      </w:tr>
      <w:tr>
        <w:trPr>
          <w:trHeight w:val="27"/>
        </w:trPr>
        <w:tc>
          <w:tcPr>
            <w:tcW w:w="47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617</w:t>
            </w: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At June 30, 2017, there was $15.4 million of unrecognized compensation cost related to unvested stock option awards, which is expected to be recognized over a remaining weighted average vesting period of 2.9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Our Australian subsidiary, which conducts core research and development activities on our behalf, is eligible to receive a 43.5% and 45.0% refundable tax incentive for qualified research and development activities during fiscal 2017 and fiscal 2016, respectively. For the three months ended June 30, 2017 and 2016, $0.6 million and $3.0 million, respectively, were recorded as a reduction to research and development expenses in the consolidated statements of operations and comprehensive income (loss). For the six months ended June 30, 2017 and 2016, $1.2 million and $3.0 million, respectively, were recorded as a reduction to research and development expenses in the consolidated statements of operations and comprehensive income (loss). As of June 30, 2017 our tax incentive receivable from the Australian government was $5.6 million. We did not record a reduction to research and development expenses prior to the three months ended June 30, 2016 as collectability was not reasonably assured.</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688"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consolidated financial statements and related notes for the three and six months ended June 30, 2017, included in Part I, Item 1 of this report and with our audited consolidated financial statements and related notes thereto for the year ended December 31, 2016, included in the Company’s Form 10-K. This discussion and other parts of this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elsewhere in this report.</w:t>
      </w:r>
    </w:p>
    <w:p>
      <w:pPr>
        <w:spacing w:after="0" w:line="189"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i w:val="1"/>
          <w:iCs w:val="1"/>
          <w:color w:val="auto"/>
        </w:rPr>
        <w:t>As used in this Quarterly Report on Form 10-Q, the terms “AnaptysBio,” “the Company,” “we,” “us,” and “our” refer to AnaptysBio, Inc. and, where appropriate, its consolidated subsidiary, unless the context indicates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46"/>
        <w:spacing w:after="0" w:line="276"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73" w:lineRule="exact"/>
        <w:rPr>
          <w:sz w:val="20"/>
          <w:szCs w:val="20"/>
          <w:color w:val="auto"/>
        </w:rPr>
      </w:pPr>
    </w:p>
    <w:p>
      <w:pPr>
        <w:jc w:val="both"/>
        <w:ind w:right="60" w:firstLine="446"/>
        <w:spacing w:after="0" w:line="279" w:lineRule="auto"/>
        <w:rPr>
          <w:sz w:val="20"/>
          <w:szCs w:val="20"/>
          <w:color w:val="auto"/>
        </w:rPr>
      </w:pPr>
      <w:r>
        <w:rPr>
          <w:rFonts w:ascii="Arial" w:cs="Arial" w:eastAsia="Arial" w:hAnsi="Arial"/>
          <w:sz w:val="17"/>
          <w:szCs w:val="17"/>
          <w:color w:val="auto"/>
        </w:rPr>
        <w:t>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ANB019 inhibits the interleukin-36 receptor, or IL-36R, for the treatment of rare inflammatory diseases including generalized pustular psoriasis, or GPP, and palmo-plantar pustular psoriasis, or PPP.</w:t>
      </w:r>
    </w:p>
    <w:p>
      <w:pPr>
        <w:spacing w:after="0" w:line="171"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231F20"/>
        </w:rPr>
        <w:t xml:space="preserve">We initiated clinical development of ANB020 with a Phase 1 trial, which has been completed in healthy volunteers in Australia under an approved Clinical Trial Notification, or CTN. We believe the results of this Phase 1 trial demonstrate a favorable safety profile of ANB020, which was well-tolerated and for which no dose-limiting toxicities were observed, and favorable pharmacodynamic properties of ANB020, where at certain doses, a single administration was sufficient to suppress IL-33 function for approximately three months post-dosing as measured by an </w:t>
      </w:r>
      <w:r>
        <w:rPr>
          <w:rFonts w:ascii="Arial" w:cs="Arial" w:eastAsia="Arial" w:hAnsi="Arial"/>
          <w:sz w:val="17"/>
          <w:szCs w:val="17"/>
          <w:i w:val="1"/>
          <w:iCs w:val="1"/>
          <w:color w:val="231F20"/>
        </w:rPr>
        <w:t>ex vivo</w:t>
      </w:r>
      <w:r>
        <w:rPr>
          <w:rFonts w:ascii="Arial" w:cs="Arial" w:eastAsia="Arial" w:hAnsi="Arial"/>
          <w:sz w:val="17"/>
          <w:szCs w:val="17"/>
          <w:color w:val="231F20"/>
        </w:rPr>
        <w:t xml:space="preserve"> pharmacodynamic assay. We have completed enrollment of a Phase 2a trial of ANB020 in 12 patients with moderate-to-severe atopic dermatitis, where efficacy is assessed using the Eczema Area and Severity Index (EASI) index for patients following treatment with a single dose of ANB020, which is being conducted pursuant to a Clinical Trial Authorisation, or CTA, with the U.K. Medicines and Healthcare products Regulatory Agency, or MHRA for which top-line data is anticipated during the second half of 2017. We are currently enrolling a double blinded, placebo-controlled Phase 2a trial of ANB020 in 20 patients with severe adult peanut allergy where efficacy is assessed using tolerance of oral food challenge </w:t>
      </w:r>
      <w:r>
        <w:rPr>
          <w:rFonts w:ascii="Arial" w:cs="Arial" w:eastAsia="Arial" w:hAnsi="Arial"/>
          <w:sz w:val="17"/>
          <w:szCs w:val="17"/>
          <w:color w:val="000000"/>
        </w:rPr>
        <w:t>before and after administration of a single dose of ANB020 or placebo</w:t>
      </w:r>
      <w:r>
        <w:rPr>
          <w:rFonts w:ascii="Arial" w:cs="Arial" w:eastAsia="Arial" w:hAnsi="Arial"/>
          <w:sz w:val="17"/>
          <w:szCs w:val="17"/>
          <w:color w:val="231F20"/>
        </w:rPr>
        <w:t>, which is being conducted pursuant to an Investigational New Drug application, or IND, with the U.S. Food and Drug Administration, or FDA for which top-line data is also anticipated during the second half of 2017. In addition, we have received clearance for a U.K. CTA to initiate a double blinded, placebo-controlled Phase 2a trial in patients with severe adult eosinophilic asthma and plan on enrolling 24 patients where efficacy is assessed using Forced Expiratory Volume in 1 (one) second (FEV1) assessment of patients administered with a single dose of ANB020 or placebo, for which top-line data is anticipated during the first half of 2018.</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64" w:right="259" w:bottom="1440" w:gutter="0" w:footer="0" w:header="0"/>
        </w:sectPr>
      </w:pPr>
    </w:p>
    <w:bookmarkStart w:id="20" w:name="page21"/>
    <w:bookmarkEnd w:id="20"/>
    <w:p>
      <w:pPr>
        <w:ind w:right="220" w:firstLine="446"/>
        <w:spacing w:after="0" w:line="259" w:lineRule="auto"/>
        <w:rPr>
          <w:sz w:val="20"/>
          <w:szCs w:val="20"/>
          <w:color w:val="auto"/>
        </w:rPr>
      </w:pPr>
      <w:r>
        <w:rPr>
          <w:rFonts w:ascii="Arial" w:cs="Arial" w:eastAsia="Arial" w:hAnsi="Arial"/>
          <w:sz w:val="18"/>
          <w:szCs w:val="18"/>
          <w:color w:val="auto"/>
        </w:rPr>
        <w:t>We have initiated clinical development of ANB019 in a healthy volunteer Phase 1 clinical trial under a cleared Australian CTN, where ANB019 is being administered in single and multiple doses through subcutaneous and intravenous routes of administration, and we anticipate announcing top-line data from this trial during the second half of 2017. We subsequently plan to seek regulatory clearance to initiate Phase 2 studies of ANB019 in GPP and PPP patients during 2018.</w:t>
      </w:r>
    </w:p>
    <w:p>
      <w:pPr>
        <w:spacing w:after="0" w:line="187"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In addition to ANB020 and ANB019, our wholly-owned pipeline includes novel checkpoint receptor agonist antibodies that we believe are applicable for treatment of certain autoimmune diseases where immune checkpoint receptors are insufficiently activated, and which have demonstrated efficacy in an animal model of graft-versus-host disease.</w:t>
      </w:r>
    </w:p>
    <w:p>
      <w:pPr>
        <w:spacing w:after="0" w:line="235"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 xml:space="preserve">In addition to our wholly-owned antibody programs, multiple AnaptysBio-developed antibody programs have been advanced to preclinical and clinical milestones under our collaborations. Our collaborations include an immuno-oncology-focused collaboration with TESARO and an inflammation-focused collaboration with Celgene. Under our TESARO partnership, TESARO has initiated a registration program for an AnaptysBio-generated anti-PD-1 antagonist antibody (TSR-042) in metastatic microsatellite instability-high (MSI-H) endometrial cancer, with the intent of utilizing this study to support a request for accelerated approval and Biologics License Application (BLA) submission to the U.S. Food and Drug Administration (FDA). This resulted in us earning a $3.0 million milestone payment during the second quarter of 2017, which was also recognized as revenue and received during the second quarter of 2017. In addition, TESARO announced that TSR-042 showed anti-PD-1 activity in a completed Phase 1 study. In addition, TESARO has completed dose escalation in a monotherapy Phase 1 study for an AnaptysBio-generated anti-TIM-3 antagonist antibody (TSR-022) and has initiated a combination trial of TSR022 with TSR-042 during mid-2017. TESARO received clearance of an IND submitted to the FDA and has initiated a Phase 1 study dose escalation trial of an AnaptysBio-generated anti-LAG-3 antagonist antibody (TSR-033). This resulted in us earning a $4.0 million milestone payment during the second quarter of 2017, which was also recognized as revenue and received during the second quarter of 2017. TESARO has initiated IND-enabling studies for an AnaptysBio-generated PD-1/LAG-3 bispecific antibody, which has exhibited similar levels of T cell activation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 combination of TSR-042 and TSR-033. Under our Celgene partnership, Celgene is conducting a Phase 1 study of an AnaptysBio-generated anti-PD-1 agonist antibody (CC-90006) in healthy volunteers, and an undisclosed second AnaptysBio-generated antibody is currently under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152400</wp:posOffset>
            </wp:positionV>
            <wp:extent cx="5351145" cy="2821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51145"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jc w:val="both"/>
        <w:ind w:right="240" w:firstLine="446"/>
        <w:spacing w:after="0" w:line="264" w:lineRule="auto"/>
        <w:rPr>
          <w:sz w:val="20"/>
          <w:szCs w:val="20"/>
          <w:color w:val="auto"/>
        </w:rPr>
      </w:pPr>
      <w:r>
        <w:rPr>
          <w:rFonts w:ascii="Arial" w:cs="Arial" w:eastAsia="Arial" w:hAnsi="Arial"/>
          <w:sz w:val="18"/>
          <w:szCs w:val="18"/>
          <w:color w:val="auto"/>
        </w:rPr>
        <w:t>We intend to continue generating additional therapeutic antibodies using our SHM platform against emerging biological targets related to immuno-oncology, inflammation and other unmet medical needs. In general, our strategy is to advance our pipeline programs to key inflection points, and leverage partnerships with pharmaceutical and biotechnology companies where appropriate.</w:t>
      </w:r>
    </w:p>
    <w:p>
      <w:pPr>
        <w:spacing w:after="0" w:line="235"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Certain antibodies developed using our SHM platform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81"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As of June 30, 2017, we had an accumulated deficit of $69.1 million primarily as a result of losses incurred since our inception in 2005. Although we reported net income of $3.5 million during the year ended December 31, 2014,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On January 31, 2017, we completed an initial public offering, or IPO, selling 5,750,000 shares of common stock at $15.00 per share, which included 750,000 shares sold pursuant to the exercise of the underwriters' options to purchase additional shares. Proceeds from our initial public offering net of underwriting discounts and commissions were $80.2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 From inception through June 30, 2017, we have received $73.6 million in non-dilutive funding from our collaborators.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Research and development expenses consist of costs associated with our research and development activities, including drug discovery efforts and preclinical and clinical development of our programs. Our research and development expenses include:</w:t>
      </w:r>
    </w:p>
    <w:p>
      <w:pPr>
        <w:spacing w:after="0" w:line="62" w:lineRule="exact"/>
        <w:rPr>
          <w:sz w:val="20"/>
          <w:szCs w:val="20"/>
          <w:color w:val="auto"/>
        </w:rPr>
      </w:pPr>
    </w:p>
    <w:p>
      <w:pPr>
        <w:ind w:left="880" w:right="20" w:hanging="440"/>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third-parties, such as Contract Research Organizations, or CROs, consultants, members of our scientific and therapeutic advisory boards, and Contract Manufacturing Organizations, or CMOs;</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880" w:right="70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76" w:right="319" w:bottom="1440" w:gutter="0" w:footer="0" w:header="0"/>
        </w:sectPr>
      </w:pPr>
    </w:p>
    <w:bookmarkStart w:id="22" w:name="page23"/>
    <w:bookmarkEnd w:id="22"/>
    <w:p>
      <w:pPr>
        <w:ind w:right="40" w:firstLine="446"/>
        <w:spacing w:after="0" w:line="276" w:lineRule="auto"/>
        <w:rPr>
          <w:sz w:val="20"/>
          <w:szCs w:val="20"/>
          <w:color w:val="auto"/>
        </w:rPr>
      </w:pPr>
      <w:r>
        <w:rPr>
          <w:rFonts w:ascii="Arial" w:cs="Arial" w:eastAsia="Arial" w:hAnsi="Arial"/>
          <w:sz w:val="17"/>
          <w:szCs w:val="17"/>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73"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4"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 xml:space="preserve">We have conducted initial clinical trials for ANB020 and are conducting initial clinical trials for ANB019 in Australia to rapidly enter into first-in-human studies and benefit from research and development-related financial incentives related to the development of ANB020 and ANB019. We </w:t>
      </w:r>
      <w:r>
        <w:rPr>
          <w:rFonts w:ascii="Arial" w:cs="Arial" w:eastAsia="Arial" w:hAnsi="Arial"/>
          <w:sz w:val="17"/>
          <w:szCs w:val="17"/>
          <w:color w:val="231F20"/>
        </w:rPr>
        <w:t>have fully</w:t>
      </w:r>
      <w:r>
        <w:rPr>
          <w:rFonts w:ascii="Arial" w:cs="Arial" w:eastAsia="Arial" w:hAnsi="Arial"/>
          <w:sz w:val="17"/>
          <w:szCs w:val="17"/>
          <w:color w:val="auto"/>
        </w:rPr>
        <w:t xml:space="preserve"> </w:t>
      </w:r>
      <w:r>
        <w:rPr>
          <w:rFonts w:ascii="Arial" w:cs="Arial" w:eastAsia="Arial" w:hAnsi="Arial"/>
          <w:sz w:val="17"/>
          <w:szCs w:val="17"/>
          <w:color w:val="231F20"/>
        </w:rPr>
        <w:t xml:space="preserve">enrolled a Phase 2a trial of ANB020 in patients with moderate-to-severe adult atopic dermatitis, are continuing to enroll in </w:t>
      </w:r>
      <w:r>
        <w:rPr>
          <w:rFonts w:ascii="Arial" w:cs="Arial" w:eastAsia="Arial" w:hAnsi="Arial"/>
          <w:sz w:val="17"/>
          <w:szCs w:val="17"/>
          <w:color w:val="000000"/>
        </w:rPr>
        <w:t>our ongoing</w:t>
      </w:r>
      <w:r>
        <w:rPr>
          <w:rFonts w:ascii="Arial" w:cs="Arial" w:eastAsia="Arial" w:hAnsi="Arial"/>
          <w:sz w:val="17"/>
          <w:szCs w:val="17"/>
          <w:color w:val="231F20"/>
        </w:rPr>
        <w:t xml:space="preserve"> Phase 2a trial of ANB020 in patients with severe adult peanut allergy and have also received clearance from the </w:t>
      </w:r>
      <w:r>
        <w:rPr>
          <w:rFonts w:ascii="Arial" w:cs="Arial" w:eastAsia="Arial" w:hAnsi="Arial"/>
          <w:sz w:val="17"/>
          <w:szCs w:val="17"/>
          <w:color w:val="000000"/>
        </w:rPr>
        <w:t>UK Medicines &amp; Health Products Regulatory Agency</w:t>
      </w:r>
      <w:r>
        <w:rPr>
          <w:rFonts w:ascii="Arial" w:cs="Arial" w:eastAsia="Arial" w:hAnsi="Arial"/>
          <w:sz w:val="17"/>
          <w:szCs w:val="17"/>
          <w:color w:val="231F20"/>
        </w:rPr>
        <w:t xml:space="preserve"> </w:t>
      </w:r>
      <w:r>
        <w:rPr>
          <w:rFonts w:ascii="Arial" w:cs="Arial" w:eastAsia="Arial" w:hAnsi="Arial"/>
          <w:sz w:val="17"/>
          <w:szCs w:val="17"/>
          <w:color w:val="000000"/>
        </w:rPr>
        <w:t>(MHRA) to proceed with a Phase 2a trial of ANB020 patients with severe adult eosinophilic asthma</w:t>
      </w:r>
      <w:r>
        <w:rPr>
          <w:rFonts w:ascii="Arial" w:cs="Arial" w:eastAsia="Arial" w:hAnsi="Arial"/>
          <w:sz w:val="17"/>
          <w:szCs w:val="17"/>
          <w:color w:val="231F20"/>
        </w:rPr>
        <w:t>. W</w:t>
      </w:r>
      <w:r>
        <w:rPr>
          <w:rFonts w:ascii="Arial" w:cs="Arial" w:eastAsia="Arial" w:hAnsi="Arial"/>
          <w:sz w:val="17"/>
          <w:szCs w:val="17"/>
          <w:color w:val="000000"/>
        </w:rPr>
        <w:t>e expect our research and development expenses to be higher for the foreseeable future as we advance our product candidates into clinical development.</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00" w:firstLine="446"/>
        <w:spacing w:after="0" w:line="312"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80" w:firstLine="446"/>
        <w:spacing w:after="0" w:line="308" w:lineRule="auto"/>
        <w:rPr>
          <w:sz w:val="20"/>
          <w:szCs w:val="20"/>
          <w:color w:val="auto"/>
        </w:rPr>
      </w:pPr>
      <w:r>
        <w:rPr>
          <w:rFonts w:ascii="Arial" w:cs="Arial" w:eastAsia="Arial" w:hAnsi="Arial"/>
          <w:sz w:val="17"/>
          <w:szCs w:val="17"/>
          <w:color w:val="auto"/>
        </w:rPr>
        <w:t>Interest expense consists of stated and floating interest payments and amortization of discounts on our outstanding notes payable relating to our Loan and Security Agreement with Oxford Finance LLC and Silicon Valley Bank, as amended, which we refer to as the Loan Agreement.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Liability for Preferred Stock Warrants</w:t>
      </w:r>
    </w:p>
    <w:p>
      <w:pPr>
        <w:spacing w:after="0" w:line="117"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Income and expense from the change in fair value of our liability for preferred stock warrants results from the valuation of our outstanding warrants to purchase shares of our preferred stock, which is valued at each period end. Upon the closing of our initial public offering on January 31, 2017, the warrants to purchase shares of preferred stock have converted into warrants to purchase shares of common stock, the preferred stock warrant liabilities have been reclassified to additional paid-in capital and periodic fair value adjustments will no longer be required.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4" w:right="279" w:bottom="1440" w:gutter="0" w:footer="0" w:header="0"/>
        </w:sectPr>
      </w:pPr>
    </w:p>
    <w:bookmarkStart w:id="23" w:name="page24"/>
    <w:bookmarkEnd w:id="23"/>
    <w:p>
      <w:pPr>
        <w:ind w:right="160"/>
        <w:spacing w:after="0" w:line="277" w:lineRule="auto"/>
        <w:rPr>
          <w:sz w:val="20"/>
          <w:szCs w:val="20"/>
          <w:color w:val="auto"/>
        </w:rPr>
      </w:pPr>
      <w:r>
        <w:rPr>
          <w:rFonts w:ascii="Arial" w:cs="Arial" w:eastAsia="Arial" w:hAnsi="Arial"/>
          <w:sz w:val="18"/>
          <w:szCs w:val="18"/>
          <w:color w:val="auto"/>
        </w:rPr>
        <w:t>in light of changes in circumstances, facts and experience. We believe there have been no significant changes in our critical accounting policies as discussed in our Form 10-K filed on March 8, 2017 with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the Three and Six Months Ended June 30, 2017 and 2016</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300" w:firstLine="446"/>
        <w:spacing w:after="0" w:line="308" w:lineRule="auto"/>
        <w:rPr>
          <w:sz w:val="20"/>
          <w:szCs w:val="20"/>
          <w:color w:val="auto"/>
        </w:rPr>
      </w:pPr>
      <w:r>
        <w:rPr>
          <w:rFonts w:ascii="Arial" w:cs="Arial" w:eastAsia="Arial" w:hAnsi="Arial"/>
          <w:sz w:val="17"/>
          <w:szCs w:val="17"/>
          <w:color w:val="auto"/>
        </w:rPr>
        <w:t>Collaboration revenue was $7.0 million compared to $5.9 million for the three months ended June 30, 2017 and 2016, respectively, and $7.0 million compared to $10.7 million for the six months ended June 30, 2017 and 2016. A comparison of revenue by collaborator 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Increase</w:t>
            </w:r>
          </w:p>
        </w:tc>
        <w:tc>
          <w:tcPr>
            <w:tcW w:w="280" w:type="dxa"/>
            <w:vAlign w:val="bottom"/>
          </w:tcPr>
          <w:p>
            <w:pPr>
              <w:spacing w:after="0"/>
              <w:rPr>
                <w:sz w:val="14"/>
                <w:szCs w:val="14"/>
                <w:color w:val="auto"/>
              </w:rPr>
            </w:pPr>
          </w:p>
        </w:tc>
        <w:tc>
          <w:tcPr>
            <w:tcW w:w="22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(Decrease)</w:t>
            </w:r>
          </w:p>
        </w:tc>
        <w:tc>
          <w:tcPr>
            <w:tcW w:w="2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TESARO-amortization of upfront payments</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TESARO-funding of research and development</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TESARO-milestones</w:t>
            </w: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3,801</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3,199</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6,742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Celgene-milestone</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5,850</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1,150</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10,716</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Revenue during the three months ended June 30, 2017 increased $1.2 million compared to the three months ended June 30, 2016, primarily resulting from an increase in milestone revenue due to mix of milestones earned and the timing of recognition upon completion of the research services under the TESARO Agreement in December 31, 2016. The increase is offset by a decrease in upfront fees and research reimbursement revenue which we recognized in full upon the completion of the TESARO contract in December 31, 2016.</w:t>
      </w:r>
    </w:p>
    <w:p>
      <w:pPr>
        <w:spacing w:after="0" w:line="52"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Revenue during the six months ended June 30, 2017 decreased $3.7 million compared to the six months ended June 30, 2016 primarily due to a decrease in upfront fees and research reimbursement revenue which we recognized in full upon the completion of the research services under the TESARO contract in December 31, 2016, offset by an increase in milestone revenue.</w:t>
      </w:r>
    </w:p>
    <w:p>
      <w:pPr>
        <w:spacing w:after="0" w:line="154" w:lineRule="exact"/>
        <w:rPr>
          <w:sz w:val="20"/>
          <w:szCs w:val="20"/>
          <w:color w:val="auto"/>
        </w:rPr>
      </w:pPr>
    </w:p>
    <w:p>
      <w:pPr>
        <w:ind w:right="40" w:firstLine="405"/>
        <w:spacing w:after="0" w:line="324"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3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Research and development expenses during the three months ended June 30, 2017 increased approximately $4.9 million compared to the three months ended June 30, 2016, primarily due to a $1.0 million increase in outside services for preclinical and manufacturing expenses, a $0.9 million increase in clinical expenses, as well as a $0.4 million increase in salaries and related expenses, primarily stock compensation expense. The increase also reflects a $2.4 million decrease in Australian tax incentives recognized during the three months ended June 30, 2017 when compared to the three months ended June 30, 2016, related to the timing of the initial recognition of 2015 and 2016 tax incentives during the three months ended June 30, 2016 upon our determination that the tax incentive was collectible.</w:t>
      </w:r>
    </w:p>
    <w:p>
      <w:pPr>
        <w:spacing w:after="0" w:line="85"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 xml:space="preserve">Research and development expenses during the six months ended June 30, 2017 increased approximately $8.0 million compared to the six months ended June 30, 2016, primarily due to a $2.5 million increase in outside services for preclinical and manufacturing expenses, a $1.6 million increase in clinical expenses, as well as a $0.8 million increase in salaries and related expenses, primarily stock compensation expense. </w:t>
      </w:r>
      <w:r>
        <w:rPr>
          <w:rFonts w:ascii="Arial" w:cs="Arial" w:eastAsia="Arial" w:hAnsi="Arial"/>
          <w:sz w:val="18"/>
          <w:szCs w:val="18"/>
          <w:color w:val="231F20"/>
        </w:rPr>
        <w:t>The increase also reflects a</w:t>
      </w:r>
      <w:r>
        <w:rPr>
          <w:rFonts w:ascii="Arial" w:cs="Arial" w:eastAsia="Arial" w:hAnsi="Arial"/>
          <w:sz w:val="18"/>
          <w:szCs w:val="18"/>
          <w:color w:val="auto"/>
        </w:rPr>
        <w:t xml:space="preserve"> $1.8 million decrease in Australian tax incentives recognized during the six months ended June 30, 2017 related to the timing of the initial recognition of 2015 and 2016 tax incentives as discussed above.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76" w:right="239" w:bottom="1440" w:gutter="0" w:footer="0" w:header="0"/>
        </w:sectPr>
      </w:pPr>
    </w:p>
    <w:bookmarkStart w:id="24" w:name="page25"/>
    <w:bookmarkEnd w:id="24"/>
    <w:p>
      <w:pPr>
        <w:ind w:right="360" w:firstLine="446"/>
        <w:spacing w:after="0" w:line="277" w:lineRule="auto"/>
        <w:rPr>
          <w:sz w:val="20"/>
          <w:szCs w:val="20"/>
          <w:color w:val="auto"/>
        </w:rPr>
      </w:pPr>
      <w:r>
        <w:rPr>
          <w:rFonts w:ascii="Arial" w:cs="Arial" w:eastAsia="Arial" w:hAnsi="Arial"/>
          <w:sz w:val="18"/>
          <w:szCs w:val="18"/>
          <w:color w:val="auto"/>
        </w:rPr>
        <w:t>We expect our research and development expenses to increase as we further advance our development programs and, in particular, as we enter into additional clinical trials.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General and administrative expenses during the three months ended June 30, 2017 increased approximately $1.2 million compared to the three months ended June 30, 2016, primarily due to a $0.9 million increase in salaries and related expenses, including stock compensation expense as well as a $0.2 million increase in public company costs.</w:t>
      </w:r>
    </w:p>
    <w:p>
      <w:pPr>
        <w:spacing w:after="0" w:line="73"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General and administrative expenses during the six months ended June 30, 2017 increased approximately $2.0 million compared to the six months ended June 30, 2016, primarily due to a $1.4 million increase in salaries and related expenses, including stock compensation expense as well as a $0.3 million increase in public company costs.</w:t>
      </w:r>
    </w:p>
    <w:p>
      <w:pPr>
        <w:spacing w:after="0" w:line="181"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Interest expense was $0.4 million and $0.9 million during the three and six months ended June 30, 2017, respectively, and represents effective interest of 11.97% through June 30, 2017, with an outstanding principal balance of $15.0 million as of June 30, 2017. Interest expense was $0.1 million and $0.2 million during the three and six months ended June 30, 2016 respectively, and primarily represents effective interest of 9.25% on our outstanding Term A Loans, which had an outstanding principal balance of $5.0 million as of June 30, 2016.</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The change in fair value of the liabilities for stock warrants resulted in no expense and income of $3,000 during the three months ended June 30, 2017 and 2016, respectively and $1.4 million of expense compared to $0.4 million of income during the six months ended June 30, 2017 and 2016, respectively, due to changes in the valuation of our Series C convertible preferred stock which impacts the estimated fair value of the warrants. As discussed in Item 1 — Note 7 above, all of the outstanding warrants to purchase shares of preferred stock automatically converted into warrants to purchase shares of common stock in connection with the IPO and are accounted for as equity from the conversion date forward.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(expense) was $0.3 million during the three months ended June 30, 2017 and primarily consisted of interest income of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$0.3 million from our short-term and long-term investments and foreign exchange gains of approximately $29,000 related to our Australian subsidiary.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(expense) was $72,000 during the three months ended June 30, 2016 and primarily consisted of a foreign exchange gain related to our Australian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subsidiary and interest income from our money market fund.</w:t>
      </w:r>
    </w:p>
    <w:p>
      <w:pPr>
        <w:spacing w:after="0" w:line="103" w:lineRule="exact"/>
        <w:rPr>
          <w:sz w:val="20"/>
          <w:szCs w:val="20"/>
          <w:color w:val="auto"/>
        </w:rPr>
      </w:pPr>
    </w:p>
    <w:p>
      <w:pPr>
        <w:jc w:val="both"/>
        <w:ind w:right="100" w:firstLine="446"/>
        <w:spacing w:after="0" w:line="312" w:lineRule="auto"/>
        <w:rPr>
          <w:sz w:val="20"/>
          <w:szCs w:val="20"/>
          <w:color w:val="auto"/>
        </w:rPr>
      </w:pPr>
      <w:r>
        <w:rPr>
          <w:rFonts w:ascii="Arial" w:cs="Arial" w:eastAsia="Arial" w:hAnsi="Arial"/>
          <w:sz w:val="16"/>
          <w:szCs w:val="16"/>
          <w:color w:val="auto"/>
        </w:rPr>
        <w:t>Other income (expense) was $0.7 million during the six months ended June 30, 2017 and primarily consisted of interest income of approximately $0.4 million from our short-term and long-term investments and foreign exchange gains of approximately $0.3 million related to our Australian subsidiary. Other income (expense) was $59,000 during the six months ended June 30, 2016 and primarily consisted of interest income from our money market fund.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84"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From our inception through June 30, 2017, we have received an aggregate of $264.9 million to fund our operations which included $172.2 million from the sale of equity securities, $73.6 million from our collaboration agreements and $19.1 million from venture debt. As of June 30, 2017, we had $120.3 million in cash, cash equivalents and investments.</w:t>
      </w:r>
    </w:p>
    <w:p>
      <w:pPr>
        <w:spacing w:after="0" w:line="181" w:lineRule="exact"/>
        <w:rPr>
          <w:sz w:val="20"/>
          <w:szCs w:val="20"/>
          <w:color w:val="auto"/>
        </w:rPr>
      </w:pPr>
    </w:p>
    <w:p>
      <w:pPr>
        <w:ind w:right="260" w:firstLine="446"/>
        <w:spacing w:after="0" w:line="257" w:lineRule="auto"/>
        <w:rPr>
          <w:sz w:val="20"/>
          <w:szCs w:val="20"/>
          <w:color w:val="auto"/>
        </w:rPr>
      </w:pPr>
      <w:r>
        <w:rPr>
          <w:rFonts w:ascii="Arial" w:cs="Arial" w:eastAsia="Arial" w:hAnsi="Arial"/>
          <w:sz w:val="18"/>
          <w:szCs w:val="18"/>
          <w:color w:val="auto"/>
        </w:rPr>
        <w:t>In addition to our existing cash and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188"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181" w:lineRule="exact"/>
        <w:rPr>
          <w:sz w:val="20"/>
          <w:szCs w:val="20"/>
          <w:color w:val="auto"/>
        </w:rPr>
      </w:pPr>
    </w:p>
    <w:p>
      <w:pPr>
        <w:jc w:val="both"/>
        <w:ind w:right="220" w:firstLine="446"/>
        <w:spacing w:after="0" w:line="264" w:lineRule="auto"/>
        <w:rPr>
          <w:sz w:val="20"/>
          <w:szCs w:val="20"/>
          <w:color w:val="auto"/>
        </w:rPr>
      </w:pPr>
      <w:r>
        <w:rPr>
          <w:rFonts w:ascii="Arial" w:cs="Arial" w:eastAsia="Arial" w:hAnsi="Arial"/>
          <w:sz w:val="18"/>
          <w:szCs w:val="18"/>
          <w:color w:val="auto"/>
        </w:rPr>
        <w:t>Under the Loan Agreement, we may borrow up to $15.0 million in three separate draws of $5.0 million each. In January 2016, we amended the Loan Agreement to combine Term B Loans and Term C Loans for a total of $10.0 million available for draw and delay the principal repayments for our Term A Loans from February 1, 2016 until February 1, 2017.</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2016, we further amended the Loan Agreement to (i) allow for the Term B Loans and Term C Loans to be drawn on December 30, 2016,</w:t>
      </w:r>
    </w:p>
    <w:p>
      <w:pPr>
        <w:spacing w:after="0" w:line="46" w:lineRule="exact"/>
        <w:rPr>
          <w:sz w:val="20"/>
          <w:szCs w:val="20"/>
          <w:color w:val="auto"/>
        </w:rPr>
      </w:pPr>
    </w:p>
    <w:p>
      <w:pPr>
        <w:ind w:right="20" w:firstLine="8"/>
        <w:spacing w:after="0" w:line="273"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delay principal repayments of all Term Loans until February 1, 2018 and (iii) amend the interest rate for each Term Loan. The Term B Loans and the Term C Loans were drawn on December 30, 2016. As of June 30, 2017, the Term Loans are due in seven monthly interest-only payments through January 2018, followed by 24 equal monthly principal and interest payments beginning February 1, 2018, with final maturity in January 2020. Each Loan bears interest equal to the greater of 3-month U.S. LIBOR plus 6.37% or 7.3%. The rate was 7.58% as of June 30, 2017.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40" w:firstLine="446"/>
        <w:spacing w:after="0" w:line="312"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3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As a publicly traded company, we incur significant legal, accounting and other expenses that were not required as a private company. In addition, the Sarbanes-Oxley Act of 2002, as well as rules adopted by the SEC and The NASDAQ Stock Market, requires public companies to implement specified corporate governance practices that were inapplicable to us as a private company. We expect these rules and regulations will increase our legal and financial compliance costs and will make some activities more time-consuming and costly.</w:t>
      </w:r>
    </w:p>
    <w:p>
      <w:pPr>
        <w:spacing w:after="0" w:line="187"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Cash, cash equivalents and investments totaled $120.3 million as of June 30, 2017, compared to $51.2 million as of December 31, 2016, and includes net proceeds of $80.2 million from our IPO which was completed on January 31, 2017 and $7.0 million in revenue related to milestones achieved during the six months ended June 30, 2017. We expect that our existing cash and cash equivalents, as well as our investments and projected revenue under our existing collaborations will fund our operating plan through 2018.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88" w:right="23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cash flows for the six months ended June 30, 2017 and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5"/>
                <w:szCs w:val="15"/>
                <w:color w:val="auto"/>
              </w:rPr>
            </w:pPr>
          </w:p>
        </w:tc>
        <w:tc>
          <w:tcPr>
            <w:tcW w:w="1240" w:type="dxa"/>
            <w:vAlign w:val="bottom"/>
            <w:vMerge w:val="restart"/>
          </w:tcPr>
          <w:p>
            <w:pPr>
              <w:jc w:val="right"/>
              <w:ind w:right="57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87"/>
        </w:trPr>
        <w:tc>
          <w:tcPr>
            <w:tcW w:w="6400" w:type="dxa"/>
            <w:vAlign w:val="bottom"/>
            <w:tcBorders>
              <w:bottom w:val="single" w:sz="8" w:color="CFF0FC"/>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(used in) provided by:</w:t>
            </w: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(10,353)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(89,506)</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(89,457)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79,766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80,428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decrease in cash, cash equivalents and restricted cash</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(20,480)</w:t>
            </w:r>
          </w:p>
        </w:tc>
        <w:tc>
          <w:tcPr>
            <w:tcW w:w="1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(19,382)</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40" w:firstLine="446"/>
        <w:spacing w:after="0" w:line="279" w:lineRule="auto"/>
        <w:rPr>
          <w:sz w:val="20"/>
          <w:szCs w:val="20"/>
          <w:color w:val="auto"/>
        </w:rPr>
      </w:pPr>
      <w:r>
        <w:rPr>
          <w:rFonts w:ascii="Arial" w:cs="Arial" w:eastAsia="Arial" w:hAnsi="Arial"/>
          <w:sz w:val="17"/>
          <w:szCs w:val="17"/>
          <w:color w:val="auto"/>
        </w:rPr>
        <w:t>Net cash used in operating activities during the six months ended June 30, 2017 of $10.7 million was primarily due to our net loss of $14.1 million, adjusted for changes in working capital of $0.7 million and addbacks for non-cash expenses of $4.1 million which includes stock-based compensation and warrant liability fair value adjustments. Net cash used in operating activities during the six months ended June 30, 2016 of $0.4 million was primarily due to our net income of $1.4 million and non-cash addbacks of $0.4 million offset by changes in working capital of $2.2 million.</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360" w:firstLine="446"/>
        <w:spacing w:after="0" w:line="342" w:lineRule="auto"/>
        <w:rPr>
          <w:sz w:val="20"/>
          <w:szCs w:val="20"/>
          <w:color w:val="auto"/>
        </w:rPr>
      </w:pPr>
      <w:r>
        <w:rPr>
          <w:rFonts w:ascii="Arial" w:cs="Arial" w:eastAsia="Arial" w:hAnsi="Arial"/>
          <w:sz w:val="16"/>
          <w:szCs w:val="16"/>
          <w:color w:val="auto"/>
        </w:rPr>
        <w:t>Cash used in investing activities during the six months ended June 30, 2017 was primarily due to the acquisition of investments upon receipt of the proceeds from our IPO. Cash used in investing activities during the six months ended June 30, 2016 was due to our purchases of property and equipment.</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cash provided by financing activities during the six months ended June 30, 2017 of $79.8 million was primarily related to net proceeds of $80.2 million from our IPO as well as proceeds of $1.0 million from the issuance of common stock as a result of option and warrant exercises, offset by $1.5 million in payments related to offering costs. Cash used in financing activities during the six months ended June 30, 2016 of $0.7 million was primarily related to payments for deferred offering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Some of the securities that we invest in have market risk in that a change in prevailing interest rates or significant change in economic circumstances may cause the principal amount of the marketable securities to fluctuate. Financial instruments that potentially subject us to significant concentrations of credit risk consist primarily of cash, cash equivalents, short-term and long-term investments. We invest our excess cash primarily in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Because of the short-term maturities of our cash equivalents and marketable securities, we do not believe that an increase in market rates would have any significant impact on the realized value of our marketable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2017,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78" w:lineRule="exact"/>
        <w:rPr>
          <w:sz w:val="20"/>
          <w:szCs w:val="20"/>
          <w:color w:val="auto"/>
        </w:rPr>
      </w:pPr>
    </w:p>
    <w:p>
      <w:pPr>
        <w:ind w:right="520" w:firstLine="446"/>
        <w:spacing w:after="0" w:line="342"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364" w:right="2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2" w:lineRule="exact"/>
        <w:rPr>
          <w:sz w:val="20"/>
          <w:szCs w:val="20"/>
          <w:color w:val="auto"/>
        </w:rPr>
      </w:pPr>
    </w:p>
    <w:p>
      <w:pPr>
        <w:ind w:right="200" w:firstLine="446"/>
        <w:spacing w:after="0" w:line="312" w:lineRule="auto"/>
        <w:rPr>
          <w:sz w:val="20"/>
          <w:szCs w:val="20"/>
          <w:color w:val="auto"/>
        </w:rPr>
      </w:pPr>
      <w:r>
        <w:rPr>
          <w:rFonts w:ascii="Arial" w:cs="Arial" w:eastAsia="Arial" w:hAnsi="Arial"/>
          <w:sz w:val="16"/>
          <w:szCs w:val="16"/>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47"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product candidates in later clinical trials may fail to demonstrate sufficient efficacy despite having progressed through initial clinical trials, even if certain analyses of primary or secondary endpoints in those early trials showed trends toward efficacy or, in some analyses, nominal statistical significance. In addition, the results of clinical trials in one set of patients or line of treatment may not be predictive of those obtained in another.</w:t>
      </w:r>
    </w:p>
    <w:p>
      <w:pPr>
        <w:spacing w:after="0" w:line="178"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64" w:right="259" w:bottom="1440" w:gutter="0" w:footer="0" w:header="0"/>
        </w:sectPr>
      </w:pPr>
    </w:p>
    <w:bookmarkStart w:id="29" w:name="page30"/>
    <w:bookmarkEnd w:id="29"/>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firstLine="446"/>
        <w:spacing w:after="0" w:line="238"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9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3" w:lineRule="exact"/>
        <w:rPr>
          <w:sz w:val="20"/>
          <w:szCs w:val="20"/>
          <w:color w:val="auto"/>
        </w:rPr>
      </w:pPr>
    </w:p>
    <w:p>
      <w:pPr>
        <w:ind w:right="100" w:firstLine="446"/>
        <w:spacing w:after="0" w:line="241"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90"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recently completed our Phase 1 clinical trial for ANB020 in healthy humans, and initiated patient trials with ANB020. We also have only recently initiated a Phase 1 clinical trial with ANB019.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76" w:right="259" w:bottom="1440" w:gutter="0" w:footer="0" w:header="0"/>
        </w:sectPr>
      </w:pPr>
    </w:p>
    <w:bookmarkStart w:id="30" w:name="page31"/>
    <w:bookmarkEnd w:id="30"/>
    <w:p>
      <w:pPr>
        <w:ind w:right="80" w:firstLine="486"/>
        <w:spacing w:after="0" w:line="286" w:lineRule="auto"/>
        <w:rPr>
          <w:sz w:val="20"/>
          <w:szCs w:val="20"/>
          <w:color w:val="auto"/>
        </w:rPr>
      </w:pPr>
      <w:r>
        <w:rPr>
          <w:rFonts w:ascii="Arial" w:cs="Arial" w:eastAsia="Arial" w:hAnsi="Arial"/>
          <w:sz w:val="16"/>
          <w:szCs w:val="16"/>
          <w:color w:val="auto"/>
        </w:rPr>
        <w:t>In the single-ascending dose segment of our Phase 1 clinical trial of ANB020, the most common adverse events were upper respiratory tract infection and headache, and we observed one case of severe neutropenia in one individual, which was acute and not persistent, and was considered not to be drug-related. No adverse events were determined to be drug related. All safety information generated under the single-ascending dose segment of our Phase 1 clinical trial was included in the US IND and UK CTA submissions which were subsequently cleared by the FDA and MHRA, respectively. Subjects in our ongoing and planned clinical trials may in the future suffer significant adverse events or other side effects not observed in our preclinical studies or in our Phase 1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ind w:right="40" w:firstLine="446"/>
        <w:spacing w:after="0" w:line="254"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2"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ANB020 in the United States and United Kingdom, respectively, and a CTN for ANB019 in Australia,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31" w:name="page32"/>
    <w:bookmarkEnd w:id="31"/>
    <w:p>
      <w:pPr>
        <w:jc w:val="both"/>
        <w:ind w:right="480"/>
        <w:spacing w:after="0" w:line="264" w:lineRule="auto"/>
        <w:rPr>
          <w:sz w:val="20"/>
          <w:szCs w:val="20"/>
          <w:color w:val="auto"/>
        </w:rPr>
      </w:pPr>
      <w:r>
        <w:rPr>
          <w:rFonts w:ascii="Arial" w:cs="Arial" w:eastAsia="Arial" w:hAnsi="Arial"/>
          <w:sz w:val="18"/>
          <w:szCs w:val="18"/>
          <w:color w:val="auto"/>
        </w:rPr>
        <w:t>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81"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ANB020 in Australia, obtaining clearance for our IND for a Phase 2a clinical trial of ANB020 in severe adult peanut allergy in the United States, obtaining clearance for our CTA for a Phase 2a clinical trial of ANB020 in moderate-to-severe adult atopic dermatitis in the United Kingdom and obtaining clearance for our CTN for ANB019 in Australia,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approximately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 In addition, with regard to ANB020, although we intend for our investigators for our Phase 2a study to enroll only patients with severe adult peanut allergy, the protocol does not preclude enrollment of patients with non-severe adult peanut allergy. It is possible that our investigator could enroll patients with non-severe peanut allergy, which could provide us with less information than anticipated with regard to ANB020’s effect on severe peanut allergy.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10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03" w:lineRule="exact"/>
        <w:rPr>
          <w:sz w:val="20"/>
          <w:szCs w:val="20"/>
          <w:color w:val="auto"/>
        </w:rPr>
      </w:pPr>
    </w:p>
    <w:p>
      <w:pPr>
        <w:ind w:left="880" w:right="26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880" w:right="60" w:hanging="440"/>
        <w:spacing w:after="0" w:line="26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76" w:right="259" w:bottom="1440" w:gutter="0" w:footer="0" w:header="0"/>
        </w:sectPr>
      </w:pPr>
    </w:p>
    <w:bookmarkStart w:id="32" w:name="page33"/>
    <w:bookmarkEnd w:id="32"/>
    <w:p>
      <w:pPr>
        <w:ind w:right="60" w:firstLine="44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right="34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329"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80" w:firstLine="446"/>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1" w:lineRule="exact"/>
        <w:rPr>
          <w:sz w:val="20"/>
          <w:szCs w:val="20"/>
          <w:color w:val="auto"/>
        </w:rPr>
      </w:pPr>
    </w:p>
    <w:p>
      <w:pPr>
        <w:ind w:firstLine="446"/>
        <w:spacing w:after="0" w:line="238"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584" w:right="339" w:bottom="1440" w:gutter="0" w:footer="0" w:header="0"/>
        </w:sectPr>
      </w:pPr>
    </w:p>
    <w:bookmarkStart w:id="33" w:name="page34"/>
    <w:bookmarkEnd w:id="33"/>
    <w:p>
      <w:pPr>
        <w:ind w:right="1140"/>
        <w:spacing w:after="0" w:line="296" w:lineRule="auto"/>
        <w:rPr>
          <w:sz w:val="20"/>
          <w:szCs w:val="20"/>
          <w:color w:val="auto"/>
        </w:rPr>
      </w:pPr>
      <w:r>
        <w:rPr>
          <w:rFonts w:ascii="Arial" w:cs="Arial" w:eastAsia="Arial" w:hAnsi="Arial"/>
          <w:sz w:val="17"/>
          <w:szCs w:val="17"/>
          <w:b w:val="1"/>
          <w:bCs w:val="1"/>
          <w:color w:val="auto"/>
        </w:rPr>
        <w:t>We have recently commenced clinical development of ANB020 and ANB019, and have no other history of conducting clinical trials or commercializing biotechnology products, which may make it difficult to evaluate the prospects for our future viability.</w:t>
      </w:r>
    </w:p>
    <w:p>
      <w:pPr>
        <w:spacing w:after="0" w:line="35" w:lineRule="exact"/>
        <w:rPr>
          <w:sz w:val="20"/>
          <w:szCs w:val="20"/>
          <w:color w:val="auto"/>
        </w:rPr>
      </w:pPr>
    </w:p>
    <w:p>
      <w:pPr>
        <w:ind w:firstLine="446"/>
        <w:spacing w:after="0" w:line="238" w:lineRule="auto"/>
        <w:rPr>
          <w:sz w:val="20"/>
          <w:szCs w:val="20"/>
          <w:color w:val="auto"/>
        </w:rPr>
      </w:pPr>
      <w:r>
        <w:rPr>
          <w:rFonts w:ascii="Arial" w:cs="Arial" w:eastAsia="Arial" w:hAnsi="Arial"/>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95" w:lineRule="exact"/>
        <w:rPr>
          <w:sz w:val="20"/>
          <w:szCs w:val="20"/>
          <w:color w:val="auto"/>
        </w:rPr>
      </w:pPr>
    </w:p>
    <w:p>
      <w:pPr>
        <w:jc w:val="both"/>
        <w:ind w:right="620" w:firstLine="446"/>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880" w:right="100" w:hanging="440"/>
        <w:spacing w:after="0" w:line="262"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1" w:lineRule="exact"/>
        <w:rPr>
          <w:rFonts w:ascii="Arial" w:cs="Arial" w:eastAsia="Arial" w:hAnsi="Arial"/>
          <w:sz w:val="18"/>
          <w:szCs w:val="18"/>
          <w:color w:val="auto"/>
        </w:rPr>
      </w:pPr>
    </w:p>
    <w:p>
      <w:pPr>
        <w:ind w:left="880" w:right="600" w:hanging="440"/>
        <w:spacing w:after="0" w:line="262"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1"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40" w:firstLine="44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688" w:right="299" w:bottom="1440" w:gutter="0" w:footer="0" w:header="0"/>
        </w:sectPr>
      </w:pPr>
    </w:p>
    <w:bookmarkStart w:id="34" w:name="page35"/>
    <w:bookmarkEnd w:id="34"/>
    <w:p>
      <w:pPr>
        <w:ind w:right="160" w:firstLine="44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80" w:lineRule="exact"/>
        <w:rPr>
          <w:sz w:val="20"/>
          <w:szCs w:val="20"/>
          <w:color w:val="auto"/>
        </w:rPr>
      </w:pPr>
    </w:p>
    <w:p>
      <w:pPr>
        <w:ind w:right="20" w:firstLine="446"/>
        <w:spacing w:after="0" w:line="285"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w:t>
      </w:r>
      <w:r>
        <w:rPr>
          <w:rFonts w:ascii="Arial" w:cs="Arial" w:eastAsia="Arial" w:hAnsi="Arial"/>
          <w:sz w:val="16"/>
          <w:szCs w:val="16"/>
          <w:color w:val="231F20"/>
        </w:rPr>
        <w:t>, Sanofi</w:t>
      </w:r>
      <w:r>
        <w:rPr>
          <w:rFonts w:ascii="Arial" w:cs="Arial" w:eastAsia="Arial" w:hAnsi="Arial"/>
          <w:sz w:val="16"/>
          <w:szCs w:val="16"/>
          <w:color w:val="auto"/>
        </w:rPr>
        <w:t>) and AMG 317 (Amgen) each in clinical testing, an ST2-binding antibody which Roche has in-licensed from Amgen (previously known as AMG 282) and plans to advance into Phase 2 clinical trials, and CNTO 7160, which is another ST2-binding antibody that GSK in-licensed from Janssen. Regeneron has recently announced an IL-33 related program (REGN 3500) in a Phase 1 clinical trial and is indicated for asthma and chronic obstructive pulmonary disease and AstraZeneca has also recently announced an IL-33 related program (MEDI3506) in a Phase 1 clinical trial and is indicated for chronic obstructive pulmonary disease. For peanut allergy, our competitors include DBV Technologies, which is developing transdermal products for tolerization of food allergies, while Aimmune Therapeutics is developing oral products for peanut allergy desensitization. For atopic dermatitis, our competitors include dupilumab (Dupixent, Regeneron, Sanofi), which has been approved by the FDA, crisaborole (EUCRISA, Pfizer), which has recently been approved by the FDA, and VTP-38543 (Vitae, acquired by Allergan), which is currently in a Phase 2 trial.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 IL-1 beta and BI-655130 (Boehringer Ingelheim).</w:t>
      </w:r>
    </w:p>
    <w:p>
      <w:pPr>
        <w:spacing w:after="0" w:line="391" w:lineRule="exact"/>
        <w:rPr>
          <w:sz w:val="20"/>
          <w:szCs w:val="20"/>
          <w:color w:val="auto"/>
        </w:rPr>
      </w:pPr>
    </w:p>
    <w:p>
      <w:pPr>
        <w:ind w:right="200" w:firstLine="446"/>
        <w:spacing w:after="0" w:line="312" w:lineRule="auto"/>
        <w:rPr>
          <w:sz w:val="20"/>
          <w:szCs w:val="20"/>
          <w:color w:val="auto"/>
        </w:rPr>
      </w:pPr>
      <w:r>
        <w:rPr>
          <w:rFonts w:ascii="Arial" w:cs="Arial" w:eastAsia="Arial" w:hAnsi="Arial"/>
          <w:sz w:val="16"/>
          <w:szCs w:val="16"/>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88" w:lineRule="auto"/>
        <w:rPr>
          <w:sz w:val="20"/>
          <w:szCs w:val="20"/>
          <w:color w:val="auto"/>
        </w:rPr>
      </w:pPr>
      <w:r>
        <w:rPr>
          <w:rFonts w:ascii="Arial" w:cs="Arial" w:eastAsia="Arial" w:hAnsi="Arial"/>
          <w:sz w:val="16"/>
          <w:szCs w:val="16"/>
          <w:color w:val="auto"/>
        </w:rPr>
        <w:t>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w:t>
      </w:r>
    </w:p>
    <w:p>
      <w:pPr>
        <w:ind w:right="60"/>
        <w:spacing w:after="0" w:line="261" w:lineRule="auto"/>
        <w:rPr>
          <w:sz w:val="20"/>
          <w:szCs w:val="20"/>
          <w:color w:val="auto"/>
        </w:rPr>
      </w:pPr>
      <w:r>
        <w:rPr>
          <w:rFonts w:ascii="Arial" w:cs="Arial" w:eastAsia="Arial" w:hAnsi="Arial"/>
          <w:sz w:val="18"/>
          <w:szCs w:val="18"/>
          <w:color w:val="auto"/>
        </w:rPr>
        <w:t>While it is uncertain when such processes intended to implement BPCIA may be fully adopted by the FDA, any such processes could have a material adverse effect on the future commercial prospects for our biological products.</w:t>
      </w:r>
    </w:p>
    <w:p>
      <w:pPr>
        <w:spacing w:after="0" w:line="184"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healthcare payors and others in the medical community necessary for commercial success.</w:t>
      </w:r>
    </w:p>
    <w:p>
      <w:pPr>
        <w:spacing w:after="0" w:line="58"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73"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4"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78"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880" w:right="52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17" w:lineRule="exact"/>
        <w:rPr>
          <w:rFonts w:ascii="Arial" w:cs="Arial" w:eastAsia="Arial" w:hAnsi="Arial"/>
          <w:sz w:val="18"/>
          <w:szCs w:val="18"/>
          <w:color w:val="auto"/>
        </w:rPr>
      </w:pPr>
    </w:p>
    <w:p>
      <w:pPr>
        <w:ind w:left="880" w:right="500" w:hanging="440"/>
        <w:spacing w:after="0" w:line="308"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20" w:firstLine="44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manufacture of biologics is complex and our third-party manufacturers may encounter difficulties in production. If any of our third-party manufacturers encounter such difficulties, our ability to provide supply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76" w:right="259" w:bottom="1440" w:gutter="0" w:footer="0" w:header="0"/>
        </w:sectPr>
      </w:pPr>
    </w:p>
    <w:bookmarkStart w:id="37" w:name="page38"/>
    <w:bookmarkEnd w:id="37"/>
    <w:p>
      <w:pPr>
        <w:ind w:right="60"/>
        <w:spacing w:after="0" w:line="282" w:lineRule="auto"/>
        <w:rPr>
          <w:sz w:val="20"/>
          <w:szCs w:val="20"/>
          <w:color w:val="auto"/>
        </w:rPr>
      </w:pPr>
      <w:r>
        <w:rPr>
          <w:rFonts w:ascii="Arial" w:cs="Arial" w:eastAsia="Arial" w:hAnsi="Arial"/>
          <w:sz w:val="18"/>
          <w:szCs w:val="18"/>
          <w:b w:val="1"/>
          <w:bCs w:val="1"/>
          <w:color w:val="auto"/>
        </w:rPr>
        <w:t>of our product candidates for clinical trials, our ability to obtain marketing approval, or our ability to provide supply of our products for patients, if approved, could be delayed or stopped.</w:t>
      </w:r>
    </w:p>
    <w:p>
      <w:pPr>
        <w:spacing w:after="0" w:line="58" w:lineRule="exact"/>
        <w:rPr>
          <w:sz w:val="20"/>
          <w:szCs w:val="20"/>
          <w:color w:val="auto"/>
        </w:rPr>
      </w:pPr>
    </w:p>
    <w:p>
      <w:pPr>
        <w:ind w:right="120" w:firstLine="446"/>
        <w:spacing w:after="0" w:line="271" w:lineRule="auto"/>
        <w:rPr>
          <w:sz w:val="20"/>
          <w:szCs w:val="20"/>
          <w:color w:val="auto"/>
        </w:rPr>
      </w:pPr>
      <w:r>
        <w:rPr>
          <w:rFonts w:ascii="Arial" w:cs="Arial" w:eastAsia="Arial" w:hAnsi="Arial"/>
          <w:sz w:val="17"/>
          <w:szCs w:val="17"/>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or cGMPs, the FDA may deny BLA approval until the deficiencies are corrected or we replace the manufacturer in our BLA with a manufacturer that is in compliance.</w:t>
      </w:r>
    </w:p>
    <w:p>
      <w:pPr>
        <w:spacing w:after="0" w:line="179"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Since our inception, we have incurred significant operating losses in every year except fiscal year 2014. Our collaboration revenue was $7.0 million and our net loss was $(14.1) million for the six months ended June 30, 2017 and our collaboration revenue was $10.7 million and our net income was $1.4 million for the six months ended June 30, 2016. As of June 30, 2017, we had an accumulated deficit of $(69.1) million.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88" w:right="239" w:bottom="1440" w:gutter="0" w:footer="0" w:header="0"/>
        </w:sectPr>
      </w:pPr>
    </w:p>
    <w:bookmarkStart w:id="38" w:name="page39"/>
    <w:bookmarkEnd w:id="38"/>
    <w:p>
      <w:pPr>
        <w:ind w:firstLine="648"/>
        <w:spacing w:after="0" w:line="272" w:lineRule="auto"/>
        <w:rPr>
          <w:sz w:val="20"/>
          <w:szCs w:val="20"/>
          <w:color w:val="auto"/>
        </w:rPr>
      </w:pPr>
      <w:r>
        <w:rPr>
          <w:rFonts w:ascii="Arial" w:cs="Arial" w:eastAsia="Arial" w:hAnsi="Arial"/>
          <w:sz w:val="17"/>
          <w:szCs w:val="17"/>
          <w:color w:val="auto"/>
        </w:rPr>
        <w:t>We have financed our operations primarily through private placements of our preferred stock, our initial public offering of common stock in January 2017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70"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28" w:lineRule="exact"/>
        <w:rPr>
          <w:rFonts w:ascii="Arial" w:cs="Arial" w:eastAsia="Arial" w:hAnsi="Arial"/>
          <w:sz w:val="17"/>
          <w:szCs w:val="17"/>
          <w:color w:val="auto"/>
        </w:rPr>
      </w:pPr>
    </w:p>
    <w:p>
      <w:pPr>
        <w:ind w:left="880" w:right="4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100" w:firstLine="446"/>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ind w:right="140"/>
        <w:spacing w:after="0" w:line="282" w:lineRule="auto"/>
        <w:rPr>
          <w:sz w:val="20"/>
          <w:szCs w:val="20"/>
          <w:color w:val="auto"/>
        </w:rPr>
      </w:pPr>
      <w:r>
        <w:rPr>
          <w:rFonts w:ascii="Arial" w:cs="Arial" w:eastAsia="Arial" w:hAnsi="Arial"/>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8" w:lineRule="exact"/>
        <w:rPr>
          <w:sz w:val="20"/>
          <w:szCs w:val="20"/>
          <w:color w:val="auto"/>
        </w:rPr>
      </w:pPr>
    </w:p>
    <w:p>
      <w:pPr>
        <w:ind w:firstLine="446"/>
        <w:spacing w:after="0" w:line="287"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and cash equivalents and investments along with funding we expect to receive under existing collaboration agreements will fund our projected operating plan through 2018.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73" w:lineRule="exact"/>
        <w:rPr>
          <w:sz w:val="20"/>
          <w:szCs w:val="20"/>
          <w:color w:val="auto"/>
        </w:rPr>
      </w:pPr>
    </w:p>
    <w:p>
      <w:pPr>
        <w:ind w:right="20" w:firstLine="44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39"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product candidates or cease operations altogether;</w:t>
      </w:r>
    </w:p>
    <w:p>
      <w:pPr>
        <w:spacing w:after="0" w:line="140" w:lineRule="exact"/>
        <w:rPr>
          <w:rFonts w:ascii="Arial" w:cs="Arial" w:eastAsia="Arial" w:hAnsi="Arial"/>
          <w:sz w:val="16"/>
          <w:szCs w:val="16"/>
          <w:color w:val="auto"/>
        </w:rPr>
      </w:pPr>
    </w:p>
    <w:p>
      <w:pPr>
        <w:ind w:left="880" w:right="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80" w:firstLine="446"/>
        <w:spacing w:after="0" w:line="273"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70" w:lineRule="exact"/>
        <w:rPr>
          <w:sz w:val="20"/>
          <w:szCs w:val="20"/>
          <w:color w:val="auto"/>
        </w:rPr>
      </w:pPr>
    </w:p>
    <w:p>
      <w:pPr>
        <w:ind w:left="880" w:right="14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880" w:right="540" w:hanging="440"/>
        <w:spacing w:after="0" w:line="308"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88" w:right="239" w:bottom="1440" w:gutter="0" w:footer="0" w:header="0"/>
        </w:sectPr>
      </w:pPr>
    </w:p>
    <w:bookmarkStart w:id="40" w:name="page41"/>
    <w:bookmarkEnd w:id="40"/>
    <w:p>
      <w:pPr>
        <w:ind w:left="880" w:right="640" w:hanging="440"/>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346"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96" w:lineRule="exact"/>
        <w:rPr>
          <w:sz w:val="20"/>
          <w:szCs w:val="20"/>
          <w:color w:val="auto"/>
        </w:rPr>
      </w:pPr>
    </w:p>
    <w:p>
      <w:pPr>
        <w:ind w:right="526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140" w:firstLine="446"/>
        <w:spacing w:after="0" w:line="290"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January 2017, have worked together for only a relatively short period of time and it may be difficult to evaluate their effectiveness, on an individual or collective basis, and ability to address future challenges to our business.</w:t>
      </w:r>
    </w:p>
    <w:p>
      <w:pPr>
        <w:spacing w:after="0" w:line="166"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76" w:right="239" w:bottom="1440" w:gutter="0" w:footer="0" w:header="0"/>
        </w:sectPr>
      </w:pPr>
    </w:p>
    <w:bookmarkStart w:id="41" w:name="page42"/>
    <w:bookmarkEnd w:id="41"/>
    <w:p>
      <w:pPr>
        <w:ind w:right="280"/>
        <w:spacing w:after="0" w:line="277" w:lineRule="auto"/>
        <w:rPr>
          <w:sz w:val="20"/>
          <w:szCs w:val="20"/>
          <w:color w:val="auto"/>
        </w:rPr>
      </w:pPr>
      <w:r>
        <w:rPr>
          <w:rFonts w:ascii="Arial" w:cs="Arial" w:eastAsia="Arial" w:hAnsi="Arial"/>
          <w:sz w:val="18"/>
          <w:szCs w:val="18"/>
          <w:color w:val="auto"/>
        </w:rPr>
        <w:t>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7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73" w:lineRule="exact"/>
        <w:rPr>
          <w:sz w:val="20"/>
          <w:szCs w:val="20"/>
          <w:color w:val="auto"/>
        </w:rPr>
      </w:pPr>
    </w:p>
    <w:p>
      <w:pPr>
        <w:ind w:right="80" w:firstLine="446"/>
        <w:spacing w:after="0" w:line="279" w:lineRule="auto"/>
        <w:rPr>
          <w:sz w:val="20"/>
          <w:szCs w:val="20"/>
          <w:color w:val="auto"/>
        </w:rPr>
      </w:pPr>
      <w:r>
        <w:rPr>
          <w:rFonts w:ascii="Arial" w:cs="Arial" w:eastAsia="Arial" w:hAnsi="Arial"/>
          <w:sz w:val="16"/>
          <w:szCs w:val="16"/>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60" w:lineRule="exact"/>
        <w:rPr>
          <w:sz w:val="20"/>
          <w:szCs w:val="20"/>
          <w:color w:val="auto"/>
        </w:rPr>
      </w:pPr>
    </w:p>
    <w:p>
      <w:pPr>
        <w:ind w:right="40" w:firstLine="446"/>
        <w:spacing w:after="0" w:line="24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In July 2017, we received a letter from the Australian Taxation Office indicating that our tax credit application for fiscal 2016 had been selected for further review which has delayed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ind w:right="280"/>
        <w:spacing w:after="0" w:line="248" w:lineRule="auto"/>
        <w:rPr>
          <w:sz w:val="20"/>
          <w:szCs w:val="20"/>
          <w:color w:val="auto"/>
        </w:rPr>
      </w:pPr>
      <w:r>
        <w:rPr>
          <w:rFonts w:ascii="Arial" w:cs="Arial" w:eastAsia="Arial" w:hAnsi="Arial"/>
          <w:sz w:val="18"/>
          <w:szCs w:val="18"/>
          <w:color w:val="auto"/>
        </w:rPr>
        <w:t>receipt of the 2016 refund. If we are ineligible or unable to receive the research and development tax credit, or if we lose our ability to operate AnaptysBio Pty in Australia, or the Australian government significantly reduces or eliminates the tax credit, our business and results of operation would be adversely affected.</w:t>
      </w:r>
    </w:p>
    <w:p>
      <w:pPr>
        <w:spacing w:after="0" w:line="286"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2" w:lineRule="exact"/>
        <w:rPr>
          <w:sz w:val="20"/>
          <w:szCs w:val="20"/>
          <w:color w:val="auto"/>
        </w:rPr>
      </w:pPr>
    </w:p>
    <w:p>
      <w:pPr>
        <w:ind w:right="240" w:firstLine="446"/>
        <w:spacing w:after="0" w:line="238"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5" w:lineRule="exact"/>
        <w:rPr>
          <w:sz w:val="20"/>
          <w:szCs w:val="20"/>
          <w:color w:val="auto"/>
        </w:rPr>
      </w:pPr>
    </w:p>
    <w:p>
      <w:pPr>
        <w:ind w:right="160" w:firstLine="446"/>
        <w:spacing w:after="0" w:line="243"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8" w:lineRule="exact"/>
        <w:rPr>
          <w:sz w:val="20"/>
          <w:szCs w:val="20"/>
          <w:color w:val="auto"/>
        </w:rPr>
      </w:pPr>
    </w:p>
    <w:p>
      <w:pPr>
        <w:ind w:right="60" w:firstLine="446"/>
        <w:spacing w:after="0" w:line="252"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08" w:lineRule="exact"/>
        <w:rPr>
          <w:sz w:val="20"/>
          <w:szCs w:val="20"/>
          <w:color w:val="auto"/>
        </w:rPr>
      </w:pPr>
    </w:p>
    <w:p>
      <w:pPr>
        <w:ind w:firstLine="446"/>
        <w:spacing w:after="0"/>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ind w:right="40"/>
        <w:spacing w:after="0" w:line="294" w:lineRule="auto"/>
        <w:rPr>
          <w:sz w:val="20"/>
          <w:szCs w:val="20"/>
          <w:color w:val="auto"/>
        </w:rPr>
      </w:pPr>
      <w:r>
        <w:rPr>
          <w:rFonts w:ascii="Arial" w:cs="Arial" w:eastAsia="Arial" w:hAnsi="Arial"/>
          <w:sz w:val="16"/>
          <w:szCs w:val="16"/>
          <w:color w:val="auto"/>
        </w:rPr>
        <w:t>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5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Our operations are vulnerable to interruption by fire, earthquake, power loss, telecommunications failure, terrorist activity and other events beyond our control, which could harm our business.</w:t>
      </w:r>
    </w:p>
    <w:p>
      <w:pPr>
        <w:spacing w:after="0" w:line="58" w:lineRule="exact"/>
        <w:rPr>
          <w:sz w:val="20"/>
          <w:szCs w:val="20"/>
          <w:color w:val="auto"/>
        </w:rPr>
      </w:pPr>
    </w:p>
    <w:p>
      <w:pPr>
        <w:ind w:right="20" w:firstLine="446"/>
        <w:spacing w:after="0" w:line="255"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4"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3" w:lineRule="exact"/>
        <w:rPr>
          <w:sz w:val="20"/>
          <w:szCs w:val="20"/>
          <w:color w:val="auto"/>
        </w:rPr>
      </w:pPr>
    </w:p>
    <w:p>
      <w:pPr>
        <w:ind w:right="140" w:firstLine="446"/>
        <w:spacing w:after="0" w:line="238" w:lineRule="auto"/>
        <w:rPr>
          <w:sz w:val="20"/>
          <w:szCs w:val="20"/>
          <w:color w:val="auto"/>
        </w:rPr>
      </w:pPr>
      <w:r>
        <w:rPr>
          <w:rFonts w:ascii="Arial" w:cs="Arial" w:eastAsia="Arial" w:hAnsi="Arial"/>
          <w:sz w:val="18"/>
          <w:szCs w:val="18"/>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95" w:lineRule="exact"/>
        <w:rPr>
          <w:sz w:val="20"/>
          <w:szCs w:val="20"/>
          <w:color w:val="auto"/>
        </w:rPr>
      </w:pPr>
    </w:p>
    <w:p>
      <w:pPr>
        <w:ind w:firstLine="446"/>
        <w:spacing w:after="0" w:line="254"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8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8" w:lineRule="exact"/>
        <w:rPr>
          <w:sz w:val="20"/>
          <w:szCs w:val="20"/>
          <w:color w:val="auto"/>
        </w:rPr>
      </w:pPr>
    </w:p>
    <w:p>
      <w:pPr>
        <w:ind w:right="340" w:firstLine="446"/>
        <w:spacing w:after="0" w:line="264" w:lineRule="auto"/>
        <w:rPr>
          <w:sz w:val="20"/>
          <w:szCs w:val="20"/>
          <w:color w:val="auto"/>
        </w:rPr>
      </w:pPr>
      <w:r>
        <w:rPr>
          <w:rFonts w:ascii="Arial" w:cs="Arial" w:eastAsia="Arial" w:hAnsi="Arial"/>
          <w:sz w:val="18"/>
          <w:szCs w:val="18"/>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76" w:right="279" w:bottom="1440" w:gutter="0" w:footer="0" w:header="0"/>
        </w:sectPr>
      </w:pPr>
    </w:p>
    <w:bookmarkStart w:id="44" w:name="page45"/>
    <w:bookmarkEnd w:id="44"/>
    <w:p>
      <w:pPr>
        <w:spacing w:after="0" w:line="290" w:lineRule="auto"/>
        <w:rPr>
          <w:sz w:val="20"/>
          <w:szCs w:val="20"/>
          <w:color w:val="auto"/>
        </w:rPr>
      </w:pPr>
      <w:r>
        <w:rPr>
          <w:rFonts w:ascii="Arial" w:cs="Arial" w:eastAsia="Arial" w:hAnsi="Arial"/>
          <w:sz w:val="16"/>
          <w:szCs w:val="16"/>
          <w:color w:val="auto"/>
        </w:rPr>
        <w:t>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17"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880" w:right="28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32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7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64"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88" w:right="239" w:bottom="1440" w:gutter="0" w:footer="0" w:header="0"/>
        </w:sectPr>
      </w:pPr>
    </w:p>
    <w:bookmarkStart w:id="46" w:name="page47"/>
    <w:bookmarkEnd w:id="46"/>
    <w:p>
      <w:pPr>
        <w:ind w:firstLine="44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160" w:firstLine="446"/>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5"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5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have conducted, or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72"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We have conducted our initial clinical trial for ANB020 in Australia and have initiated a Phase 1 clinical trial for ANB019 in Australia. We believe that clinical data generated in Australia will be accepted by the FDA and its foreign equivalents outside of Australia, and therefore may enable us to commence Phase 2 and possibly registration clinical trials in the United States or the United Kingdom following submission of an IND or CTA, without the need for us to repeat our Phase 1 trials in the United States or the United Kingdom. While we have received clearance from the FDA and MHRA to begin Phase 2 clinical trials for ANB020, there can be no assurance the FDA, MHRA or other foreign equivalents will accept data from the clinical trials we plan to conduct in Australia for ANB019. If the FDA, MHRA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7" w:name="page48"/>
    <w:bookmarkEnd w:id="47"/>
    <w:p>
      <w:pPr>
        <w:ind w:firstLine="446"/>
        <w:spacing w:after="0" w:line="273" w:lineRule="auto"/>
        <w:rPr>
          <w:sz w:val="20"/>
          <w:szCs w:val="20"/>
          <w:color w:val="auto"/>
        </w:rPr>
      </w:pPr>
      <w:r>
        <w:rPr>
          <w:rFonts w:ascii="Arial" w:cs="Arial" w:eastAsia="Arial" w:hAnsi="Arial"/>
          <w:sz w:val="17"/>
          <w:szCs w:val="17"/>
          <w:color w:val="auto"/>
        </w:rPr>
        <w:t>Although the FDA, MHRA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17"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ind w:right="160" w:firstLine="446"/>
        <w:spacing w:after="0" w:line="279" w:lineRule="auto"/>
        <w:rPr>
          <w:sz w:val="20"/>
          <w:szCs w:val="20"/>
          <w:color w:val="auto"/>
        </w:rPr>
      </w:pPr>
      <w:r>
        <w:rPr>
          <w:rFonts w:ascii="Arial" w:cs="Arial" w:eastAsia="Arial" w:hAnsi="Arial"/>
          <w:sz w:val="17"/>
          <w:szCs w:val="17"/>
          <w:color w:val="auto"/>
        </w:rPr>
        <w:t>In addition, in June 2016, the United Kingdom held a referendum and voted in favor of leaving the European Union. This has created political and economic uncertainty, particularly in the United Kingdom and the European Union, and could cause disruptions to, and create uncertainty surrounding, our planned clinical trial in the United Kingdom, including affecting our relationships with our existing and prospective customers, partners and employees, and could have a material impact on the regulatory regime applicable to our planned clinical trial in the United Kingdom.</w:t>
      </w:r>
    </w:p>
    <w:p>
      <w:pPr>
        <w:spacing w:after="0" w:line="276"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34" w:lineRule="exact"/>
        <w:rPr>
          <w:sz w:val="20"/>
          <w:szCs w:val="20"/>
          <w:color w:val="auto"/>
        </w:rPr>
      </w:pPr>
    </w:p>
    <w:p>
      <w:pPr>
        <w:ind w:firstLine="446"/>
        <w:spacing w:after="0" w:line="287"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9" w:lineRule="exact"/>
        <w:rPr>
          <w:sz w:val="20"/>
          <w:szCs w:val="20"/>
          <w:color w:val="auto"/>
        </w:rPr>
      </w:pPr>
    </w:p>
    <w:p>
      <w:pPr>
        <w:ind w:right="320" w:firstLine="44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8" w:name="page49"/>
    <w:bookmarkEnd w:id="48"/>
    <w:p>
      <w:pPr>
        <w:ind w:firstLine="446"/>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20" w:firstLine="44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40" w:firstLine="446"/>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7"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right="20" w:firstLine="446"/>
        <w:spacing w:after="0" w:line="297"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49" w:name="page50"/>
    <w:bookmarkEnd w:id="49"/>
    <w:p>
      <w:pPr>
        <w:ind w:right="80"/>
        <w:spacing w:after="0" w:line="276" w:lineRule="auto"/>
        <w:rPr>
          <w:sz w:val="20"/>
          <w:szCs w:val="20"/>
          <w:color w:val="auto"/>
        </w:rPr>
      </w:pPr>
      <w:r>
        <w:rPr>
          <w:rFonts w:ascii="Arial" w:cs="Arial" w:eastAsia="Arial" w:hAnsi="Arial"/>
          <w:sz w:val="17"/>
          <w:szCs w:val="17"/>
          <w:color w:val="auto"/>
        </w:rPr>
        <w:t>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3" w:lineRule="exact"/>
        <w:rPr>
          <w:sz w:val="20"/>
          <w:szCs w:val="20"/>
          <w:color w:val="auto"/>
        </w:rPr>
      </w:pPr>
    </w:p>
    <w:p>
      <w:pPr>
        <w:ind w:firstLine="446"/>
        <w:spacing w:after="0" w:line="257"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6" w:lineRule="exact"/>
        <w:rPr>
          <w:sz w:val="20"/>
          <w:szCs w:val="20"/>
          <w:color w:val="auto"/>
        </w:rPr>
      </w:pPr>
    </w:p>
    <w:p>
      <w:pPr>
        <w:ind w:right="40" w:firstLine="446"/>
        <w:spacing w:after="0" w:line="263"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0" w:lineRule="exact"/>
        <w:rPr>
          <w:sz w:val="20"/>
          <w:szCs w:val="20"/>
          <w:color w:val="auto"/>
        </w:rPr>
      </w:pPr>
    </w:p>
    <w:p>
      <w:pPr>
        <w:ind w:firstLine="446"/>
        <w:spacing w:after="0" w:line="243"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8" w:lineRule="exact"/>
        <w:rPr>
          <w:sz w:val="20"/>
          <w:szCs w:val="20"/>
          <w:color w:val="auto"/>
        </w:rPr>
      </w:pPr>
    </w:p>
    <w:p>
      <w:pPr>
        <w:ind w:right="20" w:firstLine="446"/>
        <w:spacing w:after="0" w:line="241"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58" w:lineRule="exact"/>
        <w:rPr>
          <w:sz w:val="20"/>
          <w:szCs w:val="20"/>
          <w:color w:val="auto"/>
        </w:rPr>
      </w:pPr>
    </w:p>
    <w:p>
      <w:pPr>
        <w:ind w:right="40" w:firstLine="446"/>
        <w:spacing w:after="0" w:line="248"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2" w:lineRule="exact"/>
        <w:rPr>
          <w:sz w:val="20"/>
          <w:szCs w:val="20"/>
          <w:color w:val="auto"/>
        </w:rPr>
      </w:pPr>
    </w:p>
    <w:p>
      <w:pPr>
        <w:ind w:right="200" w:firstLine="446"/>
        <w:spacing w:after="0" w:line="263" w:lineRule="auto"/>
        <w:rPr>
          <w:sz w:val="20"/>
          <w:szCs w:val="20"/>
          <w:color w:val="auto"/>
        </w:rPr>
      </w:pPr>
      <w:r>
        <w:rPr>
          <w:rFonts w:ascii="Arial" w:cs="Arial" w:eastAsia="Arial" w:hAnsi="Arial"/>
          <w:sz w:val="17"/>
          <w:szCs w:val="17"/>
          <w:color w:val="auto"/>
        </w:rPr>
        <w:t>For example, in March 2010, former President Barack Obama signed into law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04" w:lineRule="exact"/>
        <w:rPr>
          <w:sz w:val="20"/>
          <w:szCs w:val="20"/>
          <w:color w:val="auto"/>
        </w:rPr>
      </w:pPr>
    </w:p>
    <w:p>
      <w:pPr>
        <w:jc w:val="center"/>
        <w:ind w:left="5620" w:right="1200" w:hanging="5180"/>
        <w:spacing w:after="0" w:line="543" w:lineRule="auto"/>
        <w:tabs>
          <w:tab w:leader="none" w:pos="8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48</w:t>
      </w:r>
    </w:p>
    <w:p>
      <w:pPr>
        <w:sectPr>
          <w:pgSz w:w="11900" w:h="16838" w:orient="portrait"/>
          <w:cols w:equalWidth="0" w:num="1">
            <w:col w:w="11420"/>
          </w:cols>
          <w:pgMar w:left="240" w:top="584" w:right="239" w:bottom="1440" w:gutter="0" w:footer="0" w:header="0"/>
        </w:sectPr>
      </w:pPr>
    </w:p>
    <w:bookmarkStart w:id="50" w:name="page51"/>
    <w:bookmarkEnd w:id="50"/>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03" w:lineRule="exact"/>
        <w:rPr>
          <w:rFonts w:ascii="Arial" w:cs="Arial" w:eastAsia="Arial" w:hAnsi="Arial"/>
          <w:sz w:val="18"/>
          <w:szCs w:val="18"/>
          <w:color w:val="auto"/>
        </w:rPr>
      </w:pPr>
    </w:p>
    <w:p>
      <w:pPr>
        <w:ind w:left="880" w:right="44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880" w:right="80" w:hanging="440"/>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73" w:lineRule="exact"/>
        <w:rPr>
          <w:rFonts w:ascii="Arial" w:cs="Arial" w:eastAsia="Arial" w:hAnsi="Arial"/>
          <w:sz w:val="18"/>
          <w:szCs w:val="18"/>
          <w:color w:val="auto"/>
        </w:rPr>
      </w:pPr>
    </w:p>
    <w:p>
      <w:pPr>
        <w:ind w:left="880" w:right="44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28" w:lineRule="exact"/>
        <w:rPr>
          <w:rFonts w:ascii="Arial" w:cs="Arial" w:eastAsia="Arial" w:hAnsi="Arial"/>
          <w:sz w:val="17"/>
          <w:szCs w:val="17"/>
          <w:color w:val="auto"/>
        </w:rPr>
      </w:pPr>
    </w:p>
    <w:p>
      <w:pPr>
        <w:ind w:left="880" w:right="26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Some of the provisions of the ACA have yet to be implemented and there have been judicial and Congressional challenges to certain aspects of the ACA. In addition, the current administration has previously sought, and will likely continue to seek, legislative and regulatory changes, including repeal and replacement of all or certain provisions of the ACA.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60" w:firstLine="446"/>
        <w:spacing w:after="0" w:line="288" w:lineRule="auto"/>
        <w:rPr>
          <w:sz w:val="20"/>
          <w:szCs w:val="20"/>
          <w:color w:val="auto"/>
        </w:rPr>
      </w:pPr>
      <w:r>
        <w:rPr>
          <w:rFonts w:ascii="Arial" w:cs="Arial" w:eastAsia="Arial" w:hAnsi="Arial"/>
          <w:sz w:val="16"/>
          <w:szCs w:val="16"/>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76" w:right="259" w:bottom="1440" w:gutter="0" w:footer="0" w:header="0"/>
        </w:sectPr>
      </w:pPr>
    </w:p>
    <w:bookmarkStart w:id="51" w:name="page52"/>
    <w:bookmarkEnd w:id="51"/>
    <w:p>
      <w:pPr>
        <w:ind w:firstLine="446"/>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200" w:firstLine="44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2" w:name="page53"/>
    <w:bookmarkEnd w:id="52"/>
    <w:p>
      <w:pPr>
        <w:ind w:right="8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46" w:lineRule="exact"/>
        <w:rPr>
          <w:sz w:val="20"/>
          <w:szCs w:val="20"/>
          <w:color w:val="auto"/>
        </w:rPr>
      </w:pPr>
    </w:p>
    <w:p>
      <w:pPr>
        <w:ind w:left="880" w:right="80" w:hanging="440"/>
        <w:spacing w:after="0" w:line="259"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880" w:right="20" w:hanging="440"/>
        <w:spacing w:after="0" w:line="259"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880" w:right="100" w:hanging="440"/>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15" w:lineRule="exact"/>
        <w:rPr>
          <w:rFonts w:ascii="Arial" w:cs="Arial" w:eastAsia="Arial" w:hAnsi="Arial"/>
          <w:sz w:val="16"/>
          <w:szCs w:val="16"/>
          <w:color w:val="auto"/>
        </w:rPr>
      </w:pPr>
    </w:p>
    <w:p>
      <w:pPr>
        <w:jc w:val="both"/>
        <w:ind w:left="880" w:hanging="440"/>
        <w:spacing w:after="0" w:line="264"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880" w:right="200" w:hanging="440"/>
        <w:spacing w:after="0" w:line="276"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64" w:lineRule="exact"/>
        <w:rPr>
          <w:rFonts w:ascii="Arial" w:cs="Arial" w:eastAsia="Arial" w:hAnsi="Arial"/>
          <w:sz w:val="17"/>
          <w:szCs w:val="17"/>
          <w:color w:val="auto"/>
        </w:rPr>
      </w:pPr>
    </w:p>
    <w:p>
      <w:pPr>
        <w:ind w:left="880" w:right="40" w:hanging="440"/>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480" w:firstLine="446"/>
        <w:spacing w:after="0" w:line="257"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88" w:right="239" w:bottom="1440" w:gutter="0" w:footer="0" w:header="0"/>
        </w:sectPr>
      </w:pPr>
    </w:p>
    <w:bookmarkStart w:id="53" w:name="page54"/>
    <w:bookmarkEnd w:id="53"/>
    <w:p>
      <w:pPr>
        <w:spacing w:after="0" w:line="293" w:lineRule="auto"/>
        <w:rPr>
          <w:sz w:val="20"/>
          <w:szCs w:val="20"/>
          <w:color w:val="auto"/>
        </w:rPr>
      </w:pPr>
      <w:r>
        <w:rPr>
          <w:rFonts w:ascii="Arial" w:cs="Arial" w:eastAsia="Arial" w:hAnsi="Arial"/>
          <w:sz w:val="16"/>
          <w:szCs w:val="16"/>
          <w:color w:val="auto"/>
        </w:rPr>
        <w:t>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6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4" w:right="259" w:bottom="1440" w:gutter="0" w:footer="0" w:header="0"/>
        </w:sectPr>
      </w:pPr>
    </w:p>
    <w:bookmarkStart w:id="54" w:name="page55"/>
    <w:bookmarkEnd w:id="54"/>
    <w:p>
      <w:pPr>
        <w:ind w:right="60" w:firstLine="44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40" w:firstLine="44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3"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00" w:firstLine="446"/>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jc w:val="both"/>
        <w:ind w:right="220" w:firstLine="44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right="140" w:firstLine="446"/>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688" w:right="299" w:bottom="1440" w:gutter="0" w:footer="0" w:header="0"/>
        </w:sectPr>
      </w:pPr>
    </w:p>
    <w:bookmarkStart w:id="56" w:name="page57"/>
    <w:bookmarkEnd w:id="56"/>
    <w:p>
      <w:pPr>
        <w:ind w:right="300"/>
        <w:spacing w:after="0" w:line="255" w:lineRule="auto"/>
        <w:rPr>
          <w:sz w:val="20"/>
          <w:szCs w:val="20"/>
          <w:color w:val="auto"/>
        </w:rPr>
      </w:pPr>
      <w:r>
        <w:rPr>
          <w:rFonts w:ascii="Arial" w:cs="Arial" w:eastAsia="Arial" w:hAnsi="Arial"/>
          <w:sz w:val="18"/>
          <w:szCs w:val="18"/>
          <w:color w:val="auto"/>
        </w:rPr>
        <w:t>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93" w:lineRule="exact"/>
        <w:rPr>
          <w:sz w:val="20"/>
          <w:szCs w:val="20"/>
          <w:color w:val="auto"/>
        </w:rPr>
      </w:pPr>
    </w:p>
    <w:p>
      <w:pPr>
        <w:ind w:right="80" w:firstLine="446"/>
        <w:spacing w:after="0" w:line="268" w:lineRule="auto"/>
        <w:rPr>
          <w:sz w:val="20"/>
          <w:szCs w:val="20"/>
          <w:color w:val="auto"/>
        </w:rPr>
      </w:pPr>
      <w:r>
        <w:rPr>
          <w:rFonts w:ascii="Arial" w:cs="Arial" w:eastAsia="Arial" w:hAnsi="Arial"/>
          <w:sz w:val="17"/>
          <w:szCs w:val="17"/>
          <w:color w:val="auto"/>
        </w:rPr>
        <w:t>The USPTO has developed new regulations and procedures to govern administration of the Leahy-Smith Act, and many of the substantive changes to patent law associated with the Leahy-Smith Act, and, in particular, the first to file provisions, only became effective in 2013.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92"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7" w:name="page58"/>
    <w:bookmarkEnd w:id="57"/>
    <w:p>
      <w:pPr>
        <w:spacing w:after="0" w:line="308" w:lineRule="auto"/>
        <w:rPr>
          <w:sz w:val="20"/>
          <w:szCs w:val="20"/>
          <w:color w:val="auto"/>
        </w:rPr>
      </w:pPr>
      <w:r>
        <w:rPr>
          <w:rFonts w:ascii="Arial" w:cs="Arial" w:eastAsia="Arial" w:hAnsi="Arial"/>
          <w:sz w:val="17"/>
          <w:szCs w:val="17"/>
          <w:color w:val="auto"/>
        </w:rPr>
        <w:t>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47" w:lineRule="exact"/>
        <w:rPr>
          <w:sz w:val="20"/>
          <w:szCs w:val="20"/>
          <w:color w:val="auto"/>
        </w:rPr>
      </w:pPr>
    </w:p>
    <w:p>
      <w:pPr>
        <w:ind w:right="80" w:firstLine="44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200" w:firstLine="446"/>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40" w:firstLine="44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76" w:right="239" w:bottom="1440" w:gutter="0" w:footer="0" w:header="0"/>
        </w:sectPr>
      </w:pPr>
    </w:p>
    <w:bookmarkStart w:id="58" w:name="page59"/>
    <w:bookmarkEnd w:id="58"/>
    <w:p>
      <w:pPr>
        <w:ind w:right="80" w:firstLine="44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20" w:firstLine="446"/>
        <w:spacing w:after="0" w:line="24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firstLine="446"/>
        <w:spacing w:after="0" w:line="270"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04"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26"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880" w:right="520" w:hanging="440"/>
        <w:spacing w:after="0" w:line="262"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1"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ind w:right="160" w:firstLine="446"/>
        <w:spacing w:after="0" w:line="262"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584" w:right="319" w:bottom="1440" w:gutter="0" w:footer="0" w:header="0"/>
        </w:sectPr>
      </w:pPr>
    </w:p>
    <w:bookmarkStart w:id="59" w:name="page60"/>
    <w:bookmarkEnd w:id="59"/>
    <w:p>
      <w:pPr>
        <w:ind w:right="20"/>
        <w:spacing w:after="0" w:line="250"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120" w:firstLine="446"/>
        <w:spacing w:after="0"/>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0"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140" w:firstLine="44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and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88" w:right="239" w:bottom="1440" w:gutter="0" w:footer="0" w:header="0"/>
        </w:sectPr>
      </w:pPr>
    </w:p>
    <w:bookmarkStart w:id="60" w:name="page61"/>
    <w:bookmarkEnd w:id="60"/>
    <w:p>
      <w:pPr>
        <w:ind w:right="100"/>
        <w:spacing w:after="0" w:line="297" w:lineRule="auto"/>
        <w:rPr>
          <w:sz w:val="20"/>
          <w:szCs w:val="20"/>
          <w:color w:val="auto"/>
        </w:rPr>
      </w:pPr>
      <w:r>
        <w:rPr>
          <w:rFonts w:ascii="Arial" w:cs="Arial" w:eastAsia="Arial" w:hAnsi="Arial"/>
          <w:sz w:val="16"/>
          <w:szCs w:val="16"/>
          <w:color w:val="auto"/>
        </w:rPr>
        <w:t>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62"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880" w:right="104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76" w:right="239" w:bottom="1440" w:gutter="0" w:footer="0" w:header="0"/>
        </w:sectPr>
      </w:pPr>
    </w:p>
    <w:bookmarkStart w:id="61" w:name="page62"/>
    <w:bookmarkEnd w:id="61"/>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initial public offering and may not use them effectively.</w:t>
      </w:r>
    </w:p>
    <w:p>
      <w:pPr>
        <w:spacing w:after="0" w:line="121" w:lineRule="exact"/>
        <w:rPr>
          <w:sz w:val="20"/>
          <w:szCs w:val="20"/>
          <w:color w:val="auto"/>
        </w:rPr>
      </w:pPr>
    </w:p>
    <w:p>
      <w:pPr>
        <w:ind w:right="80" w:firstLine="446"/>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from our initial public offering, and you will be relying on the judgment of our management regarding the application of these proceeds. Our management might not apply the net proceeds from our initial public offering in ways that ultimately increase the value of your investment. If we do not invest or apply the net proceeds from our initial public offering in ways that enhance stockholder value, we may fail to achieve expected financial results, which could cause our stock price to decline.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44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common stock less attractive to investors.</w:t>
      </w:r>
    </w:p>
    <w:p>
      <w:pPr>
        <w:spacing w:after="0" w:line="58"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76" w:right="259" w:bottom="1440" w:gutter="0" w:footer="0" w:header="0"/>
        </w:sectPr>
      </w:pPr>
    </w:p>
    <w:bookmarkStart w:id="62" w:name="page63"/>
    <w:bookmarkEnd w:id="62"/>
    <w:p>
      <w:pPr>
        <w:ind w:firstLine="44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are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2"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In addition, as a public company we incur additional costs and obligations in order to comply with SEC rules that implement Section 404 of the Sarbanes-Oxley Act. Under these rules, beginning with our annual report for the year ending December 31, 2017,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 substantial number of shares of our common stock in the public market could cause our stock price to fall.</w:t>
      </w:r>
    </w:p>
    <w:p>
      <w:pPr>
        <w:spacing w:after="0" w:line="229"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Of the 20,289,907 shares of our common stock outstanding as of June 30, 2017, 14,539,907 shares were subject to restrictions on transfer under 180-day lock-up arrangements with either the underwriters for our initial public offering or under agreements entered into between us and the holders of those shares. These restrictions expired on July 25, 2017, resulting in these shares becoming eligible for public sale if they were registered under the Securities Act of 1933, as amended, which we refer to as the Securities Act, or if they qualified for an exemption from registration under the Securities Act, including under Rules 144 or 701.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and the lock-up agreements described above. If any of these additional shares are sold, or if it is perceived that they will be sold, in the public market, the market price of our common stock could decline.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584" w:right="279" w:bottom="1440" w:gutter="0" w:footer="0" w:header="0"/>
        </w:sectPr>
      </w:pPr>
    </w:p>
    <w:bookmarkStart w:id="63" w:name="page64"/>
    <w:bookmarkEnd w:id="63"/>
    <w:p>
      <w:pPr>
        <w:ind w:right="80"/>
        <w:spacing w:after="0" w:line="282" w:lineRule="auto"/>
        <w:rPr>
          <w:sz w:val="20"/>
          <w:szCs w:val="20"/>
          <w:color w:val="auto"/>
        </w:rPr>
      </w:pPr>
      <w:r>
        <w:rPr>
          <w:rFonts w:ascii="Arial" w:cs="Arial" w:eastAsia="Arial" w:hAnsi="Arial"/>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8" w:lineRule="exact"/>
        <w:rPr>
          <w:sz w:val="20"/>
          <w:szCs w:val="20"/>
          <w:color w:val="auto"/>
        </w:rPr>
      </w:pPr>
    </w:p>
    <w:p>
      <w:pPr>
        <w:ind w:right="40" w:firstLine="446"/>
        <w:spacing w:after="0" w:line="297"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00" w:firstLine="446"/>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8"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3"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688" w:right="319" w:bottom="1440" w:gutter="0" w:footer="0" w:header="0"/>
        </w:sectPr>
      </w:pPr>
    </w:p>
    <w:bookmarkStart w:id="64" w:name="page65"/>
    <w:bookmarkEnd w:id="64"/>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60" w:firstLine="44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60" w:firstLine="446"/>
        <w:spacing w:after="0" w:line="269"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2016, noting no ownership changes during fiscal 2015 or fiscal 2016.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76"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On January 25, 2017, our Registration Statement on Form S-1 (File No. 333-206849) relating to the IPO of our common stock was declared effective by the SEC. Pursuant to such Registration Statement, we sold an aggregate of 5,750,000 shares of our common stock at a price of $15.00 per share. Credit Suisse Securities (USA) LLC, Stifel, Nicolaus &amp; Company, Incorporated, JMP Securities LLC and Wedbush Securities Inc. acted as underwriters. On January 31, 2017, we closed the sale of such shares, resulting in aggregate cash proceeds to us of approximately $80.2 million, net of underwriting discounts and commissions.</w:t>
      </w:r>
    </w:p>
    <w:p>
      <w:pPr>
        <w:spacing w:after="0" w:line="188"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January 26, 2017 pursuant to Rule 424(b) under the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364" w:right="259" w:bottom="1440" w:gutter="0" w:footer="0" w:header="0"/>
        </w:sectPr>
      </w:pPr>
    </w:p>
    <w:bookmarkStart w:id="66" w:name="page67"/>
    <w:bookmarkEnd w:id="6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500" w:type="dxa"/>
            <w:vAlign w:val="bottom"/>
            <w:gridSpan w:val="2"/>
          </w:tcPr>
          <w:p>
            <w:pPr>
              <w:ind w:left="1820"/>
              <w:spacing w:after="0"/>
              <w:rPr>
                <w:sz w:val="20"/>
                <w:szCs w:val="20"/>
                <w:color w:val="auto"/>
              </w:rPr>
            </w:pPr>
            <w:r>
              <w:rPr>
                <w:rFonts w:ascii="Arial" w:cs="Arial" w:eastAsia="Arial" w:hAnsi="Arial"/>
                <w:sz w:val="18"/>
                <w:szCs w:val="18"/>
                <w:color w:val="auto"/>
              </w:rPr>
              <w:t>ANAPTYSBIO, INC.</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10, 2017</w:t>
            </w:r>
          </w:p>
        </w:tc>
        <w:tc>
          <w:tcPr>
            <w:tcW w:w="2360" w:type="dxa"/>
            <w:vAlign w:val="bottom"/>
          </w:tcPr>
          <w:p>
            <w:pPr>
              <w:ind w:left="1820"/>
              <w:spacing w:after="0"/>
              <w:rPr>
                <w:sz w:val="20"/>
                <w:szCs w:val="20"/>
                <w:color w:val="auto"/>
              </w:rPr>
            </w:pPr>
            <w:r>
              <w:rPr>
                <w:rFonts w:ascii="Arial" w:cs="Arial" w:eastAsia="Arial" w:hAnsi="Arial"/>
                <w:sz w:val="18"/>
                <w:szCs w:val="18"/>
                <w:color w:val="auto"/>
              </w:rPr>
              <w:t>By:</w:t>
            </w:r>
          </w:p>
        </w:tc>
        <w:tc>
          <w:tcPr>
            <w:tcW w:w="5140" w:type="dxa"/>
            <w:vAlign w:val="bottom"/>
          </w:tcPr>
          <w:p>
            <w:pPr>
              <w:ind w:left="20"/>
              <w:spacing w:after="0"/>
              <w:rPr>
                <w:sz w:val="20"/>
                <w:szCs w:val="20"/>
                <w:color w:val="auto"/>
              </w:rPr>
            </w:pPr>
            <w:r>
              <w:rPr>
                <w:rFonts w:ascii="Arial" w:cs="Arial" w:eastAsia="Arial" w:hAnsi="Arial"/>
                <w:sz w:val="18"/>
                <w:szCs w:val="18"/>
                <w:color w:val="auto"/>
              </w:rPr>
              <w:t>/s/ Hamza Suria</w:t>
            </w:r>
          </w:p>
        </w:tc>
      </w:tr>
      <w:tr>
        <w:trPr>
          <w:trHeight w:val="41"/>
        </w:trPr>
        <w:tc>
          <w:tcPr>
            <w:tcW w:w="52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Hamza Suria</w:t>
            </w:r>
          </w:p>
        </w:tc>
      </w:tr>
      <w:tr>
        <w:trPr>
          <w:trHeight w:val="270"/>
        </w:trPr>
        <w:tc>
          <w:tcPr>
            <w:tcW w:w="5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10, 2017</w:t>
            </w:r>
          </w:p>
        </w:tc>
        <w:tc>
          <w:tcPr>
            <w:tcW w:w="2360" w:type="dxa"/>
            <w:vAlign w:val="bottom"/>
          </w:tcPr>
          <w:p>
            <w:pPr>
              <w:ind w:left="1820"/>
              <w:spacing w:after="0"/>
              <w:rPr>
                <w:sz w:val="20"/>
                <w:szCs w:val="20"/>
                <w:color w:val="auto"/>
              </w:rPr>
            </w:pPr>
            <w:r>
              <w:rPr>
                <w:rFonts w:ascii="Arial" w:cs="Arial" w:eastAsia="Arial" w:hAnsi="Arial"/>
                <w:sz w:val="18"/>
                <w:szCs w:val="18"/>
                <w:color w:val="auto"/>
              </w:rPr>
              <w:t>By:</w:t>
            </w:r>
          </w:p>
        </w:tc>
        <w:tc>
          <w:tcPr>
            <w:tcW w:w="5140" w:type="dxa"/>
            <w:vAlign w:val="bottom"/>
          </w:tcPr>
          <w:p>
            <w:pPr>
              <w:ind w:left="20"/>
              <w:spacing w:after="0"/>
              <w:rPr>
                <w:sz w:val="20"/>
                <w:szCs w:val="20"/>
                <w:color w:val="auto"/>
              </w:rPr>
            </w:pPr>
            <w:r>
              <w:rPr>
                <w:rFonts w:ascii="Arial" w:cs="Arial" w:eastAsia="Arial" w:hAnsi="Arial"/>
                <w:sz w:val="18"/>
                <w:szCs w:val="18"/>
                <w:color w:val="auto"/>
              </w:rPr>
              <w:t>/s/ Dominic G. Piscitelli</w:t>
            </w:r>
          </w:p>
        </w:tc>
      </w:tr>
      <w:tr>
        <w:trPr>
          <w:trHeight w:val="41"/>
        </w:trPr>
        <w:tc>
          <w:tcPr>
            <w:tcW w:w="52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Dominic G. Piscitelli</w:t>
            </w:r>
          </w:p>
        </w:tc>
      </w:tr>
      <w:tr>
        <w:trPr>
          <w:trHeight w:val="270"/>
        </w:trPr>
        <w:tc>
          <w:tcPr>
            <w:tcW w:w="5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60" w:type="dxa"/>
            <w:vAlign w:val="bottom"/>
          </w:tcPr>
          <w:p>
            <w:pPr>
              <w:jc w:val="right"/>
              <w:ind w:right="190"/>
              <w:spacing w:after="0"/>
              <w:rPr>
                <w:sz w:val="20"/>
                <w:szCs w:val="20"/>
                <w:color w:val="auto"/>
              </w:rPr>
            </w:pPr>
            <w:r>
              <w:rPr>
                <w:rFonts w:ascii="Arial" w:cs="Arial" w:eastAsia="Arial" w:hAnsi="Arial"/>
                <w:sz w:val="18"/>
                <w:szCs w:val="18"/>
                <w:color w:val="auto"/>
              </w:rPr>
              <w:t>65</w:t>
            </w:r>
          </w:p>
        </w:tc>
        <w:tc>
          <w:tcPr>
            <w:tcW w:w="5140" w:type="dxa"/>
            <w:vAlign w:val="bottom"/>
          </w:tcPr>
          <w:p>
            <w:pPr>
              <w:spacing w:after="0"/>
              <w:rPr>
                <w:sz w:val="24"/>
                <w:szCs w:val="24"/>
                <w:color w:val="auto"/>
              </w:rPr>
            </w:pPr>
          </w:p>
        </w:tc>
      </w:tr>
    </w:tbl>
    <w:p>
      <w:pPr>
        <w:sectPr>
          <w:pgSz w:w="11900" w:h="16838" w:orient="portrait"/>
          <w:cols w:equalWidth="0" w:num="1">
            <w:col w:w="11320"/>
          </w:cols>
          <w:pgMar w:left="240" w:top="364"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607"/>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9940" w:type="dxa"/>
            <w:vAlign w:val="bottom"/>
          </w:tcPr>
          <w:p>
            <w:pPr>
              <w:spacing w:after="0"/>
              <w:rPr>
                <w:sz w:val="24"/>
                <w:szCs w:val="24"/>
                <w:color w:val="auto"/>
              </w:rPr>
            </w:pPr>
          </w:p>
        </w:tc>
      </w:tr>
      <w:tr>
        <w:trPr>
          <w:trHeight w:val="210"/>
        </w:trPr>
        <w:tc>
          <w:tcPr>
            <w:tcW w:w="1380" w:type="dxa"/>
            <w:vAlign w:val="bottom"/>
            <w:gridSpan w:val="2"/>
          </w:tcPr>
          <w:p>
            <w:pPr>
              <w:ind w:left="340"/>
              <w:spacing w:after="0"/>
              <w:rPr>
                <w:sz w:val="20"/>
                <w:szCs w:val="20"/>
                <w:color w:val="auto"/>
              </w:rPr>
            </w:pPr>
            <w:r>
              <w:rPr>
                <w:rFonts w:ascii="Arial" w:cs="Arial" w:eastAsia="Arial" w:hAnsi="Arial"/>
                <w:sz w:val="16"/>
                <w:szCs w:val="16"/>
                <w:b w:val="1"/>
                <w:bCs w:val="1"/>
                <w:color w:val="auto"/>
              </w:rPr>
              <w:t>Number</w:t>
            </w:r>
          </w:p>
        </w:tc>
        <w:tc>
          <w:tcPr>
            <w:tcW w:w="9940" w:type="dxa"/>
            <w:vAlign w:val="bottom"/>
          </w:tcPr>
          <w:p>
            <w:pPr>
              <w:ind w:left="4300"/>
              <w:spacing w:after="0"/>
              <w:rPr>
                <w:sz w:val="20"/>
                <w:szCs w:val="20"/>
                <w:color w:val="auto"/>
              </w:rPr>
            </w:pPr>
            <w:r>
              <w:rPr>
                <w:rFonts w:ascii="Arial" w:cs="Arial" w:eastAsia="Arial" w:hAnsi="Arial"/>
                <w:sz w:val="16"/>
                <w:szCs w:val="16"/>
                <w:b w:val="1"/>
                <w:bCs w:val="1"/>
                <w:color w:val="auto"/>
              </w:rPr>
              <w:t>Exhibit Description</w:t>
            </w:r>
          </w:p>
        </w:tc>
      </w:tr>
      <w:tr>
        <w:trPr>
          <w:trHeight w:val="114"/>
        </w:trPr>
        <w:tc>
          <w:tcPr>
            <w:tcW w:w="1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940" w:type="dxa"/>
            <w:vAlign w:val="bottom"/>
            <w:tcBorders>
              <w:bottom w:val="single" w:sz="8" w:color="auto"/>
            </w:tcBorders>
          </w:tcPr>
          <w:p>
            <w:pPr>
              <w:spacing w:after="0"/>
              <w:rPr>
                <w:sz w:val="9"/>
                <w:szCs w:val="9"/>
                <w:color w:val="auto"/>
              </w:rPr>
            </w:pPr>
          </w:p>
        </w:tc>
      </w:tr>
      <w:tr>
        <w:trPr>
          <w:trHeight w:val="213"/>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40"/>
              <w:spacing w:after="0"/>
              <w:rPr>
                <w:sz w:val="20"/>
                <w:szCs w:val="20"/>
                <w:color w:val="auto"/>
              </w:rPr>
            </w:pPr>
            <w:r>
              <w:rPr>
                <w:rFonts w:ascii="Arial" w:cs="Arial" w:eastAsia="Arial" w:hAnsi="Arial"/>
                <w:sz w:val="16"/>
                <w:szCs w:val="16"/>
                <w:color w:val="auto"/>
                <w:w w:val="95"/>
              </w:rPr>
              <w:t>Certification of Principal Executive Officer, pursuant to Rule 13a-14(a)/15d-14(a), as adopted pursuant to Section 302 of the Sarbanes-Oxley Act of</w:t>
            </w:r>
          </w:p>
        </w:tc>
      </w:tr>
      <w:tr>
        <w:trPr>
          <w:trHeight w:val="206"/>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31.1</w:t>
            </w:r>
          </w:p>
        </w:tc>
        <w:tc>
          <w:tcPr>
            <w:tcW w:w="120" w:type="dxa"/>
            <w:vAlign w:val="bottom"/>
          </w:tcPr>
          <w:p>
            <w:pPr>
              <w:spacing w:after="0"/>
              <w:rPr>
                <w:sz w:val="17"/>
                <w:szCs w:val="17"/>
                <w:color w:val="auto"/>
              </w:rPr>
            </w:pPr>
          </w:p>
        </w:tc>
        <w:tc>
          <w:tcPr>
            <w:tcW w:w="9940" w:type="dxa"/>
            <w:vAlign w:val="bottom"/>
          </w:tcPr>
          <w:p>
            <w:pPr>
              <w:ind w:left="40"/>
              <w:spacing w:after="0"/>
              <w:rPr>
                <w:sz w:val="20"/>
                <w:szCs w:val="20"/>
                <w:color w:val="auto"/>
              </w:rPr>
            </w:pPr>
            <w:r>
              <w:rPr>
                <w:rFonts w:ascii="Arial" w:cs="Arial" w:eastAsia="Arial" w:hAnsi="Arial"/>
                <w:sz w:val="16"/>
                <w:szCs w:val="16"/>
                <w:color w:val="auto"/>
              </w:rPr>
              <w:t>2002.</w:t>
            </w:r>
          </w:p>
        </w:tc>
      </w:tr>
      <w:tr>
        <w:trPr>
          <w:trHeight w:val="33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tcPr>
          <w:p>
            <w:pPr>
              <w:ind w:left="40"/>
              <w:spacing w:after="0"/>
              <w:rPr>
                <w:sz w:val="20"/>
                <w:szCs w:val="20"/>
                <w:color w:val="auto"/>
              </w:rPr>
            </w:pPr>
            <w:r>
              <w:rPr>
                <w:rFonts w:ascii="Arial" w:cs="Arial" w:eastAsia="Arial" w:hAnsi="Arial"/>
                <w:sz w:val="16"/>
                <w:szCs w:val="16"/>
                <w:color w:val="auto"/>
                <w:w w:val="95"/>
              </w:rPr>
              <w:t>Certification of Principal Financial Officer, pursuant to Rule 13a-14(a)/15d-14(a), as adopted pursuant to Section 302 of the Sarbanes-Oxley Act of</w:t>
            </w:r>
          </w:p>
        </w:tc>
      </w:tr>
      <w:tr>
        <w:trPr>
          <w:trHeight w:val="206"/>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120" w:type="dxa"/>
            <w:vAlign w:val="bottom"/>
          </w:tcPr>
          <w:p>
            <w:pPr>
              <w:spacing w:after="0"/>
              <w:rPr>
                <w:sz w:val="17"/>
                <w:szCs w:val="17"/>
                <w:color w:val="auto"/>
              </w:rPr>
            </w:pPr>
          </w:p>
        </w:tc>
        <w:tc>
          <w:tcPr>
            <w:tcW w:w="9940" w:type="dxa"/>
            <w:vAlign w:val="bottom"/>
          </w:tcPr>
          <w:p>
            <w:pPr>
              <w:ind w:left="40"/>
              <w:spacing w:after="0"/>
              <w:rPr>
                <w:sz w:val="20"/>
                <w:szCs w:val="20"/>
                <w:color w:val="auto"/>
              </w:rPr>
            </w:pPr>
            <w:r>
              <w:rPr>
                <w:rFonts w:ascii="Arial" w:cs="Arial" w:eastAsia="Arial" w:hAnsi="Arial"/>
                <w:sz w:val="16"/>
                <w:szCs w:val="16"/>
                <w:color w:val="auto"/>
              </w:rPr>
              <w:t>2002</w:t>
            </w:r>
          </w:p>
        </w:tc>
      </w:tr>
      <w:tr>
        <w:trPr>
          <w:trHeight w:val="338"/>
        </w:trPr>
        <w:tc>
          <w:tcPr>
            <w:tcW w:w="1260" w:type="dxa"/>
            <w:vAlign w:val="bottom"/>
          </w:tcPr>
          <w:p>
            <w:pPr>
              <w:jc w:val="center"/>
              <w:spacing w:after="0"/>
              <w:rPr>
                <w:sz w:val="20"/>
                <w:szCs w:val="20"/>
                <w:color w:val="auto"/>
              </w:rPr>
            </w:pPr>
            <w:r>
              <w:rPr>
                <w:rFonts w:ascii="Arial" w:cs="Arial" w:eastAsia="Arial" w:hAnsi="Arial"/>
                <w:sz w:val="16"/>
                <w:szCs w:val="16"/>
                <w:color w:val="auto"/>
                <w:w w:val="96"/>
              </w:rPr>
              <w:t>32.1*</w:t>
            </w:r>
          </w:p>
        </w:tc>
        <w:tc>
          <w:tcPr>
            <w:tcW w:w="120" w:type="dxa"/>
            <w:vAlign w:val="bottom"/>
          </w:tcPr>
          <w:p>
            <w:pPr>
              <w:spacing w:after="0"/>
              <w:rPr>
                <w:sz w:val="24"/>
                <w:szCs w:val="24"/>
                <w:color w:val="auto"/>
              </w:rPr>
            </w:pPr>
          </w:p>
        </w:tc>
        <w:tc>
          <w:tcPr>
            <w:tcW w:w="9940" w:type="dxa"/>
            <w:vAlign w:val="bottom"/>
          </w:tcPr>
          <w:p>
            <w:pPr>
              <w:ind w:left="40"/>
              <w:spacing w:after="0"/>
              <w:rPr>
                <w:sz w:val="20"/>
                <w:szCs w:val="20"/>
                <w:color w:val="auto"/>
              </w:rPr>
            </w:pPr>
            <w:r>
              <w:rPr>
                <w:rFonts w:ascii="Arial" w:cs="Arial" w:eastAsia="Arial" w:hAnsi="Arial"/>
                <w:sz w:val="16"/>
                <w:szCs w:val="16"/>
                <w:color w:val="auto"/>
                <w:w w:val="94"/>
              </w:rPr>
              <w:t>Certification of Chief Executive Officer, pursuant to 18 U.S.C. Section 1350, as adopted pursuant to Section 906 of the Sarbanes-Oxley Act of 2002.</w:t>
            </w:r>
          </w:p>
        </w:tc>
      </w:tr>
      <w:tr>
        <w:trPr>
          <w:trHeight w:val="338"/>
        </w:trPr>
        <w:tc>
          <w:tcPr>
            <w:tcW w:w="1260" w:type="dxa"/>
            <w:vAlign w:val="bottom"/>
          </w:tcPr>
          <w:p>
            <w:pPr>
              <w:jc w:val="center"/>
              <w:spacing w:after="0"/>
              <w:rPr>
                <w:sz w:val="20"/>
                <w:szCs w:val="20"/>
                <w:color w:val="auto"/>
              </w:rPr>
            </w:pPr>
            <w:r>
              <w:rPr>
                <w:rFonts w:ascii="Arial" w:cs="Arial" w:eastAsia="Arial" w:hAnsi="Arial"/>
                <w:sz w:val="16"/>
                <w:szCs w:val="16"/>
                <w:color w:val="auto"/>
                <w:w w:val="96"/>
              </w:rPr>
              <w:t>32.2*</w:t>
            </w:r>
          </w:p>
        </w:tc>
        <w:tc>
          <w:tcPr>
            <w:tcW w:w="120" w:type="dxa"/>
            <w:vAlign w:val="bottom"/>
          </w:tcPr>
          <w:p>
            <w:pPr>
              <w:spacing w:after="0"/>
              <w:rPr>
                <w:sz w:val="24"/>
                <w:szCs w:val="24"/>
                <w:color w:val="auto"/>
              </w:rPr>
            </w:pPr>
          </w:p>
        </w:tc>
        <w:tc>
          <w:tcPr>
            <w:tcW w:w="9940" w:type="dxa"/>
            <w:vAlign w:val="bottom"/>
          </w:tcPr>
          <w:p>
            <w:pPr>
              <w:ind w:left="40"/>
              <w:spacing w:after="0"/>
              <w:rPr>
                <w:sz w:val="20"/>
                <w:szCs w:val="20"/>
                <w:color w:val="auto"/>
              </w:rPr>
            </w:pPr>
            <w:r>
              <w:rPr>
                <w:rFonts w:ascii="Arial" w:cs="Arial" w:eastAsia="Arial" w:hAnsi="Arial"/>
                <w:sz w:val="16"/>
                <w:szCs w:val="16"/>
                <w:color w:val="auto"/>
                <w:w w:val="95"/>
              </w:rPr>
              <w:t>Certification of Chief Financial Officer, pursuant to 18 U.S.C. Section 1350, as adopted pursuant to Section 906 of the Sarbanes-Oxley Act of 2002.</w:t>
            </w:r>
          </w:p>
        </w:tc>
      </w:tr>
      <w:tr>
        <w:trPr>
          <w:trHeight w:val="338"/>
        </w:trPr>
        <w:tc>
          <w:tcPr>
            <w:tcW w:w="1380" w:type="dxa"/>
            <w:vAlign w:val="bottom"/>
            <w:gridSpan w:val="2"/>
          </w:tcPr>
          <w:p>
            <w:pPr>
              <w:ind w:left="360"/>
              <w:spacing w:after="0"/>
              <w:rPr>
                <w:sz w:val="20"/>
                <w:szCs w:val="20"/>
                <w:color w:val="auto"/>
              </w:rPr>
            </w:pPr>
            <w:r>
              <w:rPr>
                <w:rFonts w:ascii="Arial" w:cs="Arial" w:eastAsia="Arial" w:hAnsi="Arial"/>
                <w:sz w:val="16"/>
                <w:szCs w:val="16"/>
                <w:color w:val="auto"/>
              </w:rPr>
              <w:t>101.INS</w:t>
            </w:r>
          </w:p>
        </w:tc>
        <w:tc>
          <w:tcPr>
            <w:tcW w:w="9940" w:type="dxa"/>
            <w:vAlign w:val="bottom"/>
          </w:tcPr>
          <w:p>
            <w:pPr>
              <w:ind w:left="40"/>
              <w:spacing w:after="0"/>
              <w:rPr>
                <w:sz w:val="20"/>
                <w:szCs w:val="20"/>
                <w:color w:val="auto"/>
              </w:rPr>
            </w:pPr>
            <w:r>
              <w:rPr>
                <w:rFonts w:ascii="Arial" w:cs="Arial" w:eastAsia="Arial" w:hAnsi="Arial"/>
                <w:sz w:val="16"/>
                <w:szCs w:val="16"/>
                <w:color w:val="auto"/>
              </w:rPr>
              <w:t>XBRL Report Instance Document</w:t>
            </w:r>
          </w:p>
        </w:tc>
      </w:tr>
      <w:tr>
        <w:trPr>
          <w:trHeight w:val="338"/>
        </w:trPr>
        <w:tc>
          <w:tcPr>
            <w:tcW w:w="1380" w:type="dxa"/>
            <w:vAlign w:val="bottom"/>
            <w:gridSpan w:val="2"/>
          </w:tcPr>
          <w:p>
            <w:pPr>
              <w:ind w:left="340"/>
              <w:spacing w:after="0"/>
              <w:rPr>
                <w:sz w:val="20"/>
                <w:szCs w:val="20"/>
                <w:color w:val="auto"/>
              </w:rPr>
            </w:pPr>
            <w:r>
              <w:rPr>
                <w:rFonts w:ascii="Arial" w:cs="Arial" w:eastAsia="Arial" w:hAnsi="Arial"/>
                <w:sz w:val="16"/>
                <w:szCs w:val="16"/>
                <w:color w:val="auto"/>
              </w:rPr>
              <w:t>101.SCH</w:t>
            </w:r>
          </w:p>
        </w:tc>
        <w:tc>
          <w:tcPr>
            <w:tcW w:w="9940" w:type="dxa"/>
            <w:vAlign w:val="bottom"/>
          </w:tcPr>
          <w:p>
            <w:pPr>
              <w:ind w:left="40"/>
              <w:spacing w:after="0"/>
              <w:rPr>
                <w:sz w:val="20"/>
                <w:szCs w:val="20"/>
                <w:color w:val="auto"/>
              </w:rPr>
            </w:pPr>
            <w:r>
              <w:rPr>
                <w:rFonts w:ascii="Arial" w:cs="Arial" w:eastAsia="Arial" w:hAnsi="Arial"/>
                <w:sz w:val="16"/>
                <w:szCs w:val="16"/>
                <w:color w:val="auto"/>
              </w:rPr>
              <w:t>XBRL Taxonomy Extension Schema Document</w:t>
            </w:r>
          </w:p>
        </w:tc>
      </w:tr>
      <w:tr>
        <w:trPr>
          <w:trHeight w:val="338"/>
        </w:trPr>
        <w:tc>
          <w:tcPr>
            <w:tcW w:w="1380" w:type="dxa"/>
            <w:vAlign w:val="bottom"/>
            <w:gridSpan w:val="2"/>
          </w:tcPr>
          <w:p>
            <w:pPr>
              <w:ind w:left="340"/>
              <w:spacing w:after="0"/>
              <w:rPr>
                <w:sz w:val="20"/>
                <w:szCs w:val="20"/>
                <w:color w:val="auto"/>
              </w:rPr>
            </w:pPr>
            <w:r>
              <w:rPr>
                <w:rFonts w:ascii="Arial" w:cs="Arial" w:eastAsia="Arial" w:hAnsi="Arial"/>
                <w:sz w:val="16"/>
                <w:szCs w:val="16"/>
                <w:color w:val="auto"/>
              </w:rPr>
              <w:t>101.CAL</w:t>
            </w:r>
          </w:p>
        </w:tc>
        <w:tc>
          <w:tcPr>
            <w:tcW w:w="9940" w:type="dxa"/>
            <w:vAlign w:val="bottom"/>
          </w:tcPr>
          <w:p>
            <w:pPr>
              <w:ind w:left="40"/>
              <w:spacing w:after="0"/>
              <w:rPr>
                <w:sz w:val="20"/>
                <w:szCs w:val="20"/>
                <w:color w:val="auto"/>
              </w:rPr>
            </w:pPr>
            <w:r>
              <w:rPr>
                <w:rFonts w:ascii="Arial" w:cs="Arial" w:eastAsia="Arial" w:hAnsi="Arial"/>
                <w:sz w:val="16"/>
                <w:szCs w:val="16"/>
                <w:color w:val="auto"/>
              </w:rPr>
              <w:t>XBRL Taxonomy Calculation Linkbase Document</w:t>
            </w:r>
          </w:p>
        </w:tc>
      </w:tr>
      <w:tr>
        <w:trPr>
          <w:trHeight w:val="338"/>
        </w:trPr>
        <w:tc>
          <w:tcPr>
            <w:tcW w:w="1380" w:type="dxa"/>
            <w:vAlign w:val="bottom"/>
            <w:gridSpan w:val="2"/>
          </w:tcPr>
          <w:p>
            <w:pPr>
              <w:ind w:left="340"/>
              <w:spacing w:after="0"/>
              <w:rPr>
                <w:sz w:val="20"/>
                <w:szCs w:val="20"/>
                <w:color w:val="auto"/>
              </w:rPr>
            </w:pPr>
            <w:r>
              <w:rPr>
                <w:rFonts w:ascii="Arial" w:cs="Arial" w:eastAsia="Arial" w:hAnsi="Arial"/>
                <w:sz w:val="16"/>
                <w:szCs w:val="16"/>
                <w:color w:val="auto"/>
              </w:rPr>
              <w:t>101.LAB</w:t>
            </w:r>
          </w:p>
        </w:tc>
        <w:tc>
          <w:tcPr>
            <w:tcW w:w="9940" w:type="dxa"/>
            <w:vAlign w:val="bottom"/>
          </w:tcPr>
          <w:p>
            <w:pPr>
              <w:ind w:left="40"/>
              <w:spacing w:after="0"/>
              <w:rPr>
                <w:sz w:val="20"/>
                <w:szCs w:val="20"/>
                <w:color w:val="auto"/>
              </w:rPr>
            </w:pPr>
            <w:r>
              <w:rPr>
                <w:rFonts w:ascii="Arial" w:cs="Arial" w:eastAsia="Arial" w:hAnsi="Arial"/>
                <w:sz w:val="16"/>
                <w:szCs w:val="16"/>
                <w:color w:val="auto"/>
              </w:rPr>
              <w:t>XBRL Taxonomy Label Linkbase Document</w:t>
            </w:r>
          </w:p>
        </w:tc>
      </w:tr>
      <w:tr>
        <w:trPr>
          <w:trHeight w:val="338"/>
        </w:trPr>
        <w:tc>
          <w:tcPr>
            <w:tcW w:w="1380" w:type="dxa"/>
            <w:vAlign w:val="bottom"/>
            <w:gridSpan w:val="2"/>
          </w:tcPr>
          <w:p>
            <w:pPr>
              <w:ind w:left="340"/>
              <w:spacing w:after="0"/>
              <w:rPr>
                <w:sz w:val="20"/>
                <w:szCs w:val="20"/>
                <w:color w:val="auto"/>
              </w:rPr>
            </w:pPr>
            <w:r>
              <w:rPr>
                <w:rFonts w:ascii="Arial" w:cs="Arial" w:eastAsia="Arial" w:hAnsi="Arial"/>
                <w:sz w:val="16"/>
                <w:szCs w:val="16"/>
                <w:color w:val="auto"/>
              </w:rPr>
              <w:t>101.PRE</w:t>
            </w:r>
          </w:p>
        </w:tc>
        <w:tc>
          <w:tcPr>
            <w:tcW w:w="9940" w:type="dxa"/>
            <w:vAlign w:val="bottom"/>
          </w:tcPr>
          <w:p>
            <w:pPr>
              <w:ind w:left="40"/>
              <w:spacing w:after="0"/>
              <w:rPr>
                <w:sz w:val="20"/>
                <w:szCs w:val="20"/>
                <w:color w:val="auto"/>
              </w:rPr>
            </w:pPr>
            <w:r>
              <w:rPr>
                <w:rFonts w:ascii="Arial" w:cs="Arial" w:eastAsia="Arial" w:hAnsi="Arial"/>
                <w:sz w:val="16"/>
                <w:szCs w:val="16"/>
                <w:color w:val="auto"/>
              </w:rPr>
              <w:t>XBRL Presentation Linkbase Document</w:t>
            </w:r>
          </w:p>
        </w:tc>
      </w:tr>
      <w:tr>
        <w:trPr>
          <w:trHeight w:val="338"/>
        </w:trPr>
        <w:tc>
          <w:tcPr>
            <w:tcW w:w="1380" w:type="dxa"/>
            <w:vAlign w:val="bottom"/>
            <w:gridSpan w:val="2"/>
          </w:tcPr>
          <w:p>
            <w:pPr>
              <w:ind w:left="340"/>
              <w:spacing w:after="0"/>
              <w:rPr>
                <w:sz w:val="20"/>
                <w:szCs w:val="20"/>
                <w:color w:val="auto"/>
              </w:rPr>
            </w:pPr>
            <w:r>
              <w:rPr>
                <w:rFonts w:ascii="Arial" w:cs="Arial" w:eastAsia="Arial" w:hAnsi="Arial"/>
                <w:sz w:val="16"/>
                <w:szCs w:val="16"/>
                <w:color w:val="auto"/>
              </w:rPr>
              <w:t>101.DEF</w:t>
            </w:r>
          </w:p>
        </w:tc>
        <w:tc>
          <w:tcPr>
            <w:tcW w:w="9940" w:type="dxa"/>
            <w:vAlign w:val="bottom"/>
          </w:tcPr>
          <w:p>
            <w:pPr>
              <w:ind w:left="40"/>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3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364" w:right="3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17"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77" w:lineRule="auto"/>
        <w:tabs>
          <w:tab w:leader="none" w:pos="1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6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Dominic G. Piscitelli, certify that:</w:t>
      </w:r>
    </w:p>
    <w:p>
      <w:pPr>
        <w:spacing w:after="0" w:line="11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77" w:lineRule="auto"/>
        <w:tabs>
          <w:tab w:leader="none" w:pos="1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Hamza Suria, Chief Executive Officer of AnaptysBio, Inc. (Company), do hereby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880" w:right="20" w:hanging="440"/>
        <w:spacing w:after="0" w:line="308"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2017 (the “Report”), as filed with the Securities and Exchange Commission,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880" w:right="1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6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Dominic G. Piscitelli, Chief Financial Officer of AnaptysBio, Inc.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880" w:right="20" w:hanging="440"/>
        <w:spacing w:after="0" w:line="308"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2017 (the “Report”), as filed with the Securities and Exchange Commission,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880" w:right="180" w:hanging="440"/>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
      <w:numFmt w:val="bullet"/>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lowerRoman"/>
      <w:start w:val="2"/>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lowerRoman"/>
      <w:start w:val="2"/>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2019-12-29T05:10:45Z</dcterms:created>
  <dcterms:modified xsi:type="dcterms:W3CDTF">2019-12-29T05:10:45Z</dcterms:modified>
</cp:coreProperties>
</file>