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2"/>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SCHEDULE 13D</w:t>
      </w:r>
    </w:p>
    <w:p>
      <w:pPr>
        <w:spacing w:after="0" w:line="229"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(Amendment No. 2)*</w:t>
      </w:r>
    </w:p>
    <w:p>
      <w:pPr>
        <w:spacing w:after="0" w:line="288" w:lineRule="exact"/>
        <w:rPr>
          <w:sz w:val="24"/>
          <w:szCs w:val="24"/>
          <w:color w:val="auto"/>
        </w:rPr>
      </w:pPr>
    </w:p>
    <w:p>
      <w:pPr>
        <w:ind w:left="4523"/>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ind w:left="4563"/>
        <w:spacing w:after="0"/>
        <w:rPr>
          <w:sz w:val="20"/>
          <w:szCs w:val="20"/>
          <w:color w:val="auto"/>
        </w:rPr>
      </w:pPr>
      <w:r>
        <w:rPr>
          <w:rFonts w:ascii="Arial" w:cs="Arial" w:eastAsia="Arial" w:hAnsi="Arial"/>
          <w:sz w:val="20"/>
          <w:szCs w:val="20"/>
          <w:color w:val="auto"/>
        </w:rPr>
        <w:t>(Name of Issuer)</w:t>
      </w:r>
    </w:p>
    <w:p>
      <w:pPr>
        <w:spacing w:after="0" w:line="126"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Common Stock, $0.001 par value</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(Title of Class of Securities)</w:t>
      </w:r>
    </w:p>
    <w:p>
      <w:pPr>
        <w:spacing w:after="0" w:line="126"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032724106</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James J. Frolik, Esq.</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Anthony J. Caldwell, Esq.</w:t>
      </w:r>
    </w:p>
    <w:p>
      <w:pPr>
        <w:jc w:val="center"/>
        <w:ind w:right="-62"/>
        <w:spacing w:after="0"/>
        <w:rPr>
          <w:sz w:val="20"/>
          <w:szCs w:val="20"/>
          <w:color w:val="auto"/>
        </w:rPr>
      </w:pPr>
      <w:r>
        <w:rPr>
          <w:rFonts w:ascii="Arial" w:cs="Arial" w:eastAsia="Arial" w:hAnsi="Arial"/>
          <w:sz w:val="20"/>
          <w:szCs w:val="20"/>
          <w:b w:val="1"/>
          <w:bCs w:val="1"/>
          <w:color w:val="auto"/>
        </w:rPr>
        <w:t>Shartsis Friese LLP</w:t>
      </w:r>
    </w:p>
    <w:p>
      <w:pPr>
        <w:jc w:val="center"/>
        <w:ind w:right="-62"/>
        <w:spacing w:after="0"/>
        <w:rPr>
          <w:sz w:val="20"/>
          <w:szCs w:val="20"/>
          <w:color w:val="auto"/>
        </w:rPr>
      </w:pPr>
      <w:r>
        <w:rPr>
          <w:rFonts w:ascii="Arial" w:cs="Arial" w:eastAsia="Arial" w:hAnsi="Arial"/>
          <w:sz w:val="20"/>
          <w:szCs w:val="20"/>
          <w:b w:val="1"/>
          <w:bCs w:val="1"/>
          <w:color w:val="auto"/>
        </w:rPr>
        <w:t>One Maritime Plaza, 18th Floor</w:t>
      </w:r>
    </w:p>
    <w:p>
      <w:pPr>
        <w:jc w:val="center"/>
        <w:ind w:right="-62"/>
        <w:spacing w:after="0"/>
        <w:rPr>
          <w:sz w:val="20"/>
          <w:szCs w:val="20"/>
          <w:color w:val="auto"/>
        </w:rPr>
      </w:pPr>
      <w:r>
        <w:rPr>
          <w:rFonts w:ascii="Arial" w:cs="Arial" w:eastAsia="Arial" w:hAnsi="Arial"/>
          <w:sz w:val="20"/>
          <w:szCs w:val="20"/>
          <w:b w:val="1"/>
          <w:bCs w:val="1"/>
          <w:color w:val="auto"/>
        </w:rPr>
        <w:t>San Francisco, CA 94111</w:t>
      </w:r>
    </w:p>
    <w:p>
      <w:pPr>
        <w:jc w:val="center"/>
        <w:ind w:right="-62"/>
        <w:spacing w:after="0"/>
        <w:rPr>
          <w:sz w:val="20"/>
          <w:szCs w:val="20"/>
          <w:color w:val="auto"/>
        </w:rPr>
      </w:pPr>
      <w:r>
        <w:rPr>
          <w:rFonts w:ascii="Arial" w:cs="Arial" w:eastAsia="Arial" w:hAnsi="Arial"/>
          <w:sz w:val="20"/>
          <w:szCs w:val="20"/>
          <w:color w:val="auto"/>
        </w:rPr>
        <w:t>(Name, Address and Telephone Number of Person</w:t>
      </w:r>
    </w:p>
    <w:p>
      <w:pPr>
        <w:jc w:val="center"/>
        <w:ind w:right="-62"/>
        <w:spacing w:after="0"/>
        <w:rPr>
          <w:sz w:val="20"/>
          <w:szCs w:val="20"/>
          <w:color w:val="auto"/>
        </w:rPr>
      </w:pPr>
      <w:r>
        <w:rPr>
          <w:rFonts w:ascii="Arial" w:cs="Arial" w:eastAsia="Arial" w:hAnsi="Arial"/>
          <w:sz w:val="20"/>
          <w:szCs w:val="20"/>
          <w:color w:val="auto"/>
        </w:rPr>
        <w:t>Authorized to Receive Notices and Communications)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May 4, 2021</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ind w:left="3" w:right="260"/>
        <w:spacing w:after="0" w:line="365"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sections 240.13d-1(e), 240.13d-1(f) or 140.13d-1(g), check the following box. [ ]</w:t>
      </w:r>
    </w:p>
    <w:p>
      <w:pPr>
        <w:spacing w:after="0" w:line="1" w:lineRule="exact"/>
        <w:rPr>
          <w:sz w:val="24"/>
          <w:szCs w:val="24"/>
          <w:color w:val="auto"/>
        </w:rPr>
      </w:pPr>
    </w:p>
    <w:p>
      <w:pPr>
        <w:ind w:left="3" w:right="3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240.13d-7 for other parties to whom copies are to be sent.</w:t>
      </w:r>
    </w:p>
    <w:p>
      <w:pPr>
        <w:spacing w:after="0" w:line="61" w:lineRule="exact"/>
        <w:rPr>
          <w:sz w:val="24"/>
          <w:szCs w:val="24"/>
          <w:color w:val="auto"/>
        </w:rPr>
      </w:pPr>
    </w:p>
    <w:p>
      <w:pPr>
        <w:ind w:left="3" w:hanging="3"/>
        <w:spacing w:after="0" w:line="250" w:lineRule="auto"/>
        <w:tabs>
          <w:tab w:leader="none" w:pos="152"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8" w:lineRule="exact"/>
        <w:rPr>
          <w:sz w:val="24"/>
          <w:szCs w:val="24"/>
          <w:color w:val="auto"/>
        </w:rPr>
      </w:pPr>
    </w:p>
    <w:p>
      <w:pPr>
        <w:ind w:left="3" w:right="6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ind w:left="3" w:right="34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64" w:lineRule="exact"/>
        <w:rPr>
          <w:sz w:val="24"/>
          <w:szCs w:val="24"/>
          <w:color w:val="auto"/>
        </w:rPr>
      </w:pPr>
    </w:p>
    <w:p>
      <w:pPr>
        <w:jc w:val="center"/>
        <w:ind w:right="-8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3"/>
          </w:cols>
          <w:pgMar w:left="717" w:top="225"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7,520,424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7,520,424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7,520,424</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27.5%</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7,520,424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7,520,424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7,520,424</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27.5%</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WC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6,374,066</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6,374,066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6,374,066</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23.3%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032724106</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color w:val="auto"/>
        </w:rPr>
        <w:t>Security and Issuer</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This statement relates to shares of Common Stock, $0.001 par value (the “Stock”), of </w:t>
      </w:r>
      <w:r>
        <w:rPr>
          <w:rFonts w:ascii="Arial" w:cs="Arial" w:eastAsia="Arial" w:hAnsi="Arial"/>
          <w:sz w:val="20"/>
          <w:szCs w:val="20"/>
          <w:b w:val="1"/>
          <w:bCs w:val="1"/>
          <w:color w:val="auto"/>
        </w:rPr>
        <w:t>AnaptysBio, Inc.</w:t>
      </w:r>
      <w:r>
        <w:rPr>
          <w:rFonts w:ascii="Arial" w:cs="Arial" w:eastAsia="Arial" w:hAnsi="Arial"/>
          <w:sz w:val="20"/>
          <w:szCs w:val="20"/>
          <w:color w:val="auto"/>
        </w:rPr>
        <w:t xml:space="preserve"> (the “Issuer”). The principal executive office of the Issuer is located at </w:t>
      </w:r>
      <w:r>
        <w:rPr>
          <w:rFonts w:ascii="Arial" w:cs="Arial" w:eastAsia="Arial" w:hAnsi="Arial"/>
          <w:sz w:val="20"/>
          <w:szCs w:val="20"/>
          <w:b w:val="1"/>
          <w:bCs w:val="1"/>
          <w:color w:val="auto"/>
        </w:rPr>
        <w:t>10770 Wateridge Circle, Suite 210, San Diego, CA 92121</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22" w:lineRule="exact"/>
        <w:rPr>
          <w:sz w:val="20"/>
          <w:szCs w:val="20"/>
          <w:color w:val="auto"/>
        </w:rPr>
      </w:pPr>
    </w:p>
    <w:p>
      <w:pPr>
        <w:ind w:right="80"/>
        <w:spacing w:after="0" w:line="385" w:lineRule="auto"/>
        <w:rPr>
          <w:sz w:val="20"/>
          <w:szCs w:val="20"/>
          <w:color w:val="auto"/>
        </w:rPr>
      </w:pPr>
      <w:r>
        <w:rPr>
          <w:rFonts w:ascii="Arial" w:cs="Arial" w:eastAsia="Arial" w:hAnsi="Arial"/>
          <w:sz w:val="16"/>
          <w:szCs w:val="16"/>
          <w:color w:val="auto"/>
        </w:rPr>
        <w:t>The persons filing this statement and the persons enumerated in Instruction C of Schedule 13D and, where applicable, their respective places of organization, general partners, directors, executive officers and controlling persons, and the information regarding them, are as follows:</w:t>
      </w:r>
    </w:p>
    <w:p>
      <w:pPr>
        <w:spacing w:after="0" w:line="79" w:lineRule="exact"/>
        <w:rPr>
          <w:sz w:val="20"/>
          <w:szCs w:val="20"/>
          <w:color w:val="auto"/>
        </w:rPr>
      </w:pPr>
    </w:p>
    <w:p>
      <w:pPr>
        <w:ind w:left="1300" w:right="720" w:hanging="644"/>
        <w:spacing w:after="0" w:line="267"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right="2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13D on behalf of Qualified Fund should not be construed as an admission that it is, and it disclaims that it is, a beneficial owner, as defined in Rule 13d-3 under the Act, of any of the Stock covered by this Schedule 13D.</w:t>
      </w:r>
    </w:p>
    <w:p>
      <w:pPr>
        <w:spacing w:after="0" w:line="182" w:lineRule="exact"/>
        <w:rPr>
          <w:rFonts w:ascii="Arial" w:cs="Arial" w:eastAsia="Arial" w:hAnsi="Arial"/>
          <w:sz w:val="20"/>
          <w:szCs w:val="20"/>
          <w:color w:val="auto"/>
        </w:rPr>
      </w:pPr>
    </w:p>
    <w:p>
      <w:pPr>
        <w:ind w:left="1300" w:right="3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business address of the Filers is</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13" w:lineRule="exact"/>
        <w:rPr>
          <w:rFonts w:ascii="Arial" w:cs="Arial" w:eastAsia="Arial" w:hAnsi="Arial"/>
          <w:sz w:val="20"/>
          <w:szCs w:val="20"/>
          <w:color w:val="auto"/>
        </w:rPr>
      </w:pPr>
    </w:p>
    <w:p>
      <w:pPr>
        <w:ind w:left="1300" w:right="100" w:hanging="644"/>
        <w:spacing w:after="0" w:line="247"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Present principal occupation or employment of the Filers and the name, principal business and address of any corporation or other organization in which such employment is conducted:</w:t>
      </w:r>
    </w:p>
    <w:p>
      <w:pPr>
        <w:spacing w:after="0" w:line="1" w:lineRule="exact"/>
        <w:rPr>
          <w:rFonts w:ascii="Arial" w:cs="Arial" w:eastAsia="Arial" w:hAnsi="Arial"/>
          <w:sz w:val="20"/>
          <w:szCs w:val="20"/>
          <w:color w:val="auto"/>
        </w:rPr>
      </w:pPr>
    </w:p>
    <w:p>
      <w:pPr>
        <w:ind w:left="1300" w:right="700"/>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EcoR1 is an investment adviser to investment funds, including Qualified Fund (collectively, the “Funds”). Mr. Nodelman is the manager and control person of EcoR1.</w:t>
      </w:r>
    </w:p>
    <w:p>
      <w:pPr>
        <w:spacing w:after="0" w:line="204" w:lineRule="exact"/>
        <w:rPr>
          <w:rFonts w:ascii="Arial" w:cs="Arial" w:eastAsia="Arial" w:hAnsi="Arial"/>
          <w:sz w:val="20"/>
          <w:szCs w:val="20"/>
          <w:color w:val="auto"/>
        </w:rPr>
      </w:pPr>
    </w:p>
    <w:p>
      <w:pPr>
        <w:ind w:left="1300" w:right="440" w:hanging="644"/>
        <w:spacing w:after="0" w:line="260"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last five years, none of the Filers has been convicted in a criminal proceeding (excluding traffic violations or similar misdemeanors).</w:t>
      </w:r>
    </w:p>
    <w:p>
      <w:pPr>
        <w:spacing w:after="0" w:line="176" w:lineRule="exact"/>
        <w:rPr>
          <w:rFonts w:ascii="Arial" w:cs="Arial" w:eastAsia="Arial" w:hAnsi="Arial"/>
          <w:sz w:val="20"/>
          <w:szCs w:val="20"/>
          <w:color w:val="auto"/>
        </w:rPr>
      </w:pPr>
    </w:p>
    <w:p>
      <w:pPr>
        <w:ind w:left="1300" w:right="140" w:hanging="644"/>
        <w:spacing w:after="0" w:line="246"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last five years, none of the Filers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4"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 citizenship of the Filers, see Item 6 of each Filer’s cover page.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source and amount of funds used in purchasing the Stock were as follows: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2340" w:type="dxa"/>
            <w:vAlign w:val="bottom"/>
          </w:tcPr>
          <w:p>
            <w:pPr>
              <w:spacing w:after="0"/>
              <w:rPr>
                <w:sz w:val="20"/>
                <w:szCs w:val="20"/>
                <w:color w:val="auto"/>
              </w:rPr>
            </w:pPr>
            <w:r>
              <w:rPr>
                <w:rFonts w:ascii="Arial" w:cs="Arial" w:eastAsia="Arial" w:hAnsi="Arial"/>
                <w:sz w:val="20"/>
                <w:szCs w:val="20"/>
                <w:b w:val="1"/>
                <w:bCs w:val="1"/>
                <w:color w:val="auto"/>
              </w:rPr>
              <w:t>Purchaser</w:t>
            </w:r>
          </w:p>
        </w:tc>
        <w:tc>
          <w:tcPr>
            <w:tcW w:w="4060" w:type="dxa"/>
            <w:vAlign w:val="bottom"/>
          </w:tcPr>
          <w:p>
            <w:pPr>
              <w:ind w:left="1480"/>
              <w:spacing w:after="0"/>
              <w:rPr>
                <w:sz w:val="20"/>
                <w:szCs w:val="20"/>
                <w:color w:val="auto"/>
              </w:rPr>
            </w:pPr>
            <w:r>
              <w:rPr>
                <w:rFonts w:ascii="Arial" w:cs="Arial" w:eastAsia="Arial" w:hAnsi="Arial"/>
                <w:sz w:val="20"/>
                <w:szCs w:val="20"/>
                <w:b w:val="1"/>
                <w:bCs w:val="1"/>
                <w:color w:val="auto"/>
              </w:rPr>
              <w:t>Source of Funds</w:t>
            </w:r>
          </w:p>
        </w:tc>
        <w:tc>
          <w:tcPr>
            <w:tcW w:w="2560" w:type="dxa"/>
            <w:vAlign w:val="bottom"/>
          </w:tcPr>
          <w:p>
            <w:pPr>
              <w:ind w:left="1140"/>
              <w:spacing w:after="0"/>
              <w:rPr>
                <w:sz w:val="20"/>
                <w:szCs w:val="20"/>
                <w:color w:val="auto"/>
              </w:rPr>
            </w:pPr>
            <w:r>
              <w:rPr>
                <w:rFonts w:ascii="Arial" w:cs="Arial" w:eastAsia="Arial" w:hAnsi="Arial"/>
                <w:sz w:val="20"/>
                <w:szCs w:val="20"/>
                <w:b w:val="1"/>
                <w:bCs w:val="1"/>
                <w:color w:val="auto"/>
              </w:rPr>
              <w:t>Amount</w:t>
            </w:r>
          </w:p>
        </w:tc>
      </w:tr>
      <w:tr>
        <w:trPr>
          <w:trHeight w:val="642"/>
        </w:trPr>
        <w:tc>
          <w:tcPr>
            <w:tcW w:w="2340" w:type="dxa"/>
            <w:vAlign w:val="bottom"/>
          </w:tcPr>
          <w:p>
            <w:pPr>
              <w:spacing w:after="0"/>
              <w:rPr>
                <w:sz w:val="20"/>
                <w:szCs w:val="20"/>
                <w:color w:val="auto"/>
              </w:rPr>
            </w:pPr>
            <w:r>
              <w:rPr>
                <w:rFonts w:ascii="Arial" w:cs="Arial" w:eastAsia="Arial" w:hAnsi="Arial"/>
                <w:sz w:val="20"/>
                <w:szCs w:val="20"/>
                <w:b w:val="1"/>
                <w:bCs w:val="1"/>
                <w:color w:val="auto"/>
              </w:rPr>
              <w:t>the Funds</w:t>
            </w:r>
          </w:p>
        </w:tc>
        <w:tc>
          <w:tcPr>
            <w:tcW w:w="4060" w:type="dxa"/>
            <w:vAlign w:val="bottom"/>
          </w:tcPr>
          <w:p>
            <w:pPr>
              <w:ind w:left="1480"/>
              <w:spacing w:after="0"/>
              <w:rPr>
                <w:sz w:val="20"/>
                <w:szCs w:val="20"/>
                <w:color w:val="auto"/>
              </w:rPr>
            </w:pPr>
            <w:r>
              <w:rPr>
                <w:rFonts w:ascii="Arial" w:cs="Arial" w:eastAsia="Arial" w:hAnsi="Arial"/>
                <w:sz w:val="20"/>
                <w:szCs w:val="20"/>
                <w:b w:val="1"/>
                <w:bCs w:val="1"/>
                <w:color w:val="auto"/>
              </w:rPr>
              <w:t>Working Capital</w:t>
            </w:r>
          </w:p>
        </w:tc>
        <w:tc>
          <w:tcPr>
            <w:tcW w:w="2560" w:type="dxa"/>
            <w:vAlign w:val="bottom"/>
          </w:tcPr>
          <w:p>
            <w:pPr>
              <w:ind w:left="1140"/>
              <w:spacing w:after="0"/>
              <w:rPr>
                <w:sz w:val="20"/>
                <w:szCs w:val="20"/>
                <w:color w:val="auto"/>
              </w:rPr>
            </w:pPr>
            <w:r>
              <w:rPr>
                <w:rFonts w:ascii="Arial" w:cs="Arial" w:eastAsia="Arial" w:hAnsi="Arial"/>
                <w:sz w:val="20"/>
                <w:szCs w:val="20"/>
                <w:b w:val="1"/>
                <w:bCs w:val="1"/>
                <w:color w:val="auto"/>
                <w:w w:val="86"/>
              </w:rPr>
              <w:t>$124,983,830.61</w:t>
            </w:r>
            <w:r>
              <w:rPr>
                <w:rFonts w:ascii="Arial" w:cs="Arial" w:eastAsia="Arial" w:hAnsi="Arial"/>
                <w:sz w:val="32"/>
                <w:szCs w:val="32"/>
                <w:b w:val="1"/>
                <w:bCs w:val="1"/>
                <w:color w:val="auto"/>
                <w:w w:val="86"/>
                <w:vertAlign w:val="superscript"/>
              </w:rPr>
              <w:t>1</w:t>
            </w:r>
          </w:p>
        </w:tc>
      </w:tr>
    </w:tbl>
    <w:p>
      <w:pPr>
        <w:spacing w:after="0" w:line="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33"/>
          <w:szCs w:val="33"/>
          <w:color w:val="auto"/>
          <w:vertAlign w:val="superscript"/>
        </w:rPr>
      </w:pPr>
      <w:r>
        <w:rPr>
          <w:rFonts w:ascii="Arial" w:cs="Arial" w:eastAsia="Arial" w:hAnsi="Arial"/>
          <w:sz w:val="20"/>
          <w:szCs w:val="20"/>
          <w:color w:val="auto"/>
        </w:rPr>
        <w:t>Includes $106,135,894.61 paid by Qualified Fund.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Filers acquired the Stock for investment purposes based on their belief that the Stock, when purchased, was undervalued and represented an attractive investment opportunity. On April 8, 2021, the Issuer’s Board of Directors appointed Mr. Nodelman to serve as a director of the Issuer. Going forward, the Filers will routinely monitor the Issuer regarding a wide variety of factors that affect their investment considerations, including, current and anticipated future trading prices of the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Filers may take such actions regarding their holdings of the Issuer’s securities as they deem appropriate in light of circumstances existing from time to time. Such actions may include purchasing additional Stock in the open market, through privately negotiated transactions with third parties or otherwise, and selling at any time, in the open market, through privately negotiated transactions with third parties or otherwise, all or part of the Stock that they now own or hereafter acquire. The Filers also may from time to time enter into or unwind hedging or other derivative transactions with respect to the Stock or pledge their interests in the Stock to obtain liquidity. In addition, from time to time the Filers and their representatives and advisers may communicate with other stockholders, industry participants and other interested parties about the Issuer.</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Filers have no present plan or proposal that relates to or would result in any of the actions specified in clauses (a) through (j) of Item 4 of Schedule 13D. However, the Filers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changes in control, issuances, purchases, dispositions or pledges of securities or other changes in capitalization.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2"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 beneficial ownership of the Stock by each Filer on the date hereof is reflected on that Filer’s cover page. The Filers engaged in the following transactions in the Issuer’s Stock in the 60 days preceding the date of this Schedule 13D:</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20"/>
                <w:szCs w:val="20"/>
                <w:color w:val="auto"/>
              </w:rPr>
              <w:t>Name</w:t>
            </w:r>
          </w:p>
        </w:tc>
        <w:tc>
          <w:tcPr>
            <w:tcW w:w="1440" w:type="dxa"/>
            <w:vAlign w:val="bottom"/>
          </w:tcPr>
          <w:p>
            <w:pPr>
              <w:ind w:left="58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120"/>
              <w:spacing w:after="0"/>
              <w:rPr>
                <w:sz w:val="20"/>
                <w:szCs w:val="20"/>
                <w:color w:val="auto"/>
              </w:rPr>
            </w:pPr>
            <w:r>
              <w:rPr>
                <w:rFonts w:ascii="Arial" w:cs="Arial" w:eastAsia="Arial" w:hAnsi="Arial"/>
                <w:sz w:val="20"/>
                <w:szCs w:val="20"/>
                <w:color w:val="auto"/>
              </w:rPr>
              <w:t>or  Date</w:t>
            </w:r>
          </w:p>
        </w:tc>
        <w:tc>
          <w:tcPr>
            <w:tcW w:w="2120" w:type="dxa"/>
            <w:vAlign w:val="bottom"/>
          </w:tcPr>
          <w:p>
            <w:pPr>
              <w:ind w:left="440"/>
              <w:spacing w:after="0"/>
              <w:rPr>
                <w:sz w:val="20"/>
                <w:szCs w:val="20"/>
                <w:color w:val="auto"/>
              </w:rPr>
            </w:pPr>
            <w:r>
              <w:rPr>
                <w:rFonts w:ascii="Arial" w:cs="Arial" w:eastAsia="Arial" w:hAnsi="Arial"/>
                <w:sz w:val="20"/>
                <w:szCs w:val="20"/>
                <w:color w:val="auto"/>
              </w:rPr>
              <w:t>Manner Effected</w:t>
            </w:r>
          </w:p>
        </w:tc>
        <w:tc>
          <w:tcPr>
            <w:tcW w:w="1960" w:type="dxa"/>
            <w:vAlign w:val="bottom"/>
          </w:tcPr>
          <w:p>
            <w:pPr>
              <w:ind w:left="360"/>
              <w:spacing w:after="0"/>
              <w:rPr>
                <w:sz w:val="20"/>
                <w:szCs w:val="20"/>
                <w:color w:val="auto"/>
              </w:rPr>
            </w:pPr>
            <w:r>
              <w:rPr>
                <w:rFonts w:ascii="Arial" w:cs="Arial" w:eastAsia="Arial" w:hAnsi="Arial"/>
                <w:sz w:val="20"/>
                <w:szCs w:val="20"/>
                <w:color w:val="auto"/>
                <w:w w:val="97"/>
              </w:rPr>
              <w:t>Number of Shares</w:t>
            </w:r>
          </w:p>
        </w:tc>
        <w:tc>
          <w:tcPr>
            <w:tcW w:w="1400" w:type="dxa"/>
            <w:vAlign w:val="bottom"/>
          </w:tcPr>
          <w:p>
            <w:pPr>
              <w:ind w:left="180"/>
              <w:spacing w:after="0"/>
              <w:rPr>
                <w:sz w:val="20"/>
                <w:szCs w:val="20"/>
                <w:color w:val="auto"/>
              </w:rPr>
            </w:pPr>
            <w:r>
              <w:rPr>
                <w:rFonts w:ascii="Arial" w:cs="Arial" w:eastAsia="Arial" w:hAnsi="Arial"/>
                <w:sz w:val="20"/>
                <w:szCs w:val="20"/>
                <w:color w:val="auto"/>
                <w:w w:val="84"/>
              </w:rPr>
              <w:t>Price Per Share</w:t>
            </w:r>
          </w:p>
        </w:tc>
      </w:tr>
      <w:tr>
        <w:trPr>
          <w:trHeight w:val="229"/>
        </w:trPr>
        <w:tc>
          <w:tcPr>
            <w:tcW w:w="1780" w:type="dxa"/>
            <w:vAlign w:val="bottom"/>
          </w:tcPr>
          <w:p>
            <w:pPr>
              <w:spacing w:after="0"/>
              <w:rPr>
                <w:sz w:val="19"/>
                <w:szCs w:val="19"/>
                <w:color w:val="auto"/>
              </w:rPr>
            </w:pPr>
          </w:p>
        </w:tc>
        <w:tc>
          <w:tcPr>
            <w:tcW w:w="1440" w:type="dxa"/>
            <w:vAlign w:val="bottom"/>
          </w:tcPr>
          <w:p>
            <w:pPr>
              <w:ind w:left="580"/>
              <w:spacing w:after="0"/>
              <w:rPr>
                <w:sz w:val="20"/>
                <w:szCs w:val="20"/>
                <w:color w:val="auto"/>
              </w:rPr>
            </w:pPr>
            <w:r>
              <w:rPr>
                <w:rFonts w:ascii="Arial" w:cs="Arial" w:eastAsia="Arial" w:hAnsi="Arial"/>
                <w:sz w:val="20"/>
                <w:szCs w:val="20"/>
                <w:color w:val="auto"/>
              </w:rPr>
              <w:t>Sale</w:t>
            </w:r>
          </w:p>
        </w:tc>
        <w:tc>
          <w:tcPr>
            <w:tcW w:w="1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20"/>
                <w:szCs w:val="20"/>
                <w:color w:val="auto"/>
              </w:rPr>
              <w:t>Qualified Fund</w:t>
            </w:r>
          </w:p>
        </w:tc>
        <w:tc>
          <w:tcPr>
            <w:tcW w:w="1440" w:type="dxa"/>
            <w:vAlign w:val="bottom"/>
          </w:tcPr>
          <w:p>
            <w:pPr>
              <w:ind w:left="58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4/23/2021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rPr>
                <w:sz w:val="20"/>
                <w:szCs w:val="20"/>
                <w:color w:val="auto"/>
              </w:rPr>
            </w:pPr>
            <w:r>
              <w:rPr>
                <w:rFonts w:ascii="Arial" w:cs="Arial" w:eastAsia="Arial" w:hAnsi="Arial"/>
                <w:sz w:val="20"/>
                <w:szCs w:val="20"/>
                <w:color w:val="auto"/>
              </w:rPr>
              <w:t>99,600</w:t>
            </w:r>
          </w:p>
        </w:tc>
        <w:tc>
          <w:tcPr>
            <w:tcW w:w="1400" w:type="dxa"/>
            <w:vAlign w:val="bottom"/>
          </w:tcPr>
          <w:p>
            <w:pPr>
              <w:ind w:left="180"/>
              <w:spacing w:after="0"/>
              <w:rPr>
                <w:sz w:val="20"/>
                <w:szCs w:val="20"/>
                <w:color w:val="auto"/>
              </w:rPr>
            </w:pPr>
            <w:r>
              <w:rPr>
                <w:rFonts w:ascii="Arial" w:cs="Arial" w:eastAsia="Arial" w:hAnsi="Arial"/>
                <w:sz w:val="20"/>
                <w:szCs w:val="20"/>
                <w:color w:val="auto"/>
              </w:rPr>
              <w:t>$23.537</w:t>
            </w:r>
          </w:p>
        </w:tc>
      </w:tr>
      <w:tr>
        <w:trPr>
          <w:trHeight w:val="230"/>
        </w:trPr>
        <w:tc>
          <w:tcPr>
            <w:tcW w:w="1780" w:type="dxa"/>
            <w:vAlign w:val="bottom"/>
          </w:tcPr>
          <w:p>
            <w:pPr>
              <w:spacing w:after="0"/>
              <w:rPr>
                <w:sz w:val="20"/>
                <w:szCs w:val="20"/>
                <w:color w:val="auto"/>
              </w:rPr>
            </w:pPr>
            <w:r>
              <w:rPr>
                <w:rFonts w:ascii="Arial" w:cs="Arial" w:eastAsia="Arial" w:hAnsi="Arial"/>
                <w:sz w:val="20"/>
                <w:szCs w:val="20"/>
                <w:color w:val="auto"/>
              </w:rPr>
              <w:t>Qualified Fund</w:t>
            </w:r>
          </w:p>
        </w:tc>
        <w:tc>
          <w:tcPr>
            <w:tcW w:w="1440" w:type="dxa"/>
            <w:vAlign w:val="bottom"/>
          </w:tcPr>
          <w:p>
            <w:pPr>
              <w:ind w:left="58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4/26/2021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rPr>
                <w:sz w:val="20"/>
                <w:szCs w:val="20"/>
                <w:color w:val="auto"/>
              </w:rPr>
            </w:pPr>
            <w:r>
              <w:rPr>
                <w:rFonts w:ascii="Arial" w:cs="Arial" w:eastAsia="Arial" w:hAnsi="Arial"/>
                <w:sz w:val="20"/>
                <w:szCs w:val="20"/>
                <w:color w:val="auto"/>
              </w:rPr>
              <w:t>13,900</w:t>
            </w:r>
          </w:p>
        </w:tc>
        <w:tc>
          <w:tcPr>
            <w:tcW w:w="1400" w:type="dxa"/>
            <w:vAlign w:val="bottom"/>
          </w:tcPr>
          <w:p>
            <w:pPr>
              <w:ind w:left="180"/>
              <w:spacing w:after="0"/>
              <w:rPr>
                <w:sz w:val="20"/>
                <w:szCs w:val="20"/>
                <w:color w:val="auto"/>
              </w:rPr>
            </w:pPr>
            <w:r>
              <w:rPr>
                <w:rFonts w:ascii="Arial" w:cs="Arial" w:eastAsia="Arial" w:hAnsi="Arial"/>
                <w:sz w:val="20"/>
                <w:szCs w:val="20"/>
                <w:color w:val="auto"/>
              </w:rPr>
              <w:t>$23.8028</w:t>
            </w:r>
          </w:p>
        </w:tc>
      </w:tr>
      <w:tr>
        <w:trPr>
          <w:trHeight w:val="230"/>
        </w:trPr>
        <w:tc>
          <w:tcPr>
            <w:tcW w:w="1780" w:type="dxa"/>
            <w:vAlign w:val="bottom"/>
          </w:tcPr>
          <w:p>
            <w:pPr>
              <w:spacing w:after="0"/>
              <w:rPr>
                <w:sz w:val="20"/>
                <w:szCs w:val="20"/>
                <w:color w:val="auto"/>
              </w:rPr>
            </w:pPr>
            <w:r>
              <w:rPr>
                <w:rFonts w:ascii="Arial" w:cs="Arial" w:eastAsia="Arial" w:hAnsi="Arial"/>
                <w:sz w:val="20"/>
                <w:szCs w:val="20"/>
                <w:color w:val="auto"/>
              </w:rPr>
              <w:t>Qualified Fund</w:t>
            </w:r>
          </w:p>
        </w:tc>
        <w:tc>
          <w:tcPr>
            <w:tcW w:w="1440" w:type="dxa"/>
            <w:vAlign w:val="bottom"/>
          </w:tcPr>
          <w:p>
            <w:pPr>
              <w:ind w:left="58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4/27/2021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rPr>
                <w:sz w:val="20"/>
                <w:szCs w:val="20"/>
                <w:color w:val="auto"/>
              </w:rPr>
            </w:pPr>
            <w:r>
              <w:rPr>
                <w:rFonts w:ascii="Arial" w:cs="Arial" w:eastAsia="Arial" w:hAnsi="Arial"/>
                <w:sz w:val="20"/>
                <w:szCs w:val="20"/>
                <w:color w:val="auto"/>
              </w:rPr>
              <w:t>33,800</w:t>
            </w:r>
          </w:p>
        </w:tc>
        <w:tc>
          <w:tcPr>
            <w:tcW w:w="1400" w:type="dxa"/>
            <w:vAlign w:val="bottom"/>
          </w:tcPr>
          <w:p>
            <w:pPr>
              <w:ind w:left="180"/>
              <w:spacing w:after="0"/>
              <w:rPr>
                <w:sz w:val="20"/>
                <w:szCs w:val="20"/>
                <w:color w:val="auto"/>
              </w:rPr>
            </w:pPr>
            <w:r>
              <w:rPr>
                <w:rFonts w:ascii="Arial" w:cs="Arial" w:eastAsia="Arial" w:hAnsi="Arial"/>
                <w:sz w:val="20"/>
                <w:szCs w:val="20"/>
                <w:color w:val="auto"/>
              </w:rPr>
              <w:t>$23.8192</w:t>
            </w:r>
          </w:p>
        </w:tc>
      </w:tr>
      <w:tr>
        <w:trPr>
          <w:trHeight w:val="229"/>
        </w:trPr>
        <w:tc>
          <w:tcPr>
            <w:tcW w:w="1780" w:type="dxa"/>
            <w:vAlign w:val="bottom"/>
          </w:tcPr>
          <w:p>
            <w:pPr>
              <w:spacing w:after="0"/>
              <w:rPr>
                <w:sz w:val="20"/>
                <w:szCs w:val="20"/>
                <w:color w:val="auto"/>
              </w:rPr>
            </w:pPr>
            <w:r>
              <w:rPr>
                <w:rFonts w:ascii="Arial" w:cs="Arial" w:eastAsia="Arial" w:hAnsi="Arial"/>
                <w:sz w:val="20"/>
                <w:szCs w:val="20"/>
                <w:color w:val="auto"/>
              </w:rPr>
              <w:t>Qualified Fund</w:t>
            </w:r>
          </w:p>
        </w:tc>
        <w:tc>
          <w:tcPr>
            <w:tcW w:w="1440" w:type="dxa"/>
            <w:vAlign w:val="bottom"/>
          </w:tcPr>
          <w:p>
            <w:pPr>
              <w:ind w:left="58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4/30/2021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rPr>
                <w:sz w:val="20"/>
                <w:szCs w:val="20"/>
                <w:color w:val="auto"/>
              </w:rPr>
            </w:pPr>
            <w:r>
              <w:rPr>
                <w:rFonts w:ascii="Arial" w:cs="Arial" w:eastAsia="Arial" w:hAnsi="Arial"/>
                <w:sz w:val="20"/>
                <w:szCs w:val="20"/>
                <w:color w:val="auto"/>
              </w:rPr>
              <w:t>35,700</w:t>
            </w:r>
          </w:p>
        </w:tc>
        <w:tc>
          <w:tcPr>
            <w:tcW w:w="1400" w:type="dxa"/>
            <w:vAlign w:val="bottom"/>
          </w:tcPr>
          <w:p>
            <w:pPr>
              <w:ind w:left="180"/>
              <w:spacing w:after="0"/>
              <w:rPr>
                <w:sz w:val="20"/>
                <w:szCs w:val="20"/>
                <w:color w:val="auto"/>
              </w:rPr>
            </w:pPr>
            <w:r>
              <w:rPr>
                <w:rFonts w:ascii="Arial" w:cs="Arial" w:eastAsia="Arial" w:hAnsi="Arial"/>
                <w:sz w:val="20"/>
                <w:szCs w:val="20"/>
                <w:color w:val="auto"/>
              </w:rPr>
              <w:t>$23.1601</w:t>
            </w:r>
          </w:p>
        </w:tc>
      </w:tr>
      <w:tr>
        <w:trPr>
          <w:trHeight w:val="230"/>
        </w:trPr>
        <w:tc>
          <w:tcPr>
            <w:tcW w:w="1780" w:type="dxa"/>
            <w:vAlign w:val="bottom"/>
          </w:tcPr>
          <w:p>
            <w:pPr>
              <w:spacing w:after="0"/>
              <w:rPr>
                <w:sz w:val="20"/>
                <w:szCs w:val="20"/>
                <w:color w:val="auto"/>
              </w:rPr>
            </w:pPr>
            <w:r>
              <w:rPr>
                <w:rFonts w:ascii="Arial" w:cs="Arial" w:eastAsia="Arial" w:hAnsi="Arial"/>
                <w:sz w:val="20"/>
                <w:szCs w:val="20"/>
                <w:color w:val="auto"/>
              </w:rPr>
              <w:t>Qualified Fund</w:t>
            </w:r>
          </w:p>
        </w:tc>
        <w:tc>
          <w:tcPr>
            <w:tcW w:w="1440" w:type="dxa"/>
            <w:vAlign w:val="bottom"/>
          </w:tcPr>
          <w:p>
            <w:pPr>
              <w:ind w:left="58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5/3/2021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rPr>
                <w:sz w:val="20"/>
                <w:szCs w:val="20"/>
                <w:color w:val="auto"/>
              </w:rPr>
            </w:pPr>
            <w:r>
              <w:rPr>
                <w:rFonts w:ascii="Arial" w:cs="Arial" w:eastAsia="Arial" w:hAnsi="Arial"/>
                <w:sz w:val="20"/>
                <w:szCs w:val="20"/>
                <w:color w:val="auto"/>
              </w:rPr>
              <w:t>20,800</w:t>
            </w:r>
          </w:p>
        </w:tc>
        <w:tc>
          <w:tcPr>
            <w:tcW w:w="1400" w:type="dxa"/>
            <w:vAlign w:val="bottom"/>
          </w:tcPr>
          <w:p>
            <w:pPr>
              <w:ind w:left="180"/>
              <w:spacing w:after="0"/>
              <w:rPr>
                <w:sz w:val="20"/>
                <w:szCs w:val="20"/>
                <w:color w:val="auto"/>
              </w:rPr>
            </w:pPr>
            <w:r>
              <w:rPr>
                <w:rFonts w:ascii="Arial" w:cs="Arial" w:eastAsia="Arial" w:hAnsi="Arial"/>
                <w:sz w:val="20"/>
                <w:szCs w:val="20"/>
                <w:color w:val="auto"/>
              </w:rPr>
              <w:t>$23.3112</w:t>
            </w:r>
          </w:p>
        </w:tc>
      </w:tr>
      <w:tr>
        <w:trPr>
          <w:trHeight w:val="250"/>
        </w:trPr>
        <w:tc>
          <w:tcPr>
            <w:tcW w:w="1780" w:type="dxa"/>
            <w:vAlign w:val="bottom"/>
          </w:tcPr>
          <w:p>
            <w:pPr>
              <w:spacing w:after="0"/>
              <w:rPr>
                <w:sz w:val="20"/>
                <w:szCs w:val="20"/>
                <w:color w:val="auto"/>
              </w:rPr>
            </w:pPr>
            <w:r>
              <w:rPr>
                <w:rFonts w:ascii="Arial" w:cs="Arial" w:eastAsia="Arial" w:hAnsi="Arial"/>
                <w:sz w:val="20"/>
                <w:szCs w:val="20"/>
                <w:color w:val="auto"/>
              </w:rPr>
              <w:t>Qualified Fund</w:t>
            </w:r>
          </w:p>
        </w:tc>
        <w:tc>
          <w:tcPr>
            <w:tcW w:w="1440" w:type="dxa"/>
            <w:vAlign w:val="bottom"/>
          </w:tcPr>
          <w:p>
            <w:pPr>
              <w:ind w:left="580"/>
              <w:spacing w:after="0"/>
              <w:rPr>
                <w:sz w:val="20"/>
                <w:szCs w:val="20"/>
                <w:color w:val="auto"/>
              </w:rPr>
            </w:pPr>
            <w:r>
              <w:rPr>
                <w:rFonts w:ascii="Arial" w:cs="Arial" w:eastAsia="Arial" w:hAnsi="Arial"/>
                <w:sz w:val="20"/>
                <w:szCs w:val="20"/>
                <w:color w:val="auto"/>
                <w:w w:val="99"/>
              </w:rPr>
              <w:t>Purchase</w:t>
            </w:r>
          </w:p>
        </w:tc>
        <w:tc>
          <w:tcPr>
            <w:tcW w:w="1740" w:type="dxa"/>
            <w:vAlign w:val="bottom"/>
          </w:tcPr>
          <w:p>
            <w:pPr>
              <w:ind w:left="500"/>
              <w:spacing w:after="0"/>
              <w:rPr>
                <w:sz w:val="20"/>
                <w:szCs w:val="20"/>
                <w:color w:val="auto"/>
              </w:rPr>
            </w:pPr>
            <w:r>
              <w:rPr>
                <w:rFonts w:ascii="Arial" w:cs="Arial" w:eastAsia="Arial" w:hAnsi="Arial"/>
                <w:sz w:val="20"/>
                <w:szCs w:val="20"/>
                <w:color w:val="auto"/>
              </w:rPr>
              <w:t>5/4/2021</w:t>
            </w:r>
          </w:p>
        </w:tc>
        <w:tc>
          <w:tcPr>
            <w:tcW w:w="2120" w:type="dxa"/>
            <w:vAlign w:val="bottom"/>
          </w:tcPr>
          <w:p>
            <w:pPr>
              <w:ind w:left="440"/>
              <w:spacing w:after="0"/>
              <w:rPr>
                <w:sz w:val="20"/>
                <w:szCs w:val="20"/>
                <w:color w:val="auto"/>
              </w:rPr>
            </w:pPr>
            <w:r>
              <w:rPr>
                <w:rFonts w:ascii="Arial" w:cs="Arial" w:eastAsia="Arial" w:hAnsi="Arial"/>
                <w:sz w:val="20"/>
                <w:szCs w:val="20"/>
                <w:color w:val="auto"/>
              </w:rPr>
              <w:t>Public Market</w:t>
            </w:r>
          </w:p>
        </w:tc>
        <w:tc>
          <w:tcPr>
            <w:tcW w:w="1960" w:type="dxa"/>
            <w:vAlign w:val="bottom"/>
          </w:tcPr>
          <w:p>
            <w:pPr>
              <w:ind w:left="360"/>
              <w:spacing w:after="0"/>
              <w:rPr>
                <w:sz w:val="20"/>
                <w:szCs w:val="20"/>
                <w:color w:val="auto"/>
              </w:rPr>
            </w:pPr>
            <w:r>
              <w:rPr>
                <w:rFonts w:ascii="Arial" w:cs="Arial" w:eastAsia="Arial" w:hAnsi="Arial"/>
                <w:sz w:val="20"/>
                <w:szCs w:val="20"/>
                <w:color w:val="auto"/>
              </w:rPr>
              <w:t>165,000</w:t>
            </w:r>
          </w:p>
        </w:tc>
        <w:tc>
          <w:tcPr>
            <w:tcW w:w="1400" w:type="dxa"/>
            <w:vAlign w:val="bottom"/>
          </w:tcPr>
          <w:p>
            <w:pPr>
              <w:ind w:left="180"/>
              <w:spacing w:after="0"/>
              <w:rPr>
                <w:sz w:val="20"/>
                <w:szCs w:val="20"/>
                <w:color w:val="auto"/>
              </w:rPr>
            </w:pPr>
            <w:r>
              <w:rPr>
                <w:rFonts w:ascii="Arial" w:cs="Arial" w:eastAsia="Arial" w:hAnsi="Arial"/>
                <w:sz w:val="20"/>
                <w:szCs w:val="20"/>
                <w:color w:val="auto"/>
              </w:rPr>
              <w:t>$23.247</w:t>
            </w:r>
          </w:p>
        </w:tc>
      </w:tr>
      <w:tr>
        <w:trPr>
          <w:trHeight w:val="658"/>
        </w:trPr>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20" w:type="dxa"/>
            <w:vAlign w:val="bottom"/>
          </w:tcPr>
          <w:p>
            <w:pPr>
              <w:ind w:left="520"/>
              <w:spacing w:after="0"/>
              <w:rPr>
                <w:sz w:val="20"/>
                <w:szCs w:val="20"/>
                <w:color w:val="auto"/>
              </w:rPr>
            </w:pPr>
            <w:r>
              <w:rPr>
                <w:rFonts w:ascii="Arial" w:cs="Arial" w:eastAsia="Arial" w:hAnsi="Arial"/>
                <w:sz w:val="18"/>
                <w:szCs w:val="18"/>
                <w:color w:val="auto"/>
              </w:rPr>
              <w:t>6</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Contracts, Arrangement, Understandings or Relationships with Respect to Securities of the Issuer</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EcoR1 is the investment adviser to its clients pursuant to investment management agreements or limited partnership agreements providing to EcoR1 the authority, among other things, to invest the funds of such clients in Stock, to vote and dispose of Stock and to file this statement on behalf of such clients. Pursuant to such limited partnership agreements, EcoR1 is entitled to allocations based on assets under management and realized and unrealized gains. Pursuant to such investment management agreements, EcoR1 is entitled to fees based on assets under management and realized and unrealized gains.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 Agreement Regarding Joint Filing of Statement on Schedule 13D or 13G.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After reasonable inquiry and to the best of my knowledge,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May 11, 2021</w:t>
      </w:r>
    </w:p>
    <w:p>
      <w:pPr>
        <w:sectPr>
          <w:pgSz w:w="11900" w:h="16838" w:orient="portrait"/>
          <w:cols w:equalWidth="0" w:num="1">
            <w:col w:w="11240"/>
          </w:cols>
          <w:pgMar w:left="320" w:top="233" w:right="33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EcoR1 CAPITAL, LLC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EcoR1 CAPITAL FUND QUALIFIED, L.P.</w:t>
      </w:r>
    </w:p>
    <w:p>
      <w:pPr>
        <w:spacing w:after="0" w:line="200" w:lineRule="exact"/>
        <w:rPr>
          <w:sz w:val="20"/>
          <w:szCs w:val="20"/>
          <w:color w:val="auto"/>
        </w:rPr>
      </w:pPr>
    </w:p>
    <w:p>
      <w:pPr>
        <w:sectPr>
          <w:pgSz w:w="11900" w:h="16838" w:orient="portrait"/>
          <w:cols w:equalWidth="0" w:num="2">
            <w:col w:w="5000" w:space="720"/>
            <w:col w:w="5520"/>
          </w:cols>
          <w:pgMar w:left="320" w:top="233" w:right="339" w:bottom="1440" w:gutter="0" w:footer="0" w:header="0"/>
          <w:type w:val="continuous"/>
        </w:sectPr>
      </w:pPr>
    </w:p>
    <w:p>
      <w:pPr>
        <w:spacing w:after="0" w:line="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EcoR1 Capital, LLC, General Partner</w:t>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Manager</w:t>
      </w:r>
    </w:p>
    <w:p>
      <w:pPr>
        <w:spacing w:after="0" w:line="200" w:lineRule="exact"/>
        <w:rPr>
          <w:sz w:val="20"/>
          <w:szCs w:val="20"/>
          <w:color w:val="auto"/>
        </w:rPr>
      </w:pPr>
    </w:p>
    <w:p>
      <w:pPr>
        <w:sectPr>
          <w:pgSz w:w="11900" w:h="16838" w:orient="portrait"/>
          <w:cols w:equalWidth="0" w:num="2">
            <w:col w:w="5000" w:space="720"/>
            <w:col w:w="5520"/>
          </w:cols>
          <w:pgMar w:left="320" w:top="233" w:right="339" w:bottom="1440" w:gutter="0" w:footer="0" w:header="0"/>
          <w:type w:val="continuous"/>
        </w:sect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Oleg Nodelman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233"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Dated: May 11, 2021</w:t>
      </w:r>
    </w:p>
    <w:p>
      <w:pPr>
        <w:sectPr>
          <w:pgSz w:w="11900" w:h="16838" w:orient="portrait"/>
          <w:cols w:equalWidth="0" w:num="1">
            <w:col w:w="11240"/>
          </w:cols>
          <w:pgMar w:left="320" w:top="233" w:right="33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EcoR1 CAPITAL, LLC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EcoR1 CAPITAL FUND QUALIFIED, L.P.</w:t>
      </w:r>
    </w:p>
    <w:p>
      <w:pPr>
        <w:spacing w:after="0" w:line="200" w:lineRule="exact"/>
        <w:rPr>
          <w:sz w:val="20"/>
          <w:szCs w:val="20"/>
          <w:color w:val="auto"/>
        </w:rPr>
      </w:pPr>
    </w:p>
    <w:p>
      <w:pPr>
        <w:sectPr>
          <w:pgSz w:w="11900" w:h="16838" w:orient="portrait"/>
          <w:cols w:equalWidth="0" w:num="2">
            <w:col w:w="5000" w:space="720"/>
            <w:col w:w="5520"/>
          </w:cols>
          <w:pgMar w:left="320" w:top="233" w:right="339" w:bottom="1440" w:gutter="0" w:footer="0" w:header="0"/>
          <w:type w:val="continuous"/>
        </w:sectPr>
      </w:pPr>
    </w:p>
    <w:p>
      <w:pPr>
        <w:spacing w:after="0" w:line="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EcoR1 Capital, LLC, General Partner</w:t>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Manager</w:t>
      </w:r>
    </w:p>
    <w:p>
      <w:pPr>
        <w:spacing w:after="0" w:line="200" w:lineRule="exact"/>
        <w:rPr>
          <w:sz w:val="20"/>
          <w:szCs w:val="20"/>
          <w:color w:val="auto"/>
        </w:rPr>
      </w:pPr>
    </w:p>
    <w:p>
      <w:pPr>
        <w:sectPr>
          <w:pgSz w:w="11900" w:h="16838" w:orient="portrait"/>
          <w:cols w:equalWidth="0" w:num="2">
            <w:col w:w="5000" w:space="720"/>
            <w:col w:w="5520"/>
          </w:cols>
          <w:pgMar w:left="320" w:top="233" w:right="339" w:bottom="1440" w:gutter="0" w:footer="0" w:header="0"/>
          <w:type w:val="continuous"/>
        </w:sect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Oleg Nodelman</w:t>
      </w:r>
    </w:p>
    <w:sectPr>
      <w:pgSz w:w="11900" w:h="16838" w:orient="portrait"/>
      <w:cols w:equalWidth="0" w:num="1">
        <w:col w:w="11240"/>
      </w:cols>
      <w:pgMar w:left="320" w:top="2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2021-05-11T16:10:41Z</dcterms:created>
  <dcterms:modified xsi:type="dcterms:W3CDTF">2021-05-11T16:10:41Z</dcterms:modified>
</cp:coreProperties>
</file>