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ANAPTYSBIO,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001-37985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20-3828755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1884"/>
        <w:spacing w:after="0"/>
        <w:rPr>
          <w:sz w:val="20"/>
          <w:szCs w:val="20"/>
          <w:color w:val="auto"/>
        </w:rPr>
      </w:pPr>
      <w:r>
        <w:rPr>
          <w:rFonts w:ascii="Times New Roman" w:cs="Times New Roman" w:eastAsia="Times New Roman" w:hAnsi="Times New Roman"/>
          <w:sz w:val="17"/>
          <w:szCs w:val="17"/>
          <w:b w:val="1"/>
          <w:bCs w:val="1"/>
          <w:color w:val="auto"/>
        </w:rPr>
        <w:t>10770 Wateridge Circle, Suite 210, San Diego, CA</w:t>
      </w:r>
    </w:p>
    <w:p>
      <w:pPr>
        <w:spacing w:after="0" w:line="20" w:lineRule="exact"/>
        <w:rPr>
          <w:sz w:val="24"/>
          <w:szCs w:val="24"/>
          <w:color w:val="auto"/>
        </w:rPr>
      </w:pPr>
      <w:r>
        <w:rPr>
          <w:sz w:val="24"/>
          <w:szCs w:val="24"/>
          <w:color w:val="auto"/>
        </w:rPr>
        <w:br w:type="column"/>
      </w:r>
    </w:p>
    <w:p>
      <w:pPr>
        <w:jc w:val="center"/>
        <w:ind w:right="2380"/>
        <w:spacing w:after="0"/>
        <w:rPr>
          <w:sz w:val="20"/>
          <w:szCs w:val="20"/>
          <w:color w:val="auto"/>
        </w:rPr>
      </w:pPr>
      <w:r>
        <w:rPr>
          <w:rFonts w:ascii="Times New Roman" w:cs="Times New Roman" w:eastAsia="Times New Roman" w:hAnsi="Times New Roman"/>
          <w:sz w:val="18"/>
          <w:szCs w:val="18"/>
          <w:b w:val="1"/>
          <w:bCs w:val="1"/>
          <w:color w:val="auto"/>
        </w:rPr>
        <w:t>92121</w:t>
      </w:r>
    </w:p>
    <w:p>
      <w:pPr>
        <w:spacing w:after="0" w:line="31" w:lineRule="exact"/>
        <w:rPr>
          <w:sz w:val="24"/>
          <w:szCs w:val="24"/>
          <w:color w:val="auto"/>
        </w:rPr>
      </w:pPr>
    </w:p>
    <w:p>
      <w:pPr>
        <w:sectPr>
          <w:pgSz w:w="11900" w:h="16838" w:orient="portrait"/>
          <w:cols w:equalWidth="0" w:num="2">
            <w:col w:w="7464" w:space="720"/>
            <w:col w:w="2840"/>
          </w:cols>
          <w:pgMar w:left="436" w:top="376" w:right="439" w:bottom="1440" w:gutter="0" w:footer="0" w:header="0"/>
          <w:type w:val="continuous"/>
        </w:sectPr>
      </w:pPr>
    </w:p>
    <w:p>
      <w:pPr>
        <w:ind w:left="260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364" w:space="720"/>
            <w:col w:w="29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(858) 362-6295</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ANAB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121"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This Current Report on Form 8-K is being filed by AnaptysBio, Inc. (“AnaptysBio” or the “Company”) to report on: (i) the announcement of the approval by the Company’s board of directors (the “Board”) of the distribution of all outstanding shares of First Tracks Biotherapeutics, Inc. (“First Tracks Biotherapeutics” or “SpinCo”) common stock to holders of AnaptysBio common stock as a pro rata dividend prior to U.S. market open on April 20, 2026 (the “Spin-Off”) and (ii) the announcement of the Private Placement (as defined below) of SpinCo common stock.</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March 26, 2026, First Tracks Biotherapeutics and EcoR1 Capital Fund Qualified, L.P. (the “Selling Stockholder”) entered into a purchase agreement (the “Purchase Agreement”) with certain third party investors (collectively, the “Investors”), pursuant to which SpinCo agreed to issue and sell an aggregate 5,791,478 shares of SpinCo’s common stock, par value $0.001 per share (the “Common Stock”) (collectively, the “Primary Shares”), and the Selling Stockholder agreed to sell an aggregate of 4,705,576 shares of Common Stock that the Selling Stockholder will receive in the previously announced Spin-Off of SpinCo from AnaptysBio (the “Secondary Shares” and, together with the Primary Shares, the “Purchased Securities”) to the Investors, at a purchase price of $13.81 per share (the “Private Placement”). The aggregate gross proceeds to First Tracks Biotherapeutics from the sale of the Primary Shares is expected to be approximately $80 million, before deducting offering expenses. First Tracks Biotherapeutics will not receive any proceeds from the sale of the Secondary Shares. The Private Placement is expected to close subject to, and immediately after, the previously announced separation of SpinCo from AnaptysBio, which is expected to occur on April 20, 2026.</w:t>
      </w:r>
    </w:p>
    <w:p>
      <w:pPr>
        <w:spacing w:after="0" w:line="188"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agreements by SpinCo and the Selling Stockholder, customary indemnification obligations of SpinCo and the Selling Stockholder to the Investors and other obligations of the parties.</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In accordance with the Purchase Agreement, the closing of the Private Placement (the “Closing”) is subject to the satisfaction or waiver of certain conditions, including, among others, the effectiveness of the registration statement on Form 10, initially filed with the SEC on March 3, 2026 (as amended, the “Registration Statement”), the completion of the distribution of SpinCo shares substantially on the terms described in that certain Separation and Distribution Agreement, the form of which was filed as Exhibit 2.1 to the Registration Statement, the listing of the Common Stock on the Nasdaq Stock Market LLC (“Nasdaq”), the absence of any material adverse effect on SpinCo since the date of the Purchase Agreement, and other customary closing conditions.</w:t>
      </w:r>
    </w:p>
    <w:p>
      <w:pPr>
        <w:spacing w:after="0" w:line="18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Private Placement, SpinCo will enter into a registration rights agreement (the “Registration Rights Agreement”) with the Investors at the Closing, pursuant to which SpinCo will be required to file a registration statement with the SEC covering the resale by the Investors of their shares of Common Stock as promptly as reasonably practicable, and in any event no later than 45 days, following the closing of the Private Placement.</w:t>
      </w:r>
    </w:p>
    <w:p>
      <w:pPr>
        <w:spacing w:after="0" w:line="180"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Neither this Current Report on Form 8-K, nor the exhibits attached hereto, is an offer to sell or the solicitation of an offer to buy the securities described herein.</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Purchase Agreement and Registration Rights Agreement do not purport to be complete and are qualified in their entirety by reference to the Purchase Agreement and Form of Registration Rights Agreement filed as Exhibits 10.1 and 10.2 to this Current Report on Form 8-K and incorporated herein by reference.</w:t>
      </w:r>
    </w:p>
    <w:p>
      <w:pPr>
        <w:spacing w:after="0" w:line="176"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A copy of the Purchase Agreement has been included as an exhibit to this Current Report on Form 8-K to provide investors with information regarding its terms. It is not intended to provide any other factual information about First Tracks Biotherapeutics. The representations, warranties and covenants contained in the Purchase Agreement were made only for purposes of that agreement and as of specific dates; were made solely for the benefit of the parties to the Purchase Agreement; may be subject to limitations agreed upon by the contracting parties,</w:t>
      </w:r>
    </w:p>
    <w:p>
      <w:pPr>
        <w:sectPr>
          <w:pgSz w:w="11900" w:h="16838" w:orient="portrait"/>
          <w:cols w:equalWidth="0" w:num="1">
            <w:col w:w="10980"/>
          </w:cols>
          <w:pgMar w:left="440" w:top="293" w:right="479" w:bottom="1440" w:gutter="0" w:footer="0" w:header="0"/>
        </w:sectPr>
      </w:pPr>
    </w:p>
    <w:bookmarkStart w:id="2" w:name="page3"/>
    <w:bookmarkEnd w:id="2"/>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including being qualified by confidential disclosures; may not have been intended to be statements of fact, but rather, as a method of allocating contractual risk and governing the contractual rights and relationships between the parties to the Purchase Agreement; and may be subject to standards of materiality applicable to contracting parties that differ from those applicable to investors. Investors should not rely on the representations, warranties and covenants or any descriptions thereof as characterizations of the actual state of facts or condition of First Tracks Biotherapeutics. Moreover, information concerning the subject matter of the representations, warranties and covenants may change after the date of the Purchase Agreement, which subsequent information may or may not be fully reflected in First Tracks Biotherapeutics’ public disclosures.</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Termination of a Material Definitive Agreement.</w:t>
      </w:r>
    </w:p>
    <w:p>
      <w:pPr>
        <w:spacing w:after="0" w:line="121"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As previously disclosed, on November 5, 2024, the Company entered into a Sales Agreement (the “Sales Agreement”) with TD Securities (USA) LLC (the “Agent”), pursuant to which the Company could issue and sell, from time to time, shares of its common stock, par value $0.001 per share (the “Common Shares”), up to an aggregate offering price equal to the Maximum Amount (the “ATM Program”).</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 has issued a termination letter to the Agent to terminate the Sales Agreement. Following the termination of the Sales Agreement, the Company may not offer or sell any additional Common Shares under the Sales Agreement.</w:t>
      </w:r>
    </w:p>
    <w:p>
      <w:pPr>
        <w:spacing w:after="0" w:line="162"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Sales Agreement is not complete and is qualified in its entirety by reference to the full text of the Sales Agreement, a copy of which was filed as Exhibit 1.2 to Registration Statement on Form S-3 filed with the Securities and Exchange Commission on November 5, 2024.</w:t>
      </w:r>
    </w:p>
    <w:p>
      <w:pPr>
        <w:sectPr>
          <w:pgSz w:w="11900" w:h="16838" w:orient="portrait"/>
          <w:cols w:equalWidth="0" w:num="1">
            <w:col w:w="10980"/>
          </w:cols>
          <w:pgMar w:left="440" w:top="297" w:right="479" w:bottom="1440" w:gutter="0" w:footer="0" w:header="0"/>
        </w:sect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9" w:lineRule="exact"/>
        <w:rPr>
          <w:sz w:val="20"/>
          <w:szCs w:val="20"/>
          <w:color w:val="auto"/>
        </w:rPr>
      </w:pPr>
    </w:p>
    <w:p>
      <w:pPr>
        <w:sectPr>
          <w:pgSz w:w="11900" w:h="16838" w:orient="portrait"/>
          <w:cols w:equalWidth="0" w:num="2">
            <w:col w:w="700" w:space="500"/>
            <w:col w:w="9780"/>
          </w:cols>
          <w:pgMar w:left="440" w:top="297" w:right="47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i w:val="1"/>
          <w:iCs w:val="1"/>
          <w:color w:val="auto"/>
        </w:rPr>
        <w:t>Appointment of Director</w:t>
      </w:r>
    </w:p>
    <w:p>
      <w:pPr>
        <w:spacing w:after="0" w:line="11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On March 26, 2026, the Board appointed Susannah Gray as a Class I director, a member of the Nominating and Corporate Governance Committee and a member of the Research and Development Committee, effective immediately.</w:t>
      </w:r>
    </w:p>
    <w:p>
      <w:pPr>
        <w:spacing w:after="0" w:line="16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her appointment as a non-employee director of the Board, Ms. Gray will receive an initial grant following the Spin-Off including (i) pro rata portion of the annual retainer for service as a director for the remaining portion of the year, and (ii) 11,250 restricted stock units, which shall vest over a three-year period, in each case subject to Ms. Gray’s continued service to the Company.</w:t>
      </w:r>
    </w:p>
    <w:p>
      <w:pPr>
        <w:spacing w:after="0" w:line="176"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Company has entered into its standard form of indemnification agreement with Ms. Gray. The form of the indemnification agreement was previously filed by the Company as Exhibit 10.1 to the Company’s Registration Statement on Form S-1 filed with the Securities and Exchange Commission on September 9, 2015 and is incorporated by reference herein.</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Ms. Gray and any other persons, pursuant to which Ms. Gray was selected as a member of the Board. There are also no family relationships among any of the Company’s other directors or executive officers and Ms. Gray, and Ms. Gray does not have any direct or indirect material interest in any transaction required to be disclosed pursuant to Item 404(a) of Regulation S-K.</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Executive Officer Transitions</w:t>
      </w:r>
    </w:p>
    <w:p>
      <w:pPr>
        <w:spacing w:after="0" w:line="119"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On March 26, 2026, Dennis Mulroy and AnaptysBio entered into a transition and separation agreement (the “Mulroy Separation Agreement”), conditioned upon and effective on the separation of SpinCo from AnaptysBio, which is expected to occur on April 20, 2026. The Mulroy Separation Agreement provides that, among other things, the Mulroy Employment Agreement was terminated, and in exchange for executing a general release of claims in favor of the Company, Mr. Mulroy will receive a lump sum payment equal to nine months of base pay and reimbursement for his COBRA premiums for a period of 9 months. Mr. Mulroy is also expected to enter into a consulting agreement with First Tracks Biotherapeutics following the Spin-Off.</w:t>
      </w:r>
    </w:p>
    <w:p>
      <w:pPr>
        <w:sectPr>
          <w:pgSz w:w="11900" w:h="16838" w:orient="portrait"/>
          <w:cols w:equalWidth="0" w:num="1">
            <w:col w:w="10980"/>
          </w:cols>
          <w:pgMar w:left="440" w:top="297" w:right="479" w:bottom="1440" w:gutter="0" w:footer="0" w:header="0"/>
          <w:type w:val="continuous"/>
        </w:sectPr>
      </w:pPr>
    </w:p>
    <w:bookmarkStart w:id="3" w:name="page4"/>
    <w:bookmarkEnd w:id="3"/>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foregoing description of the Mulroy Separation Agreement is qualified in its entirety by reference to the full text of the Mulroy Separation Agreement, which will be filed an exhibit to the Company’s Quarterly Report on Form 10-Q for the three months ended March 31, 2026.</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On March 26, 2026, Eric Loumeau and AnaptysBio entered into a transition and separation agreement (the “Loumeau Separation Agreement”), conditioned upon and effective on the separation of SpinCo from AnaptysBio, which is expected to occur on April 20, 2026. The Loumeau Separation Agreement provides that, among other things, the Loumeau Employment Agreement was terminated, and in exchange for executing a general release of claims in favor of the Company, Mr. Loumeau will receive a lump sum payment equal to nine months of base pay and reimbursement for his COBRA premiums for a period of 9 months. Mr. Loumeau is also expected to enter into consulting agreements with both the Company and First Tracks Biotherapeutics following the Spin-Off.</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Loumeau Separation Agreement is qualified in its entirety by reference to the full text of the Loumeau Separation Agreement, which will be filed as an exhibit to the Company’s Quarterly Report on Form 10-Q for the three months ended March 31, 2026.</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Spin-Off</w:t>
      </w:r>
    </w:p>
    <w:p>
      <w:pPr>
        <w:spacing w:after="0" w:line="11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First Tracks Biotherapeutics previously filed the Registration Statement. The Registration Statement includes a preliminary information statement that describes the Spin-Off and provides important information regarding SpinCo’s business and management.</w:t>
      </w:r>
    </w:p>
    <w:p>
      <w:pPr>
        <w:spacing w:after="0" w:line="162"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On March 27, 2026, in connection with the previously announced Spin-Off, the Board announced that the Company will distribute all of the outstanding shares of Common Stock of SpinCo to holders of shares of the Company’s common stock as a pro rata dividend prior to the U.S. market open on April 20, 2026. The Common Stock of SpinCo is expected to begin trading on Nasdaq on April 20, 2026 under the ticker “TRAX.” Holders of the Company’s common stock will be entitled to receive one share of SpinCo Common Stock for every share of the Company’s common stock held on April 6, 2026, the record date for the distribution. The distribution is subject to the satisfaction or waiver of certain conditions. A copy of the press release is attached as Exhibit 99.1 and incorporated into this Item 7.01 by reference.</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First Tracks Private Placement</w:t>
      </w:r>
    </w:p>
    <w:p>
      <w:pPr>
        <w:spacing w:after="0" w:line="11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On March 27, 2026, the Company issued a press release announcing the Private Placement, a copy of which is attached hereto as Exhibit 99.2 and is incorporated into this Item 7.01 by reference.</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Stock Buyback Program</w:t>
      </w:r>
    </w:p>
    <w:p>
      <w:pPr>
        <w:spacing w:after="0" w:line="11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On March 27, 2026, the Company issued a press release announcing that the Board has authorized a stock repurchase plan (the “Stock Repurchase Plan”), under which the Company may repurchase up to $100.0 million of the Company’s outstanding common stock, par value $0.001 per share. A copy of the press release is attached as Exhibit 99.3 to this Current Report on Form 8-K and is incorporated into this Item 7.01 by reference.</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information furnished in Item 7.01, including Exhibits 99.1, 99.2 and 99.3, shall not be deemed “filed” for purposes of Section 18 of the Securities Exchange Act of 1934, as amended (the “Exchange Act”), or otherwise subject to the liabilities of that Section, and shall not be deemed to be incorporated by reference into any filing of the Company under the Exchange Act or the Securities Act of 1933, as amended, except as shall be expressly set forth by specific reference in such filing.</w:t>
      </w:r>
    </w:p>
    <w:p>
      <w:pPr>
        <w:sectPr>
          <w:pgSz w:w="11900" w:h="16838" w:orient="portrait"/>
          <w:cols w:equalWidth="0" w:num="1">
            <w:col w:w="10980"/>
          </w:cols>
          <w:pgMar w:left="440" w:top="297"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Forward-Looking Statements</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“safe harbor” provisions of the Private Securities Litigation Reform Act of 1995, including, but not limited to: statements relating to plans for executing the Spin-Off, the expected timing of the Spin-Off, the expected financial operations and condition of AnaptysBio and First Tracks Biotherapeutics following the Spin-Off, the strategies, plans and objectives of AnaptysBio and First Tracks Biotherapeutics following the Spin-Off, statements relating to the expected timing of closing of the Private Placement, the company’s ability to execute the Stock Repurchase Plan, in whole or in part.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the ability to effect the separation of companies as described herein and other risks and uncertainties described under the heading “Risk Factors” in documents the company files from time to time with the Securities and Exchange Commission. These forward-looking statements speak only as of the date hereof, and the Company undertakes no obligation to revise or update any forward-looking statements to reflect events or circumstances after the date hereof.</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300" w:type="dxa"/>
            <w:vAlign w:val="bottom"/>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38"/>
        </w:trPr>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w:t>
            </w:r>
          </w:p>
        </w:tc>
        <w:tc>
          <w:tcPr>
            <w:tcW w:w="930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Exhibits</w:t>
            </w: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88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3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93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Purchase Agreement, dated as of March 26, 2026, by and among SpinCo, the Selling Stockholder and the Investors party thereto.</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spacing w:after="0"/>
              <w:rPr>
                <w:sz w:val="24"/>
                <w:szCs w:val="24"/>
                <w:color w:val="auto"/>
              </w:rPr>
            </w:pPr>
          </w:p>
        </w:tc>
        <w:tc>
          <w:tcPr>
            <w:tcW w:w="93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Form of Registration Rights Agreement.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93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Press Release, dated March 27, 2026, relating to the Spin-Off.</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6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420" w:type="dxa"/>
            <w:vAlign w:val="bottom"/>
          </w:tcPr>
          <w:p>
            <w:pPr>
              <w:spacing w:after="0"/>
              <w:rPr>
                <w:sz w:val="24"/>
                <w:szCs w:val="24"/>
                <w:color w:val="auto"/>
              </w:rPr>
            </w:pPr>
          </w:p>
        </w:tc>
        <w:tc>
          <w:tcPr>
            <w:tcW w:w="93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Press Release, dated March 27, 2026, relating to the Private Placement.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20" w:type="dxa"/>
            <w:vAlign w:val="bottom"/>
            <w:gridSpan w:val="4"/>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420" w:type="dxa"/>
            <w:vAlign w:val="bottom"/>
          </w:tcPr>
          <w:p>
            <w:pPr>
              <w:spacing w:after="0"/>
              <w:rPr>
                <w:sz w:val="24"/>
                <w:szCs w:val="24"/>
                <w:color w:val="auto"/>
              </w:rPr>
            </w:pPr>
          </w:p>
        </w:tc>
        <w:tc>
          <w:tcPr>
            <w:tcW w:w="93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Press Release, dated March 27, 2026, relating to the AnaptysBio Stock Repurchase Plan.</w:t>
            </w: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63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93" w:right="479" w:bottom="1440" w:gutter="0" w:footer="0" w:header="0"/>
        </w:sectPr>
      </w:pPr>
    </w:p>
    <w:bookmarkStart w:id="5" w:name="page6"/>
    <w:bookmarkEnd w:id="5"/>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Dan Faga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660"/>
          </w:cols>
          <w:pgMar w:left="440" w:top="293" w:right="7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ind w:right="5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dated as of March 26, 2026, by and among First Tracks Biotherapeutics,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EcoR1 Capital Fund Qualified, L.P. (the “</w:t>
      </w:r>
      <w:r>
        <w:rPr>
          <w:rFonts w:ascii="Times New Roman" w:cs="Times New Roman" w:eastAsia="Times New Roman" w:hAnsi="Times New Roman"/>
          <w:sz w:val="18"/>
          <w:szCs w:val="18"/>
          <w:b w:val="1"/>
          <w:bCs w:val="1"/>
          <w:color w:val="auto"/>
        </w:rPr>
        <w:t>Selling Stockholder</w:t>
      </w:r>
      <w:r>
        <w:rPr>
          <w:rFonts w:ascii="Times New Roman" w:cs="Times New Roman" w:eastAsia="Times New Roman" w:hAnsi="Times New Roman"/>
          <w:sz w:val="18"/>
          <w:szCs w:val="18"/>
          <w:color w:val="auto"/>
        </w:rPr>
        <w:t xml:space="preserve">”), and each of the entities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to this Agreement (each,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Investors are executing and delivering this Agreement with respect to the Shares (as defined below) to be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Company in reliance upon the exemption from securities registration afforded by Section 4(a)(2) of the Securities Act (as defined below);</w:t>
      </w:r>
    </w:p>
    <w:p>
      <w:pPr>
        <w:spacing w:after="0" w:line="15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Selling Stockholder and the Investors are executing and delivering this Agreement with respect to the Shares to be sold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Selling Stockholder in reliance upon the exemption from securities registration afforded by Section 4(a)(1) of the Securities Act;</w:t>
      </w:r>
    </w:p>
    <w:p>
      <w:pPr>
        <w:spacing w:after="0" w:line="15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Company and the Selling Stockholder desires to sell to the Investors, and each Investor desires to purchase from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Selling Stockholder, severally and not jointly, upon the terms and subject to the conditions stated in this Agreement,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of the Company’s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contemporaneously with the sale of the Shares, the Company and the Investors hereto will execute and deliver a Registration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pursuant to which the Company will agree to provide certain registration rights in respect of the Shares under the Securities Act and applicable state securities laws;</w:t>
      </w:r>
    </w:p>
    <w:p>
      <w:pPr>
        <w:spacing w:after="0" w:line="171" w:lineRule="exact"/>
        <w:rPr>
          <w:sz w:val="20"/>
          <w:szCs w:val="20"/>
          <w:color w:val="auto"/>
        </w:rPr>
      </w:pPr>
    </w:p>
    <w:p>
      <w:pPr>
        <w:ind w:right="3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AnaptysBio, Inc., a Delaware Corporation (“</w:t>
      </w:r>
      <w:r>
        <w:rPr>
          <w:rFonts w:ascii="Times New Roman" w:cs="Times New Roman" w:eastAsia="Times New Roman" w:hAnsi="Times New Roman"/>
          <w:sz w:val="18"/>
          <w:szCs w:val="18"/>
          <w:b w:val="1"/>
          <w:bCs w:val="1"/>
          <w:color w:val="auto"/>
        </w:rPr>
        <w:t>AnaptysBio</w:t>
      </w:r>
      <w:r>
        <w:rPr>
          <w:rFonts w:ascii="Times New Roman" w:cs="Times New Roman" w:eastAsia="Times New Roman" w:hAnsi="Times New Roman"/>
          <w:sz w:val="18"/>
          <w:szCs w:val="18"/>
          <w:color w:val="auto"/>
        </w:rPr>
        <w:t>”), of which the Company is a wholly-owned subsidiary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intends to distribute all outstanding shares of Common Stock to its stockholders on a pro rata basis (the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and, in connection therewith, the Company shall file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 Registration Statement on Form 10 (as amended, the “</w:t>
      </w:r>
      <w:r>
        <w:rPr>
          <w:rFonts w:ascii="Times New Roman" w:cs="Times New Roman" w:eastAsia="Times New Roman" w:hAnsi="Times New Roman"/>
          <w:sz w:val="18"/>
          <w:szCs w:val="18"/>
          <w:b w:val="1"/>
          <w:bCs w:val="1"/>
          <w:color w:val="auto"/>
        </w:rPr>
        <w:t>Form 10</w:t>
      </w:r>
      <w:r>
        <w:rPr>
          <w:rFonts w:ascii="Times New Roman" w:cs="Times New Roman" w:eastAsia="Times New Roman" w:hAnsi="Times New Roman"/>
          <w:sz w:val="18"/>
          <w:szCs w:val="18"/>
          <w:color w:val="auto"/>
        </w:rPr>
        <w:t>”) to register the Common Stock under Section 12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sale of the Shares contemplated hereby shall not occur until after the consummation of the Spin-Off.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agreements, representations, warranties and covenants herein contained, the Company,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Stockholder and each Investor, severally and not jointly, agree as follows:</w:t>
      </w:r>
    </w:p>
    <w:p>
      <w:pPr>
        <w:spacing w:after="0" w:line="207" w:lineRule="exact"/>
        <w:rPr>
          <w:sz w:val="20"/>
          <w:szCs w:val="20"/>
          <w:color w:val="auto"/>
        </w:rPr>
      </w:pPr>
    </w:p>
    <w:p>
      <w:pPr>
        <w:ind w:left="440" w:right="2760" w:hanging="4"/>
        <w:spacing w:after="0" w:line="532"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following respective meanings: “</w:t>
      </w:r>
      <w:r>
        <w:rPr>
          <w:rFonts w:ascii="Times New Roman" w:cs="Times New Roman" w:eastAsia="Times New Roman" w:hAnsi="Times New Roman"/>
          <w:sz w:val="18"/>
          <w:szCs w:val="18"/>
          <w:b w:val="1"/>
          <w:bCs w:val="1"/>
          <w:color w:val="auto"/>
        </w:rPr>
        <w:t>Additional Investor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7" w:name="page8"/>
    <w:bookmarkEnd w:id="7"/>
    <w:p>
      <w:pPr>
        <w:ind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intermediates, controls, is controlled by or is under common control with such Person. As used in this definition, the term “control” means the possession, directly or indirectly, of the power to direct or cause the direction of the management and policies of a Person, whether through ownership of voting securities, by contract or otherwise; provided that the Affiliates of any Person that is an investment fund shall not include any portfolio companies of such investment fund or any affiliated investment fund.</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Purchase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right="8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and Restated Certificate of Incorporation</w:t>
      </w:r>
      <w:r>
        <w:rPr>
          <w:rFonts w:ascii="Times New Roman" w:cs="Times New Roman" w:eastAsia="Times New Roman" w:hAnsi="Times New Roman"/>
          <w:sz w:val="18"/>
          <w:szCs w:val="18"/>
          <w:color w:val="auto"/>
        </w:rPr>
        <w:t>” means the Certificate of Incorporation of the Company, as in effect upon the consummation of the Spin-Off.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AnaptysBio</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Benefit Plans</w:t>
      </w:r>
      <w:r>
        <w:rPr>
          <w:rFonts w:ascii="Times New Roman" w:cs="Times New Roman" w:eastAsia="Times New Roman" w:hAnsi="Times New Roman"/>
          <w:sz w:val="18"/>
          <w:szCs w:val="18"/>
          <w:color w:val="auto"/>
        </w:rPr>
        <w:t>”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is obligated to contribute for employees or former employees of the Company.</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means any securities of the Company that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in the preamble.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8" w:name="page9"/>
    <w:bookmarkEnd w:id="8"/>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Company Presentation</w:t>
      </w:r>
      <w:r>
        <w:rPr>
          <w:rFonts w:ascii="Times New Roman" w:cs="Times New Roman" w:eastAsia="Times New Roman" w:hAnsi="Times New Roman"/>
          <w:sz w:val="18"/>
          <w:szCs w:val="18"/>
          <w:color w:val="auto"/>
        </w:rPr>
        <w:t>” means that certain Corporate Overview Presentation of AnaptysBio, dated March 2026, as provided to the Investors prior to the date 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Data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Document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has the meaning set forth in the Separation Agreement.</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Drug Regulatory Agency</w:t>
      </w:r>
      <w:r>
        <w:rPr>
          <w:rFonts w:ascii="Times New Roman" w:cs="Times New Roman" w:eastAsia="Times New Roman" w:hAnsi="Times New Roman"/>
          <w:sz w:val="18"/>
          <w:szCs w:val="18"/>
          <w:color w:val="auto"/>
        </w:rPr>
        <w:t>” means the U.S.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U.S. Employee Retirement Income Security Act of 1974,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has the meaning set forth within the definition of “Drug Regulatory Agency”.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10</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court, nation, government, agency, any state or other political subdivision thereof, any entity exercising executive, legislative, judicial, regulatory or administrative functions of, or pertaining to or on behalf of, government and Nasdaq (or other securities exchange).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Authorizations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00"/>
          </w:cols>
          <w:pgMar w:left="440" w:top="266" w:right="659" w:bottom="1440" w:gutter="0" w:footer="0" w:header="0"/>
        </w:sectPr>
      </w:pPr>
    </w:p>
    <w:bookmarkStart w:id="9" w:name="page10"/>
    <w:bookmarkEnd w:id="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have the meanings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change, event, circumstance, development, condition, occurrence or effect that, individually or in the aggregate, (a) was, is, or would reasonably be expected to be, materially adverse to the business, financial condition, properties, assets, liabilities, stockholders’ equity or results of operations of the Company, taken as a whole, or (b) materially delays or materially impairs the ability of the Company to comply, or prevents the Company from complying, with its obligations under this Agreement, the other Transaction Agreements, or with respect to the Closing, or would reasonably be expected to do so.</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National Exchange</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w:t>
      </w:r>
    </w:p>
    <w:p>
      <w:pPr>
        <w:spacing w:after="0" w:line="171"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or any other entity or organization.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Placement Agents</w:t>
      </w:r>
      <w:r>
        <w:rPr>
          <w:rFonts w:ascii="Times New Roman" w:cs="Times New Roman" w:eastAsia="Times New Roman" w:hAnsi="Times New Roman"/>
          <w:sz w:val="18"/>
          <w:szCs w:val="18"/>
          <w:color w:val="auto"/>
        </w:rPr>
        <w:t>” means Leerink Partners LLC and Barclays Capital Inc.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Processing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Agencies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Restated Bylaws</w:t>
      </w:r>
      <w:r>
        <w:rPr>
          <w:rFonts w:ascii="Times New Roman" w:cs="Times New Roman" w:eastAsia="Times New Roman" w:hAnsi="Times New Roman"/>
          <w:sz w:val="18"/>
          <w:szCs w:val="18"/>
          <w:color w:val="auto"/>
        </w:rPr>
        <w:t>” means the Bylaws of the Company, as in effect upon the consummation of the Spin-Off.</w:t>
      </w:r>
    </w:p>
    <w:p>
      <w:pPr>
        <w:spacing w:after="0" w:line="22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by the SEC pursuant to the Securities Act, as such Rule may be amended from time to time, or any similar rule or regulation hereafter adopted by the SEC having substantially the same effect as such Rule.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means (a) the Company’s most recently filed Annual Report on Form 10-K, (b) all Quarterly Reports on Form 10-Q or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Reports on Form 8-K filed or furnished (as applicable) by the Company following the end of the most recent fiscal year for which an Annual Report on Form 10-K has been filed and prior to the execution of this Agreement and (c) the Form 10 as filed prior to the execution of this Agreement, together in each case with any documents incorporated by reference therein or exhibits thereto.</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10" w:name="page11"/>
    <w:bookmarkEnd w:id="1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 and all of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Stockholder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 Agreement</w:t>
      </w:r>
      <w:r>
        <w:rPr>
          <w:rFonts w:ascii="Times New Roman" w:cs="Times New Roman" w:eastAsia="Times New Roman" w:hAnsi="Times New Roman"/>
          <w:sz w:val="18"/>
          <w:szCs w:val="18"/>
          <w:color w:val="auto"/>
        </w:rPr>
        <w:t>” means that certain Separation and Distribution Agreement, to be entered into, in connection with the Spin-Off, by and between the Company and AnaptysBio (as amended, modified or supplemented from time to time in accordance with its terms).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Price</w:t>
      </w:r>
      <w:r>
        <w:rPr>
          <w:rFonts w:ascii="Times New Roman" w:cs="Times New Roman" w:eastAsia="Times New Roman" w:hAnsi="Times New Roman"/>
          <w:sz w:val="18"/>
          <w:szCs w:val="18"/>
          <w:color w:val="auto"/>
        </w:rPr>
        <w:t>” means $13.81.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Short Sales</w:t>
      </w:r>
      <w:r>
        <w:rPr>
          <w:rFonts w:ascii="Times New Roman" w:cs="Times New Roman" w:eastAsia="Times New Roman" w:hAnsi="Times New Roman"/>
          <w:sz w:val="18"/>
          <w:szCs w:val="18"/>
          <w:color w:val="auto"/>
        </w:rPr>
        <w:t>” include, without limitation, (a)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(b) sales and other transactions through non-U.S. broker dealers or non-U.S. regulated brokers (but shall not be deemed to include the location and/or reservation of borrowable shares of Common Stock).</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Studies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(if any)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w:t>
      </w:r>
    </w:p>
    <w:p>
      <w:pPr>
        <w:spacing w:after="0" w:line="182"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Returns</w:t>
      </w:r>
      <w:r>
        <w:rPr>
          <w:rFonts w:ascii="Times New Roman" w:cs="Times New Roman" w:eastAsia="Times New Roman" w:hAnsi="Times New Roman"/>
          <w:sz w:val="18"/>
          <w:szCs w:val="18"/>
          <w:color w:val="auto"/>
        </w:rPr>
        <w:t>”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Agreements</w:t>
      </w:r>
      <w:r>
        <w:rPr>
          <w:rFonts w:ascii="Times New Roman" w:cs="Times New Roman" w:eastAsia="Times New Roman" w:hAnsi="Times New Roman"/>
          <w:sz w:val="18"/>
          <w:szCs w:val="18"/>
          <w:color w:val="auto"/>
        </w:rPr>
        <w:t>” means this Agreement and the Registration Rights Agreement.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11" w:name="page12"/>
    <w:bookmarkEnd w:id="11"/>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with respect to the Common Stock, Equiniti Trust Company, LLC or such other financial institution that provides transfer agent services as the Company may engage from time to time.</w:t>
      </w:r>
    </w:p>
    <w:p>
      <w:pPr>
        <w:spacing w:after="0" w:line="159" w:lineRule="exact"/>
        <w:rPr>
          <w:sz w:val="20"/>
          <w:szCs w:val="20"/>
          <w:color w:val="auto"/>
        </w:rPr>
      </w:pPr>
    </w:p>
    <w:p>
      <w:pPr>
        <w:ind w:left="980" w:right="8080" w:hanging="544"/>
        <w:spacing w:after="0" w:line="500" w:lineRule="auto"/>
        <w:tabs>
          <w:tab w:leader="none" w:pos="60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Securities</w:t>
      </w:r>
      <w:r>
        <w:rPr>
          <w:rFonts w:ascii="Times New Roman" w:cs="Times New Roman" w:eastAsia="Times New Roman" w:hAnsi="Times New Roman"/>
          <w:sz w:val="18"/>
          <w:szCs w:val="18"/>
          <w:color w:val="auto"/>
        </w:rPr>
        <w:t xml:space="preserve">. 2.1 </w:t>
      </w: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right="60" w:firstLine="1428"/>
        <w:spacing w:after="0" w:line="266" w:lineRule="auto"/>
        <w:tabs>
          <w:tab w:leader="none" w:pos="167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Closing Date, upon the terms and subject to the conditions set forth herein, the Company agrees to sell, and the Investors, severally and not jointly, agree to purchase, the number of Shares, for the aggregate purchase price, set forth opposite the Investor’s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purchase price per Share is equal to the Share Price.</w:t>
      </w:r>
    </w:p>
    <w:p>
      <w:pPr>
        <w:spacing w:after="0" w:line="175" w:lineRule="exact"/>
        <w:rPr>
          <w:rFonts w:ascii="Times New Roman" w:cs="Times New Roman" w:eastAsia="Times New Roman" w:hAnsi="Times New Roman"/>
          <w:sz w:val="18"/>
          <w:szCs w:val="18"/>
          <w:color w:val="auto"/>
        </w:rPr>
      </w:pPr>
    </w:p>
    <w:p>
      <w:pPr>
        <w:ind w:right="20" w:firstLine="1428"/>
        <w:spacing w:after="0" w:line="266" w:lineRule="auto"/>
        <w:tabs>
          <w:tab w:leader="none" w:pos="168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Additionally, on the Closing Date, upon the terms and subject to the conditions set forth herein, the Selling Stockholder agrees to sell, and the Investors, severally and not jointly, agree to purchase, the number of Shares, for the aggregate purchase price, set forth opposite the Investor’s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purchase price per Share is equal to the Share Price.</w:t>
      </w:r>
    </w:p>
    <w:p>
      <w:pPr>
        <w:spacing w:after="0" w:line="176"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Additional Investors</w:t>
      </w:r>
      <w:r>
        <w:rPr>
          <w:rFonts w:ascii="Times New Roman" w:cs="Times New Roman" w:eastAsia="Times New Roman" w:hAnsi="Times New Roman"/>
          <w:sz w:val="18"/>
          <w:szCs w:val="18"/>
          <w:color w:val="auto"/>
        </w:rPr>
        <w:t>. During the period beginning on the date hereof and ending on the Closing Date, the Company and the Selling Stockholder may join, in their sole discretion, on substantially the same terms and conditions as those contained in this Agreement, additional parties as Investors hereto (each, an “</w:t>
      </w:r>
      <w:r>
        <w:rPr>
          <w:rFonts w:ascii="Times New Roman" w:cs="Times New Roman" w:eastAsia="Times New Roman" w:hAnsi="Times New Roman"/>
          <w:sz w:val="18"/>
          <w:szCs w:val="18"/>
          <w:b w:val="1"/>
          <w:bCs w:val="1"/>
          <w:color w:val="auto"/>
        </w:rPr>
        <w:t>Additional Investor</w:t>
      </w:r>
      <w:r>
        <w:rPr>
          <w:rFonts w:ascii="Times New Roman" w:cs="Times New Roman" w:eastAsia="Times New Roman" w:hAnsi="Times New Roman"/>
          <w:sz w:val="18"/>
          <w:szCs w:val="18"/>
          <w:color w:val="auto"/>
        </w:rPr>
        <w:t xml:space="preserve">”), and designate any such Additional Investor as an Investor. Any such Additional Investor shall become a party to this Agreement as an “Investor” hereunder by signing a counterpart signature page hereto, and the name, address, number of Shares and the aggregate purchase price paid by such Additional Investor as agreed by the Company and the Selling Stockholder, shall be added to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parties hereto acknowledge that the Investors do not intend to form a “group” under the Securities Act or the Exchange Act, and to the knowledge of the Investors, the Company and the Selling Stockholder no such “group” has been formed.</w:t>
      </w:r>
    </w:p>
    <w:p>
      <w:pPr>
        <w:spacing w:after="0" w:line="189" w:lineRule="exact"/>
        <w:rPr>
          <w:sz w:val="20"/>
          <w:szCs w:val="20"/>
          <w:color w:val="auto"/>
        </w:rPr>
      </w:pPr>
    </w:p>
    <w:p>
      <w:pPr>
        <w:ind w:firstLine="991"/>
        <w:spacing w:after="0" w:line="270"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xml:space="preserve">. Subject to the satisfaction or waiver of the conditions set forth in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xml:space="preserve"> of this Agreement, the closing of the purchase and sale of the Securities (the “</w:t>
      </w:r>
      <w:r>
        <w:rPr>
          <w:rFonts w:ascii="Times New Roman" w:cs="Times New Roman" w:eastAsia="Times New Roman" w:hAnsi="Times New Roman"/>
          <w:sz w:val="17"/>
          <w:szCs w:val="17"/>
          <w:b w:val="1"/>
          <w:bCs w:val="1"/>
          <w:color w:val="auto"/>
        </w:rPr>
        <w:t>Closing</w:t>
      </w:r>
      <w:r>
        <w:rPr>
          <w:rFonts w:ascii="Times New Roman" w:cs="Times New Roman" w:eastAsia="Times New Roman" w:hAnsi="Times New Roman"/>
          <w:sz w:val="17"/>
          <w:szCs w:val="17"/>
          <w:color w:val="auto"/>
        </w:rPr>
        <w:t>” and the date on which the Closing occurs, the “</w:t>
      </w:r>
      <w:r>
        <w:rPr>
          <w:rFonts w:ascii="Times New Roman" w:cs="Times New Roman" w:eastAsia="Times New Roman" w:hAnsi="Times New Roman"/>
          <w:sz w:val="17"/>
          <w:szCs w:val="17"/>
          <w:b w:val="1"/>
          <w:bCs w:val="1"/>
          <w:color w:val="auto"/>
        </w:rPr>
        <w:t>Closing Date</w:t>
      </w:r>
      <w:r>
        <w:rPr>
          <w:rFonts w:ascii="Times New Roman" w:cs="Times New Roman" w:eastAsia="Times New Roman" w:hAnsi="Times New Roman"/>
          <w:sz w:val="17"/>
          <w:szCs w:val="17"/>
          <w:color w:val="auto"/>
        </w:rPr>
        <w:t xml:space="preserve">”) shall occur remotely via the exchange of documents and signatures at such time as agreed to by the Company, the Selling Stockholder and the Investors but (i) in no event earlier than the date of the Spin-Off and (ii) in no event later than the fifth Business Day after the date of the Spin-Off. At the Closing, the Securities shall be issued in the case of the Company and sold in the case of the Selling Stockholder and registered in the name of the applicable Investor, or in such nominee name(s) as designated by such Investor, representing the number of Securities to be purchased by such Investor at such Closing as set forth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in each case against payment to the Company and the Selling Stockholder, as applicable, of the purchase price therefor (the “</w:t>
      </w:r>
      <w:r>
        <w:rPr>
          <w:rFonts w:ascii="Times New Roman" w:cs="Times New Roman" w:eastAsia="Times New Roman" w:hAnsi="Times New Roman"/>
          <w:sz w:val="17"/>
          <w:szCs w:val="17"/>
          <w:b w:val="1"/>
          <w:bCs w:val="1"/>
          <w:color w:val="auto"/>
        </w:rPr>
        <w:t>Aggregate Purchase Amount</w:t>
      </w:r>
      <w:r>
        <w:rPr>
          <w:rFonts w:ascii="Times New Roman" w:cs="Times New Roman" w:eastAsia="Times New Roman" w:hAnsi="Times New Roman"/>
          <w:sz w:val="17"/>
          <w:szCs w:val="17"/>
          <w:color w:val="auto"/>
        </w:rPr>
        <w:t>”) in full, by wire transfer to the Company and the Selling Stockholder, as applicable, of immediately available funds, at or prior to the Closing, in accordance with wire instructions provided by the Company and the Selling Stockholder, as applicable, to the Investors at least one Business Day prior to the Closing. On the Closing Date, the Company and the Selling Stockholder will cause the Transfer Agent to issue or transfer, as applicable, the Shares in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2" w:name="page13"/>
    <w:bookmarkEnd w:id="12"/>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book-entry form, free and clear of all restrictive and other legends (except as expressly provided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hereof) and the Company shall provide evidence of such issuance or sale, as the case may be, from the Company’s Transfer Agent as soon as reasonably practical following the Closing Date to each Investor. In the event that the Closing has not occurred within one Business Day after the expected Closing Date, unless otherwise agreed by the Company and such Investor, the Company shall promptly (but no later than one Business Day thereafter) return the previously wired Aggregate Purchase Amount to each respective Investor by wire transfer of United States dollars in immediately available funds to the account specified by each Investor, and any book entries for the Securities shall be deemed cancelled; provided that, unless this Agreement has been terminated pursuant to Section 8, such return of funds shall not terminate this Agreement or relieve such Investor of its obligation to purchase, or the Company of its obligation to issue and sell, the Securities at the Closing.</w:t>
      </w:r>
    </w:p>
    <w:p>
      <w:pPr>
        <w:spacing w:after="0" w:line="192" w:lineRule="exact"/>
        <w:rPr>
          <w:sz w:val="20"/>
          <w:szCs w:val="20"/>
          <w:color w:val="auto"/>
        </w:rPr>
      </w:pPr>
    </w:p>
    <w:p>
      <w:pPr>
        <w:jc w:val="both"/>
        <w:ind w:right="120" w:firstLine="436"/>
        <w:spacing w:after="0" w:line="266"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xml:space="preserve">. Except as set forth in the SEC Reports, the Company hereby represents and warrants to each of the Investors and each Placement Agent that the statements contained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are true and correct as of the date of this Agreement and as of the Closing Date (except for the representations and warranties that speak as of a specific date, which shall be made as of such date).</w:t>
      </w:r>
    </w:p>
    <w:p>
      <w:pPr>
        <w:spacing w:after="0" w:line="176"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and Power</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has the requisite power and authority to own, lease and operate its properties and to carry on its business as now conducted and described in the SEC Reports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The Company has no subsidiaries.</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Company’s disclosure of its authorized, issued and outstanding capital stock in the SEC Reports containing such disclosure was accurate in all material respects as of the date indicated in such SEC Reports.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Except as provided in that Separation Agreement, there are no outstanding rights (including, without limitation, pre-emptive rights), warrants or options to acquire, or instruments convertible into or exchangeable for, any shares of capital stock or other equity interest in the Company, or any contract, commitment, agreement, understanding or arrangement of any kind relating to the issuance of any capital stock of the Company, any such convertible or exchangeable securities or any such rights, warrants or options; the capital stock of the Company conforms in all material respects to the description thereof contained in the SEC Reports.</w:t>
      </w:r>
    </w:p>
    <w:p>
      <w:pPr>
        <w:spacing w:after="0" w:line="194"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set forth in the Transaction Agreements or as disclosed in the SEC Reports, the Company is presently not under any obligation, and has not granted any rights, to register under the Securities Act any of the Company’s presently outstanding securities or any of its securities that may hereafter be issued, other than such rights and obligations that have expired or been satisfied or waived.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3" w:name="page14"/>
    <w:bookmarkEnd w:id="13"/>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3.4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Company has all requisite corporate power and authority to enter into the Transaction Agreements and to carry out and perform its obligations under the terms of the Transaction Agreements, including the issuance and sale of the Securities. All corporate action on the part of the Company, its officers, directors and stockholders necessary for the authorization of the Shares, the authorization, execution, delivery and performance of the Transaction Agreements and the consummation of the transactions contemplated herein, including the issuance and sale of the Securities, has been taken. This Agreement has been duly executed and delivered by the Company and, assuming the due authorization, execution and delivery by each Investor of this Agreement and that this Agreement constitutes the legal, valid and binding agreement of each Investor, this Agreement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spacing w:after="0" w:line="18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xml:space="preserve">. The Shares being purchased by the Investors hereunder have been duly and validly authorized and, upon issuance pursuant to the terms of this Agreement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Shares shall be entitled to all rights accorded to a holder of Common Stock. The issuance and delivery of the Shares does not and will not, (a) obligate the Company to offer to issue, or issue, shares of Common Stock or other securities to any Person (other than the Investors) pursuant to any preemptive rights, rights of first refusal, rights of participation or similar rights, or (b) result in any adjustment (automatic, at the election of any Person or otherwise) of the exercise, conversion, exchange or reset price under, or any other anti-dilution adjustment pursuant to, any outstanding securities of the Company. Subject to the accuracy of the representations and warranties made by the Investors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offer and sale of the Securities to the Investors is, and will be, (i) exempt from the registration and prospectus delivery requirements of the Securities Act and (ii) exempt from (or otherwise not subject to) the registration and qualification requirements of applicable securities laws of the states of the United States.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4" w:name="page15"/>
    <w:bookmarkEnd w:id="14"/>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3.6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of the Transaction Agreements by the Company, the issuance and sale of the Securities and the consummation of the other transactions contemplated by the Transaction Agreements will not (i) violate any provisions of the charter or bylaws or similar organization documents of the Company,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its properties or assets, or (iii) result in a violation of any law, rule, regulation, order, judgment, injunction, decree or other restriction of any court or governmental authority to which the Company is subject (including federal and state securities laws and regulations) and the rules and regulations of any self-regulatory organization to which the Company or its securities are subject, or by which any property or asset of the Company is bound or affected, except, in the case of clauses (ii) and (iii), as would not, individually or in the aggregate, be reasonably expected to have a Material Adverse Effect.</w:t>
      </w:r>
    </w:p>
    <w:p>
      <w:pPr>
        <w:spacing w:after="0" w:line="194"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Assuming the accuracy of the representations and warranties of each Investor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(a) as have been or will be obtained or made under the Securities Act or the Exchange Act, (b) the filing of any requisite notices and/or application(s) to the National Exchange for the issuance and sale of the Shares and the listing of the Shares for trading or quotation, as the case may be, thereon in the time and manner required thereby, (c) customary post-closing filings with the SEC or pursuant to state securities laws in connection with the offer and sale of the Shares by the Company in the manner contemplated herein, which will be filed on a timely basis, (d) the filing of the registration statement required to be filed by the Registration Rights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3" w:lineRule="auto"/>
        <w:tabs>
          <w:tab w:leader="none" w:pos="167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time it was filed with the SEC (or, if amended or superseded by a filing prior to the date of this Agreement, then on the date of such filing), each of the filed SEC Reports complied in all material respects with the applicable requirements of the Exchange Act, and, as of the time they were filed, none of the filed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SEC Reports. To the Company’s knowledge, none of the SEC Reports are the subject of an ongoing SEC review. Any interactive data in eXtensible Business Reporting Language included in the SEC Reports fairly presents the information called for in all material respects and has been prepared in accordance with the SEC’s rules and guidelines applicable thereto. At the time it was provided to the Investors, the Company Presentation did not contain any untrue statement of a material fact or omit to state a material fact required to be stated therein or necessary in order to make the statements therein, in light of the circumstances under which they were made, not misleading. The Company is not, and has never been, an issuer subject to Rule 144(i) under the Securities Act.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5" w:name="page16"/>
    <w:bookmarkEnd w:id="15"/>
    <w:p>
      <w:pPr>
        <w:ind w:firstLine="1428"/>
        <w:spacing w:after="0" w:line="254" w:lineRule="auto"/>
        <w:tabs>
          <w:tab w:leader="none" w:pos="16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consolidated financial statements of the Company included in the SEC Reports (collectively,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consolidated financial position of the Company as of the dates indicated, and the results of its operations and cash flows for the periods therein specified, and have been prepared in accordance with United States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throughout the periods therein specified (except as otherwise noted therein, and except that any unaudited financial statements may not contain certain footnotes and are subject to normal and recurring year-end adjustments). Except as set forth in the Financial Statements filed prior to the date of this Agreement,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w:t>
      </w:r>
    </w:p>
    <w:p>
      <w:pPr>
        <w:spacing w:after="0" w:line="189"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 xml:space="preserve">. Since December 31, 2025, (a) the Company has conducted its business only in the ordinary course of business and there have been no material transactions entered into by the Company (except for the execution and performance of this Agreement and the discussions, negotiations and transactions related thereto); (b) no material change to any material contract or arrangement by which the Company is bound or to which any of its assets or properties is subject has been entered into that has not been disclosed in the SEC Reports; and (c) there has not been any other event or condition of any character that has had or would reasonably be expected to have a Material Adverse Effect; provided, however, that none of the following will be deemed in themselves, either alone or in combination, to constitute, and that none of the following will be taken into account in determining whether there has been or will be, a Material Adverse Effect under this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80" w:firstLine="1979"/>
        <w:spacing w:after="0" w:line="266" w:lineRule="auto"/>
        <w:tabs>
          <w:tab w:leader="none" w:pos="21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generally affecting the economy, financial markets or political, economic or regulatory conditions in the United States or any other geographic region in which the Company conducts business, provided that the Company is not disproportionately affected thereby;</w:t>
      </w:r>
    </w:p>
    <w:p>
      <w:pPr>
        <w:spacing w:after="0" w:line="175" w:lineRule="exact"/>
        <w:rPr>
          <w:rFonts w:ascii="Times New Roman" w:cs="Times New Roman" w:eastAsia="Times New Roman" w:hAnsi="Times New Roman"/>
          <w:sz w:val="18"/>
          <w:szCs w:val="18"/>
          <w:color w:val="auto"/>
        </w:rPr>
      </w:pPr>
    </w:p>
    <w:p>
      <w:pPr>
        <w:ind w:right="200" w:firstLine="1979"/>
        <w:spacing w:after="0" w:line="282" w:lineRule="auto"/>
        <w:tabs>
          <w:tab w:leader="none" w:pos="22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financial, credit or capital market conditions, including interest rates or exchange rates, or any changes therein, provided that the Company is not disproportionately affected thereby;</w:t>
      </w:r>
    </w:p>
    <w:p>
      <w:pPr>
        <w:spacing w:after="0" w:line="161" w:lineRule="exact"/>
        <w:rPr>
          <w:rFonts w:ascii="Times New Roman" w:cs="Times New Roman" w:eastAsia="Times New Roman" w:hAnsi="Times New Roman"/>
          <w:sz w:val="18"/>
          <w:szCs w:val="18"/>
          <w:color w:val="auto"/>
        </w:rPr>
      </w:pPr>
    </w:p>
    <w:p>
      <w:pPr>
        <w:ind w:right="80" w:firstLine="1979"/>
        <w:spacing w:after="0" w:line="282" w:lineRule="auto"/>
        <w:tabs>
          <w:tab w:leader="none" w:pos="22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that generally affects industries in which the Company conducts business, provided that the Company is not disproportionately affected thereby;</w:t>
      </w:r>
    </w:p>
    <w:p>
      <w:pPr>
        <w:spacing w:after="0" w:line="161" w:lineRule="exact"/>
        <w:rPr>
          <w:rFonts w:ascii="Times New Roman" w:cs="Times New Roman" w:eastAsia="Times New Roman" w:hAnsi="Times New Roman"/>
          <w:sz w:val="18"/>
          <w:szCs w:val="18"/>
          <w:color w:val="auto"/>
        </w:rPr>
      </w:pPr>
    </w:p>
    <w:p>
      <w:pPr>
        <w:ind w:right="200" w:firstLine="1979"/>
        <w:spacing w:after="0" w:line="266" w:lineRule="auto"/>
        <w:tabs>
          <w:tab w:leader="none" w:pos="228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earthquakes, hurricanes, tsunamis, tornadoes, floods, mudslides, fires or other natural disasters, weather conditions, global pandemics, including the COVID-19 pandemic and related strains, epidemic or similar health emergency, and other force majeure events in the United States or any other location, provided that the Company is not disproportionately affected thereby;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16" w:name="page17"/>
    <w:bookmarkEnd w:id="16"/>
    <w:p>
      <w:pPr>
        <w:ind w:right="320" w:firstLine="1979"/>
        <w:spacing w:after="0" w:line="266" w:lineRule="auto"/>
        <w:tabs>
          <w:tab w:leader="none" w:pos="22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national or international political or social conditions (or changes in such conditions), whether or not pursuant to the declaration of a national emergency or war, or the occurrence of any military or terrorist attack, provided that the Company is not disproportionately affected thereby;</w:t>
      </w:r>
    </w:p>
    <w:p>
      <w:pPr>
        <w:spacing w:after="0" w:line="175" w:lineRule="exact"/>
        <w:rPr>
          <w:rFonts w:ascii="Times New Roman" w:cs="Times New Roman" w:eastAsia="Times New Roman" w:hAnsi="Times New Roman"/>
          <w:sz w:val="18"/>
          <w:szCs w:val="18"/>
          <w:color w:val="auto"/>
        </w:rPr>
      </w:pPr>
    </w:p>
    <w:p>
      <w:pPr>
        <w:ind w:left="2280" w:hanging="301"/>
        <w:spacing w:after="0"/>
        <w:tabs>
          <w:tab w:leader="none" w:pos="2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laws after the date of this Agreement;</w:t>
      </w:r>
    </w:p>
    <w:p>
      <w:pPr>
        <w:spacing w:after="0" w:line="225" w:lineRule="exact"/>
        <w:rPr>
          <w:rFonts w:ascii="Times New Roman" w:cs="Times New Roman" w:eastAsia="Times New Roman" w:hAnsi="Times New Roman"/>
          <w:sz w:val="18"/>
          <w:szCs w:val="18"/>
          <w:color w:val="auto"/>
        </w:rPr>
      </w:pPr>
    </w:p>
    <w:p>
      <w:pPr>
        <w:ind w:left="2340" w:hanging="361"/>
        <w:spacing w:after="0"/>
        <w:tabs>
          <w:tab w:leader="none" w:pos="2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connection with the consummation of the Spin-Off; and</w:t>
      </w:r>
    </w:p>
    <w:p>
      <w:pPr>
        <w:spacing w:after="0" w:line="225" w:lineRule="exact"/>
        <w:rPr>
          <w:rFonts w:ascii="Times New Roman" w:cs="Times New Roman" w:eastAsia="Times New Roman" w:hAnsi="Times New Roman"/>
          <w:sz w:val="18"/>
          <w:szCs w:val="18"/>
          <w:color w:val="auto"/>
        </w:rPr>
      </w:pPr>
    </w:p>
    <w:p>
      <w:pPr>
        <w:ind w:right="40" w:firstLine="1979"/>
        <w:spacing w:after="0" w:line="261" w:lineRule="auto"/>
        <w:tabs>
          <w:tab w:leader="none" w:pos="23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and of itself, any material failure by the Company to meet any published or internally prepared estimates of revenues, expenses, earnings or other economic performance for any period ending on or after the date of this Agreement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(i)-(vii) of this Section 3.9).</w:t>
      </w:r>
    </w:p>
    <w:p>
      <w:pPr>
        <w:spacing w:after="0" w:line="180"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There is no action, suit, proceeding, arbitration, claim, investigation, charge, complaint or inquiry pending or, to the Company’s knowledge, threatened against the Company which, individually or in the aggregate, has had or would reasonably be expected to have a Material Adverse Effect, nor are there any orders, writs, injunctions, judgments or decrees outstanding of any court or government agency or instrumentality and binding upon the Company that have had or would reasonably be expected to have a Material Adverse Effect. The Company and to the knowledge of the Company, each director or officer of the Company, is not, and within the last ten years has not been, the subject of any action involving a claim of violation of or liability under federal or state securities laws relating to the Company or a claim of breach of fiduciary duty relating to the Company.</w:t>
      </w:r>
    </w:p>
    <w:p>
      <w:pPr>
        <w:spacing w:after="0" w:line="18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Compliance with Law; Permits</w:t>
      </w:r>
      <w:r>
        <w:rPr>
          <w:rFonts w:ascii="Times New Roman" w:cs="Times New Roman" w:eastAsia="Times New Roman" w:hAnsi="Times New Roman"/>
          <w:sz w:val="18"/>
          <w:szCs w:val="18"/>
          <w:color w:val="auto"/>
        </w:rPr>
        <w:t>. The Company is not in violation of, or has not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Except as disclosed in the SEC Reports, the Company has all required licenses, permits, certificates and other authorizations (collectively, “</w:t>
      </w:r>
      <w:r>
        <w:rPr>
          <w:rFonts w:ascii="Times New Roman" w:cs="Times New Roman" w:eastAsia="Times New Roman" w:hAnsi="Times New Roman"/>
          <w:sz w:val="18"/>
          <w:szCs w:val="18"/>
          <w:b w:val="1"/>
          <w:bCs w:val="1"/>
          <w:color w:val="auto"/>
        </w:rPr>
        <w:t>Governmental Authorizations</w:t>
      </w:r>
      <w:r>
        <w:rPr>
          <w:rFonts w:ascii="Times New Roman" w:cs="Times New Roman" w:eastAsia="Times New Roman" w:hAnsi="Times New Roman"/>
          <w:sz w:val="18"/>
          <w:szCs w:val="18"/>
          <w:color w:val="auto"/>
        </w:rPr>
        <w:t>”) from such federal, state or local government or governmental agency, department or body that are currently necessary for the operation of the business of the Company as currently conducted, except where the failure to possess currently such Governmental Authorizations has not had and is not reasonably expected to have a Material Adverse Effect. The Company has not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7" w:name="page18"/>
    <w:bookmarkEnd w:id="17"/>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3.12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As of the Distribution, the Company will own, or have rights to use, all material inventions, patents, trademarks, trade names, service names, service marks, copyrights, trade secrets, know how (including unpatented and/or unpatentable proprietary or confidential information) and other material intellectual property necessary for, or used in the conduct of its business (including as described in the SEC Reports)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except where any failure to own, possess or acquire such Intellectual Property had not had, and would not, individually or in the aggregate, reasonably be expected to have a Material Adverse Effect. No material Intellectual Property that will be owned by the Company as of the Distribution has been adjudged by a court of competent jurisdiction to be invalid or unenforceable, in whole or in part. To the Company’s knowledge: (i) there are no third parties who have rights to any Intellectual Property that will be owned by the Company as of the Distribution (other than licenses granted by the Company to such third party in the ordinary course of business); and (ii) there is no infringement by third parties of any Intellectual Property that will be owned by the Company as of the Distribution, except, in each case ((i) through (iii) (inclusive)), which, individually or in the aggregate, have not had and would not reasonably be expected to have a Material Adverse Effect. No action, suit, or other proceeding is pending, or, to the Company’s knowledge, is threatened: (A) challenging the Company’s rights in or to any material Intellectual Property that will be owned by the Company as of the Distribution; (B) challenging the validity, enforceability or scope of any material Intellectual Property that will be owned by the Company as of the Distribution; or (C) alleging that the Company infringes, misappropriates, or otherwise violates any patent, trademark, trade name, service name, copyright, trade secret or other proprietary rights of others in any material respect, except, in each case ((A) through (C) (inclusive)), which, individually or in the aggregate, have not had and would not reasonably be expected to have a Material Adverse Effect. Except as would not, individually or in the aggregate, be reasonably likely to result in a Material Adverse Effect, (i) the Company has complied in all material respects with the terms of each agreement pursuant to which material Intellectual Property has been licensed to the Company, and (ii) to the Company’s knowledge all such agreements are in full force and effect. The Company has taken reasonable steps to protect, maintain and safeguard its Intellectual Property.</w:t>
      </w:r>
    </w:p>
    <w:p>
      <w:pPr>
        <w:spacing w:after="0" w:line="191"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is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pending or, to the knowledge of the Company, threatened which may interfere with the business activities of the Company, except where such dispute, strike or work stoppage is not reasonably likely, individually or in the aggregate, to have a Material Adverse Effect.</w:t>
      </w:r>
    </w:p>
    <w:p>
      <w:pPr>
        <w:spacing w:after="0" w:line="189"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 xml:space="preserve">3.14 </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The Company has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8" w:name="page19"/>
    <w:bookmarkEnd w:id="1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are presently in progress or have been asserted or proposed in writing without subsequently being paid, settled or withdrawn. There are no liens for material Taxes on any of the assets of the Company, other than statutory liens for current Taxes not yet due or for which adequate reserves have been set aside in accordance with GAAP. At all times since inception, the Company has been and continues to be classified as a corporation for U.S. federal income tax purposes. The Company has not been a United States real property holding corporation within the meaning of Code Section 897(c)(2) during the period specified in Code Section 897(c)(1)(A)(ii).</w:t>
      </w:r>
    </w:p>
    <w:p>
      <w:pPr>
        <w:spacing w:after="0" w:line="188"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(i) is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has received all permits and other Governmental Authorizations required under applicable Environmental Laws to conduct their business and (iii) is in compliance with all terms and conditions of any such permit, license or approval, except, in each case,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 The Company has not received since January 1, 2026, any written notice or other communication (in writing or otherwise), whether from a governmental authority or other Person, that alleges that the Company is not in compliance with any Environmental Law and, to the knowledge of the Company, there are no circumstances that may prevent or interfere with the Company’s compliance in any material respects with any Environmental Law in the future, except, in each case, where such failure to comply would not reasonably be expected to have a Material Adverse Effect. To the knowledge of the Company: (i) no current or (during the time a prior property was leased or controlled by the Company) prior property leased or controlled by the Company has received since January 1, 2026, any written notice or other communication relating to property owned or leased at any time by the Company, whether from a governmental authority, or other Person, that alleges that such current or prior owner or the Company is not in compliance with or violated any Environmental Law relating to such property, except, in each case, where such failure to comply would not reasonably be expected to have a Material Adverse Effect, and (ii) the Company has no material liability under any Environmental Law.</w:t>
      </w:r>
    </w:p>
    <w:p>
      <w:pPr>
        <w:spacing w:after="0" w:line="196"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The Company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as the case may be. Any real property and buildings held under lease by the Company is held under valid, subsisting and enforceable leases with such exceptions as are not material and do not interfere with the use made and proposed to be made of such property and buildings by the Company, as the case may be.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19" w:name="page20"/>
    <w:bookmarkEnd w:id="19"/>
    <w:p>
      <w:pPr>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carries or is entitled to the benefits of insurance in such amounts and covering such risks that is customary for comparably situated companies and is adequate for the conduct of its business and the value of its real and personal properties (owned or leased) and tangible assets, and each of such insurance policies is in full force and effect and the Company is in compliance in all material respects with the terms of such insurance policies. Other than customary end-of-policy notifications from insurance carriers, since January 1, 2026, the Company has not received any notice or other communication regarding any actual or possible: (i) cancellation or invalidation of any material insurance policy or (ii) refusal or denial of any coverage, reservation of rights or rejection of any material claim under any insurance policy.</w:t>
      </w:r>
    </w:p>
    <w:p>
      <w:pPr>
        <w:spacing w:after="0" w:line="187" w:lineRule="exact"/>
        <w:rPr>
          <w:sz w:val="20"/>
          <w:szCs w:val="20"/>
          <w:color w:val="auto"/>
        </w:rPr>
      </w:pPr>
    </w:p>
    <w:p>
      <w:pPr>
        <w:ind w:left="4"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Nasdaq Stock Market</w:t>
      </w:r>
      <w:r>
        <w:rPr>
          <w:rFonts w:ascii="Times New Roman" w:cs="Times New Roman" w:eastAsia="Times New Roman" w:hAnsi="Times New Roman"/>
          <w:sz w:val="18"/>
          <w:szCs w:val="18"/>
          <w:color w:val="auto"/>
        </w:rPr>
        <w:t>. Prior to the consummation of the Spin-Off, the issued and outstanding shares of Common Stock will be registered pursuant to Section 12(b) of the Exchange Act and will be listed for trading on Nasdaq under the symbol “TRAX”. The Company is in compliance with all listing requirements of Nasdaq applicable to the Company. As of the date of this Agreement, there is no suit, action, proceeding or investigation pending or, to the knowledge of the Company, threatened against the Company by Nasdaq or the SEC, respectively, to prohibit the listing of the Common Stock on Nasdaq or the registration of the Common Stock under the Exchange Act. The Company has taken no action as of the date of this Agreement that is designed to terminate the registration of the Common Stock under the Exchange Act.</w:t>
      </w:r>
    </w:p>
    <w:p>
      <w:pPr>
        <w:spacing w:after="0" w:line="187" w:lineRule="exact"/>
        <w:rPr>
          <w:sz w:val="20"/>
          <w:szCs w:val="20"/>
          <w:color w:val="auto"/>
        </w:rPr>
      </w:pPr>
    </w:p>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Prior to the consummation of the Spin-Off, the Company will be in compliance in all material respects with all applicable requirements of the Sarbanes-Oxley Act of 2002 and applicable rules and regulations promulgated by the SEC thereunder</w:t>
      </w:r>
      <w:r>
        <w:rPr>
          <w:rFonts w:ascii="Times New Roman" w:cs="Times New Roman" w:eastAsia="Times New Roman" w:hAnsi="Times New Roman"/>
          <w:sz w:val="18"/>
          <w:szCs w:val="18"/>
          <w:u w:val="single" w:color="auto"/>
          <w:color w:val="auto"/>
        </w:rPr>
        <w:t>.</w:t>
      </w:r>
    </w:p>
    <w:p>
      <w:pPr>
        <w:spacing w:after="0" w:line="162"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 xml:space="preserve">3.20 </w:t>
      </w:r>
      <w:r>
        <w:rPr>
          <w:rFonts w:ascii="Times New Roman" w:cs="Times New Roman" w:eastAsia="Times New Roman" w:hAnsi="Times New Roman"/>
          <w:sz w:val="17"/>
          <w:szCs w:val="17"/>
          <w:u w:val="single" w:color="auto"/>
          <w:color w:val="auto"/>
        </w:rPr>
        <w:t>Clinical Data and Regulatory Compliance</w:t>
      </w:r>
      <w:r>
        <w:rPr>
          <w:rFonts w:ascii="Times New Roman" w:cs="Times New Roman" w:eastAsia="Times New Roman" w:hAnsi="Times New Roman"/>
          <w:sz w:val="17"/>
          <w:szCs w:val="17"/>
          <w:color w:val="auto"/>
        </w:rPr>
        <w:t>. Except as would not reasonably be expected to result in a Material Adverse Effect: (i) the preclinical tests and clinical trials and other studies used to support regulatory approval (collectively, “</w:t>
      </w:r>
      <w:r>
        <w:rPr>
          <w:rFonts w:ascii="Times New Roman" w:cs="Times New Roman" w:eastAsia="Times New Roman" w:hAnsi="Times New Roman"/>
          <w:sz w:val="17"/>
          <w:szCs w:val="17"/>
          <w:b w:val="1"/>
          <w:bCs w:val="1"/>
          <w:color w:val="auto"/>
        </w:rPr>
        <w:t>Studies</w:t>
      </w:r>
      <w:r>
        <w:rPr>
          <w:rFonts w:ascii="Times New Roman" w:cs="Times New Roman" w:eastAsia="Times New Roman" w:hAnsi="Times New Roman"/>
          <w:sz w:val="17"/>
          <w:szCs w:val="17"/>
          <w:color w:val="auto"/>
        </w:rPr>
        <w:t>”) being conducted by or on behalf of, or sponsored by, the Company that are described in, or the results of which are referred to in, the SEC Reports were (and, if still pending, are being) conducted in all material respects in accordance with the protocols, procedures and controls designed and approved for such Studies and with standard medical and scientific research procedures; (ii) each description of the results of such Studies is accurate and complete in all material respects and fairly presents the data derived from such Studies; (iii) the Company has made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 w:cs="Times New Roman" w:eastAsia="Times New Roman" w:hAnsi="Times New Roman"/>
          <w:sz w:val="17"/>
          <w:szCs w:val="17"/>
          <w:b w:val="1"/>
          <w:bCs w:val="1"/>
          <w:color w:val="auto"/>
        </w:rPr>
        <w:t>Regulatory Agencies</w:t>
      </w:r>
      <w:r>
        <w:rPr>
          <w:rFonts w:ascii="Times New Roman" w:cs="Times New Roman" w:eastAsia="Times New Roman" w:hAnsi="Times New Roman"/>
          <w:sz w:val="17"/>
          <w:szCs w:val="17"/>
          <w:color w:val="auto"/>
        </w:rPr>
        <w:t>”) for the conduct of its business as described in the SEC Reports;</w:t>
      </w:r>
    </w:p>
    <w:p>
      <w:pPr>
        <w:jc w:val="both"/>
        <w:ind w:left="4" w:right="80" w:hanging="4"/>
        <w:spacing w:after="0" w:line="255" w:lineRule="auto"/>
        <w:tabs>
          <w:tab w:leader="none" w:pos="30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any notice of, or correspondence from, any of the Regulatory Agencies requiring the termination or suspension of or imposing any clinical hold on any clinical trials that are described or referred to in the SEC Reports; and (v) the Company has operated and currently is in compliance in all material respects with all applicable rules, regulations and policies of the Regulatory Agencies.</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70" w:right="479" w:bottom="1440" w:gutter="0" w:footer="0" w:header="0"/>
        </w:sectPr>
      </w:pPr>
    </w:p>
    <w:bookmarkStart w:id="20" w:name="page21"/>
    <w:bookmarkEnd w:id="20"/>
    <w:p>
      <w:pPr>
        <w:ind w:left="4" w:right="180" w:firstLine="991"/>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3.21 </w:t>
      </w:r>
      <w:r>
        <w:rPr>
          <w:rFonts w:ascii="Times New Roman" w:cs="Times New Roman" w:eastAsia="Times New Roman" w:hAnsi="Times New Roman"/>
          <w:sz w:val="17"/>
          <w:szCs w:val="17"/>
          <w:u w:val="single" w:color="auto"/>
          <w:color w:val="auto"/>
        </w:rPr>
        <w:t>Compliance with Health Care Laws</w:t>
      </w:r>
      <w:r>
        <w:rPr>
          <w:rFonts w:ascii="Times New Roman" w:cs="Times New Roman" w:eastAsia="Times New Roman" w:hAnsi="Times New Roman"/>
          <w:sz w:val="17"/>
          <w:szCs w:val="17"/>
          <w:color w:val="auto"/>
        </w:rPr>
        <w:t>. The Company is in compliance in all material respects with all Health Care Laws to the extent applicable to the current business of the Company or any of its respective activities. For purposes of this Agreement, “</w:t>
      </w:r>
      <w:r>
        <w:rPr>
          <w:rFonts w:ascii="Times New Roman" w:cs="Times New Roman" w:eastAsia="Times New Roman" w:hAnsi="Times New Roman"/>
          <w:sz w:val="17"/>
          <w:szCs w:val="17"/>
          <w:b w:val="1"/>
          <w:bCs w:val="1"/>
          <w:color w:val="auto"/>
        </w:rPr>
        <w:t>Health Care Laws</w:t>
      </w:r>
      <w:r>
        <w:rPr>
          <w:rFonts w:ascii="Times New Roman" w:cs="Times New Roman" w:eastAsia="Times New Roman" w:hAnsi="Times New Roman"/>
          <w:sz w:val="17"/>
          <w:szCs w:val="17"/>
          <w:color w:val="auto"/>
        </w:rPr>
        <w:t>” means:</w:t>
      </w:r>
    </w:p>
    <w:p>
      <w:pPr>
        <w:spacing w:after="0" w:line="1" w:lineRule="exact"/>
        <w:rPr>
          <w:sz w:val="20"/>
          <w:szCs w:val="20"/>
          <w:color w:val="auto"/>
        </w:rPr>
      </w:pPr>
    </w:p>
    <w:p>
      <w:pPr>
        <w:ind w:left="4" w:hanging="4"/>
        <w:spacing w:after="0" w:line="266" w:lineRule="auto"/>
        <w:tabs>
          <w:tab w:leader="none" w:pos="21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Food, Drug, and Cosmetic Act (21 U.S.C. Section 301 et seq.) and the Public Health Service Act (42 U.S.C. Section 201 et seq.), and the regulations promulgated thereunder; (ii) all applicable federal, state, local and foreign health care fraud and abuse laws, including, without limitation, the Anti-Kickback Statute (42 U.S.C. Section 1320a-7b(b)); (iii) HIPAA, as amended by the Health Information Technology for Economic and Clinical Health Act (42 U.S.C. Section 17921 et seq.); (iv) the Patient Protection and Affordable Care Act of 2010, as amended by the Health Care and Education Reconciliation Act of 2010; (v) the European Union (“</w:t>
      </w:r>
      <w:r>
        <w:rPr>
          <w:rFonts w:ascii="Times New Roman" w:cs="Times New Roman" w:eastAsia="Times New Roman" w:hAnsi="Times New Roman"/>
          <w:sz w:val="17"/>
          <w:szCs w:val="17"/>
          <w:b w:val="1"/>
          <w:bCs w:val="1"/>
          <w:color w:val="auto"/>
        </w:rPr>
        <w:t>EU</w:t>
      </w:r>
      <w:r>
        <w:rPr>
          <w:rFonts w:ascii="Times New Roman" w:cs="Times New Roman" w:eastAsia="Times New Roman" w:hAnsi="Times New Roman"/>
          <w:sz w:val="17"/>
          <w:szCs w:val="17"/>
          <w:color w:val="auto"/>
        </w:rPr>
        <w:t>”) Clinical Trials Regulation (Regulation (EU) No. 536/2014); (vi) the EU Regulation regarding community procedures for authorization and supervision of medicinal products for human and veterinary use and establishing a European Medicines Agency (Regulation (EC) No. 726/2004); (vii) licensure, quality, safety and accreditation requirements under applicable federal, state, local or foreign laws or regulatory bodies; (viii) all other local, state, federal, national, supranational and foreign laws, relating to the regulation of the Company, and (ix) the regulations promulgated pursuant to such statutes and any state or non-U.S. counterpart thereof. The Company has not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To the Company’s knowledge, no such claim, action, suit, proceeding, hearing, enforcement, investigation, arbitration or other action is threatened. The Company has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The Company is not a party to any corporate integrity agreements, monitoring agreements, consent decrees, settlement orders, or similar agreements with or imposed by any governmental or regulatory authority. Additionally, neither the Company nor any of its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would reasonably be expected to result in debarment, suspension, or exclusion.</w:t>
      </w:r>
    </w:p>
    <w:p>
      <w:pPr>
        <w:spacing w:after="0" w:line="200" w:lineRule="exact"/>
        <w:rPr>
          <w:sz w:val="20"/>
          <w:szCs w:val="20"/>
          <w:color w:val="auto"/>
        </w:rPr>
      </w:pPr>
    </w:p>
    <w:p>
      <w:pPr>
        <w:spacing w:after="0" w:line="201" w:lineRule="exact"/>
        <w:rPr>
          <w:sz w:val="20"/>
          <w:szCs w:val="20"/>
          <w:color w:val="auto"/>
        </w:rPr>
      </w:pPr>
    </w:p>
    <w:p>
      <w:pPr>
        <w:ind w:left="4" w:firstLine="991"/>
        <w:spacing w:after="0" w:line="277" w:lineRule="auto"/>
        <w:rPr>
          <w:sz w:val="20"/>
          <w:szCs w:val="20"/>
          <w:color w:val="auto"/>
        </w:rPr>
      </w:pPr>
      <w:r>
        <w:rPr>
          <w:rFonts w:ascii="Times New Roman" w:cs="Times New Roman" w:eastAsia="Times New Roman" w:hAnsi="Times New Roman"/>
          <w:sz w:val="17"/>
          <w:szCs w:val="17"/>
          <w:color w:val="auto"/>
        </w:rPr>
        <w:t xml:space="preserve">3.22 </w:t>
      </w:r>
      <w:r>
        <w:rPr>
          <w:rFonts w:ascii="Times New Roman" w:cs="Times New Roman" w:eastAsia="Times New Roman" w:hAnsi="Times New Roman"/>
          <w:sz w:val="17"/>
          <w:szCs w:val="17"/>
          <w:u w:val="single" w:color="auto"/>
          <w:color w:val="auto"/>
        </w:rPr>
        <w:t>Accounting Controls and Disclosure Controls and Procedures</w:t>
      </w:r>
      <w:r>
        <w:rPr>
          <w:rFonts w:ascii="Times New Roman" w:cs="Times New Roman" w:eastAsia="Times New Roman" w:hAnsi="Times New Roman"/>
          <w:sz w:val="17"/>
          <w:szCs w:val="17"/>
          <w:color w:val="auto"/>
        </w:rPr>
        <w:t>. Prior to the consummation of the Spin-Off, the Company will maintain a system of internal control over financial reporting (as defined in Rules 13a-15(f) and 15d-15(f) of the Exchange Act) that is designed to comply with the requirements of the Exchange Act applicable to the Company and provide reasonable assurance regarding the reliability of financial reporting and the preparation of financial statements for external purposes in accordance with GAAP, including policies and procedures sufficient to provide reasonable assurance (i) that the Company will maintain records that in reasonable detail accurately and fairly reflect the Company’s transactions and</w:t>
      </w:r>
    </w:p>
    <w:p>
      <w:pPr>
        <w:spacing w:after="0" w:line="10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70" w:right="479" w:bottom="1440" w:gutter="0" w:footer="0" w:header="0"/>
        </w:sectPr>
      </w:pPr>
    </w:p>
    <w:bookmarkStart w:id="21" w:name="page22"/>
    <w:bookmarkEnd w:id="2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dispositions of assets, (ii) that transactions will be recorded as necessary to permit preparation of financial statements in accordance with GAAP,</w:t>
      </w:r>
    </w:p>
    <w:p>
      <w:pPr>
        <w:spacing w:after="0" w:line="27" w:lineRule="exact"/>
        <w:rPr>
          <w:sz w:val="20"/>
          <w:szCs w:val="20"/>
          <w:color w:val="auto"/>
        </w:rPr>
      </w:pPr>
    </w:p>
    <w:p>
      <w:pPr>
        <w:ind w:left="4" w:hanging="4"/>
        <w:spacing w:after="0" w:line="251" w:lineRule="auto"/>
        <w:tabs>
          <w:tab w:leader="none" w:pos="3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receipts and expenditures will be made only in accordance with authorizations of management and the Board and (iv) regarding prevention or timely detection of the unauthorized acquisition, use or disposition of the Company’s assets that could have a material effect on the Company’s financial statements. Except as disclosed in the Company’s SEC Reports filed prior to the date of this Agreement, the Company has not identified any material weaknesses in the design or operation of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spacing w:after="0" w:line="194" w:lineRule="exact"/>
        <w:rPr>
          <w:sz w:val="20"/>
          <w:szCs w:val="20"/>
          <w:color w:val="auto"/>
        </w:rPr>
      </w:pPr>
    </w:p>
    <w:p>
      <w:pPr>
        <w:ind w:left="4" w:right="4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Price Stabilization of Common Stock</w:t>
      </w:r>
      <w:r>
        <w:rPr>
          <w:rFonts w:ascii="Times New Roman" w:cs="Times New Roman" w:eastAsia="Times New Roman" w:hAnsi="Times New Roman"/>
          <w:sz w:val="18"/>
          <w:szCs w:val="18"/>
          <w:color w:val="auto"/>
        </w:rPr>
        <w:t>. The Company has not taken, nor will it take, directly or indirectly, any action designed to stabilize or manipulate the price of the Common Stock to facilitate the sale or resale of the Shares.</w:t>
      </w:r>
    </w:p>
    <w:p>
      <w:pPr>
        <w:spacing w:after="0" w:line="162" w:lineRule="exact"/>
        <w:rPr>
          <w:sz w:val="20"/>
          <w:szCs w:val="20"/>
          <w:color w:val="auto"/>
        </w:rPr>
      </w:pPr>
    </w:p>
    <w:p>
      <w:pPr>
        <w:ind w:left="4" w:right="8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and immediately after receipt of payment for the Securities will not be, an “investment company” within the meaning of the U.S. Investment Company Act of 1940, as amended.</w:t>
      </w:r>
    </w:p>
    <w:p>
      <w:pPr>
        <w:spacing w:after="0" w:line="162" w:lineRule="exact"/>
        <w:rPr>
          <w:sz w:val="20"/>
          <w:szCs w:val="20"/>
          <w:color w:val="auto"/>
        </w:rPr>
      </w:pPr>
    </w:p>
    <w:p>
      <w:pPr>
        <w:ind w:left="4" w:firstLine="991"/>
        <w:spacing w:after="0" w:line="271" w:lineRule="auto"/>
        <w:rPr>
          <w:sz w:val="20"/>
          <w:szCs w:val="20"/>
          <w:color w:val="auto"/>
        </w:rPr>
      </w:pPr>
      <w:r>
        <w:rPr>
          <w:rFonts w:ascii="Times New Roman" w:cs="Times New Roman" w:eastAsia="Times New Roman" w:hAnsi="Times New Roman"/>
          <w:sz w:val="17"/>
          <w:szCs w:val="17"/>
          <w:color w:val="auto"/>
        </w:rPr>
        <w:t xml:space="preserve">3.25 </w:t>
      </w:r>
      <w:r>
        <w:rPr>
          <w:rFonts w:ascii="Times New Roman" w:cs="Times New Roman" w:eastAsia="Times New Roman" w:hAnsi="Times New Roman"/>
          <w:sz w:val="17"/>
          <w:szCs w:val="17"/>
          <w:u w:val="single" w:color="auto"/>
          <w:color w:val="auto"/>
        </w:rPr>
        <w:t>General Solicitation; No Integration or Aggregation</w:t>
      </w:r>
      <w:r>
        <w:rPr>
          <w:rFonts w:ascii="Times New Roman" w:cs="Times New Roman" w:eastAsia="Times New Roman" w:hAnsi="Times New Roman"/>
          <w:sz w:val="17"/>
          <w:szCs w:val="17"/>
          <w:color w:val="auto"/>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Securities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Securities pursuant to this Agreement for purposes of the Securities Act or (ii) aggregated with prior offerings by the Company for the purposes of the rules and regulations of Nasdaq. Assuming the accuracy of the representations and warranties of the Investors set forth in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neither the Company nor any of its Affiliates nor any Person acting on their behalf has, directly or indirectly, made any offers or sales of any Company security or solicited any offers to buy any Company security, under circumstances that would adversely affect reliance by the Company on Section 4(a)(2) and/or Rule 506 of Regulation D promulgated thereunder for the exemption from registration for the transactions contemplated hereby.</w:t>
      </w:r>
    </w:p>
    <w:p>
      <w:pPr>
        <w:spacing w:after="0" w:line="173"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Other than the Placement Agents, neither the Company nor any other Person authorized by the Company to act on its behalf has retained, utilized or been represented by any broker or finder in connection with the transactions contemplated by this Agreement.</w:t>
      </w:r>
    </w:p>
    <w:p>
      <w:pPr>
        <w:spacing w:after="0" w:line="162"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Reliance by the Investors</w:t>
      </w:r>
      <w:r>
        <w:rPr>
          <w:rFonts w:ascii="Times New Roman" w:cs="Times New Roman" w:eastAsia="Times New Roman" w:hAnsi="Times New Roman"/>
          <w:sz w:val="18"/>
          <w:szCs w:val="18"/>
          <w:color w:val="auto"/>
        </w:rPr>
        <w:t>. The Company has a reasonable basis for making each of the representations set forth in this Section 3. The Company acknowledges that each of the Investors will rely upon the truth and accuracy of, and the Company’s compliance with, the representations, warranties, agreements, acknowledgements and understandings of the Company set forth herein.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22" w:name="page23"/>
    <w:bookmarkEnd w:id="22"/>
    <w:p>
      <w:pPr>
        <w:jc w:val="both"/>
        <w:ind w:left="4" w:right="2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3.28 </w:t>
      </w:r>
      <w:r>
        <w:rPr>
          <w:rFonts w:ascii="Times New Roman" w:cs="Times New Roman" w:eastAsia="Times New Roman" w:hAnsi="Times New Roman"/>
          <w:sz w:val="18"/>
          <w:szCs w:val="18"/>
          <w:u w:val="single" w:color="auto"/>
          <w:color w:val="auto"/>
        </w:rPr>
        <w:t>No Additional Agreements</w:t>
      </w:r>
      <w:r>
        <w:rPr>
          <w:rFonts w:ascii="Times New Roman" w:cs="Times New Roman" w:eastAsia="Times New Roman" w:hAnsi="Times New Roman"/>
          <w:sz w:val="18"/>
          <w:szCs w:val="18"/>
          <w:color w:val="auto"/>
        </w:rPr>
        <w:t>. There are no agreements or understandings between the Company and any Investor with respect to the transactions contemplated by the Transaction Agreements other than (i) as specified in the Transaction Agreements and (ii) any side letter agreements with any of the Investors, which side letters the Company has shared with all Investors.</w:t>
      </w:r>
    </w:p>
    <w:p>
      <w:pPr>
        <w:spacing w:after="0" w:line="176" w:lineRule="exact"/>
        <w:rPr>
          <w:sz w:val="20"/>
          <w:szCs w:val="20"/>
          <w:color w:val="auto"/>
        </w:rPr>
      </w:pPr>
    </w:p>
    <w:p>
      <w:pPr>
        <w:ind w:left="4" w:right="20" w:firstLine="991"/>
        <w:spacing w:after="0" w:line="276" w:lineRule="auto"/>
        <w:rPr>
          <w:sz w:val="20"/>
          <w:szCs w:val="20"/>
          <w:color w:val="auto"/>
        </w:rPr>
      </w:pPr>
      <w:r>
        <w:rPr>
          <w:rFonts w:ascii="Times New Roman" w:cs="Times New Roman" w:eastAsia="Times New Roman" w:hAnsi="Times New Roman"/>
          <w:sz w:val="17"/>
          <w:szCs w:val="17"/>
          <w:color w:val="auto"/>
        </w:rPr>
        <w:t xml:space="preserve">3.29 </w:t>
      </w:r>
      <w:r>
        <w:rPr>
          <w:rFonts w:ascii="Times New Roman" w:cs="Times New Roman" w:eastAsia="Times New Roman" w:hAnsi="Times New Roman"/>
          <w:sz w:val="17"/>
          <w:szCs w:val="17"/>
          <w:u w:val="single" w:color="auto"/>
          <w:color w:val="auto"/>
        </w:rPr>
        <w:t>Anti-Bribery and Anti-Money Laundering Laws</w:t>
      </w:r>
      <w:r>
        <w:rPr>
          <w:rFonts w:ascii="Times New Roman" w:cs="Times New Roman" w:eastAsia="Times New Roman" w:hAnsi="Times New Roman"/>
          <w:sz w:val="17"/>
          <w:szCs w:val="17"/>
          <w:color w:val="auto"/>
        </w:rPr>
        <w:t>. The Company, and, to the knowledge of the Company, each of its officers, directors, supervisors, managers, agents or employees are and have at all times been in compliance with and its participation in the offering will not violate:</w:t>
      </w:r>
    </w:p>
    <w:p>
      <w:pPr>
        <w:spacing w:after="0" w:line="1" w:lineRule="exact"/>
        <w:rPr>
          <w:sz w:val="20"/>
          <w:szCs w:val="20"/>
          <w:color w:val="auto"/>
        </w:rPr>
      </w:pPr>
    </w:p>
    <w:p>
      <w:pPr>
        <w:ind w:left="4" w:hanging="4"/>
        <w:spacing w:after="0" w:line="251" w:lineRule="auto"/>
        <w:tabs>
          <w:tab w:leader="none" w:pos="29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w:t>
      </w:r>
    </w:p>
    <w:p>
      <w:pPr>
        <w:spacing w:after="0" w:line="192" w:lineRule="exact"/>
        <w:rPr>
          <w:sz w:val="20"/>
          <w:szCs w:val="20"/>
          <w:color w:val="auto"/>
        </w:rPr>
      </w:pPr>
    </w:p>
    <w:p>
      <w:pPr>
        <w:ind w:left="4"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3.30 </w:t>
      </w: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reasonably adequate for, and operate and perform in all material respects as required in connection with the operation of the business of the Company as currently conducted. The Company has implemented commercially reasonable physical, technical and administrative controls designed to protect the confidentiality, integrity, availability, privacy and security of all sensitive, confidential or regulated data (“</w:t>
      </w:r>
      <w:r>
        <w:rPr>
          <w:rFonts w:ascii="Times New Roman" w:cs="Times New Roman" w:eastAsia="Times New Roman" w:hAnsi="Times New Roman"/>
          <w:sz w:val="18"/>
          <w:szCs w:val="18"/>
          <w:b w:val="1"/>
          <w:bCs w:val="1"/>
          <w:color w:val="auto"/>
        </w:rPr>
        <w:t>Confidential Data</w:t>
      </w:r>
      <w:r>
        <w:rPr>
          <w:rFonts w:ascii="Times New Roman" w:cs="Times New Roman" w:eastAsia="Times New Roman" w:hAnsi="Times New Roman"/>
          <w:sz w:val="18"/>
          <w:szCs w:val="18"/>
          <w:color w:val="auto"/>
        </w:rPr>
        <w:t>”) used or maintained in connection with its businesses and in its possession or control, and Personal Data (defined below), and the integrity, availability, operation, redundancy and security of its IT Systems.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the following data used in connection with the Company’s business and in its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the Health Insurance</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Portability and Accountability Act of 1996, as amended by the Health Information Technology for Economic and Clinical Health Act (collectively,</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and (iv) any information that would qualify as “personal data,” “personal information” (or similar term) under the Privacy Laws (as defined below). To the Company’s knowledge, since January 1, 2024, there have been no material breaches, outages or unauthorized use of or access to the Company’s IT Systems, Confidential Data, or Personal Data that would require notification under applicable Privacy Laws.</w:t>
      </w:r>
    </w:p>
    <w:p>
      <w:pPr>
        <w:spacing w:after="0" w:line="18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The Company is, and since January 1, 2024, has been, in material compliance with all applicable state, federal and foreign data privacy and security laws and regulations regarding the collection, use, storage, retention, disclosure, transfer, disposal, or any other processing (collectively “</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Processing</w:t>
      </w:r>
      <w:r>
        <w:rPr>
          <w:rFonts w:ascii="Times New Roman" w:cs="Times New Roman" w:eastAsia="Times New Roman" w:hAnsi="Times New Roman"/>
          <w:sz w:val="18"/>
          <w:szCs w:val="18"/>
          <w:color w:val="auto"/>
        </w:rPr>
        <w:t>”) of Personal Data, including without limitation HIPAA, the EU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(Regulation (EU) No. 2016/679), all other local, state, federal, national, supranational and foreign laws relating to the regulation of the Company, and the binding regulations promulgated pursuant to such statutes and any state or non-U.S. counterpart thereof (collectively, the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To ensure material compliance with the Privacy Laws, the Company has in place, complies with, and takes appropriate steps necessary to ensure compliance in all material respects with its published policies relating to data privacy and security, and the Processing of Personal Data and Confidential Data (the “</w:t>
      </w:r>
      <w:r>
        <w:rPr>
          <w:rFonts w:ascii="Times New Roman" w:cs="Times New Roman" w:eastAsia="Times New Roman" w:hAnsi="Times New Roman"/>
          <w:sz w:val="18"/>
          <w:szCs w:val="18"/>
          <w:b w:val="1"/>
          <w:bCs w:val="1"/>
          <w:color w:val="auto"/>
        </w:rPr>
        <w:t>Privacy Statements</w:t>
      </w:r>
      <w:r>
        <w:rPr>
          <w:rFonts w:ascii="Times New Roman" w:cs="Times New Roman" w:eastAsia="Times New Roman" w:hAnsi="Times New Roman"/>
          <w:sz w:val="18"/>
          <w:szCs w:val="18"/>
          <w:color w:val="auto"/>
        </w:rPr>
        <w:t>”). The Company has, except as would not reasonably be expected, individually or in the aggregate, to result in a Material Adverse Effect, since January 1, 2024, provided adequate notice of its Privacy Statements then in effect to its customers, employees, third party vendors and representatives, as applicable. None of such disclosures made or contained in any Privacy Statements have been materially and knowingly inaccurate, misleading, incomplete, or in material violation of any Privacy Laws.</w:t>
      </w:r>
    </w:p>
    <w:p>
      <w:pPr>
        <w:spacing w:after="0" w:line="192" w:lineRule="exact"/>
        <w:rPr>
          <w:sz w:val="20"/>
          <w:szCs w:val="20"/>
          <w:color w:val="auto"/>
        </w:rPr>
      </w:pPr>
    </w:p>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No relationship, direct or indirect, exists between or among the Company, on the one hand, and the directors, officers, stockholders, customers or suppliers of the Company, on the other hand, that is required to be described in the SEC Reports that is not so described.</w:t>
      </w:r>
    </w:p>
    <w:p>
      <w:pPr>
        <w:spacing w:after="0" w:line="176"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u w:val="single" w:color="auto"/>
          <w:color w:val="auto"/>
        </w:rPr>
        <w:t>Acknowledgement Regarding Investors’ Purchase of Securities</w:t>
      </w:r>
      <w:r>
        <w:rPr>
          <w:rFonts w:ascii="Times New Roman" w:cs="Times New Roman" w:eastAsia="Times New Roman" w:hAnsi="Times New Roman"/>
          <w:sz w:val="18"/>
          <w:szCs w:val="18"/>
          <w:color w:val="auto"/>
        </w:rPr>
        <w:t>. The Company acknowledges and agrees that each of the Investors is acting solely in the capacity of an arm’s length Investor with respect to the Transaction Agreements and the transactions contemplated thereby. The Company further acknowledges that no Investor is acting as a financial advisor or fiduciary of the Company (or in any similar capacity) with respect to the Transaction Agreements and the transactions contemplated thereby and any advice given by any Investor or any of their respective representatives or agents in connection with the Transaction Agreements and the transactions contemplated thereby is merely incidental to the Investors’ purchase of the Securities.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4" w:name="page25"/>
    <w:bookmarkEnd w:id="24"/>
    <w:p>
      <w:pPr>
        <w:ind w:firstLine="436"/>
        <w:spacing w:after="0" w:line="266"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 of the Selling Stockholder</w:t>
      </w:r>
      <w:r>
        <w:rPr>
          <w:rFonts w:ascii="Times New Roman" w:cs="Times New Roman" w:eastAsia="Times New Roman" w:hAnsi="Times New Roman"/>
          <w:sz w:val="18"/>
          <w:szCs w:val="18"/>
          <w:color w:val="auto"/>
        </w:rPr>
        <w:t xml:space="preserve">. The Selling Stockholder hereby represents and warrants to each of the Investors and each Placement Agent that the statements contained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are true and correct as of the date of this Agreement and as of the Closing Date (except for the representations and warranties that speak as of a specific date, which shall be made as of such date).</w:t>
      </w:r>
    </w:p>
    <w:p>
      <w:pPr>
        <w:spacing w:after="0" w:line="17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and Good Standing</w:t>
      </w:r>
      <w:r>
        <w:rPr>
          <w:rFonts w:ascii="Times New Roman" w:cs="Times New Roman" w:eastAsia="Times New Roman" w:hAnsi="Times New Roman"/>
          <w:sz w:val="18"/>
          <w:szCs w:val="18"/>
          <w:color w:val="auto"/>
        </w:rPr>
        <w:t>. The Selling Stockholder has been duly organized and is validly existing and in good standing under the laws of its jurisdiction of organization.</w:t>
      </w:r>
    </w:p>
    <w:p>
      <w:pPr>
        <w:spacing w:after="0" w:line="162" w:lineRule="exact"/>
        <w:rPr>
          <w:sz w:val="20"/>
          <w:szCs w:val="20"/>
          <w:color w:val="auto"/>
        </w:rPr>
      </w:pPr>
    </w:p>
    <w:p>
      <w:pPr>
        <w:ind w:right="20" w:firstLine="991"/>
        <w:spacing w:after="0" w:line="272"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Consents and Authority</w:t>
      </w:r>
      <w:r>
        <w:rPr>
          <w:rFonts w:ascii="Times New Roman" w:cs="Times New Roman" w:eastAsia="Times New Roman" w:hAnsi="Times New Roman"/>
          <w:sz w:val="17"/>
          <w:szCs w:val="17"/>
          <w:color w:val="auto"/>
        </w:rPr>
        <w:t>. All consents, approvals, authorizations and orders necessary for the execution and delivery by the Selling Stockholder of this Agreement, and for the sale and delivery of the Shares to be sold by the Selling Stockholder hereunder, have been obtained; and the Selling Stockholder has the full right, power and authority to enter into this Agreement to sell, assign, transfer and deliver the shares to be sold by the Selling Stockholder hereunder; this Agreement has been duly authorized, executed and delivered by the Selling Stockholder. Upon its execution by the Selling Stockholder and the other parties thereto and assuming that it constitutes legal, valid and binding agreements of the other parties thereto, this Agreement will constitute a legal, valid and binding obligation of the Selling Stockholder, enforceable against the Selling Stockholder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spacing w:after="0" w:line="172"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of this Agreement by the Selling Stockholder, the sale of the Securities and the consummation of the transactions contemplated by this Agreements will not (i) violate any provisions of the charter or bylaws or similar organization documents of the Selling Stockholder,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Selling Stockholder or its properties or assets, or (iii) result in a violation of any law, rule, regulation, order, judgment, injunction, decree or other restriction of any court or governmental authority to which the Selling Stockholder is subject (including federal and state securities laws and regulations) and the rules and regulations of any self-regulatory organization to which the Selling Stockholder or its securities are subject, or by which any property or asset of the Selling Stockholder is bound or affected, except, in the case of clauses (ii) and (iii), as would not, individually or in the aggregate, be reasonably expected to have a Material Adverse Effect.</w:t>
      </w:r>
    </w:p>
    <w:p>
      <w:pPr>
        <w:spacing w:after="0" w:line="194"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The Selling Stockholder is not (i) an employee benefit plan subject to Title I of ERISA, (ii) a plan or account subject to Section 4975 of the Code or (iii) an entity deemed to hold “plan assets” of any such plan or account under Section 3(42) of ERISA, 29 C.F.R. 2510.03-101, or otherwise.</w:t>
      </w:r>
    </w:p>
    <w:p>
      <w:pPr>
        <w:spacing w:after="0" w:line="176"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Upon the consummation of the Spin-Off, the Selling Stockholder will have good and valid title to the Shares to be sold at the Closing Date by the Selling Stockholder hereunder free and clear of all liens, encumbrances, equities or advance claims; and, upon delivery of the Shares and payment therefor pursuant hereto, good and valid title to such Shares, free and clear of all liens, encumbrances, equities or adverse claims, will pass to the Investors.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70" w:right="499" w:bottom="1440" w:gutter="0" w:footer="0" w:header="0"/>
        </w:sectPr>
      </w:pPr>
    </w:p>
    <w:bookmarkStart w:id="25" w:name="page26"/>
    <w:bookmarkEnd w:id="25"/>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4.6 </w:t>
      </w:r>
      <w:r>
        <w:rPr>
          <w:rFonts w:ascii="Times New Roman" w:cs="Times New Roman" w:eastAsia="Times New Roman" w:hAnsi="Times New Roman"/>
          <w:sz w:val="18"/>
          <w:szCs w:val="18"/>
          <w:u w:val="single" w:color="auto"/>
          <w:color w:val="auto"/>
        </w:rPr>
        <w:t>Price Stabilization of Common Stock</w:t>
      </w:r>
      <w:r>
        <w:rPr>
          <w:rFonts w:ascii="Times New Roman" w:cs="Times New Roman" w:eastAsia="Times New Roman" w:hAnsi="Times New Roman"/>
          <w:sz w:val="18"/>
          <w:szCs w:val="18"/>
          <w:color w:val="auto"/>
        </w:rPr>
        <w:t>. The Selling Stockholder has not taken, nor will it take, directly or indirectly, any action designed to stabilize or manipulate the price of the Common Stock to facilitate the sale or resale of the Shares.</w:t>
      </w:r>
    </w:p>
    <w:p>
      <w:pPr>
        <w:spacing w:after="0" w:line="16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Anti-Bribery and Anti-Money Laundering Laws</w:t>
      </w:r>
      <w:r>
        <w:rPr>
          <w:rFonts w:ascii="Times New Roman" w:cs="Times New Roman" w:eastAsia="Times New Roman" w:hAnsi="Times New Roman"/>
          <w:sz w:val="18"/>
          <w:szCs w:val="18"/>
          <w:color w:val="auto"/>
        </w:rPr>
        <w:t>. The Selling Stockholder, and, to the knowledge of the Selling Stockholder, each of its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w:t>
      </w:r>
    </w:p>
    <w:p>
      <w:pPr>
        <w:spacing w:after="0" w:line="197" w:lineRule="exact"/>
        <w:rPr>
          <w:sz w:val="20"/>
          <w:szCs w:val="20"/>
          <w:color w:val="auto"/>
        </w:rPr>
      </w:pPr>
    </w:p>
    <w:p>
      <w:pPr>
        <w:ind w:right="40" w:firstLine="436"/>
        <w:spacing w:after="0" w:line="266"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Each Investor</w:t>
      </w:r>
      <w:r>
        <w:rPr>
          <w:rFonts w:ascii="Times New Roman" w:cs="Times New Roman" w:eastAsia="Times New Roman" w:hAnsi="Times New Roman"/>
          <w:sz w:val="18"/>
          <w:szCs w:val="18"/>
          <w:color w:val="auto"/>
        </w:rPr>
        <w:t xml:space="preserve">. Each Investor, severally for itself and not jointly with any other Investor, represents and warrants to the Company, the Selling Stockholder and each Placement Agent that the statements contained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are true and correct as of the date of this Agreement and the Closing Date:</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Investor is duly organized, validly existing and in good standing under the laws of the jurisdiction of its organization and has the requisite power and authority to own, lease and operate its properties and to carry on its business as now conducted.</w:t>
      </w:r>
    </w:p>
    <w:p>
      <w:pPr>
        <w:spacing w:after="0" w:line="162"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Authorization</w:t>
      </w:r>
      <w:r>
        <w:rPr>
          <w:rFonts w:ascii="Times New Roman" w:cs="Times New Roman" w:eastAsia="Times New Roman" w:hAnsi="Times New Roman"/>
          <w:sz w:val="17"/>
          <w:szCs w:val="17"/>
          <w:color w:val="auto"/>
        </w:rPr>
        <w:t>. The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in this Agreement has been taken. The execution, delivery and performance by such Investor of the Transaction Agreements to which such</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6" w:name="page27"/>
    <w:bookmarkEnd w:id="26"/>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 is a party has been duly authorized and each has been duly executed. Assuming this Agreement constitutes the legal and binding agreement of the Company and the Selling Stockholder,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the Transaction Agreements by the Investor, the purchase of the Securities in accordance with their terms and the consummation by the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the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hinder the ability of the Investor to perform its obligations under the Transaction Agreements.</w:t>
      </w:r>
    </w:p>
    <w:p>
      <w:pPr>
        <w:spacing w:after="0" w:line="188"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Residency</w:t>
      </w:r>
      <w:r>
        <w:rPr>
          <w:rFonts w:ascii="Times New Roman" w:cs="Times New Roman" w:eastAsia="Times New Roman" w:hAnsi="Times New Roman"/>
          <w:sz w:val="18"/>
          <w:szCs w:val="18"/>
          <w:color w:val="auto"/>
        </w:rPr>
        <w:t>. The Investor’s residence (if an individual) or offices in which its investment decision with respect to the Securities was made (if an entity) are located at the address immediately below the Investor’s name on Exhibit A to this Agreement, except as otherwise communicated by the Investor to the Company.</w:t>
      </w:r>
    </w:p>
    <w:p>
      <w:pPr>
        <w:spacing w:after="0" w:line="176"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The Investor has not retained, utilized or been represented by any broker or finder in connection with the transactions contemplated by this Agreement whose fees the Company or the Selling Stockholder would be required to pay.</w:t>
      </w:r>
    </w:p>
    <w:p>
      <w:pPr>
        <w:spacing w:after="0" w:line="162"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Investment Representations and Warranties</w:t>
      </w:r>
      <w:r>
        <w:rPr>
          <w:rFonts w:ascii="Times New Roman" w:cs="Times New Roman" w:eastAsia="Times New Roman" w:hAnsi="Times New Roman"/>
          <w:sz w:val="18"/>
          <w:szCs w:val="18"/>
          <w:color w:val="auto"/>
        </w:rPr>
        <w:t>. The Investor hereby represents and warrants that, it (i) as of the date of this Agreement is, if an entity, a “qualified institutional buyer” (as defined in Rule 144A under the Securities Act) or an institutional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The Investor further represents and warrants that (x) it is capable of evaluating the merits and risk of such investment, and (y) that it has not been organized for the purpose of acquiring the Securities and is an “institutional account” as defined by FINRA Rule 4512(c). The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Investor’s representations as expressed herein.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7" w:name="page28"/>
    <w:bookmarkEnd w:id="27"/>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5.7 </w:t>
      </w:r>
      <w:r>
        <w:rPr>
          <w:rFonts w:ascii="Times New Roman" w:cs="Times New Roman" w:eastAsia="Times New Roman" w:hAnsi="Times New Roman"/>
          <w:sz w:val="18"/>
          <w:szCs w:val="18"/>
          <w:u w:val="single" w:color="auto"/>
          <w:color w:val="auto"/>
        </w:rPr>
        <w:t>Intent</w:t>
      </w:r>
      <w:r>
        <w:rPr>
          <w:rFonts w:ascii="Times New Roman" w:cs="Times New Roman" w:eastAsia="Times New Roman" w:hAnsi="Times New Roman"/>
          <w:sz w:val="18"/>
          <w:szCs w:val="18"/>
          <w:color w:val="auto"/>
        </w:rPr>
        <w:t>. The Investor is purchasing the Securities solely for the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the Investor is purchasing the Securities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The Investor has no present arrangement to sell the Securities to or through any person or entity. The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the Investor to hold the Securities for any period of time.</w:t>
      </w:r>
    </w:p>
    <w:p>
      <w:pPr>
        <w:spacing w:after="0" w:line="194"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Investment Experience; Ability to Protect Its Own Interests and Bear Economic Risks</w:t>
      </w:r>
      <w:r>
        <w:rPr>
          <w:rFonts w:ascii="Times New Roman" w:cs="Times New Roman" w:eastAsia="Times New Roman" w:hAnsi="Times New Roman"/>
          <w:sz w:val="18"/>
          <w:szCs w:val="18"/>
          <w:color w:val="auto"/>
        </w:rPr>
        <w:t>. The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the Investor has considered necessary to make an informed investment decision. The Investor acknowledges that the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The Investor acknowledges that the Investor is aware that there are substantial risks incident to the purchase and ownership of the Securities, including those set forth in the Company’s filings with the SEC. Alone, or together with any professional advisor(s), the Investor has adequately analyzed and fully considered the risks of an investment in the Securities and determined that the Securities are a suitable investment for the Investor. The Investor is, at this time and in the foreseeable future, able to afford the loss of the Investor’s entire investment in the Securities and the Investor acknowledges specifically that a possibility of total loss exists.</w:t>
      </w:r>
    </w:p>
    <w:p>
      <w:pPr>
        <w:spacing w:after="0" w:line="190"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Independent Investment Decision</w:t>
      </w:r>
      <w:r>
        <w:rPr>
          <w:rFonts w:ascii="Times New Roman" w:cs="Times New Roman" w:eastAsia="Times New Roman" w:hAnsi="Times New Roman"/>
          <w:sz w:val="18"/>
          <w:szCs w:val="18"/>
          <w:color w:val="auto"/>
        </w:rPr>
        <w:t>. The Investor understands that nothing in the Transaction Agreements or any other materials presented by or on behalf of the Company or the Selling Stockholder to the Investor in connection with the purchase of the Securities constitutes legal, tax or investment advice. The Investor has consulted such legal, tax and investment advisors as it, in such Investor’s sole discretion, has deemed necessary or appropriate in connection with its purchase of the Securities.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28" w:name="page29"/>
    <w:bookmarkEnd w:id="28"/>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5.10 </w:t>
      </w:r>
      <w:r>
        <w:rPr>
          <w:rFonts w:ascii="Times New Roman" w:cs="Times New Roman" w:eastAsia="Times New Roman" w:hAnsi="Times New Roman"/>
          <w:sz w:val="18"/>
          <w:szCs w:val="18"/>
          <w:u w:val="single" w:color="auto"/>
          <w:color w:val="auto"/>
        </w:rPr>
        <w:t>Securities Not Registered; Legends</w:t>
      </w:r>
      <w:r>
        <w:rPr>
          <w:rFonts w:ascii="Times New Roman" w:cs="Times New Roman" w:eastAsia="Times New Roman" w:hAnsi="Times New Roman"/>
          <w:sz w:val="18"/>
          <w:szCs w:val="18"/>
          <w:color w:val="auto"/>
        </w:rPr>
        <w:t>. The Investor acknowledges and agrees that the Securities are being offered in a transaction not involving any public offering within the meaning of the Securities Act, and the Investor understands that the Securities have not been registered under the Securities Act, by reason of their issuance by the Company or sale by the Selling Stockholder, as applicable, in a transaction exempt from the registration requirements of the Securities Act, and that the Securities must continue to be held and may not be offered, resold, transferred, pledged or otherwise disposed of by the Investor unless a subsequent disposition thereof is registered under the Securities Act or is exempt from such registration and in each case in accordance with any applicable securities laws of any state of the United States. The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the Investor’s control and which the Company may not be able to satisfy, and that, if applicable, Rule 144 may afford the basis for sales only in limited amounts. The Investor acknowledges and agrees that it has been advised to consult legal counsel prior to making any offer, resale, transfer, pledge or disposition of any of the Securities. The Investor acknowledges that no federal or state agency has passed upon or endorsed the merits of the offering of the Securities or made any findings or determination as to the fairness of this investment.</w:t>
      </w:r>
    </w:p>
    <w:p>
      <w:pPr>
        <w:spacing w:after="0" w:line="19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Investor understands that any certificates or book entry notations evidencing the Securities may bear one or more legends in substantially the following form and substance:</w:t>
      </w:r>
    </w:p>
    <w:p>
      <w:pPr>
        <w:spacing w:after="0" w:line="162" w:lineRule="exact"/>
        <w:rPr>
          <w:sz w:val="20"/>
          <w:szCs w:val="20"/>
          <w:color w:val="auto"/>
        </w:rPr>
      </w:pPr>
    </w:p>
    <w:p>
      <w:pPr>
        <w:ind w:left="440" w:right="140"/>
        <w:spacing w:after="0" w:line="254"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the Securities may contain a legend regarding affiliate status of the Investor, if applicable.</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The Investor acknowledges and agrees that the Investor is purchasing the Securities directly from the Company and the Selling Stockholder, as applicable. Investor became aware of this offering of the Securities solely by means of direct contact from the Placement Agents or directly from the Company as a result of a pre-existing, substantive relationship with the Company or the Placement Agents,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Investor solely by direct contact between Investor, the Company, the Selling Stockholder the Placement Agents and/or their respective representatives. Investor did not become aware of this offering of the Securities, nor were the Securities offered to Investor, by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29" w:name="page30"/>
    <w:bookmarkEnd w:id="29"/>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other means, and none of the Company, the Selling Stockholder, the Placement Agents and/or their respective representatives acted as investment advisor, broker or dealer to Investor. The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spacing w:after="0" w:line="183"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In making its decision to purchase the Securities, such Investor has relied solely upon independent investigation made by such Investor, upon the SEC Reports and the Company Presentation and upon the representations, warranties and covenants set forth herein. Such Investor acknowledges and agrees that such Investor and the Investor’s professional advisor(s), if any, have had the opportunity to ask such questions, receive such answers and obtain such information from the Company regarding the Company, its business and the terms and conditions of the offering of the Securities as the Investor and the Investor’s professional advisor(s), if any, have deemed necessary to make an investment decision with respect to the Securities and that the Investor has independently made its own analysis and decision to invest in the Company. Neither such inquiries nor any other due diligence investigation conducted by the Investor shall modify, limit or otherwise affect the Investor’s right to rely on the Company’s representations and warranties contained in this Agreement.</w:t>
      </w:r>
    </w:p>
    <w:p>
      <w:pPr>
        <w:spacing w:after="0" w:line="19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Certain Trading Activities</w:t>
      </w:r>
      <w:r>
        <w:rPr>
          <w:rFonts w:ascii="Times New Roman" w:cs="Times New Roman" w:eastAsia="Times New Roman" w:hAnsi="Times New Roman"/>
          <w:sz w:val="18"/>
          <w:szCs w:val="18"/>
          <w:color w:val="auto"/>
        </w:rPr>
        <w:t>. Other than consummating the transactions contemplated hereby, the Investor has not, nor has any Person acting on behalf of or pursuant to any understanding with the Investor, directly or indirectly executed any purchases or sales, including Short Sales, of the securities of AnaptysBio and the Company during the period commencing as of the time that the Investor was first contacted by the Company or any other Person regarding the transaction contemplated hereby and ending immediately prior to the date of this Agreement.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Furthermore, in the case of an Investor whose investment advisor utilized an information barrier with respect to the information regarding the transactions contemplated hereunder after first being contacted by the Company or its representatives, the representation set forth above shall only apply after the point in time when the portfolio manager who manages such Investor’s assets was informed of the information regarding the transactions contemplated hereunder and, with respect to the Investor’s investment advisor, the representation set forth above shall only apply with respect to any purchases or sales, including Short Sales, of the securities of AnaptysBio and the Company on behalf of other funds or investment vehicles for which the Investor’s investment advisor is also an investment advisor or sub-advisor after the point in time when the portfolio manager who manages the assets of such other funds or investment vehicles for which the Investor’s investment advisor is also an investment advisor or sub-advisor was informed of the information regarding the transactions contemplated hereunder. Other than to other Persons party to this Agreement and to its advisors and agents who had a need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0" w:name="page31"/>
    <w:bookmarkEnd w:id="30"/>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know such information, the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80" w:lineRule="exact"/>
        <w:rPr>
          <w:sz w:val="20"/>
          <w:szCs w:val="20"/>
          <w:color w:val="auto"/>
        </w:rPr>
      </w:pPr>
    </w:p>
    <w:p>
      <w:pPr>
        <w:ind w:left="620" w:hanging="184"/>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Each Investor acknowledges that the Company, the Selling Stockholder and the Placement Agents will rely on the acknowledgments, understandings, agreements, representations and warranties of such Investor, contained in this Agreement. Prior to the Closing, each Investor agrees to promptly notify the Company and the Selling Stockholder if any of the acknowledgments, understandings, agreements, representations and warranties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are no longer accurate, and the Company and the Selling Stockholder, as applicable, agree to notify each Investor and the Placement Agents if any of the acknowledgments, understandings, agreements, representations and warranties set forth in Section 3 or Section 4, as applicable are no longer accurate.</w:t>
      </w:r>
    </w:p>
    <w:p>
      <w:pPr>
        <w:spacing w:after="0" w:line="194"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commercially reasonable efforts to list, and subsequently maintain the listing and trading of its Common Stock on Nasdaq and, in accordance therewith, will use reasonable best efforts to comply in all material respects with the Company’s reporting, filing and other obligations under the rules and regulations of Nasdaq. The Company shall also use its commercially reasonable efforts to take all steps necessary to cause the Shares to be approved for listing on the Nasdaq as promptly as possible. The Company agrees to maintain the eligibility of the Common Stock for electronic transfer through an established clearing corporation, including, without limitation, by timely payment of fees to such clearing corporation in connection with such electronic transfer.</w:t>
      </w:r>
    </w:p>
    <w:p>
      <w:pPr>
        <w:spacing w:after="0" w:line="18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Disclosure of Transactions</w:t>
      </w:r>
      <w:r>
        <w:rPr>
          <w:rFonts w:ascii="Times New Roman" w:cs="Times New Roman" w:eastAsia="Times New Roman" w:hAnsi="Times New Roman"/>
          <w:sz w:val="18"/>
          <w:szCs w:val="18"/>
          <w:color w:val="auto"/>
        </w:rPr>
        <w:t>. The Company or its Affiliates shall, by 9:00 a.m., New York City time, on the first (1st) Business Day immediately following the date of this Agreement, issue a press release and/or file with the SEC a Current Report on Form 8-K (including, if applicable, all exhibits thereto, the “</w:t>
      </w:r>
      <w:r>
        <w:rPr>
          <w:rFonts w:ascii="Times New Roman" w:cs="Times New Roman" w:eastAsia="Times New Roman" w:hAnsi="Times New Roman"/>
          <w:sz w:val="18"/>
          <w:szCs w:val="18"/>
          <w:b w:val="1"/>
          <w:bCs w:val="1"/>
          <w:color w:val="auto"/>
        </w:rPr>
        <w:t>Disclosure Document</w:t>
      </w:r>
      <w:r>
        <w:rPr>
          <w:rFonts w:ascii="Times New Roman" w:cs="Times New Roman" w:eastAsia="Times New Roman" w:hAnsi="Times New Roman"/>
          <w:sz w:val="18"/>
          <w:szCs w:val="18"/>
          <w:color w:val="auto"/>
        </w:rPr>
        <w:t>”) disclosing (i) all material terms of the transactions contemplated hereby and by the other Transaction Agreements and, if the Disclosure Document is a Current Report on Form 8-K, attaching this Agreement and the other Transaction Agreements as exhibits to such Disclosure Document, and (ii) all material non-public information concerning the Company disclosed to the Investors. Following the issuance or filing of the Disclosure Document, no Investor shall be in possession of any material non-public information concerning the Company disclosed to the Investors by the Company or its representatives. The Company understands and confirms that the Investors will rely on the foregoing representation in effecting securities transactions. In addition, unless it has already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1" w:name="page32"/>
    <w:bookmarkEnd w:id="31"/>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done so by filing the Disclosure Document, on or before the fourth (4th) Business Day following the date of this Agreement, the Company or its Affiliates shall file with the SEC a Current Report on Form 8-K disclosing all material terms of the transactions contemplated by this Agreement. Notwithstanding anything in this Agreement to the contrary, the Company or its Affiliates shall not publicly disclose the name of any Investor or any of its Affiliates or advisors, or include the name of any Investor or any of its Affiliates or advisors in any marketing materials (whether or not made publicly available), press release, public announcement or filing with the SEC (other than any registration statement contemplated by the Registration Rights Agreement, which shall be subject to review of the Investors in accordance with the terms of the Registration Rights Agreement) or any regulatory agency, without the prior written consent of the Investor, except (i) as required by the federal securities law in 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Nasdaq, provided that the Company shall use commercially reasonable efforts to provide the Investors with prior written notice of and a reasonable opportunity to review such disclosure permitted under foregoing clauses (i) and (ii).</w:t>
      </w:r>
    </w:p>
    <w:p>
      <w:pPr>
        <w:spacing w:after="0" w:line="192"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1428"/>
        <w:spacing w:after="0" w:line="255" w:lineRule="auto"/>
        <w:tabs>
          <w:tab w:leader="none" w:pos="168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sale, assignment, transfer or other disposition of the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instruct the Transfer Agent to remove any restrictive legends related to the book entry account holding such shares and make a new, unlegended entry for such book entry shares sold or disposed of without restrictive legends as soon as reasonably practicable following any such request therefor from the Investor, provided that the Company has timely received from the Investor customary representations and other documentation reasonably acceptable to the Company in connection therewith. The Company shall be responsible for the fees of its Transfer Agent and its legal counsel associated with such legend removal.</w:t>
      </w:r>
    </w:p>
    <w:p>
      <w:pPr>
        <w:spacing w:after="0" w:line="188" w:lineRule="exact"/>
        <w:rPr>
          <w:rFonts w:ascii="Times New Roman" w:cs="Times New Roman" w:eastAsia="Times New Roman" w:hAnsi="Times New Roman"/>
          <w:sz w:val="18"/>
          <w:szCs w:val="18"/>
          <w:color w:val="auto"/>
        </w:rPr>
      </w:pPr>
    </w:p>
    <w:p>
      <w:pPr>
        <w:ind w:left="4" w:right="400" w:firstLine="1428"/>
        <w:spacing w:after="0" w:line="276" w:lineRule="auto"/>
        <w:tabs>
          <w:tab w:leader="none" w:pos="1691"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receipt from the Investor by the Company and the Transfer Agent of customary representations and other documentation reasonably acceptable to the Company and the Transfer Agent in connection therewith, upon the earliest of such time as the Shares</w:t>
      </w:r>
    </w:p>
    <w:p>
      <w:pPr>
        <w:ind w:left="224" w:hanging="224"/>
        <w:spacing w:after="0"/>
        <w:tabs>
          <w:tab w:leader="none" w:pos="2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registered under the Securities Act pursuant to an effective registration statement; (ii) have been sold pursuant to Rule 144, or (iii) are</w:t>
      </w:r>
    </w:p>
    <w:p>
      <w:pPr>
        <w:spacing w:after="0" w:line="13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4"/>
          </w:cols>
          <w:pgMar w:left="436" w:top="270" w:right="519" w:bottom="1440" w:gutter="0" w:footer="0" w:header="0"/>
        </w:sectPr>
      </w:pPr>
    </w:p>
    <w:bookmarkStart w:id="32" w:name="page33"/>
    <w:bookmarkEnd w:id="32"/>
    <w:p>
      <w:pPr>
        <w:ind w:left="4"/>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 w:cs="Times New Roman" w:eastAsia="Times New Roman" w:hAnsi="Times New Roman"/>
          <w:sz w:val="17"/>
          <w:szCs w:val="17"/>
          <w:u w:val="single" w:color="auto"/>
          <w:color w:val="auto"/>
        </w:rPr>
        <w:t>Section 6.5(b)</w:t>
      </w:r>
      <w:r>
        <w:rPr>
          <w:rFonts w:ascii="Times New Roman" w:cs="Times New Roman" w:eastAsia="Times New Roman" w:hAnsi="Times New Roman"/>
          <w:sz w:val="17"/>
          <w:szCs w:val="17"/>
          <w:color w:val="auto"/>
        </w:rPr>
        <w:t xml:space="preserve"> and as soon as reasonably practicable following any request therefor from an Investor accompanied by such customary and reasonably acceptable documentation referred to above,</w:t>
      </w:r>
    </w:p>
    <w:p>
      <w:pPr>
        <w:spacing w:after="0" w:line="2" w:lineRule="exact"/>
        <w:rPr>
          <w:sz w:val="20"/>
          <w:szCs w:val="20"/>
          <w:color w:val="auto"/>
        </w:rPr>
      </w:pPr>
    </w:p>
    <w:p>
      <w:pPr>
        <w:ind w:left="304" w:hanging="304"/>
        <w:spacing w:after="0"/>
        <w:tabs>
          <w:tab w:leader="none" w:pos="3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Transfer Agent irrevocable instructions that the Transfer Agent shall make a new, unlegended entry for such book entry shares, and</w:t>
      </w:r>
    </w:p>
    <w:p>
      <w:pPr>
        <w:spacing w:after="0" w:line="9" w:lineRule="exact"/>
        <w:rPr>
          <w:rFonts w:ascii="Times New Roman" w:cs="Times New Roman" w:eastAsia="Times New Roman" w:hAnsi="Times New Roman"/>
          <w:sz w:val="18"/>
          <w:szCs w:val="18"/>
          <w:color w:val="auto"/>
        </w:rPr>
      </w:pPr>
    </w:p>
    <w:p>
      <w:pPr>
        <w:ind w:left="4" w:right="160" w:hanging="4"/>
        <w:spacing w:after="0" w:line="255" w:lineRule="auto"/>
        <w:tabs>
          <w:tab w:leader="none" w:pos="2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w:t>
      </w:r>
    </w:p>
    <w:p>
      <w:pPr>
        <w:spacing w:after="0" w:line="186"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Each Investor agrees to furnish the Company with any information, representations and forms as shall reasonably be requested by the Company from time to time to assist the Company in complying with any applicable tax law (including any withholding obligations).</w:t>
      </w:r>
    </w:p>
    <w:p>
      <w:pPr>
        <w:spacing w:after="0" w:line="176" w:lineRule="exact"/>
        <w:rPr>
          <w:sz w:val="20"/>
          <w:szCs w:val="20"/>
          <w:color w:val="auto"/>
        </w:rPr>
      </w:pPr>
    </w:p>
    <w:p>
      <w:pPr>
        <w:ind w:left="4"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Fees and Commissions</w:t>
      </w:r>
      <w:r>
        <w:rPr>
          <w:rFonts w:ascii="Times New Roman" w:cs="Times New Roman" w:eastAsia="Times New Roman" w:hAnsi="Times New Roman"/>
          <w:sz w:val="18"/>
          <w:szCs w:val="18"/>
          <w:color w:val="auto"/>
        </w:rPr>
        <w:t>. The Company shall be solely responsible for the payment of any placement agent’s fees, financial advisory fees, or broker’s commissions (other than for Persons engaged by an Investor) relating to or arising out of the transactions contemplated hereby, including, without limitation, any fees or commissions payable to the Placement Agents.</w:t>
      </w:r>
    </w:p>
    <w:p>
      <w:pPr>
        <w:spacing w:after="0" w:line="176" w:lineRule="exact"/>
        <w:rPr>
          <w:sz w:val="20"/>
          <w:szCs w:val="20"/>
          <w:color w:val="auto"/>
        </w:rPr>
      </w:pPr>
    </w:p>
    <w:p>
      <w:pPr>
        <w:ind w:left="4" w:right="3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No Conflicting Agreements</w:t>
      </w:r>
      <w:r>
        <w:rPr>
          <w:rFonts w:ascii="Times New Roman" w:cs="Times New Roman" w:eastAsia="Times New Roman" w:hAnsi="Times New Roman"/>
          <w:sz w:val="18"/>
          <w:szCs w:val="18"/>
          <w:color w:val="auto"/>
        </w:rPr>
        <w:t>. The Company will not take any action, enter into any agreement or make any commitment that would conflict or interfere in any material respect with the Company’s obligations to the Investors under the Transaction Agreements.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ind w:left="4" w:right="60" w:firstLine="1428"/>
        <w:spacing w:after="0" w:line="253" w:lineRule="auto"/>
        <w:tabs>
          <w:tab w:leader="none" w:pos="168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agrees to indemnify and hold harmless each Investor and its Affiliates, and their respective directors, officers, trustees, members, managers, employees, investment advisors and agents (collectively, the “</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(A) as a result of any breach of representation, warranty, covenant or agreement made by or to be performed on the part of the Company under the Transaction Agreements, or (B) as a result of or arising out of any action, claim or proceeding, pending or threatened, against any Indemnified Person in any capacity by any third party (including a stockholder of the Company, whether directly or in a derivative capacity who is not an Affiliate of the Indemnified Person) with respect to the transactions contemplated by the Transaction Agreements, and in each case will reimburse any such Indemnified Person for all such amounts as they are incurred by such Indemnified Person except to the extent such amounts have been finally judicially determined to have resulted from such Indemnified Person’s fraud or willful misconduct.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4"/>
          </w:cols>
          <w:pgMar w:left="436" w:top="270" w:right="439" w:bottom="1440" w:gutter="0" w:footer="0" w:header="0"/>
        </w:sectPr>
      </w:pPr>
    </w:p>
    <w:bookmarkStart w:id="33" w:name="page34"/>
    <w:bookmarkEnd w:id="33"/>
    <w:p>
      <w:pPr>
        <w:ind w:right="40" w:firstLine="143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   (ii) The Selling Stockholder agrees to indemnify and hold the Indemnified Persons,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(A) as a result of any breach of representation, warranty, covenant or agreement made by or to be performed on the part of the Selling Stockholder under this Agreement or (B) as a result of or arising out of any action, claim or proceeding, pending or threatened, against an Indemnified Person in any capacity by any third party (including a stockholder of the Company, whether directly or in a derivative capacity, who is not an Affiliate of the Indemnified Person) with respect to the transactions contemplated by the Transaction Agreements, and in each case, and will reimburse any such Indemnified Person for all such amounts as they are incurred by such Indemnified Person except to the extent such amounts have been finally judicially determined to have resulted from such Indemnified Person’s fraud or willful misconduct. The liability of the Selling Stockholder under the indemnity agreement contained in this paragraph shall be limited to an amount equal to the aggregate net proceeds of the Shares sold by the Selling Stockholder under this Agreement.</w:t>
      </w:r>
    </w:p>
    <w:p>
      <w:pPr>
        <w:spacing w:after="0" w:line="192" w:lineRule="exact"/>
        <w:rPr>
          <w:sz w:val="20"/>
          <w:szCs w:val="20"/>
          <w:color w:val="auto"/>
        </w:rPr>
      </w:pPr>
    </w:p>
    <w:p>
      <w:pPr>
        <w:ind w:firstLine="1428"/>
        <w:spacing w:after="0" w:line="252" w:lineRule="auto"/>
        <w:tabs>
          <w:tab w:leader="none" w:pos="16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malfeasance by or on behalf of, the indemnified party. No indemnified party will, except with the consent of the indemnifying party, consent to entry of any judgment or enter into any settlement.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4" w:name="page35"/>
    <w:bookmarkEnd w:id="34"/>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6.10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 From the date of this Agreement until the earlier of (a) forty-five (45) days after the Closing Date and</w:t>
      </w:r>
    </w:p>
    <w:p>
      <w:pPr>
        <w:spacing w:after="0" w:line="27" w:lineRule="exact"/>
        <w:rPr>
          <w:sz w:val="20"/>
          <w:szCs w:val="20"/>
          <w:color w:val="auto"/>
        </w:rPr>
      </w:pPr>
    </w:p>
    <w:p>
      <w:pPr>
        <w:ind w:left="4" w:right="20" w:hanging="4"/>
        <w:spacing w:after="0" w:line="268" w:lineRule="auto"/>
        <w:tabs>
          <w:tab w:leader="none" w:pos="25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Business Day immediately following the effective date of the registration statement filed pursuant to the Registration Rights Agreement, the Company shall not (A) issue shares of Common Stock or Common Stock Equivalents, (B) effect a reverse stock split, recapitalization, share consolidation, reclassification or similar transaction affecting the outstanding Common Stock or (C) file with the SEC a registration statement under the Securities Act relating to any shares of Common Stock or Common Stock Equivalents, except pursuant to the terms of the Registration Rights Agreement. Notwithstanding the foregoing, the provisions of this </w:t>
      </w:r>
      <w:r>
        <w:rPr>
          <w:rFonts w:ascii="Times New Roman" w:cs="Times New Roman" w:eastAsia="Times New Roman" w:hAnsi="Times New Roman"/>
          <w:sz w:val="17"/>
          <w:szCs w:val="17"/>
          <w:u w:val="single" w:color="auto"/>
          <w:color w:val="auto"/>
        </w:rPr>
        <w:t>Section 6.10</w:t>
      </w:r>
      <w:r>
        <w:rPr>
          <w:rFonts w:ascii="Times New Roman" w:cs="Times New Roman" w:eastAsia="Times New Roman" w:hAnsi="Times New Roman"/>
          <w:sz w:val="17"/>
          <w:szCs w:val="17"/>
          <w:color w:val="auto"/>
        </w:rPr>
        <w:t xml:space="preserve"> shall not apply to (i) the issuance of the Securities hereunder, (ii) the issuance of Common Stock or Common Stock Equivalents upon the conversion, exercise or vesting of any securities of the Company outstanding on the date of this Agreement or outstanding pursuant to clause (iii) below, (iii) the issuance of any Common Stock or Common Stock Equivalents pursuant to any Company stock-based compensation plans or in accordance with Nasdaq Stock Market Rule 5635(c)(4), or (iv) the filing of a registration statement on Form S-8 under the Securities Act to register the offer and sale of securities on an equity incentive plan or employee stock purchase plan.</w:t>
      </w:r>
    </w:p>
    <w:p>
      <w:pPr>
        <w:spacing w:after="0" w:line="17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Consummation of the Spin-Off</w:t>
      </w:r>
      <w:r>
        <w:rPr>
          <w:rFonts w:ascii="Times New Roman" w:cs="Times New Roman" w:eastAsia="Times New Roman" w:hAnsi="Times New Roman"/>
          <w:sz w:val="18"/>
          <w:szCs w:val="18"/>
          <w:color w:val="auto"/>
        </w:rPr>
        <w:t>. Notwithstanding anything herein to the contrary, the Investors and the Selling Stockholder agree and acknowledge that (a) AnaptysBio, in its sole discretion, may decide not to consummate the Spin-Off, and (b) neither AnaptysBio nor the Company shall be liable to any Investors, the Selling Stockholder or any other person for any losses, claims, damages or liabilities that may result from AnaptysBio’s decision not to consummate the Spin-Off.</w:t>
      </w:r>
    </w:p>
    <w:p>
      <w:pPr>
        <w:spacing w:after="0" w:line="180" w:lineRule="exact"/>
        <w:rPr>
          <w:sz w:val="20"/>
          <w:szCs w:val="20"/>
          <w:color w:val="auto"/>
        </w:rPr>
      </w:pPr>
    </w:p>
    <w:p>
      <w:pPr>
        <w:ind w:left="624" w:hanging="184"/>
        <w:spacing w:after="0"/>
        <w:tabs>
          <w:tab w:leader="none" w:pos="6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Conditions to the Obligation of the Investors</w:t>
      </w:r>
      <w:r>
        <w:rPr>
          <w:rFonts w:ascii="Times New Roman" w:cs="Times New Roman" w:eastAsia="Times New Roman" w:hAnsi="Times New Roman"/>
          <w:sz w:val="18"/>
          <w:szCs w:val="18"/>
          <w:color w:val="auto"/>
        </w:rPr>
        <w:t>. The several obligations of each Investor to consummate the transactions to be consummated at the Closing, and to purchase and pay for the Securities being purchased by it at the Closing pursuant to this Agreement, are subject to the satisfaction or waiver in writing of the following conditions precedent:</w:t>
      </w:r>
    </w:p>
    <w:p>
      <w:pPr>
        <w:spacing w:after="0" w:line="176" w:lineRule="exact"/>
        <w:rPr>
          <w:sz w:val="20"/>
          <w:szCs w:val="20"/>
          <w:color w:val="auto"/>
        </w:rPr>
      </w:pPr>
    </w:p>
    <w:p>
      <w:pPr>
        <w:ind w:left="4" w:firstLine="1428"/>
        <w:spacing w:after="0" w:line="256" w:lineRule="auto"/>
        <w:tabs>
          <w:tab w:leader="none" w:pos="168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the Company and the Selling Stockholder contained herein shall be true and correct in all material respects, except for those representation and warranties qualified by materiality or Material Adverse Effect, which shall be true and correct in all respects, as of the date of this Agreement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w:t>
      </w:r>
    </w:p>
    <w:p>
      <w:pPr>
        <w:spacing w:after="0" w:line="187" w:lineRule="exact"/>
        <w:rPr>
          <w:rFonts w:ascii="Times New Roman" w:cs="Times New Roman" w:eastAsia="Times New Roman" w:hAnsi="Times New Roman"/>
          <w:sz w:val="18"/>
          <w:szCs w:val="18"/>
          <w:color w:val="auto"/>
        </w:rPr>
      </w:pPr>
    </w:p>
    <w:p>
      <w:pPr>
        <w:ind w:left="4" w:right="300" w:firstLine="1428"/>
        <w:spacing w:after="0" w:line="282" w:lineRule="auto"/>
        <w:tabs>
          <w:tab w:leader="none" w:pos="169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The Company shall have performed in all material respects the obligations and conditions herein required to be performed or observed by the Company on or prior to the Closing Date.</w:t>
      </w:r>
    </w:p>
    <w:p>
      <w:pPr>
        <w:spacing w:after="0" w:line="161" w:lineRule="exact"/>
        <w:rPr>
          <w:rFonts w:ascii="Times New Roman" w:cs="Times New Roman" w:eastAsia="Times New Roman" w:hAnsi="Times New Roman"/>
          <w:sz w:val="18"/>
          <w:szCs w:val="18"/>
          <w:color w:val="auto"/>
        </w:rPr>
      </w:pPr>
    </w:p>
    <w:p>
      <w:pPr>
        <w:ind w:left="4" w:right="160" w:firstLine="1428"/>
        <w:spacing w:after="0" w:line="261" w:lineRule="auto"/>
        <w:tabs>
          <w:tab w:leader="none" w:pos="168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No Amendments, modifications or waivers to the terms of the Separation Agreement (as it exists on the date hereof as provided to such Investor) from and after the date hereof shall have occurred that reasonably would be expected to materially and adversely affect the economic benefits that such Investor would expect under this Agreement without having received such Investor’s prior written consent.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35" w:name="page36"/>
    <w:bookmarkEnd w:id="35"/>
    <w:p>
      <w:pPr>
        <w:ind w:right="40" w:firstLine="1428"/>
        <w:spacing w:after="0" w:line="282" w:lineRule="auto"/>
        <w:tabs>
          <w:tab w:leader="none" w:pos="16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Consents</w:t>
      </w:r>
      <w:r>
        <w:rPr>
          <w:rFonts w:ascii="Times New Roman" w:cs="Times New Roman" w:eastAsia="Times New Roman" w:hAnsi="Times New Roman"/>
          <w:sz w:val="18"/>
          <w:szCs w:val="18"/>
          <w:color w:val="auto"/>
        </w:rPr>
        <w:t>. The Company shall have obtained any and all consents, permits, approvals, registrations and waivers necessary for the consummation of the purchase and sale of the Securities, all of which shall be in full force and effect.</w:t>
      </w:r>
    </w:p>
    <w:p>
      <w:pPr>
        <w:spacing w:after="0" w:line="161" w:lineRule="exact"/>
        <w:rPr>
          <w:rFonts w:ascii="Times New Roman" w:cs="Times New Roman" w:eastAsia="Times New Roman" w:hAnsi="Times New Roman"/>
          <w:sz w:val="18"/>
          <w:szCs w:val="18"/>
          <w:color w:val="auto"/>
        </w:rPr>
      </w:pPr>
    </w:p>
    <w:p>
      <w:pPr>
        <w:ind w:right="260" w:firstLine="1428"/>
        <w:spacing w:after="0" w:line="282" w:lineRule="auto"/>
        <w:tabs>
          <w:tab w:leader="none" w:pos="167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and the Selling Stockholder shall have furnished all required materials to the Transfer Agent to reflect the issuance and sale, as applicable, of the Shares at the Closing.</w:t>
      </w:r>
    </w:p>
    <w:p>
      <w:pPr>
        <w:spacing w:after="0" w:line="161" w:lineRule="exact"/>
        <w:rPr>
          <w:rFonts w:ascii="Times New Roman" w:cs="Times New Roman" w:eastAsia="Times New Roman" w:hAnsi="Times New Roman"/>
          <w:sz w:val="18"/>
          <w:szCs w:val="18"/>
          <w:color w:val="auto"/>
        </w:rPr>
      </w:pPr>
    </w:p>
    <w:p>
      <w:pPr>
        <w:ind w:right="560" w:firstLine="1428"/>
        <w:spacing w:after="0" w:line="282" w:lineRule="auto"/>
        <w:tabs>
          <w:tab w:leader="none" w:pos="16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Adverse Changes</w:t>
      </w:r>
      <w:r>
        <w:rPr>
          <w:rFonts w:ascii="Times New Roman" w:cs="Times New Roman" w:eastAsia="Times New Roman" w:hAnsi="Times New Roman"/>
          <w:sz w:val="18"/>
          <w:szCs w:val="18"/>
          <w:color w:val="auto"/>
        </w:rPr>
        <w:t>. Since the date of this Agreement, no event or series of events shall have occurred that has had or would reasonably be expected to have a Material Adverse Effect on the Company.</w:t>
      </w:r>
    </w:p>
    <w:p>
      <w:pPr>
        <w:spacing w:after="0" w:line="161" w:lineRule="exact"/>
        <w:rPr>
          <w:rFonts w:ascii="Times New Roman" w:cs="Times New Roman" w:eastAsia="Times New Roman" w:hAnsi="Times New Roman"/>
          <w:sz w:val="18"/>
          <w:szCs w:val="18"/>
          <w:color w:val="auto"/>
        </w:rPr>
      </w:pPr>
    </w:p>
    <w:p>
      <w:pPr>
        <w:ind w:right="740" w:firstLine="1428"/>
        <w:spacing w:after="0" w:line="282" w:lineRule="auto"/>
        <w:tabs>
          <w:tab w:leader="none" w:pos="16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Company Counsel</w:t>
      </w:r>
      <w:r>
        <w:rPr>
          <w:rFonts w:ascii="Times New Roman" w:cs="Times New Roman" w:eastAsia="Times New Roman" w:hAnsi="Times New Roman"/>
          <w:sz w:val="18"/>
          <w:szCs w:val="18"/>
          <w:color w:val="auto"/>
        </w:rPr>
        <w:t>. The Company shall have delivered to the Placement Agents with respect to the Shares a customary no registration opinion of Paul, Weiss, Rifkind, Wharton &amp; Garrison LLP, dated as of the Closing Date.</w:t>
      </w:r>
    </w:p>
    <w:p>
      <w:pPr>
        <w:spacing w:after="0" w:line="161" w:lineRule="exact"/>
        <w:rPr>
          <w:rFonts w:ascii="Times New Roman" w:cs="Times New Roman" w:eastAsia="Times New Roman" w:hAnsi="Times New Roman"/>
          <w:sz w:val="18"/>
          <w:szCs w:val="18"/>
          <w:color w:val="auto"/>
        </w:rPr>
      </w:pPr>
    </w:p>
    <w:p>
      <w:pPr>
        <w:ind w:right="220" w:firstLine="1428"/>
        <w:spacing w:after="0" w:line="261" w:lineRule="auto"/>
        <w:tabs>
          <w:tab w:leader="none" w:pos="16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 by the Company</w:t>
      </w:r>
      <w:r>
        <w:rPr>
          <w:rFonts w:ascii="Times New Roman" w:cs="Times New Roman" w:eastAsia="Times New Roman" w:hAnsi="Times New Roman"/>
          <w:sz w:val="18"/>
          <w:szCs w:val="18"/>
          <w:color w:val="auto"/>
        </w:rPr>
        <w:t xml:space="preserve">. An authorized officer of the Company shall have delivered to the Investors at the Closing Date a certificate certifying that the conditions specified, as to the Company, in </w:t>
      </w:r>
      <w:r>
        <w:rPr>
          <w:rFonts w:ascii="Times New Roman" w:cs="Times New Roman" w:eastAsia="Times New Roman" w:hAnsi="Times New Roman"/>
          <w:sz w:val="18"/>
          <w:szCs w:val="18"/>
          <w:u w:val="single" w:color="auto"/>
          <w:color w:val="auto"/>
        </w:rPr>
        <w:t>Sections 7.1(a)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Adverse Changes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Listing Requirements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Injunction</w:t>
      </w:r>
      <w:r>
        <w:rPr>
          <w:rFonts w:ascii="Times New Roman" w:cs="Times New Roman" w:eastAsia="Times New Roman" w:hAnsi="Times New Roman"/>
          <w:sz w:val="18"/>
          <w:szCs w:val="18"/>
          <w:color w:val="auto"/>
        </w:rPr>
        <w:t>) of this Agreement have been fulfilled.</w:t>
      </w:r>
    </w:p>
    <w:p>
      <w:pPr>
        <w:spacing w:after="0" w:line="179" w:lineRule="exact"/>
        <w:rPr>
          <w:rFonts w:ascii="Times New Roman" w:cs="Times New Roman" w:eastAsia="Times New Roman" w:hAnsi="Times New Roman"/>
          <w:sz w:val="18"/>
          <w:szCs w:val="18"/>
          <w:color w:val="auto"/>
        </w:rPr>
      </w:pPr>
    </w:p>
    <w:p>
      <w:pPr>
        <w:ind w:right="200" w:firstLine="1428"/>
        <w:spacing w:after="0" w:line="266" w:lineRule="auto"/>
        <w:tabs>
          <w:tab w:leader="none" w:pos="164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 by the Selling Stockholder</w:t>
      </w:r>
      <w:r>
        <w:rPr>
          <w:rFonts w:ascii="Times New Roman" w:cs="Times New Roman" w:eastAsia="Times New Roman" w:hAnsi="Times New Roman"/>
          <w:sz w:val="18"/>
          <w:szCs w:val="18"/>
          <w:color w:val="auto"/>
        </w:rPr>
        <w:t xml:space="preserve">. The Selling Stockholder shall have delivered to the Investors at the Closing Date a certificate certifying that the conditions specified in, as to the Selling Stockholder, </w:t>
      </w:r>
      <w:r>
        <w:rPr>
          <w:rFonts w:ascii="Times New Roman" w:cs="Times New Roman" w:eastAsia="Times New Roman" w:hAnsi="Times New Roman"/>
          <w:sz w:val="18"/>
          <w:szCs w:val="18"/>
          <w:u w:val="single" w:color="auto"/>
          <w:color w:val="auto"/>
        </w:rPr>
        <w:t>Sections 7.1(a)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Injunction</w:t>
      </w:r>
      <w:r>
        <w:rPr>
          <w:rFonts w:ascii="Times New Roman" w:cs="Times New Roman" w:eastAsia="Times New Roman" w:hAnsi="Times New Roman"/>
          <w:sz w:val="18"/>
          <w:szCs w:val="18"/>
          <w:color w:val="auto"/>
        </w:rPr>
        <w:t>) of this Agreement have been fulfilled.</w:t>
      </w:r>
    </w:p>
    <w:p>
      <w:pPr>
        <w:spacing w:after="0" w:line="175" w:lineRule="exact"/>
        <w:rPr>
          <w:rFonts w:ascii="Times New Roman" w:cs="Times New Roman" w:eastAsia="Times New Roman" w:hAnsi="Times New Roman"/>
          <w:sz w:val="18"/>
          <w:szCs w:val="18"/>
          <w:color w:val="auto"/>
        </w:rPr>
      </w:pPr>
    </w:p>
    <w:p>
      <w:pPr>
        <w:ind w:firstLine="1428"/>
        <w:spacing w:after="0" w:line="261" w:lineRule="auto"/>
        <w:tabs>
          <w:tab w:leader="none" w:pos="164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An authorized officer of the Company shall have delivered to the Investors at the Closing Date a certificate certifying (i) the Amended and Restated Certificate of Incorporation; (ii) the Restated Bylaws; and (iii) resolutions of the Company’s Board of Directors (or an authorized committee thereof) approving this Agreement, the other Transaction Agreements, the transactions contemplated by this Agreement and the issuance of the Securities.</w:t>
      </w:r>
    </w:p>
    <w:p>
      <w:pPr>
        <w:spacing w:after="0" w:line="179" w:lineRule="exact"/>
        <w:rPr>
          <w:rFonts w:ascii="Times New Roman" w:cs="Times New Roman" w:eastAsia="Times New Roman" w:hAnsi="Times New Roman"/>
          <w:sz w:val="18"/>
          <w:szCs w:val="18"/>
          <w:color w:val="auto"/>
        </w:rPr>
      </w:pPr>
    </w:p>
    <w:p>
      <w:pPr>
        <w:ind w:right="100" w:firstLine="1428"/>
        <w:spacing w:after="0" w:line="282" w:lineRule="auto"/>
        <w:tabs>
          <w:tab w:leader="none" w:pos="16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The Company shall have executed and delivered the Registration Rights Agreement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to the Investors.</w:t>
      </w:r>
    </w:p>
    <w:p>
      <w:pPr>
        <w:spacing w:after="0" w:line="161" w:lineRule="exact"/>
        <w:rPr>
          <w:rFonts w:ascii="Times New Roman" w:cs="Times New Roman" w:eastAsia="Times New Roman" w:hAnsi="Times New Roman"/>
          <w:sz w:val="18"/>
          <w:szCs w:val="18"/>
          <w:color w:val="auto"/>
        </w:rPr>
      </w:pPr>
    </w:p>
    <w:p>
      <w:pPr>
        <w:ind w:right="200" w:firstLine="1428"/>
        <w:spacing w:after="0" w:line="256" w:lineRule="auto"/>
        <w:tabs>
          <w:tab w:leader="none" w:pos="164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Requirements</w:t>
      </w:r>
      <w:r>
        <w:rPr>
          <w:rFonts w:ascii="Times New Roman" w:cs="Times New Roman" w:eastAsia="Times New Roman" w:hAnsi="Times New Roman"/>
          <w:sz w:val="18"/>
          <w:szCs w:val="18"/>
          <w:color w:val="auto"/>
        </w:rPr>
        <w:t>. No stop order or suspension of trading shall have been imposed by Nasdaq, the SEC or any other governmental or regulatory body with respect to public trading in the Common Stock. The Common Stock shall be listed on a National Exchange and shall not have been suspended, as of the Closing Date, by the SEC or the National Exchange from trading thereon nor shall suspension by the SEC or the National Exchange have been threatened, as of the Closing Date, in writing by the SEC or the National Exchange; and the Company shall, to the extent required, have filed with Nasdaq a Notification Form: Listing of Additional Shares for the listing of the Shares and Nasdaq shall have raised no objection to such notice and the transactions contemplated hereby.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36" w:name="page37"/>
    <w:bookmarkEnd w:id="36"/>
    <w:p>
      <w:pPr>
        <w:ind w:left="1740" w:hanging="312"/>
        <w:spacing w:after="0"/>
        <w:tabs>
          <w:tab w:leader="none" w:pos="1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10 Effectiveness</w:t>
      </w:r>
      <w:r>
        <w:rPr>
          <w:rFonts w:ascii="Times New Roman" w:cs="Times New Roman" w:eastAsia="Times New Roman" w:hAnsi="Times New Roman"/>
          <w:sz w:val="18"/>
          <w:szCs w:val="18"/>
          <w:color w:val="auto"/>
        </w:rPr>
        <w:t>. The Form 10 shall have been declared effective by the SEC.</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AnaptysBio and the Company shall have completed the Distribution substantially on the terms described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Agreement.</w:t>
      </w:r>
    </w:p>
    <w:p>
      <w:pPr>
        <w:spacing w:after="0" w:line="206" w:lineRule="exact"/>
        <w:rPr>
          <w:rFonts w:ascii="Times New Roman" w:cs="Times New Roman" w:eastAsia="Times New Roman" w:hAnsi="Times New Roman"/>
          <w:sz w:val="18"/>
          <w:szCs w:val="18"/>
          <w:color w:val="auto"/>
        </w:rPr>
      </w:pPr>
    </w:p>
    <w:p>
      <w:pPr>
        <w:ind w:firstLine="1428"/>
        <w:spacing w:after="0" w:line="261" w:lineRule="auto"/>
        <w:tabs>
          <w:tab w:leader="none" w:pos="168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hereby or in the other Transaction Agreements.</w:t>
      </w:r>
    </w:p>
    <w:p>
      <w:pPr>
        <w:spacing w:after="0" w:line="179" w:lineRule="exact"/>
        <w:rPr>
          <w:rFonts w:ascii="Times New Roman" w:cs="Times New Roman" w:eastAsia="Times New Roman" w:hAnsi="Times New Roman"/>
          <w:sz w:val="18"/>
          <w:szCs w:val="18"/>
          <w:color w:val="auto"/>
        </w:rPr>
      </w:pPr>
    </w:p>
    <w:p>
      <w:pPr>
        <w:ind w:right="60" w:firstLine="1428"/>
        <w:spacing w:after="0" w:line="289" w:lineRule="auto"/>
        <w:tabs>
          <w:tab w:leader="none" w:pos="168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xml:space="preserve">. Except as may be agreed to among the Company, the Selling Stockholder and one or more Investors in accordance with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the Company and the Selling Stockholder, as applicable, shall have received payment, by wire transfer of immediately available funds, in the full amount of the purchase price for the number of Securities being purchased by each other Investor at the Closing as set forth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Conditions to the Obligation of the Company</w:t>
      </w:r>
      <w:r>
        <w:rPr>
          <w:rFonts w:ascii="Times New Roman" w:cs="Times New Roman" w:eastAsia="Times New Roman" w:hAnsi="Times New Roman"/>
          <w:sz w:val="18"/>
          <w:szCs w:val="18"/>
          <w:color w:val="auto"/>
        </w:rPr>
        <w:t>.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w:t>
      </w:r>
    </w:p>
    <w:p>
      <w:pPr>
        <w:spacing w:after="0" w:line="176" w:lineRule="exact"/>
        <w:rPr>
          <w:sz w:val="20"/>
          <w:szCs w:val="20"/>
          <w:color w:val="auto"/>
        </w:rPr>
      </w:pPr>
    </w:p>
    <w:p>
      <w:pPr>
        <w:ind w:right="100" w:firstLine="1428"/>
        <w:spacing w:after="0" w:line="261" w:lineRule="auto"/>
        <w:tabs>
          <w:tab w:leader="none" w:pos="167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each Investor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hereto shall be true and correct on and as of the Closing Date, with the same force and effect as though made on and as of the Closing Date and consummation of the Closing shall constitute a reaffirmation by the Investor of each of the representations, warranties, covenants and agreements of the Investor contained in this Agreement as of the Closing Date.</w:t>
      </w:r>
    </w:p>
    <w:p>
      <w:pPr>
        <w:spacing w:after="0" w:line="179" w:lineRule="exact"/>
        <w:rPr>
          <w:rFonts w:ascii="Times New Roman" w:cs="Times New Roman" w:eastAsia="Times New Roman" w:hAnsi="Times New Roman"/>
          <w:sz w:val="18"/>
          <w:szCs w:val="18"/>
          <w:color w:val="auto"/>
        </w:rPr>
      </w:pPr>
    </w:p>
    <w:p>
      <w:pPr>
        <w:ind w:right="160" w:firstLine="1428"/>
        <w:spacing w:after="0" w:line="282" w:lineRule="auto"/>
        <w:tabs>
          <w:tab w:leader="none" w:pos="168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Each Investor shall have performed or complied with in all material respects all obligations and conditions herein required to be performed or observed by such Investor on or prior to the Closing Date.</w:t>
      </w:r>
    </w:p>
    <w:p>
      <w:pPr>
        <w:spacing w:after="0" w:line="161" w:lineRule="exact"/>
        <w:rPr>
          <w:rFonts w:ascii="Times New Roman" w:cs="Times New Roman" w:eastAsia="Times New Roman" w:hAnsi="Times New Roman"/>
          <w:sz w:val="18"/>
          <w:szCs w:val="18"/>
          <w:color w:val="auto"/>
        </w:rPr>
      </w:pPr>
    </w:p>
    <w:p>
      <w:pPr>
        <w:ind w:right="240" w:firstLine="1428"/>
        <w:spacing w:after="0" w:line="261" w:lineRule="auto"/>
        <w:tabs>
          <w:tab w:leader="none" w:pos="167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Requirements</w:t>
      </w:r>
      <w:r>
        <w:rPr>
          <w:rFonts w:ascii="Times New Roman" w:cs="Times New Roman" w:eastAsia="Times New Roman" w:hAnsi="Times New Roman"/>
          <w:sz w:val="18"/>
          <w:szCs w:val="18"/>
          <w:color w:val="auto"/>
        </w:rPr>
        <w:t>. No stop order or suspension of trading shall have been imposed by Nasdaq, the SEC or any other governmental or regulatory body with respect to public trading in the Common Stock. The Common Stock shall be listed on a National Exchange and shall not have been suspended, as of the Closing Date, by the SEC or the National Exchange from trading thereon nor shall suspension by the SEC or the National Exchange have been threatened, as of the Closing Date, in writing by the SEC or the National Exchange.</w:t>
      </w:r>
    </w:p>
    <w:p>
      <w:pPr>
        <w:spacing w:after="0" w:line="179"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10 Effectiveness</w:t>
      </w:r>
      <w:r>
        <w:rPr>
          <w:rFonts w:ascii="Times New Roman" w:cs="Times New Roman" w:eastAsia="Times New Roman" w:hAnsi="Times New Roman"/>
          <w:sz w:val="18"/>
          <w:szCs w:val="18"/>
          <w:color w:val="auto"/>
        </w:rPr>
        <w:t>. The Form 10 shall have been declared effective by the SEC.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70" w:right="439" w:bottom="1440" w:gutter="0" w:footer="0" w:header="0"/>
        </w:sectPr>
      </w:pPr>
    </w:p>
    <w:bookmarkStart w:id="37" w:name="page38"/>
    <w:bookmarkEnd w:id="37"/>
    <w:p>
      <w:pPr>
        <w:ind w:left="1680" w:hanging="252"/>
        <w:spacing w:after="0"/>
        <w:tabs>
          <w:tab w:leader="none" w:pos="1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Distribution</w:t>
      </w:r>
      <w:r>
        <w:rPr>
          <w:rFonts w:ascii="Times New Roman" w:cs="Times New Roman" w:eastAsia="Times New Roman" w:hAnsi="Times New Roman"/>
          <w:sz w:val="18"/>
          <w:szCs w:val="18"/>
          <w:color w:val="auto"/>
        </w:rPr>
        <w:t>. AnaptysBio and the Company shall have completed the Distribution substantially on the terms described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Agreement.</w:t>
      </w:r>
    </w:p>
    <w:p>
      <w:pPr>
        <w:spacing w:after="0" w:line="206" w:lineRule="exact"/>
        <w:rPr>
          <w:rFonts w:ascii="Times New Roman" w:cs="Times New Roman" w:eastAsia="Times New Roman" w:hAnsi="Times New Roman"/>
          <w:sz w:val="18"/>
          <w:szCs w:val="18"/>
          <w:color w:val="auto"/>
        </w:rPr>
      </w:pPr>
    </w:p>
    <w:p>
      <w:pPr>
        <w:ind w:left="1660" w:hanging="232"/>
        <w:spacing w:after="0"/>
        <w:tabs>
          <w:tab w:leader="none" w:pos="1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Sale of Shares</w:t>
      </w:r>
      <w:r>
        <w:rPr>
          <w:rFonts w:ascii="Times New Roman" w:cs="Times New Roman" w:eastAsia="Times New Roman" w:hAnsi="Times New Roman"/>
          <w:sz w:val="18"/>
          <w:szCs w:val="18"/>
          <w:color w:val="auto"/>
        </w:rPr>
        <w:t>. The sale of Shares at the Closing shall result in aggregate gross proceeds to the Company of at least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$80,000,000.</w:t>
      </w:r>
    </w:p>
    <w:p>
      <w:pPr>
        <w:spacing w:after="0" w:line="206" w:lineRule="exact"/>
        <w:rPr>
          <w:rFonts w:ascii="Times New Roman" w:cs="Times New Roman" w:eastAsia="Times New Roman" w:hAnsi="Times New Roman"/>
          <w:sz w:val="18"/>
          <w:szCs w:val="18"/>
          <w:color w:val="auto"/>
        </w:rPr>
      </w:pPr>
    </w:p>
    <w:p>
      <w:pPr>
        <w:ind w:right="220" w:firstLine="1428"/>
        <w:spacing w:after="0" w:line="282" w:lineRule="auto"/>
        <w:tabs>
          <w:tab w:leader="none" w:pos="16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Injunction</w:t>
      </w:r>
      <w:r>
        <w:rPr>
          <w:rFonts w:ascii="Times New Roman" w:cs="Times New Roman" w:eastAsia="Times New Roman" w:hAnsi="Times New Roman"/>
          <w:sz w:val="18"/>
          <w:szCs w:val="18"/>
          <w:color w:val="auto"/>
        </w:rPr>
        <w:t>. The purchase of and payment for the Securities by each Investor shall not be prohibited or enjoined by any law or governmental or court order or regulation.</w:t>
      </w:r>
    </w:p>
    <w:p>
      <w:pPr>
        <w:spacing w:after="0" w:line="161" w:lineRule="exact"/>
        <w:rPr>
          <w:rFonts w:ascii="Times New Roman" w:cs="Times New Roman" w:eastAsia="Times New Roman" w:hAnsi="Times New Roman"/>
          <w:sz w:val="18"/>
          <w:szCs w:val="18"/>
          <w:color w:val="auto"/>
        </w:rPr>
      </w:pPr>
    </w:p>
    <w:p>
      <w:pPr>
        <w:ind w:right="440" w:firstLine="1428"/>
        <w:spacing w:after="0" w:line="282" w:lineRule="auto"/>
        <w:tabs>
          <w:tab w:leader="none" w:pos="16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Each Investor shall have executed and delivered the Registration Rights Agreement to the Company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1428"/>
        <w:spacing w:after="0" w:line="266" w:lineRule="auto"/>
        <w:tabs>
          <w:tab w:leader="none" w:pos="164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Except as may be agreed to among the Company and such Investor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the Company shall have received payment, by wire transfer of immediately available funds, in the full amount of the purchase price for the number of Securities being purchased by each Investor at the Closing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Conditions to the Obligation of the Selling Stockholder</w:t>
      </w:r>
      <w:r>
        <w:rPr>
          <w:rFonts w:ascii="Times New Roman" w:cs="Times New Roman" w:eastAsia="Times New Roman" w:hAnsi="Times New Roman"/>
          <w:sz w:val="18"/>
          <w:szCs w:val="18"/>
          <w:color w:val="auto"/>
        </w:rPr>
        <w:t>. The obligation of the Selling Stockholder to consummate the transactions to be consummated at the Closing, and to issue and sell to each Investor the Securities to be purchased by it at the Closing pursuant to this Agreement, is subject to the satisfaction or waiver in writing of the following conditions precedent:</w:t>
      </w:r>
    </w:p>
    <w:p>
      <w:pPr>
        <w:spacing w:after="0" w:line="176" w:lineRule="exact"/>
        <w:rPr>
          <w:sz w:val="20"/>
          <w:szCs w:val="20"/>
          <w:color w:val="auto"/>
        </w:rPr>
      </w:pPr>
    </w:p>
    <w:p>
      <w:pPr>
        <w:ind w:firstLine="1428"/>
        <w:spacing w:after="0" w:line="261" w:lineRule="auto"/>
        <w:tabs>
          <w:tab w:leader="none" w:pos="167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each Investor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hereto shall be true and correct on and as of the Closing Date, with the same force and effect as though made on and as of the Closing Date and consummation of the Closing shall constitute a reaffirmation by the Investor of each of the representations, warranties, covenants and agreements of the Investor contained in this Agreement as of the Closing Date.</w:t>
      </w:r>
    </w:p>
    <w:p>
      <w:pPr>
        <w:spacing w:after="0" w:line="179" w:lineRule="exact"/>
        <w:rPr>
          <w:rFonts w:ascii="Times New Roman" w:cs="Times New Roman" w:eastAsia="Times New Roman" w:hAnsi="Times New Roman"/>
          <w:sz w:val="18"/>
          <w:szCs w:val="18"/>
          <w:color w:val="auto"/>
        </w:rPr>
      </w:pPr>
    </w:p>
    <w:p>
      <w:pPr>
        <w:ind w:right="60" w:firstLine="1428"/>
        <w:spacing w:after="0" w:line="282" w:lineRule="auto"/>
        <w:tabs>
          <w:tab w:leader="none" w:pos="16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Each Investor shall have performed or complied with in all material respects all obligations and conditions herein required to be performed or observed by such Investor on or prior to the Closing Date.</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10 Effectiveness</w:t>
      </w:r>
      <w:r>
        <w:rPr>
          <w:rFonts w:ascii="Times New Roman" w:cs="Times New Roman" w:eastAsia="Times New Roman" w:hAnsi="Times New Roman"/>
          <w:sz w:val="18"/>
          <w:szCs w:val="18"/>
          <w:color w:val="auto"/>
        </w:rPr>
        <w:t>. The Form 10 shall have been declared effective by the SEC.</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AnaptysBio and the Company shall have completed the Distribution substantially on the terms described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Agreement</w:t>
      </w:r>
    </w:p>
    <w:p>
      <w:pPr>
        <w:spacing w:after="0" w:line="206"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Sale of Shares</w:t>
      </w:r>
      <w:r>
        <w:rPr>
          <w:rFonts w:ascii="Times New Roman" w:cs="Times New Roman" w:eastAsia="Times New Roman" w:hAnsi="Times New Roman"/>
          <w:sz w:val="18"/>
          <w:szCs w:val="18"/>
          <w:color w:val="auto"/>
        </w:rPr>
        <w:t>. The sale of Shares at the Closing shall result in aggregate gross proceeds to the Selling Stockholder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$65,000,000.</w:t>
      </w:r>
    </w:p>
    <w:p>
      <w:pPr>
        <w:spacing w:after="0" w:line="206" w:lineRule="exact"/>
        <w:rPr>
          <w:rFonts w:ascii="Times New Roman" w:cs="Times New Roman" w:eastAsia="Times New Roman" w:hAnsi="Times New Roman"/>
          <w:sz w:val="18"/>
          <w:szCs w:val="18"/>
          <w:color w:val="auto"/>
        </w:rPr>
      </w:pPr>
    </w:p>
    <w:p>
      <w:pPr>
        <w:ind w:right="260" w:firstLine="1428"/>
        <w:spacing w:after="0" w:line="282" w:lineRule="auto"/>
        <w:tabs>
          <w:tab w:leader="none" w:pos="165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Injunction</w:t>
      </w:r>
      <w:r>
        <w:rPr>
          <w:rFonts w:ascii="Times New Roman" w:cs="Times New Roman" w:eastAsia="Times New Roman" w:hAnsi="Times New Roman"/>
          <w:sz w:val="18"/>
          <w:szCs w:val="18"/>
          <w:color w:val="auto"/>
        </w:rPr>
        <w:t>. The purchase of and payment for the Securities by each Investor shall not be prohibited or enjoined by any law or governmental or court order or regulation.</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20"/>
          </w:cols>
          <w:pgMar w:left="440" w:top="270" w:right="539" w:bottom="1440" w:gutter="0" w:footer="0" w:header="0"/>
        </w:sectPr>
      </w:pPr>
    </w:p>
    <w:bookmarkStart w:id="38" w:name="page39"/>
    <w:bookmarkEnd w:id="38"/>
    <w:p>
      <w:pPr>
        <w:ind w:right="460" w:firstLine="1428"/>
        <w:spacing w:after="0" w:line="266" w:lineRule="auto"/>
        <w:tabs>
          <w:tab w:leader="none" w:pos="168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w:t>
      </w:r>
      <w:r>
        <w:rPr>
          <w:rFonts w:ascii="Times New Roman" w:cs="Times New Roman" w:eastAsia="Times New Roman" w:hAnsi="Times New Roman"/>
          <w:sz w:val="18"/>
          <w:szCs w:val="18"/>
          <w:color w:val="auto"/>
        </w:rPr>
        <w:t xml:space="preserve">. Except as may be agreed to among the Selling Stockholder and such Investor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the Selling Stockholder shall have received payment, by wire transfer of immediately available funds, in the full amount of the purchase price for the number of Securities being purchased by each Investor at the Closing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obligations of the Company and the Selling Stockholder, on the one hand, and the Investors, on the other hand, to effect the Closing shall terminate as follows:</w:t>
      </w:r>
    </w:p>
    <w:p>
      <w:pPr>
        <w:spacing w:after="0" w:line="162" w:lineRule="exact"/>
        <w:rPr>
          <w:sz w:val="20"/>
          <w:szCs w:val="20"/>
          <w:color w:val="auto"/>
        </w:rPr>
      </w:pPr>
    </w:p>
    <w:p>
      <w:pPr>
        <w:ind w:left="2200" w:hanging="221"/>
        <w:spacing w:after="0"/>
        <w:tabs>
          <w:tab w:leader="none" w:pos="2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date that the board of directors of AnaptysBio elects to not move forward with the Spin-Off;</w:t>
      </w:r>
    </w:p>
    <w:p>
      <w:pPr>
        <w:spacing w:after="0" w:line="225" w:lineRule="exact"/>
        <w:rPr>
          <w:rFonts w:ascii="Times New Roman" w:cs="Times New Roman" w:eastAsia="Times New Roman" w:hAnsi="Times New Roman"/>
          <w:sz w:val="18"/>
          <w:szCs w:val="18"/>
          <w:color w:val="auto"/>
        </w:rPr>
      </w:pPr>
    </w:p>
    <w:p>
      <w:pPr>
        <w:ind w:right="300" w:firstLine="1979"/>
        <w:spacing w:after="0" w:line="282" w:lineRule="auto"/>
        <w:tabs>
          <w:tab w:leader="none" w:pos="22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mutual written consent of the Company, the Selling Stockholder and the Investors that agreed to purchase a majority of the Securities prior to the Closing;</w:t>
      </w:r>
    </w:p>
    <w:p>
      <w:pPr>
        <w:spacing w:after="0" w:line="161" w:lineRule="exact"/>
        <w:rPr>
          <w:rFonts w:ascii="Times New Roman" w:cs="Times New Roman" w:eastAsia="Times New Roman" w:hAnsi="Times New Roman"/>
          <w:sz w:val="18"/>
          <w:szCs w:val="18"/>
          <w:color w:val="auto"/>
        </w:rPr>
      </w:pPr>
    </w:p>
    <w:p>
      <w:pPr>
        <w:ind w:right="220" w:firstLine="1979"/>
        <w:spacing w:after="0" w:line="282" w:lineRule="auto"/>
        <w:tabs>
          <w:tab w:leader="none" w:pos="229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any of the conditions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shall have become incapable of fulfillment, and shall not have been waived by the Company;</w:t>
      </w:r>
    </w:p>
    <w:p>
      <w:pPr>
        <w:spacing w:after="0" w:line="161" w:lineRule="exact"/>
        <w:rPr>
          <w:rFonts w:ascii="Times New Roman" w:cs="Times New Roman" w:eastAsia="Times New Roman" w:hAnsi="Times New Roman"/>
          <w:sz w:val="18"/>
          <w:szCs w:val="18"/>
          <w:color w:val="auto"/>
        </w:rPr>
      </w:pPr>
    </w:p>
    <w:p>
      <w:pPr>
        <w:ind w:right="200" w:firstLine="1979"/>
        <w:spacing w:after="0" w:line="282" w:lineRule="auto"/>
        <w:tabs>
          <w:tab w:leader="none" w:pos="22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Selling Stockholder if any of the conditions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have become incapable of fulfillment, and shall not have been waived by the Selling Stockholder;</w:t>
      </w:r>
    </w:p>
    <w:p>
      <w:pPr>
        <w:spacing w:after="0" w:line="161" w:lineRule="exact"/>
        <w:rPr>
          <w:rFonts w:ascii="Times New Roman" w:cs="Times New Roman" w:eastAsia="Times New Roman" w:hAnsi="Times New Roman"/>
          <w:sz w:val="18"/>
          <w:szCs w:val="18"/>
          <w:color w:val="auto"/>
        </w:rPr>
      </w:pPr>
    </w:p>
    <w:p>
      <w:pPr>
        <w:ind w:firstLine="1979"/>
        <w:spacing w:after="0" w:line="282" w:lineRule="auto"/>
        <w:tabs>
          <w:tab w:leader="none" w:pos="223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an Investor (with respect to itself only) if any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have become incapable of fulfillment, and shall not have been waived by such Investor;</w:t>
      </w:r>
    </w:p>
    <w:p>
      <w:pPr>
        <w:spacing w:after="0" w:line="161" w:lineRule="exact"/>
        <w:rPr>
          <w:rFonts w:ascii="Times New Roman" w:cs="Times New Roman" w:eastAsia="Times New Roman" w:hAnsi="Times New Roman"/>
          <w:sz w:val="18"/>
          <w:szCs w:val="18"/>
          <w:color w:val="auto"/>
        </w:rPr>
      </w:pPr>
    </w:p>
    <w:p>
      <w:pPr>
        <w:ind w:right="480" w:firstLine="1979"/>
        <w:spacing w:after="0" w:line="282" w:lineRule="auto"/>
        <w:tabs>
          <w:tab w:leader="none" w:pos="22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the Selling Stockholder or an Investor (with respect to itself only) if the Closing has not occurred on or prior to the fifth Business Day following the date of the Spin-Off; or</w:t>
      </w:r>
    </w:p>
    <w:p>
      <w:pPr>
        <w:spacing w:after="0" w:line="161" w:lineRule="exact"/>
        <w:rPr>
          <w:rFonts w:ascii="Times New Roman" w:cs="Times New Roman" w:eastAsia="Times New Roman" w:hAnsi="Times New Roman"/>
          <w:sz w:val="18"/>
          <w:szCs w:val="18"/>
          <w:color w:val="auto"/>
        </w:rPr>
      </w:pPr>
    </w:p>
    <w:p>
      <w:pPr>
        <w:ind w:left="2340" w:hanging="361"/>
        <w:spacing w:after="0"/>
        <w:tabs>
          <w:tab w:leader="none" w:pos="2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 Investor (with respect to itself only) if the Spin-Off has not been consummated by May 26, 2026;</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provided, however, that, in the case of clauses (iii), (iv)and (v)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spacing w:after="0" w:line="176"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In the event of termination by the Company, the Selling Stockholder or the Investor of its obligations to effect the Closing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written notice thereof shall be given to the other Investors by the Company and Selling Stockholder, as applicable. Nothing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70" w:right="479" w:bottom="1440" w:gutter="0" w:footer="0" w:header="0"/>
        </w:sectPr>
      </w:pPr>
    </w:p>
    <w:bookmarkStart w:id="39" w:name="page40"/>
    <w:bookmarkEnd w:id="39"/>
    <w:p>
      <w:pPr>
        <w:ind w:left="624" w:hanging="184"/>
        <w:spacing w:after="0"/>
        <w:tabs>
          <w:tab w:leader="none" w:pos="6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Public Statements or Releases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neither the Company, nor the Selling Stockholder, nor any Investor shall make any public announcement with respect to the existence or terms of this Agreement or the transactions provided for herein without the prior consent of the other party (which consent shall not be unreasonably withheld). Notwithstanding the foregoing, and subject to compliance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shall prevent any party from making any public announcement or filing with the SEC it considers necessary in order to satisfy its obligations under the law, including applicable securities laws, or under the rules of any national securities exchange or securities market, provided that in the case of a public announcement the Company and the Selling Stockholder shall allow the Investors reasonable time to comment on such release or announcement in advance of such issuance, and the Company and the Selling Stockholder will consider in good faith any Investor comments. The Company and the Selling Stockholder shall not include the name of any Investor in any press release or public announcement (which, for the avoidance of doubt, shall not include any filing with the SEC if so required by the applicable rules of the SEC) without the prior written consent of such Investor, except as otherwise required by law or the applicable rules or regulations of any securities exchange or securities market, in which case the Company and the Selling Stockholder shall allow such Investor, to the extent reasonably practicable in the circumstances, reasonable time to comment on such release or announcement in advance of such issuance.</w:t>
      </w:r>
    </w:p>
    <w:p>
      <w:pPr>
        <w:spacing w:after="0" w:line="190" w:lineRule="exact"/>
        <w:rPr>
          <w:sz w:val="20"/>
          <w:szCs w:val="20"/>
          <w:color w:val="auto"/>
        </w:rPr>
      </w:pPr>
    </w:p>
    <w:p>
      <w:pPr>
        <w:ind w:left="4" w:right="60" w:firstLine="991"/>
        <w:spacing w:after="0" w:line="270" w:lineRule="auto"/>
        <w:rPr>
          <w:sz w:val="20"/>
          <w:szCs w:val="20"/>
          <w:color w:val="auto"/>
        </w:rPr>
      </w:pPr>
      <w:r>
        <w:rPr>
          <w:rFonts w:ascii="Times New Roman" w:cs="Times New Roman" w:eastAsia="Times New Roman" w:hAnsi="Times New Roman"/>
          <w:sz w:val="17"/>
          <w:szCs w:val="17"/>
          <w:color w:val="auto"/>
        </w:rPr>
        <w:t xml:space="preserve">9.2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w:t>
      </w:r>
    </w:p>
    <w:p>
      <w:pPr>
        <w:spacing w:after="0" w:line="3" w:lineRule="exact"/>
        <w:rPr>
          <w:sz w:val="20"/>
          <w:szCs w:val="20"/>
          <w:color w:val="auto"/>
        </w:rPr>
      </w:pPr>
    </w:p>
    <w:p>
      <w:pPr>
        <w:ind w:left="4" w:hanging="4"/>
        <w:spacing w:after="0" w:line="260" w:lineRule="auto"/>
        <w:tabs>
          <w:tab w:leader="none" w:pos="2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Business Day after deposit with a nationally recognized overnight courier, freight prepaid, specifying next business day delivery, with written verification of receipt:</w:t>
      </w:r>
    </w:p>
    <w:p>
      <w:pPr>
        <w:spacing w:after="0" w:line="181"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addressed as follows:</w:t>
      </w:r>
    </w:p>
    <w:p>
      <w:pPr>
        <w:spacing w:after="0" w:line="225"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First Tracks Biotherapeutics, Inc.</w:t>
      </w:r>
    </w:p>
    <w:p>
      <w:pPr>
        <w:spacing w:after="0" w:line="27"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10770 Wateridge Circle, Suite 210</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Attention: Dan Faga</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70" w:right="459" w:bottom="1440" w:gutter="0" w:footer="0" w:header="0"/>
        </w:sectPr>
      </w:pPr>
    </w:p>
    <w:bookmarkStart w:id="40" w:name="page41"/>
    <w:bookmarkEnd w:id="40"/>
    <w:p>
      <w:pPr>
        <w:ind w:left="16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(which shall not constitute notice):</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New York, New York 10019-6064</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Benjamin M. Goodchild</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Tim Cruickshank</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Christodoulos Kaoutzanis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BGoodchild@paulweiss.com</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tcruickshank@paulweiss.com</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ckaoutzanis@paulweiss.com</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 If to the Selling Stockholder, addressed as follows:</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EcoR1 Capital Fund Qualified, L.P.</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357 Tehama Street #3</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San Francisco, California 94103</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Sarah Marriott</w:t>
      </w:r>
    </w:p>
    <w:p>
      <w:pPr>
        <w:spacing w:after="0" w:line="20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with a copy (which shall not constitute notice):</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800 Boylston Street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Boston, Massachusetts 02199-3600</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William J. Michener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William.Michener@ropesgray.com</w:t>
      </w:r>
    </w:p>
    <w:p>
      <w:pPr>
        <w:spacing w:after="0" w:line="207" w:lineRule="exact"/>
        <w:rPr>
          <w:sz w:val="20"/>
          <w:szCs w:val="20"/>
          <w:color w:val="auto"/>
        </w:rPr>
      </w:pPr>
    </w:p>
    <w:p>
      <w:pPr>
        <w:ind w:right="320" w:firstLine="1428"/>
        <w:spacing w:after="0" w:line="282" w:lineRule="auto"/>
        <w:tabs>
          <w:tab w:leader="none" w:pos="167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Investor, at its address or e-mail address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address as subsequently modified by written notice given in accordance with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Person may change the address to which notices and communications to it are to be addressed by notification as provided for herein.</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Consent to Electronic Notice</w:t>
      </w:r>
      <w:r>
        <w:rPr>
          <w:rFonts w:ascii="Times New Roman" w:cs="Times New Roman" w:eastAsia="Times New Roman" w:hAnsi="Times New Roman"/>
          <w:sz w:val="18"/>
          <w:szCs w:val="18"/>
          <w:color w:val="auto"/>
        </w:rPr>
        <w:t>. Subject to applicable requirements under applicable federal and state securities law, each Investor consents to the delivery of any stockholder notice pursuant to Section 232 of the Delaware General Corporation Law, as amended or superseded from time to time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xml:space="preserve">”), at the e-mail address set forth below the Investor’s name on the signature page or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spacing w:after="0" w:line="189"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41" w:name="page42"/>
    <w:bookmarkEnd w:id="4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9.5 </w:t>
      </w:r>
      <w:r>
        <w:rPr>
          <w:rFonts w:ascii="Times New Roman" w:cs="Times New Roman" w:eastAsia="Times New Roman" w:hAnsi="Times New Roman"/>
          <w:sz w:val="18"/>
          <w:szCs w:val="18"/>
          <w:u w:val="single" w:color="auto"/>
          <w:color w:val="auto"/>
        </w:rPr>
        <w:t>Governing Law; Submission to Jurisdiction; Venue; Waiver of Trial by Jury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1428"/>
        <w:spacing w:after="0" w:line="282" w:lineRule="auto"/>
        <w:tabs>
          <w:tab w:leader="none" w:pos="167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without regard to choice of laws or conflicts of laws provisions thereof that would require the application of the laws of any other jurisdiction.</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Investors hereby irrevocably and unconditionally:</w:t>
      </w:r>
    </w:p>
    <w:p>
      <w:pPr>
        <w:spacing w:after="0" w:line="225" w:lineRule="exact"/>
        <w:rPr>
          <w:rFonts w:ascii="Times New Roman" w:cs="Times New Roman" w:eastAsia="Times New Roman" w:hAnsi="Times New Roman"/>
          <w:sz w:val="18"/>
          <w:szCs w:val="18"/>
          <w:color w:val="auto"/>
        </w:rPr>
      </w:pPr>
    </w:p>
    <w:p>
      <w:pPr>
        <w:ind w:right="80" w:firstLine="1979"/>
        <w:spacing w:after="0" w:line="266" w:lineRule="auto"/>
        <w:tabs>
          <w:tab w:leader="none" w:pos="219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solely to this Agreement or the transactions contemplated hereby, to the general jurisdiction of any state court or United States Federal court sitting in the Borough of Manhattan, City of New York in the State of New York;</w:t>
      </w:r>
    </w:p>
    <w:p>
      <w:pPr>
        <w:spacing w:after="0" w:line="175" w:lineRule="exact"/>
        <w:rPr>
          <w:rFonts w:ascii="Times New Roman" w:cs="Times New Roman" w:eastAsia="Times New Roman" w:hAnsi="Times New Roman"/>
          <w:sz w:val="18"/>
          <w:szCs w:val="18"/>
          <w:color w:val="auto"/>
        </w:rPr>
      </w:pPr>
    </w:p>
    <w:p>
      <w:pPr>
        <w:ind w:right="120" w:firstLine="1979"/>
        <w:spacing w:after="0" w:line="266" w:lineRule="auto"/>
        <w:tabs>
          <w:tab w:leader="none" w:pos="22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spacing w:after="0" w:line="175" w:lineRule="exact"/>
        <w:rPr>
          <w:rFonts w:ascii="Times New Roman" w:cs="Times New Roman" w:eastAsia="Times New Roman" w:hAnsi="Times New Roman"/>
          <w:sz w:val="18"/>
          <w:szCs w:val="18"/>
          <w:color w:val="auto"/>
        </w:rPr>
      </w:pPr>
    </w:p>
    <w:p>
      <w:pPr>
        <w:jc w:val="both"/>
        <w:ind w:right="140" w:firstLine="1979"/>
        <w:spacing w:after="0" w:line="266" w:lineRule="auto"/>
        <w:tabs>
          <w:tab w:leader="none" w:pos="229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or at such other address of which the other party shall have been notified pursuant thereto;</w:t>
      </w:r>
    </w:p>
    <w:p>
      <w:pPr>
        <w:spacing w:after="0" w:line="175" w:lineRule="exact"/>
        <w:rPr>
          <w:rFonts w:ascii="Times New Roman" w:cs="Times New Roman" w:eastAsia="Times New Roman" w:hAnsi="Times New Roman"/>
          <w:sz w:val="18"/>
          <w:szCs w:val="18"/>
          <w:color w:val="auto"/>
        </w:rPr>
      </w:pPr>
    </w:p>
    <w:p>
      <w:pPr>
        <w:jc w:val="both"/>
        <w:ind w:right="40" w:firstLine="1979"/>
        <w:spacing w:after="0" w:line="266" w:lineRule="auto"/>
        <w:tabs>
          <w:tab w:leader="none" w:pos="228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spacing w:after="0" w:line="175" w:lineRule="exact"/>
        <w:rPr>
          <w:rFonts w:ascii="Times New Roman" w:cs="Times New Roman" w:eastAsia="Times New Roman" w:hAnsi="Times New Roman"/>
          <w:sz w:val="18"/>
          <w:szCs w:val="18"/>
          <w:color w:val="auto"/>
        </w:rPr>
      </w:pPr>
    </w:p>
    <w:p>
      <w:pPr>
        <w:ind w:right="80" w:firstLine="1979"/>
        <w:spacing w:after="0" w:line="266" w:lineRule="auto"/>
        <w:tabs>
          <w:tab w:leader="none" w:pos="223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spacing w:after="0" w:line="175" w:lineRule="exact"/>
        <w:rPr>
          <w:rFonts w:ascii="Times New Roman" w:cs="Times New Roman" w:eastAsia="Times New Roman" w:hAnsi="Times New Roman"/>
          <w:sz w:val="18"/>
          <w:szCs w:val="18"/>
          <w:color w:val="auto"/>
        </w:rPr>
      </w:pPr>
    </w:p>
    <w:p>
      <w:pPr>
        <w:ind w:firstLine="1979"/>
        <w:spacing w:after="0" w:line="266" w:lineRule="auto"/>
        <w:tabs>
          <w:tab w:leader="none" w:pos="228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spacing w:after="0" w:line="175" w:lineRule="exact"/>
        <w:rPr>
          <w:rFonts w:ascii="Times New Roman" w:cs="Times New Roman" w:eastAsia="Times New Roman" w:hAnsi="Times New Roman"/>
          <w:sz w:val="18"/>
          <w:szCs w:val="18"/>
          <w:color w:val="auto"/>
        </w:rPr>
      </w:pPr>
    </w:p>
    <w:p>
      <w:pPr>
        <w:ind w:left="2340" w:hanging="361"/>
        <w:spacing w:after="0"/>
        <w:tabs>
          <w:tab w:leader="none" w:pos="23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and unconditionally waives trial by jury in any legal action or proceeding in relation to this Agreement.</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42" w:name="page43"/>
    <w:bookmarkEnd w:id="42"/>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9.7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Securities to the Investors. The Company shall pay all Placement Agents fees relating to or arising out of the transactions contemplated by this Agreement, subject to limitations set forth in the Placement Agent engagement letter dated March 10, 2026.</w:t>
      </w:r>
    </w:p>
    <w:p>
      <w:pPr>
        <w:spacing w:after="0" w:line="189"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or the Selling Stockholder, provided that an Investor may, without the prior consent of the Company, assign its rights to purchase the Securities hereunder to any of its Affiliates or to any other investment funds or accounts managed or advised by the investment manager who acts on behalf of such Investor (provided each such assignee agrees to be bound by the terms of this Agreement and makes the same representations and warranties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1428"/>
        <w:spacing w:after="0" w:line="258" w:lineRule="auto"/>
        <w:tabs>
          <w:tab w:leader="none" w:pos="167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covenants that until such time as the transactions contemplated by this Agreement and any material non-public information provided to such Investor are publicly disclosed by the Company or its Affiliates,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spacing w:after="0" w:line="183" w:lineRule="exact"/>
        <w:rPr>
          <w:rFonts w:ascii="Times New Roman" w:cs="Times New Roman" w:eastAsia="Times New Roman" w:hAnsi="Times New Roman"/>
          <w:sz w:val="18"/>
          <w:szCs w:val="18"/>
          <w:color w:val="auto"/>
        </w:rPr>
      </w:pPr>
    </w:p>
    <w:p>
      <w:pPr>
        <w:jc w:val="both"/>
        <w:ind w:firstLine="1428"/>
        <w:spacing w:after="0" w:line="266" w:lineRule="auto"/>
        <w:tabs>
          <w:tab w:leader="none" w:pos="168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and its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70" w:right="479" w:bottom="1440" w:gutter="0" w:footer="0" w:header="0"/>
        </w:sectPr>
      </w:pPr>
    </w:p>
    <w:bookmarkStart w:id="43" w:name="page44"/>
    <w:bookmarkEnd w:id="43"/>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Affiliates agree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The Investor acknowledges that the Company and its Affiliates may file a copy of this Agreement and the Registration Rights Agreement with the SEC as exhibits to a periodic report or a registration statement of the Company.</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Reliance by and Exculpation of Placement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4" w:hanging="252"/>
        <w:spacing w:after="0"/>
        <w:tabs>
          <w:tab w:leader="none" w:pos="168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agrees for the express benefit of the Placement Agents, each of their respective affiliates and representatives that</w:t>
      </w:r>
    </w:p>
    <w:p>
      <w:pPr>
        <w:spacing w:after="0" w:line="27" w:lineRule="exact"/>
        <w:rPr>
          <w:rFonts w:ascii="Times New Roman" w:cs="Times New Roman" w:eastAsia="Times New Roman" w:hAnsi="Times New Roman"/>
          <w:sz w:val="18"/>
          <w:szCs w:val="18"/>
          <w:color w:val="auto"/>
        </w:rPr>
      </w:pPr>
    </w:p>
    <w:p>
      <w:pPr>
        <w:ind w:left="4" w:right="20" w:hanging="4"/>
        <w:spacing w:after="0" w:line="251" w:lineRule="auto"/>
        <w:tabs>
          <w:tab w:leader="none" w:pos="2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not relying upon, and has not relied upon, any statement, representation or warranty made by the Placement Agents, each of their respective affiliates or representatives, in making its investment or decision to invest in the Company, (ii) the Placement Agents are acting solely as placement agents in connection with the transactions contemplated hereby and are not acting as an underwriter, initial purchaser, dealer or in any other such capacity and are not and shall not be construed as a fiduciary for such Investor, (iii) the Placement Agents, each of their respective affiliates and representatives have not made, and will not make any representations or warranties with respect to the Company, the Selling Stockholder or the offer and sale of the Securities or any other matter concerning the Company, the Selling Stockholder or the transactions contemplated hereby, and the Investor will not rely on any statements made by the Placement Agents, orally or in writing, to the contrary, (iv) the Investor will be responsible for conducting its own due diligence investigation with respect to the Company, the Selling Stockholder and the offer and sale of the Securities, (v) the Investor will be purchasing Securities based on the results of its own due diligence investigation of the Company and the Placement Agents and each of their respective directors, officers, employees, representatives, and controlling persons have made no independent investigation with respect to the Company, the Securities, or the accuracy, completeness, or adequacy of any information supplied to the Investor by the Company, (vi) the Investor has negotiated the offer and sale of the Securities directly with the Company, and the Placement Agents will not be responsible for the ultimate success of any such investment and (vii) the decision to invest in the Company will involve a significant degree of risk, including a risk of total loss of such investment. Each Investor further represents and warrants to the Placement Agents that it, including any fund or funds that it manages or advises that participates in the offer and sale of the Securities,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shall survive any termination of this Agreement.</w:t>
      </w:r>
    </w:p>
    <w:p>
      <w:pPr>
        <w:spacing w:after="0" w:line="189" w:lineRule="exact"/>
        <w:rPr>
          <w:rFonts w:ascii="Times New Roman" w:cs="Times New Roman" w:eastAsia="Times New Roman" w:hAnsi="Times New Roman"/>
          <w:sz w:val="18"/>
          <w:szCs w:val="18"/>
          <w:color w:val="auto"/>
        </w:rPr>
      </w:pPr>
    </w:p>
    <w:p>
      <w:pPr>
        <w:ind w:left="4" w:firstLine="1428"/>
        <w:spacing w:after="0" w:line="261" w:lineRule="auto"/>
        <w:tabs>
          <w:tab w:leader="none" w:pos="169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of the Company and the Selling Stockholder agrees and acknowledges that the Placement Agents may rely on its representations, warranties, agreements and covenants contained in this Agreement and each Investor agrees that the Placement Agents may rely on such Investor’s representations and warranties contained in this Agreement as if such representations and warranties, as applicable, were made directly to the Placement Agents.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70" w:right="459" w:bottom="1440" w:gutter="0" w:footer="0" w:header="0"/>
        </w:sectPr>
      </w:pPr>
    </w:p>
    <w:bookmarkStart w:id="44" w:name="page45"/>
    <w:bookmarkEnd w:id="44"/>
    <w:p>
      <w:pPr>
        <w:ind w:right="80" w:firstLine="1428"/>
        <w:spacing w:after="0" w:line="255" w:lineRule="auto"/>
        <w:tabs>
          <w:tab w:leader="none" w:pos="167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Placement Agents nor any of their respective Affiliates or representatives (1) shall be liable for any improper payment made in accordance with the information provided by the Company or the Selling Stockholder; (2) makes any representation or warranty, or has any responsibilities as to the validity, enforceability, accuracy, value or genuineness of any information, certificates or documentation delivered by or on behalf of the Company pursuant to the Transaction Agreements or in connection with any of the transactions contemplated therein; or (3) shall be liable (x) for any action taken, suffered or omitted by any of them in good faith and reasonably believed to be authorized or within the discretion or rights or powers conferred upon it by the Transaction Agreements or (y) for anything which any of them may do or refrain from doing in connection with the Transaction Agreements, except in each case for such party’s own gross negligence or willful misconduct.</w:t>
      </w:r>
    </w:p>
    <w:p>
      <w:pPr>
        <w:spacing w:after="0" w:line="188" w:lineRule="exact"/>
        <w:rPr>
          <w:rFonts w:ascii="Times New Roman" w:cs="Times New Roman" w:eastAsia="Times New Roman" w:hAnsi="Times New Roman"/>
          <w:sz w:val="18"/>
          <w:szCs w:val="18"/>
          <w:color w:val="auto"/>
        </w:rPr>
      </w:pPr>
    </w:p>
    <w:p>
      <w:pPr>
        <w:ind w:firstLine="1428"/>
        <w:spacing w:after="0" w:line="261" w:lineRule="auto"/>
        <w:tabs>
          <w:tab w:leader="none" w:pos="168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of the Company and the Selling Stockholder agrees that the Placement Agents, each of their respective affiliates and representatives shall be entitled to (1) rely on, and shall be protected in acting upon, any certificate, instrument, notice, letter or any other document or security delivered to any of them by or on behalf of the Company, and (2) be indemnified by the Company for acting as the Placement Agents hereunder pursuant to the indemnification provisions set forth in the applicable letter agreement between the Company and the Placement Agents.</w:t>
      </w:r>
    </w:p>
    <w:p>
      <w:pPr>
        <w:spacing w:after="0" w:line="180"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Notwithstanding the foregoing, (i) the Placement Agents are intended third-party beneficiaries of the representations and warranties of the Company, the Selling Stockholder and of each Investor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respectively, of this Agreement and (ii) the Indemnified Persons are intended third-party beneficiaries of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Independent Nature of Investors’ Obligations and Right</w:t>
      </w:r>
      <w:r>
        <w:rPr>
          <w:rFonts w:ascii="Times New Roman" w:cs="Times New Roman" w:eastAsia="Times New Roman" w:hAnsi="Times New Roman"/>
          <w:sz w:val="18"/>
          <w:szCs w:val="18"/>
          <w:color w:val="auto"/>
        </w:rPr>
        <w:t>.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and the Selling Stockholder acknowledge that the Investors do not so constitute, a partnership, an association, a joint venture or any other kind of entity, or create a presumption that the Investors are in any way acting in concert or as a group, and the Company and the Selling Stockholder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collectively and not between and among the Investors. The Company and the Selling Stockholder acknowledge and each Investor confirms that it has independently participated in the negotiation of the transaction contemplated hereby with the advice of its own counsel and advisors. Each Investor also acknowledges that Paul, Weiss, Rifkind, Wharton &amp; Garrison LLP has not rendered legal advice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45" w:name="page46"/>
    <w:bookmarkEnd w:id="45"/>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and the Selling Stockholder have elected to provide all Investors with the same terms and Transaction Agreements for the convenience of the Company and the Selling Stockholder and not because they were required or requested to do so by any Investor.</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titles, subtitles and headings in this Agreement are for convenience of reference and shall not form part of, or affect the interpretation of, this Agreement.</w:t>
      </w:r>
    </w:p>
    <w:p>
      <w:pPr>
        <w:spacing w:after="0" w:line="162"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183"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xml:space="preserve">. This Agreement and the other Transaction Agreements (including all schedules and exhibits hereto and thereto), together with any side letter agreements with any of the Investors, constitute the entire agreement between the parties hereto respecting the subject matter of this Agreement and supersedes all prior agreements, negotiations, understandings, representations and statements respecting the subject matter of this Agreement, whether written or oral. No amendment, modification, alteration, or change in any of the terms of this Agreement shall be valid or binding upon the parties hereto unless made in writing and duly executed by the Company, the Selling Stockholder and the Investors of at least a majority in interest of the Securities then held by the Investors.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of this Agreement or any condition hereto to be performed, complied with or satisfied by such Investor or the Company, respectively. Notwithstanding the foregoing or anything else herein to the contrary, no amendment, modification, alteration, change or waiver of this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 xml:space="preserve"> shall be valid without the prior written consent of the Placement Agents, which consent may be granted or withheld in the sole discretion of the Placement Agents.</w:t>
      </w:r>
    </w:p>
    <w:p>
      <w:pPr>
        <w:spacing w:after="0" w:line="187"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covenants, representations and warranties made by each party hereto contained in this Agreement shall survive the Closing until the applicable statute of limitations or in accordance with their respective terms, if a short period. Each Investor shall be responsible only for its own representations, warranties, agreements and covenants hereunder.</w:t>
      </w:r>
    </w:p>
    <w:p>
      <w:pPr>
        <w:spacing w:after="0" w:line="176" w:lineRule="exact"/>
        <w:rPr>
          <w:sz w:val="20"/>
          <w:szCs w:val="20"/>
          <w:color w:val="auto"/>
        </w:rPr>
      </w:pPr>
    </w:p>
    <w:p>
      <w:pPr>
        <w:ind w:right="100" w:firstLine="991"/>
        <w:spacing w:after="0" w:line="312" w:lineRule="auto"/>
        <w:rPr>
          <w:sz w:val="20"/>
          <w:szCs w:val="20"/>
          <w:color w:val="auto"/>
        </w:rPr>
      </w:pPr>
      <w:r>
        <w:rPr>
          <w:rFonts w:ascii="Times New Roman" w:cs="Times New Roman" w:eastAsia="Times New Roman" w:hAnsi="Times New Roman"/>
          <w:sz w:val="17"/>
          <w:szCs w:val="17"/>
          <w:color w:val="auto"/>
        </w:rPr>
        <w:t xml:space="preserve">9.17 </w:t>
      </w:r>
      <w:r>
        <w:rPr>
          <w:rFonts w:ascii="Times New Roman" w:cs="Times New Roman" w:eastAsia="Times New Roman" w:hAnsi="Times New Roman"/>
          <w:sz w:val="17"/>
          <w:szCs w:val="17"/>
          <w:u w:val="single" w:color="auto"/>
          <w:color w:val="auto"/>
        </w:rPr>
        <w:t>Contract Interpretation</w:t>
      </w:r>
      <w:r>
        <w:rPr>
          <w:rFonts w:ascii="Times New Roman" w:cs="Times New Roman" w:eastAsia="Times New Roman" w:hAnsi="Times New Roman"/>
          <w:sz w:val="17"/>
          <w:szCs w:val="17"/>
          <w:color w:val="auto"/>
        </w:rPr>
        <w:t>. This Agreement is the joint product of each Investor and the Company and each provision of this Agreement has been subject to the mutual consultation, negotiation and agreement of such parties and shall not be construed for or against any party hereto.</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70" w:right="439" w:bottom="1440" w:gutter="0" w:footer="0" w:header="0"/>
        </w:sectPr>
      </w:pPr>
    </w:p>
    <w:bookmarkStart w:id="46" w:name="page47"/>
    <w:bookmarkEnd w:id="46"/>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9.18 </w:t>
      </w:r>
      <w:r>
        <w:rPr>
          <w:rFonts w:ascii="Times New Roman" w:cs="Times New Roman" w:eastAsia="Times New Roman" w:hAnsi="Times New Roman"/>
          <w:sz w:val="18"/>
          <w:szCs w:val="18"/>
          <w:u w:val="single" w:color="auto"/>
          <w:color w:val="auto"/>
        </w:rPr>
        <w:t>Arm’s Length Negotiations</w:t>
      </w:r>
      <w:r>
        <w:rPr>
          <w:rFonts w:ascii="Times New Roman" w:cs="Times New Roman" w:eastAsia="Times New Roman" w:hAnsi="Times New Roman"/>
          <w:sz w:val="18"/>
          <w:szCs w:val="18"/>
          <w:color w:val="auto"/>
        </w:rPr>
        <w:t>. For the avoidance of doubt, the parties acknowledge and confirm that the terms and conditions of the Securities were determined as a result of arm’s-length negotiations.</w:t>
      </w:r>
    </w:p>
    <w:p>
      <w:pPr>
        <w:spacing w:after="0" w:line="16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680"/>
          </w:cols>
          <w:pgMar w:left="440" w:top="270" w:right="7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FIRST TRACKS BIOTHERAPEUTICS,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Dan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Dan Faga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9800"/>
          </w:cols>
          <w:pgMar w:left="880" w:top="266" w:right="12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ECOR1 CAPITAL FUND QUALIFIED, L.P.</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Oleg Nodelman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Oleg Nodelman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Manager, EcoR1 Capital LLC, as GP</w:t>
      </w:r>
    </w:p>
    <w:p>
      <w:pPr>
        <w:sectPr>
          <w:pgSz w:w="11900" w:h="16838" w:orient="portrait"/>
          <w:cols w:equalWidth="0" w:num="1">
            <w:col w:w="9740"/>
          </w:cols>
          <w:pgMar w:left="880" w:top="266" w:right="12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hereto have executed this Agreement as of the day and year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Address: [●]</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[Investor Signature Pages on File with the Company]</w:t>
      </w:r>
    </w:p>
    <w:p>
      <w:pPr>
        <w:sectPr>
          <w:pgSz w:w="11900" w:h="16838" w:orient="portrait"/>
          <w:cols w:equalWidth="0" w:num="1">
            <w:col w:w="9579"/>
          </w:cols>
          <w:pgMar w:left="880" w:top="266" w:right="1440"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266" w:right="1440" w:bottom="1440" w:gutter="0" w:footer="0" w:header="0"/>
        </w:sectPr>
      </w:pPr>
    </w:p>
    <w:bookmarkStart w:id="51" w:name="page52"/>
    <w:bookmarkEnd w:id="51"/>
    <w:p>
      <w:pPr>
        <w:ind w:left="10084"/>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jc w:val="both"/>
        <w:ind w:left="4"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THIS REGISTRATION RIGHTS AGREEMENT (this “Agreement”), dated as of [ ], 2026, is entered into by and among First Tracks Biotherapeutics, Inc., a Delaware corporation (the “Company”), and the several investors signatory hereto (individually as an “Investor” and collectively together with their respective permitted assigns, the “Investors”). Capitalized terms used herein and not otherwise defined herein shall have the respective meanings set forth in the Securities Purchase Agreement by and among the parties hereto and the Selling Stockholder named therein, dated as of the date hereof (as amended, restated, supplemented or otherwise modified from time to time, the “Purchase Agreement”).</w:t>
      </w:r>
    </w:p>
    <w:p>
      <w:pPr>
        <w:spacing w:after="0" w:line="3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t>A. Upon the terms and subject to the conditions of the Purchase Agreement, the Company has agreed to issue to the Investors, and the Investors have agreed to purchase, severally and not jointly, (i) an aggregate of up to $[•] of shares (the “</w:t>
      </w:r>
      <w:r>
        <w:rPr>
          <w:rFonts w:ascii="Times New Roman" w:cs="Times New Roman" w:eastAsia="Times New Roman" w:hAnsi="Times New Roman"/>
          <w:sz w:val="18"/>
          <w:szCs w:val="18"/>
          <w:b w:val="1"/>
          <w:bCs w:val="1"/>
          <w:color w:val="auto"/>
        </w:rPr>
        <w:t>Primary Shares</w:t>
      </w:r>
      <w:r>
        <w:rPr>
          <w:rFonts w:ascii="Times New Roman" w:cs="Times New Roman" w:eastAsia="Times New Roman" w:hAnsi="Times New Roman"/>
          <w:sz w:val="18"/>
          <w:szCs w:val="18"/>
          <w:color w:val="auto"/>
        </w:rPr>
        <w:t>”) of the Company’s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from the Company and (ii) an aggregate of up to $[•] of shares (the “</w:t>
      </w:r>
      <w:r>
        <w:rPr>
          <w:rFonts w:ascii="Times New Roman" w:cs="Times New Roman" w:eastAsia="Times New Roman" w:hAnsi="Times New Roman"/>
          <w:sz w:val="18"/>
          <w:szCs w:val="18"/>
          <w:b w:val="1"/>
          <w:bCs w:val="1"/>
          <w:color w:val="auto"/>
        </w:rPr>
        <w:t>Secondary Shares</w:t>
      </w:r>
      <w:r>
        <w:rPr>
          <w:rFonts w:ascii="Times New Roman" w:cs="Times New Roman" w:eastAsia="Times New Roman" w:hAnsi="Times New Roman"/>
          <w:sz w:val="18"/>
          <w:szCs w:val="18"/>
          <w:color w:val="auto"/>
        </w:rPr>
        <w:t>” and, together with the Primary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Common Stock from the Selling Stockholders, in each case, pursuant to the Purchase Agreement.</w:t>
      </w:r>
    </w:p>
    <w:p>
      <w:pPr>
        <w:spacing w:after="0" w:line="183"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B. 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applicable state securities laws.</w:t>
      </w:r>
    </w:p>
    <w:p>
      <w:pPr>
        <w:spacing w:after="0" w:line="172" w:lineRule="exact"/>
        <w:rPr>
          <w:sz w:val="20"/>
          <w:szCs w:val="20"/>
          <w:color w:val="auto"/>
        </w:rPr>
      </w:pPr>
    </w:p>
    <w:p>
      <w:pPr>
        <w:jc w:val="both"/>
        <w:ind w:left="4"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promises and the mutual covenants contained herein and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Company and the Investors hereby agree as follows:</w:t>
      </w:r>
    </w:p>
    <w:p>
      <w:pPr>
        <w:spacing w:after="0" w:line="26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1. DEFINITIONS.</w:t>
      </w:r>
    </w:p>
    <w:p>
      <w:pPr>
        <w:spacing w:after="0" w:line="1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For purposes of this Agreement, the following terms shall have the following meanings:</w:t>
      </w:r>
    </w:p>
    <w:p>
      <w:pPr>
        <w:spacing w:after="0" w:line="221" w:lineRule="exact"/>
        <w:rPr>
          <w:sz w:val="20"/>
          <w:szCs w:val="20"/>
          <w:color w:val="auto"/>
        </w:rPr>
      </w:pPr>
    </w:p>
    <w:p>
      <w:pPr>
        <w:ind w:left="4" w:firstLine="987"/>
        <w:spacing w:after="0" w:line="286" w:lineRule="auto"/>
        <w:tabs>
          <w:tab w:leader="none" w:pos="12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or any other entity or organization.</w:t>
      </w:r>
    </w:p>
    <w:p>
      <w:pPr>
        <w:spacing w:after="0" w:line="154" w:lineRule="exact"/>
        <w:rPr>
          <w:rFonts w:ascii="Times New Roman" w:cs="Times New Roman" w:eastAsia="Times New Roman" w:hAnsi="Times New Roman"/>
          <w:sz w:val="18"/>
          <w:szCs w:val="18"/>
          <w:color w:val="auto"/>
        </w:rPr>
      </w:pPr>
    </w:p>
    <w:p>
      <w:pPr>
        <w:jc w:val="both"/>
        <w:ind w:left="4" w:right="20" w:firstLine="987"/>
        <w:spacing w:after="0" w:line="259" w:lineRule="auto"/>
        <w:tabs>
          <w:tab w:leader="none" w:pos="127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w:t>
      </w:r>
    </w:p>
    <w:p>
      <w:pPr>
        <w:ind w:left="4" w:right="20" w:hanging="4"/>
        <w:spacing w:after="0" w:line="260" w:lineRule="auto"/>
        <w:tabs>
          <w:tab w:leader="none" w:pos="27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as defined in Rule 405 under the Securities Act, relating to the terms of the offering of any portion of the Registrable Securities.</w:t>
      </w:r>
    </w:p>
    <w:p>
      <w:pPr>
        <w:spacing w:after="0" w:line="177" w:lineRule="exact"/>
        <w:rPr>
          <w:rFonts w:ascii="Times New Roman" w:cs="Times New Roman" w:eastAsia="Times New Roman" w:hAnsi="Times New Roman"/>
          <w:sz w:val="18"/>
          <w:szCs w:val="18"/>
          <w:color w:val="auto"/>
        </w:rPr>
      </w:pPr>
    </w:p>
    <w:p>
      <w:pPr>
        <w:jc w:val="both"/>
        <w:ind w:left="4" w:right="20" w:firstLine="987"/>
        <w:spacing w:after="0" w:line="268" w:lineRule="auto"/>
        <w:tabs>
          <w:tab w:leader="none" w:pos="128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jc w:val="both"/>
        <w:ind w:left="4" w:firstLine="987"/>
        <w:spacing w:after="0" w:line="262" w:lineRule="auto"/>
        <w:tabs>
          <w:tab w:leader="none" w:pos="125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the Shares purchased or sold by each Investor pursuant to the Purchase Agreement and any Common Stock issued or issuable with respect to the Shares as a result of any stock split or subdivision, stock dividend, recapitalization, exchange or similar event. Registrable Securities shall cease to be Registrable Securities upon the date on which the Investors shall have resold all the Registrable Securities covered by the Registration Statement pursuant to Rule 144 or pursuant to the Registration Statement.</w:t>
      </w:r>
    </w:p>
    <w:p>
      <w:pPr>
        <w:sectPr>
          <w:pgSz w:w="11900" w:h="16838" w:orient="portrait"/>
          <w:cols w:equalWidth="0" w:num="1">
            <w:col w:w="11024"/>
          </w:cols>
          <w:pgMar w:left="436" w:top="117" w:right="439" w:bottom="1440" w:gutter="0" w:footer="0" w:header="0"/>
        </w:sectPr>
      </w:pPr>
    </w:p>
    <w:bookmarkStart w:id="52" w:name="page53"/>
    <w:bookmarkEnd w:id="52"/>
    <w:p>
      <w:pPr>
        <w:jc w:val="both"/>
        <w:ind w:left="4" w:firstLine="987"/>
        <w:spacing w:after="0" w:line="256" w:lineRule="auto"/>
        <w:tabs>
          <w:tab w:leader="none" w:pos="124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the Financial Industry Regulatory Authority, Inc.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w:t>
      </w:r>
    </w:p>
    <w:p>
      <w:pPr>
        <w:spacing w:after="0" w:line="182" w:lineRule="exact"/>
        <w:rPr>
          <w:rFonts w:ascii="Times New Roman" w:cs="Times New Roman" w:eastAsia="Times New Roman" w:hAnsi="Times New Roman"/>
          <w:sz w:val="18"/>
          <w:szCs w:val="18"/>
          <w:color w:val="auto"/>
        </w:rPr>
      </w:pPr>
    </w:p>
    <w:p>
      <w:pPr>
        <w:jc w:val="both"/>
        <w:ind w:left="4" w:firstLine="987"/>
        <w:spacing w:after="0" w:line="257" w:lineRule="auto"/>
        <w:tabs>
          <w:tab w:leader="none" w:pos="1247"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any registration statement of the Company filed with, or to be filed with, the SEC under the Securities Act, that Registers Registrable Securities,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any New Registration Statement, as amended when each became effective, including all documents filed as part thereof or incorporated by reference therein, and including any information contained in a Prospectus subsequently filed with the SEC.</w:t>
      </w:r>
    </w:p>
    <w:p>
      <w:pPr>
        <w:spacing w:after="0" w:line="182"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Investors</w:t>
      </w:r>
      <w:r>
        <w:rPr>
          <w:rFonts w:ascii="Times New Roman" w:cs="Times New Roman" w:eastAsia="Times New Roman" w:hAnsi="Times New Roman"/>
          <w:sz w:val="18"/>
          <w:szCs w:val="18"/>
          <w:color w:val="auto"/>
        </w:rPr>
        <w:t>” means the Investors holding a majority of the Registrable Securities outstanding from time to time.</w:t>
      </w:r>
    </w:p>
    <w:p>
      <w:pPr>
        <w:spacing w:after="0" w:line="225" w:lineRule="exact"/>
        <w:rPr>
          <w:rFonts w:ascii="Times New Roman" w:cs="Times New Roman" w:eastAsia="Times New Roman" w:hAnsi="Times New Roman"/>
          <w:sz w:val="18"/>
          <w:szCs w:val="18"/>
          <w:color w:val="auto"/>
        </w:rPr>
      </w:pPr>
    </w:p>
    <w:p>
      <w:pPr>
        <w:jc w:val="both"/>
        <w:ind w:left="4" w:firstLine="987"/>
        <w:spacing w:after="0" w:line="268" w:lineRule="auto"/>
        <w:tabs>
          <w:tab w:leader="none" w:pos="1264"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Expenses</w:t>
      </w:r>
      <w:r>
        <w:rPr>
          <w:rFonts w:ascii="Times New Roman" w:cs="Times New Roman" w:eastAsia="Times New Roman" w:hAnsi="Times New Roman"/>
          <w:sz w:val="18"/>
          <w:szCs w:val="18"/>
          <w:color w:val="auto"/>
        </w:rPr>
        <w:t>” means all underwriting discounts and selling commissions applicable to the sale of Registrable Securities, any taxes due on the disposition of the Registrable Securities, and all other similar fees and commissions relating to the Investors’ disposition of the Registrable Securities.</w:t>
      </w:r>
    </w:p>
    <w:p>
      <w:pPr>
        <w:spacing w:after="0" w:line="278"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w:t>
      </w:r>
    </w:p>
    <w:p>
      <w:pPr>
        <w:spacing w:after="0" w:line="121" w:lineRule="exact"/>
        <w:rPr>
          <w:rFonts w:ascii="Times New Roman" w:cs="Times New Roman" w:eastAsia="Times New Roman" w:hAnsi="Times New Roman"/>
          <w:sz w:val="18"/>
          <w:szCs w:val="18"/>
          <w:b w:val="1"/>
          <w:bCs w:val="1"/>
          <w:color w:val="auto"/>
        </w:rPr>
      </w:pPr>
    </w:p>
    <w:p>
      <w:pPr>
        <w:jc w:val="both"/>
        <w:ind w:left="4" w:firstLine="987"/>
        <w:spacing w:after="0" w:line="252" w:lineRule="auto"/>
        <w:tabs>
          <w:tab w:leader="none" w:pos="1253"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Registration</w:t>
      </w:r>
      <w:r>
        <w:rPr>
          <w:rFonts w:ascii="Times New Roman" w:cs="Times New Roman" w:eastAsia="Times New Roman" w:hAnsi="Times New Roman"/>
          <w:sz w:val="18"/>
          <w:szCs w:val="18"/>
          <w:color w:val="auto"/>
        </w:rPr>
        <w:t>. The Company shall, as promptly as reasonably practicable and in any event no later than 45 days after the Closing Date (the “</w:t>
      </w:r>
      <w:r>
        <w:rPr>
          <w:rFonts w:ascii="Times New Roman" w:cs="Times New Roman" w:eastAsia="Times New Roman" w:hAnsi="Times New Roman"/>
          <w:sz w:val="18"/>
          <w:szCs w:val="18"/>
          <w:b w:val="1"/>
          <w:bCs w:val="1"/>
          <w:color w:val="auto"/>
        </w:rPr>
        <w:t>Filing Deadline</w:t>
      </w:r>
      <w:r>
        <w:rPr>
          <w:rFonts w:ascii="Times New Roman" w:cs="Times New Roman" w:eastAsia="Times New Roman" w:hAnsi="Times New Roman"/>
          <w:sz w:val="18"/>
          <w:szCs w:val="18"/>
          <w:color w:val="auto"/>
        </w:rPr>
        <w:t>”), prepare and file or confidentially submit with the SEC an initial Registration Statement (the “</w:t>
      </w:r>
      <w:r>
        <w:rPr>
          <w:rFonts w:ascii="Times New Roman" w:cs="Times New Roman" w:eastAsia="Times New Roman" w:hAnsi="Times New Roman"/>
          <w:sz w:val="18"/>
          <w:szCs w:val="18"/>
          <w:b w:val="1"/>
          <w:bCs w:val="1"/>
          <w:color w:val="auto"/>
        </w:rPr>
        <w:t>Initial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covering the resale of all Registrable Securities. Before filing or submitting the Registration Statement, the Company shall furnish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Investors a copy of the Registration Statement. The Investors and their counsel shall have at least three Business Days prior to the anticipated filing or submission date of a Registration Statement to review and comment upon such Registration Statement and any amendment or supplement to such Registration Statement and any related Prospectus, prior to its filing with or submission to the SEC. Subject to any SEC comments, such Registration Statement shall include the plan of distribution substantially in the form attached hereto as Exhibit A. Such Registration Statement also shall cover, to the extent allowable under the Securities Act and the rules promulgated thereunder (including Rule 416), such indeterminate number of additional shares of Common Stock resulting from stock splits, stock dividends or similar transactions with respect to the Registrable Securities. The Company shall</w:t>
      </w:r>
    </w:p>
    <w:p>
      <w:pPr>
        <w:spacing w:after="0" w:line="6"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6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address in each such document prior to being so filed with or submitted to the SEC such comments as any Investor or its counsel reasonably propose, and (b) not file or submit any Registration Statement or Prospectus or any amendment or supplement thereto containing information regarding any Investor to which such Investor reasonably objects, unless such information is required to comply with any applicable law or regulation. The Investors shall furnish all information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66"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reasonably requested by the Company and as shall be reasonably required in connection with any registration referred to in this Agreement.</w:t>
      </w:r>
    </w:p>
    <w:p>
      <w:pPr>
        <w:spacing w:after="0" w:line="225" w:lineRule="exact"/>
        <w:rPr>
          <w:sz w:val="20"/>
          <w:szCs w:val="20"/>
          <w:color w:val="auto"/>
        </w:rPr>
      </w:pPr>
    </w:p>
    <w:p>
      <w:pPr>
        <w:jc w:val="both"/>
        <w:ind w:firstLine="987"/>
        <w:spacing w:after="0" w:line="252" w:lineRule="auto"/>
        <w:tabs>
          <w:tab w:leader="none" w:pos="128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xml:space="preserve"> The Company shall use its commercially reasonable efforts to have the Initial Registration Statement and any amendment declared effective by the SEC at the earliest possible date but no later than the earlier of the 75th calendar day following the initial filing date of the Initial Registration Statement if the SEC notifies the Company that it will “review” the Initial Registration Statement and (b) the fifth Business Day after the date the Company is notified (orally or in writing, whichever is earlier) by the SEC that the Initial Registration Statement will not be “reviewed” or will not be subject to further review (such earlier date, the “</w:t>
      </w:r>
      <w:r>
        <w:rPr>
          <w:rFonts w:ascii="Times New Roman" w:cs="Times New Roman" w:eastAsia="Times New Roman" w:hAnsi="Times New Roman"/>
          <w:sz w:val="18"/>
          <w:szCs w:val="18"/>
          <w:b w:val="1"/>
          <w:bCs w:val="1"/>
          <w:color w:val="auto"/>
        </w:rPr>
        <w:t>Effectiveness Deadline</w:t>
      </w:r>
      <w:r>
        <w:rPr>
          <w:rFonts w:ascii="Times New Roman" w:cs="Times New Roman" w:eastAsia="Times New Roman" w:hAnsi="Times New Roman"/>
          <w:sz w:val="18"/>
          <w:szCs w:val="18"/>
          <w:color w:val="auto"/>
        </w:rPr>
        <w:t>”). The Company shall notify the Investor by e-mail as promptly as practicable, and in any event, within 24 hours, after the Registration Statement is declared effective or is supplemented and shall provide the Investor with copies of any Prospectus to be used in connection with the sale or other disposition of the securities covered thereby. The Company shall use commercially reasonable efforts to keep the Initial Registration Statement continuously effective pursuant to Rule 415 promulgated under the Securities Act and available for the resale by the Investors of all of the Registrable Securities covered thereby at all times until the earliest to occur of the following events: (i) the date on which the Investors cease to hold any Registrable Securities covered thereby; and (ii) the date on which the Registrable Securities may be resold by the Investors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(the “</w:t>
      </w:r>
      <w:r>
        <w:rPr>
          <w:rFonts w:ascii="Times New Roman" w:cs="Times New Roman" w:eastAsia="Times New Roman" w:hAnsi="Times New Roman"/>
          <w:sz w:val="18"/>
          <w:szCs w:val="18"/>
          <w:b w:val="1"/>
          <w:bCs w:val="1"/>
          <w:color w:val="auto"/>
        </w:rPr>
        <w:t>Registration Period</w:t>
      </w:r>
      <w:r>
        <w:rPr>
          <w:rFonts w:ascii="Times New Roman" w:cs="Times New Roman" w:eastAsia="Times New Roman" w:hAnsi="Times New Roman"/>
          <w:sz w:val="18"/>
          <w:szCs w:val="18"/>
          <w:color w:val="auto"/>
        </w:rPr>
        <w:t>”).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195" w:lineRule="exact"/>
        <w:rPr>
          <w:rFonts w:ascii="Times New Roman" w:cs="Times New Roman" w:eastAsia="Times New Roman" w:hAnsi="Times New Roman"/>
          <w:sz w:val="18"/>
          <w:szCs w:val="18"/>
          <w:color w:val="auto"/>
        </w:rPr>
      </w:pPr>
    </w:p>
    <w:p>
      <w:pPr>
        <w:jc w:val="both"/>
        <w:ind w:firstLine="987"/>
        <w:spacing w:after="0" w:line="253" w:lineRule="auto"/>
        <w:tabs>
          <w:tab w:leader="none" w:pos="124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Sufficient Number of Shares Registered</w:t>
      </w:r>
      <w:r>
        <w:rPr>
          <w:rFonts w:ascii="Times New Roman" w:cs="Times New Roman" w:eastAsia="Times New Roman" w:hAnsi="Times New Roman"/>
          <w:sz w:val="18"/>
          <w:szCs w:val="18"/>
          <w:color w:val="auto"/>
        </w:rPr>
        <w:t>. In the event the number of shares available under the Initial Registration Statement at any time is insufficient to cover the Registrable Securities, the Company shall, to the extent necessary and permissible, amend the Initial Registration Statement or file or confidentially submit a new registration statement (together with any prospectuses or prospectus supplements thereunder, a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so as to cover all of such Registrable Securities as soon as reasonably practicable, but in any event not later than 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Days after the necessity therefor arises (the “</w:t>
      </w:r>
      <w:r>
        <w:rPr>
          <w:rFonts w:ascii="Times New Roman" w:cs="Times New Roman" w:eastAsia="Times New Roman" w:hAnsi="Times New Roman"/>
          <w:sz w:val="18"/>
          <w:szCs w:val="18"/>
          <w:b w:val="1"/>
          <w:bCs w:val="1"/>
          <w:color w:val="auto"/>
        </w:rPr>
        <w:t>New Registration Filing Deadline</w:t>
      </w:r>
      <w:r>
        <w:rPr>
          <w:rFonts w:ascii="Times New Roman" w:cs="Times New Roman" w:eastAsia="Times New Roman" w:hAnsi="Times New Roman"/>
          <w:sz w:val="18"/>
          <w:szCs w:val="18"/>
          <w:color w:val="auto"/>
        </w:rPr>
        <w:t>”). The Company shall use its commercially reasonable efforts to have such amendment and/or New Registration Statement become effective as soon as reasonably practicable following the filing thereof but no later than the earlier of the 75th calendar day following the initial filing date of the New Registration Statement if the SEC notifies the Company that it will “review” the New Registration Statement and (b) the fifth Business Day after the date the Company is notified (orally or in writing, whichever is earlier) by the SEC that the New Registration Statement will not be “reviewed” or will not be subject to further review (the earlier of such dates, the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Effectiveness Deadline</w:t>
      </w:r>
      <w:r>
        <w:rPr>
          <w:rFonts w:ascii="Times New Roman" w:cs="Times New Roman" w:eastAsia="Times New Roman" w:hAnsi="Times New Roman"/>
          <w:sz w:val="18"/>
          <w:szCs w:val="18"/>
          <w:color w:val="auto"/>
        </w:rPr>
        <w:t>”).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apply to the New Registration Statement, except as modified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w:t>
      </w:r>
    </w:p>
    <w:p>
      <w:pPr>
        <w:spacing w:after="0" w:line="19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Allowable Delays.</w:t>
      </w:r>
      <w:r>
        <w:rPr>
          <w:rFonts w:ascii="Times New Roman" w:cs="Times New Roman" w:eastAsia="Times New Roman" w:hAnsi="Times New Roman"/>
          <w:sz w:val="18"/>
          <w:szCs w:val="18"/>
          <w:color w:val="auto"/>
        </w:rPr>
        <w:t xml:space="preserve"> On no more than two occasions in any 12 month period and for not more than 45 consecutive calendar days or for a total of not more than 75 calendar days in any 12 month period, the Company may delay the effectiveness of the Initial Registration Statement or any other Registration Statement, or suspend the use of any Prospectus, in the event that the Company’s Board of Directors determines, in good faith and upon advice of legal counsel, that such delay or suspension is necessary to (A) delay the disclosure of material non-public information concerning the Company, the disclosure of which at the time is not, in the good faith opinion of the Company’s Board of Directors, in the best interests of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54" w:name="page55"/>
    <w:bookmarkEnd w:id="54"/>
    <w:p>
      <w:pPr>
        <w:jc w:val="both"/>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18"/>
          <w:szCs w:val="18"/>
          <w:b w:val="1"/>
          <w:bCs w:val="1"/>
          <w:color w:val="auto"/>
        </w:rPr>
        <w:t>Allowed Delay</w:t>
      </w:r>
      <w:r>
        <w:rPr>
          <w:rFonts w:ascii="Times New Roman" w:cs="Times New Roman" w:eastAsia="Times New Roman" w:hAnsi="Times New Roman"/>
          <w:sz w:val="18"/>
          <w:szCs w:val="18"/>
          <w:color w:val="auto"/>
        </w:rPr>
        <w:t>”); provided,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applicable Registration Statement until the end of the Allowed Delay and (c) use commercially reasonable efforts to terminate an Allowed Delay as promptly as practicable. Each Investor may deliver written notice (an “</w:t>
      </w:r>
      <w:r>
        <w:rPr>
          <w:rFonts w:ascii="Times New Roman" w:cs="Times New Roman" w:eastAsia="Times New Roman" w:hAnsi="Times New Roman"/>
          <w:sz w:val="18"/>
          <w:szCs w:val="18"/>
          <w:b w:val="1"/>
          <w:bCs w:val="1"/>
          <w:color w:val="auto"/>
        </w:rPr>
        <w:t>Opt-Out Notice</w:t>
      </w:r>
      <w:r>
        <w:rPr>
          <w:rFonts w:ascii="Times New Roman" w:cs="Times New Roman" w:eastAsia="Times New Roman" w:hAnsi="Times New Roman"/>
          <w:sz w:val="18"/>
          <w:szCs w:val="18"/>
          <w:color w:val="auto"/>
        </w:rPr>
        <w:t>”) to the Company requesting that such Investor not receive notices from the Company otherwise required by this Section 2; provided, however, that such Investor may later revoke any such Opt-Out Notice in writing. Following receipt of an Opt-Out Notice from an Investor (unless subsequently revoked), (a) the Company shall not deliver any notices pursuant to this Section 2(e) to such Investor and such Investor shall no longer be entitled to the rights associated with any such notice and</w:t>
      </w:r>
    </w:p>
    <w:p>
      <w:pPr>
        <w:spacing w:after="0" w:line="5" w:lineRule="exact"/>
        <w:rPr>
          <w:sz w:val="20"/>
          <w:szCs w:val="20"/>
          <w:color w:val="auto"/>
        </w:rPr>
      </w:pPr>
    </w:p>
    <w:p>
      <w:pPr>
        <w:ind w:left="264" w:hanging="264"/>
        <w:spacing w:after="0"/>
        <w:tabs>
          <w:tab w:leader="none" w:pos="2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time prior to such Investor’s intended use of an effective Registration Statement, such Investor will notify the Company in writing at least two</w:t>
      </w:r>
    </w:p>
    <w:p>
      <w:pPr>
        <w:spacing w:after="0" w:line="9" w:lineRule="exact"/>
        <w:rPr>
          <w:rFonts w:ascii="Times New Roman" w:cs="Times New Roman" w:eastAsia="Times New Roman" w:hAnsi="Times New Roman"/>
          <w:sz w:val="18"/>
          <w:szCs w:val="18"/>
          <w:color w:val="auto"/>
        </w:rPr>
      </w:pPr>
    </w:p>
    <w:p>
      <w:pPr>
        <w:jc w:val="both"/>
        <w:ind w:left="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Business Days in advance of such intended use, and if a notice of an Allowed Delay was previously delivered (or would have been delivered but for the provisions of this Section 2(e)) and the related suspension period remains in effect, the Company will so notify such Investor, within one (1) Business Day of such Investor’s notification to the Company, by delivering to such Investor a copy of such previous notice of an Allowed Delay, and thereafter will provide such Investor with the related notice of the conclusion of such Allowed Delay immediately upon the conclusion thereof (which notices shall not contain any material nonpublic information or subject such Investor to any duty of confidentiality).</w:t>
      </w:r>
    </w:p>
    <w:p>
      <w:pPr>
        <w:spacing w:after="0" w:line="186" w:lineRule="exact"/>
        <w:rPr>
          <w:rFonts w:ascii="Times New Roman" w:cs="Times New Roman" w:eastAsia="Times New Roman" w:hAnsi="Times New Roman"/>
          <w:sz w:val="18"/>
          <w:szCs w:val="18"/>
          <w:color w:val="auto"/>
        </w:rPr>
      </w:pPr>
    </w:p>
    <w:p>
      <w:pPr>
        <w:jc w:val="both"/>
        <w:ind w:left="4" w:firstLine="987"/>
        <w:spacing w:after="0" w:line="252" w:lineRule="auto"/>
        <w:tabs>
          <w:tab w:leader="none" w:pos="123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415; Cutback</w:t>
      </w:r>
      <w:r>
        <w:rPr>
          <w:rFonts w:ascii="Times New Roman" w:cs="Times New Roman" w:eastAsia="Times New Roman" w:hAnsi="Times New Roman"/>
          <w:sz w:val="18"/>
          <w:szCs w:val="18"/>
          <w:color w:val="auto"/>
        </w:rPr>
        <w:t xml:space="preserve">. If at any time the SEC takes the position that the offering of some or all of the Registrable Securities in any Registration Statement is not eligible to be made on a delayed or continuous basis under the provisions of Rule 415 under the Securities Act (provided, however, the Company shall be obligated to use commercially reasonable efforts to advocate with the SEC for the registration of all of the Registrable Securities)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 which counsel shall be selected by the Required Investors, to review and oversee any registration or matters pursuant to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including participation in any meetings or discussions with the SEC regarding the SEC’s position and to comment on any written submission made to the SEC with respect thereto. No such written submission with respect to this matter shall be made to the SEC to which any Investor’s counsel promptly and reasonably objects. In the event that, despite the Company’s commercially reasonable efforts and compliance with the terms of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the SEC refuses to alter its position, the Company shall (i) remove from such Registration Statement such portion of the Registrable Securities (the “</w:t>
      </w:r>
      <w:r>
        <w:rPr>
          <w:rFonts w:ascii="Times New Roman" w:cs="Times New Roman" w:eastAsia="Times New Roman" w:hAnsi="Times New Roman"/>
          <w:sz w:val="18"/>
          <w:szCs w:val="18"/>
          <w:b w:val="1"/>
          <w:bCs w:val="1"/>
          <w:color w:val="auto"/>
        </w:rPr>
        <w:t>Cut Back Shares</w:t>
      </w:r>
      <w:r>
        <w:rPr>
          <w:rFonts w:ascii="Times New Roman" w:cs="Times New Roman" w:eastAsia="Times New Roman" w:hAnsi="Times New Roman"/>
          <w:sz w:val="18"/>
          <w:szCs w:val="18"/>
          <w:color w:val="auto"/>
        </w:rPr>
        <w:t>”) and/or (ii)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8"/>
          <w:szCs w:val="18"/>
          <w:b w:val="1"/>
          <w:bCs w:val="1"/>
          <w:color w:val="auto"/>
        </w:rPr>
        <w:t>SEC Restrictions</w:t>
      </w:r>
      <w:r>
        <w:rPr>
          <w:rFonts w:ascii="Times New Roman" w:cs="Times New Roman" w:eastAsia="Times New Roman" w:hAnsi="Times New Roman"/>
          <w:sz w:val="18"/>
          <w:szCs w:val="18"/>
          <w:color w:val="auto"/>
        </w:rPr>
        <w:t xml:space="preserve">”); provided, however, that the Company shall not name any Investor as an “underwriter” in such Registration Statement without the prior written consent of such Investor (provided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shall be allocated among the Investors on a pro rata basis and shall be applied first to any of the Registrable Securities of such Investor as such Investor shall designate, unless the SEC Restrictions otherwise require or provide or the Investors otherwise agree.</w:t>
      </w:r>
    </w:p>
    <w:p>
      <w:pPr>
        <w:spacing w:after="0" w:line="29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3. RELATED COMPANY OBLIGATIONS.</w:t>
      </w:r>
    </w:p>
    <w:p>
      <w:pPr>
        <w:spacing w:after="0" w:line="121"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the Registration Statement and whenever any Registrable Securities are to be Registered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on the Initial Registration Statement or on any New Registration Statement, the Company shall use its commercially reasonable efforts to effect the registration of the Registrable Securities in accordance with the intended method of disposition thereof and, pursuant thereto, the Company shall have the following obligations:</w:t>
      </w:r>
    </w:p>
    <w:p>
      <w:pPr>
        <w:spacing w:after="0" w:line="180" w:lineRule="exact"/>
        <w:rPr>
          <w:sz w:val="20"/>
          <w:szCs w:val="20"/>
          <w:color w:val="auto"/>
        </w:rPr>
      </w:pPr>
    </w:p>
    <w:p>
      <w:pPr>
        <w:jc w:val="both"/>
        <w:ind w:left="4" w:right="20" w:firstLine="987"/>
        <w:spacing w:after="0" w:line="261" w:lineRule="auto"/>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Notifications</w:t>
      </w:r>
      <w:r>
        <w:rPr>
          <w:rFonts w:ascii="Times New Roman" w:cs="Times New Roman" w:eastAsia="Times New Roman" w:hAnsi="Times New Roman"/>
          <w:sz w:val="18"/>
          <w:szCs w:val="18"/>
          <w:color w:val="auto"/>
        </w:rPr>
        <w:t>. The Company will promptly notify the Investors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55" w:name="page56"/>
    <w:bookmarkEnd w:id="55"/>
    <w:p>
      <w:pPr>
        <w:jc w:val="both"/>
        <w:ind w:firstLine="987"/>
        <w:spacing w:after="0" w:line="258" w:lineRule="auto"/>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Amendments.</w:t>
      </w:r>
      <w:r>
        <w:rPr>
          <w:rFonts w:ascii="Times New Roman" w:cs="Times New Roman" w:eastAsia="Times New Roman" w:hAnsi="Times New Roman"/>
          <w:sz w:val="18"/>
          <w:szCs w:val="18"/>
          <w:color w:val="auto"/>
        </w:rPr>
        <w:t xml:space="preserve"> The Company will prepare and file with the SEC any amendments, post-effective amendments or supplements to the Initial Registration Statement, any New Registration Statement or any Prospectus, as applicable, that, (a) as may be necessary to keep such Registration Statement effective for the Registration Period and to comply with the provisions of the Securities Act and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with respect to the distribution of all of the Registrable Securities covered thereby, or (b) in the reasonable opinion of the Investors and the Company, as may be necessary or advisable in connection with any acquisition or sale of Registrable Securities by the Investors.</w:t>
      </w:r>
    </w:p>
    <w:p>
      <w:pPr>
        <w:spacing w:after="0" w:line="183" w:lineRule="exact"/>
        <w:rPr>
          <w:rFonts w:ascii="Times New Roman" w:cs="Times New Roman" w:eastAsia="Times New Roman" w:hAnsi="Times New Roman"/>
          <w:sz w:val="18"/>
          <w:szCs w:val="18"/>
          <w:color w:val="auto"/>
        </w:rPr>
      </w:pPr>
    </w:p>
    <w:p>
      <w:pPr>
        <w:jc w:val="both"/>
        <w:ind w:firstLine="987"/>
        <w:spacing w:after="0" w:line="258" w:lineRule="auto"/>
        <w:tabs>
          <w:tab w:leader="none" w:pos="126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Review</w:t>
      </w:r>
      <w:r>
        <w:rPr>
          <w:rFonts w:ascii="Times New Roman" w:cs="Times New Roman" w:eastAsia="Times New Roman" w:hAnsi="Times New Roman"/>
          <w:sz w:val="18"/>
          <w:szCs w:val="18"/>
          <w:color w:val="auto"/>
        </w:rPr>
        <w:t>. The Company will not file any amendment or supplement to the Registration Statement, any New Registration Statement or any Prospectus, other than documents incorporated by reference, relating to the Investors, the Registrable Securities or the transactions contemplated hereby unless (A) the Investors and their counsel shall have been advised and afforded the opportunity to review and comment thereon at least three (3) Business Days prior to filing with the SEC and (B) the Company shall have given reasonable due consideration to any comments thereon received from the Investors or their counsel.</w:t>
      </w:r>
    </w:p>
    <w:p>
      <w:pPr>
        <w:spacing w:after="0" w:line="183" w:lineRule="exact"/>
        <w:rPr>
          <w:rFonts w:ascii="Times New Roman" w:cs="Times New Roman" w:eastAsia="Times New Roman" w:hAnsi="Times New Roman"/>
          <w:sz w:val="18"/>
          <w:szCs w:val="18"/>
          <w:color w:val="auto"/>
        </w:rPr>
      </w:pPr>
    </w:p>
    <w:p>
      <w:pPr>
        <w:jc w:val="both"/>
        <w:ind w:firstLine="987"/>
        <w:spacing w:after="0" w:line="253"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Copies Available</w:t>
      </w:r>
      <w:r>
        <w:rPr>
          <w:rFonts w:ascii="Times New Roman" w:cs="Times New Roman" w:eastAsia="Times New Roman" w:hAnsi="Times New Roman"/>
          <w:sz w:val="18"/>
          <w:szCs w:val="18"/>
          <w:color w:val="auto"/>
        </w:rPr>
        <w:t>.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Investor may reasonably request in order to facilitate the disposition of the Registrable Securities owned by Investor that are covered by such Registration Statement, in each case as soon as reasonably practicable upon such Investor’s request and in such quantities as such Investor may from time to time reasonably request; provided, however, that the Company shall not be required to furnish any document to the Investor to the extent such document is available on EDGAR.</w:t>
      </w:r>
    </w:p>
    <w:p>
      <w:pPr>
        <w:spacing w:after="0" w:line="194" w:lineRule="exact"/>
        <w:rPr>
          <w:rFonts w:ascii="Times New Roman" w:cs="Times New Roman" w:eastAsia="Times New Roman" w:hAnsi="Times New Roman"/>
          <w:sz w:val="18"/>
          <w:szCs w:val="18"/>
          <w:color w:val="auto"/>
        </w:rPr>
      </w:pPr>
    </w:p>
    <w:p>
      <w:pPr>
        <w:jc w:val="both"/>
        <w:ind w:firstLine="987"/>
        <w:spacing w:after="0" w:line="253" w:lineRule="auto"/>
        <w:tabs>
          <w:tab w:leader="none" w:pos="12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Stop Orders; Material Changes</w:t>
      </w:r>
      <w:r>
        <w:rPr>
          <w:rFonts w:ascii="Times New Roman" w:cs="Times New Roman" w:eastAsia="Times New Roman" w:hAnsi="Times New Roman"/>
          <w:sz w:val="18"/>
          <w:szCs w:val="18"/>
          <w:color w:val="auto"/>
        </w:rPr>
        <w:t>. The Company shall use commercially reasonable efforts to (i) prevent the issuance of any stop order or other suspension of effectiveness of the Registration Statement and, (ii) if such order is issued, obtain the withdrawal of any such order as soon as practicable. The Company shall advise the Investors promptly (but in no event later than 24 hours) and shall confirm such advice in writing, in each case: (A) of the Company’s receipt of notice of any request by the SEC or any other federal or state governmental authority for amendment of or a supplement to the Registration Statement or any Prospectus or for any additional information; (B)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(C) of the Company becoming aware of the happening of any event, which makes any statement of a material fact made in any Registration Statement or any Prospectus untrue or which requires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56" w:name="page57"/>
    <w:bookmarkEnd w:id="56"/>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(and shall not so disclose to any Investor without such Investor’s prior written consent) the substance of specific reasons of any of the events set forth in clause (A) to (C) of the immediately preceding sentence (each, a “</w:t>
      </w:r>
      <w:r>
        <w:rPr>
          <w:rFonts w:ascii="Times New Roman" w:cs="Times New Roman" w:eastAsia="Times New Roman" w:hAnsi="Times New Roman"/>
          <w:sz w:val="18"/>
          <w:szCs w:val="18"/>
          <w:b w:val="1"/>
          <w:bCs w:val="1"/>
          <w:color w:val="auto"/>
        </w:rPr>
        <w:t>Suspension Event</w:t>
      </w:r>
      <w:r>
        <w:rPr>
          <w:rFonts w:ascii="Times New Roman" w:cs="Times New Roman" w:eastAsia="Times New Roman" w:hAnsi="Times New Roman"/>
          <w:sz w:val="18"/>
          <w:szCs w:val="18"/>
          <w:color w:val="auto"/>
        </w:rPr>
        <w:t xml:space="preserve">”), but rather, shall only be required to disclose that the event has occurred. If at any time the SEC, or any other federal or state governmental authority shall issue any stop order suspending the effectiveness of any Registration Statement or prohibiting or suspending the use of any Prospectus or prospectus supplement, the Company shall use its commercially reasonable efforts to obtain the withdrawal of such order at the earliest practicable time. The Company shall furnish to the Investors,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(C) of the second sentence of this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the Company will use its commercially reasonable efforts to publicly disclose such event as soon as reasonably practicable, or otherwise resolve the matter such that sales under Registration Statements may resume; provided, however, that if the Company has a bona fide business purpose for not making such information public, the Company may suspend the use of all Registration Statements for up to 60 consecutive calendar days; provided, further, that the Company may not suspend the use of all Registration Statements more than twice, or for more than 90 total calendar days, in each case during any twelve-month period.</w:t>
      </w:r>
    </w:p>
    <w:p>
      <w:pPr>
        <w:spacing w:after="0" w:line="195" w:lineRule="exact"/>
        <w:rPr>
          <w:sz w:val="20"/>
          <w:szCs w:val="20"/>
          <w:color w:val="auto"/>
        </w:rPr>
      </w:pPr>
    </w:p>
    <w:p>
      <w:pPr>
        <w:jc w:val="both"/>
        <w:ind w:right="20" w:firstLine="987"/>
        <w:spacing w:after="0" w:line="261" w:lineRule="auto"/>
        <w:tabs>
          <w:tab w:leader="none" w:pos="124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Confirmation of Effectiveness</w:t>
      </w:r>
      <w:r>
        <w:rPr>
          <w:rFonts w:ascii="Times New Roman" w:cs="Times New Roman" w:eastAsia="Times New Roman" w:hAnsi="Times New Roman"/>
          <w:sz w:val="18"/>
          <w:szCs w:val="18"/>
          <w:color w:val="auto"/>
        </w:rPr>
        <w:t>. If reasonably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w:t>
      </w:r>
    </w:p>
    <w:p>
      <w:pPr>
        <w:spacing w:after="0" w:line="179"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best efforts to cause all Registrable Securities covered by a Registration Statement to be listed on the Nasdaq Stock Market LLC.</w:t>
      </w:r>
    </w:p>
    <w:p>
      <w:pPr>
        <w:spacing w:after="0" w:line="161" w:lineRule="exact"/>
        <w:rPr>
          <w:rFonts w:ascii="Times New Roman" w:cs="Times New Roman" w:eastAsia="Times New Roman" w:hAnsi="Times New Roman"/>
          <w:sz w:val="18"/>
          <w:szCs w:val="18"/>
          <w:color w:val="auto"/>
        </w:rPr>
      </w:pPr>
    </w:p>
    <w:p>
      <w:pPr>
        <w:jc w:val="both"/>
        <w:ind w:firstLine="987"/>
        <w:spacing w:after="0" w:line="246" w:lineRule="auto"/>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xml:space="preserve">. The Company shall otherwise use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Investor in writing if, at any time during the Registration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12 months, beginning after the effective date of each Registration Statement, which earnings statement shall satisfy the provisions of Section 11(a) of the Securities Act, including Rule 158 promulgated thereunder (for the purpose of this </w:t>
      </w:r>
      <w:r>
        <w:rPr>
          <w:rFonts w:ascii="Times New Roman" w:cs="Times New Roman" w:eastAsia="Times New Roman" w:hAnsi="Times New Roman"/>
          <w:sz w:val="18"/>
          <w:szCs w:val="18"/>
          <w:u w:val="single" w:color="auto"/>
          <w:color w:val="auto"/>
        </w:rPr>
        <w:t>subsection 3(h)</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Availability Date</w:t>
      </w:r>
      <w:r>
        <w:rPr>
          <w:rFonts w:ascii="Times New Roman" w:cs="Times New Roman" w:eastAsia="Times New Roman" w:hAnsi="Times New Roman"/>
          <w:sz w:val="18"/>
          <w:szCs w:val="18"/>
          <w:color w:val="auto"/>
        </w:rPr>
        <w:t>” means the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end of the fourth fiscal quarter that includes the effective date of such Registration Statement, except that, if such fourth fiscal quarter is the last quarter of the Company’s fiscal year, “</w:t>
      </w:r>
      <w:r>
        <w:rPr>
          <w:rFonts w:ascii="Times New Roman" w:cs="Times New Roman" w:eastAsia="Times New Roman" w:hAnsi="Times New Roman"/>
          <w:sz w:val="18"/>
          <w:szCs w:val="18"/>
          <w:b w:val="1"/>
          <w:bCs w:val="1"/>
          <w:color w:val="auto"/>
        </w:rPr>
        <w:t>Availability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means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after the end of such fourth fiscal quarter).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57" w:name="page58"/>
    <w:bookmarkEnd w:id="57"/>
    <w:p>
      <w:pPr>
        <w:jc w:val="both"/>
        <w:ind w:left="4" w:firstLine="987"/>
        <w:spacing w:after="0" w:line="258" w:lineRule="auto"/>
        <w:tabs>
          <w:tab w:leader="none" w:pos="121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Blue-Sky</w:t>
      </w:r>
      <w:r>
        <w:rPr>
          <w:rFonts w:ascii="Times New Roman" w:cs="Times New Roman" w:eastAsia="Times New Roman" w:hAnsi="Times New Roman"/>
          <w:sz w:val="18"/>
          <w:szCs w:val="18"/>
          <w:color w:val="auto"/>
        </w:rPr>
        <w:t xml:space="preserve">. The Company shall register or qualify or cooperate with the Investors and their counsel in connection with the registration or qualification of such Registrable Securities for the offer and sale under the securities or blue sky laws of such jurisdictions reasonably requested by the Investors; provided, however, that the Company shall not be required in connection therewith or as a condition thereto to (i) qualify to do business in any jurisdiction where it would not otherwise be required to qualify but for this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xml:space="preserve">, (ii) subject itself to general taxation in any jurisdiction where it would not otherwise be so subject but for this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or (iii) file a general consent to service of process in any such jurisdiction.</w:t>
      </w:r>
    </w:p>
    <w:p>
      <w:pPr>
        <w:spacing w:after="0" w:line="183" w:lineRule="exact"/>
        <w:rPr>
          <w:rFonts w:ascii="Times New Roman" w:cs="Times New Roman" w:eastAsia="Times New Roman" w:hAnsi="Times New Roman"/>
          <w:sz w:val="18"/>
          <w:szCs w:val="18"/>
          <w:color w:val="auto"/>
        </w:rPr>
      </w:pPr>
    </w:p>
    <w:p>
      <w:pPr>
        <w:jc w:val="both"/>
        <w:ind w:left="4" w:right="20" w:firstLine="987"/>
        <w:spacing w:after="0" w:line="253" w:lineRule="auto"/>
        <w:tabs>
          <w:tab w:leader="none" w:pos="1224"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(ii) file with the SEC in a timely manner all reports and other documents required of the Company under the Exchange Act; and (iii)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w:t>
      </w:r>
    </w:p>
    <w:p>
      <w:pPr>
        <w:ind w:left="4" w:right="20" w:hanging="4"/>
        <w:spacing w:after="0" w:line="260" w:lineRule="auto"/>
        <w:tabs>
          <w:tab w:leader="none" w:pos="29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as may be reasonably requested in order to avail such Investor of any rule or regulation of the SEC that permits the selling of any such Registrable Securities without registration.</w:t>
      </w:r>
    </w:p>
    <w:p>
      <w:pPr>
        <w:spacing w:after="0" w:line="181" w:lineRule="exact"/>
        <w:rPr>
          <w:rFonts w:ascii="Times New Roman" w:cs="Times New Roman" w:eastAsia="Times New Roman" w:hAnsi="Times New Roman"/>
          <w:sz w:val="18"/>
          <w:szCs w:val="18"/>
          <w:color w:val="auto"/>
        </w:rPr>
      </w:pPr>
    </w:p>
    <w:p>
      <w:pPr>
        <w:jc w:val="both"/>
        <w:ind w:left="4" w:right="20" w:firstLine="987"/>
        <w:spacing w:after="0" w:line="256" w:lineRule="auto"/>
        <w:tabs>
          <w:tab w:leader="none" w:pos="1277"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to the extent permitted by such Registration Statement or Rule 144 to effect sales of Registrable Securities; for the avoidance of doubt, the Company may satisfy its obligations hereunder without issuing physical stock certificates through the use of The Depository Trust Company’s Direct Registration System.</w:t>
      </w:r>
    </w:p>
    <w:p>
      <w:pPr>
        <w:spacing w:after="0" w:line="29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OF THE INVESTORS.</w:t>
      </w:r>
    </w:p>
    <w:p>
      <w:pPr>
        <w:spacing w:after="0" w:line="121" w:lineRule="exact"/>
        <w:rPr>
          <w:rFonts w:ascii="Times New Roman" w:cs="Times New Roman" w:eastAsia="Times New Roman" w:hAnsi="Times New Roman"/>
          <w:sz w:val="18"/>
          <w:szCs w:val="18"/>
          <w:b w:val="1"/>
          <w:bCs w:val="1"/>
          <w:color w:val="auto"/>
        </w:rPr>
      </w:pPr>
    </w:p>
    <w:p>
      <w:pPr>
        <w:jc w:val="both"/>
        <w:ind w:left="4" w:right="20" w:firstLine="987"/>
        <w:spacing w:after="0" w:line="258" w:lineRule="auto"/>
        <w:tabs>
          <w:tab w:leader="none" w:pos="124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Information</w:t>
      </w:r>
      <w:r>
        <w:rPr>
          <w:rFonts w:ascii="Times New Roman" w:cs="Times New Roman" w:eastAsia="Times New Roman" w:hAnsi="Times New Roman"/>
          <w:sz w:val="18"/>
          <w:szCs w:val="18"/>
          <w:color w:val="auto"/>
        </w:rPr>
        <w:t xml:space="preserve">. Each Investor shall provide a completed Investor Questionnaire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information as reasonably requested by the Company and required in connection with the registration of the Registrable Securities (such questionnaire or other information provided, the “</w:t>
      </w:r>
      <w:r>
        <w:rPr>
          <w:rFonts w:ascii="Times New Roman" w:cs="Times New Roman" w:eastAsia="Times New Roman" w:hAnsi="Times New Roman"/>
          <w:sz w:val="18"/>
          <w:szCs w:val="18"/>
          <w:b w:val="1"/>
          <w:bCs w:val="1"/>
          <w:color w:val="auto"/>
        </w:rPr>
        <w:t>Questionnaire</w:t>
      </w:r>
      <w:r>
        <w:rPr>
          <w:rFonts w:ascii="Times New Roman" w:cs="Times New Roman" w:eastAsia="Times New Roman" w:hAnsi="Times New Roman"/>
          <w:sz w:val="18"/>
          <w:szCs w:val="18"/>
          <w:color w:val="auto"/>
        </w:rPr>
        <w:t>”). If the Company has not received such completed Questionnaire from an Investor within three Business Days of the Company’s request, the Company may file the Registration Statement without including such Investor’s Registrable Securities.</w:t>
      </w:r>
    </w:p>
    <w:p>
      <w:pPr>
        <w:spacing w:after="0" w:line="183" w:lineRule="exact"/>
        <w:rPr>
          <w:rFonts w:ascii="Times New Roman" w:cs="Times New Roman" w:eastAsia="Times New Roman" w:hAnsi="Times New Roman"/>
          <w:sz w:val="18"/>
          <w:szCs w:val="18"/>
          <w:color w:val="auto"/>
        </w:rPr>
      </w:pPr>
    </w:p>
    <w:p>
      <w:pPr>
        <w:jc w:val="both"/>
        <w:ind w:left="4" w:firstLine="987"/>
        <w:spacing w:after="0" w:line="255" w:lineRule="auto"/>
        <w:tabs>
          <w:tab w:leader="none" w:pos="125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xml:space="preserve">. Each Investor, severally and not jointly with any other Investor, agrees that, upon receipt of any notice from the Company of the existence of an Allowed Delay or a Suspension Event as set forth in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58" w:name="page59"/>
    <w:bookmarkEnd w:id="58"/>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into prior to such Investor’s receipt of the notice from the Company of the existence of the Allowed Delay or Suspension Event. Notwithstanding anything to the contrary, the Company shall cause its transfer agent to deliver unlegended securities to a transferee of an Investor in connection with any sale of Registrable Securities with respect to which the Investor has entered into a contract for sale, prior to such Investor’s receipt of the notice of an Allowed Delay and for which such Investor has not yet settled.</w:t>
      </w:r>
    </w:p>
    <w:p>
      <w:pPr>
        <w:spacing w:after="0" w:line="180" w:lineRule="exact"/>
        <w:rPr>
          <w:sz w:val="20"/>
          <w:szCs w:val="20"/>
          <w:color w:val="auto"/>
        </w:rPr>
      </w:pPr>
    </w:p>
    <w:p>
      <w:pPr>
        <w:jc w:val="both"/>
        <w:ind w:right="20" w:firstLine="987"/>
        <w:spacing w:after="0" w:line="266" w:lineRule="auto"/>
        <w:tabs>
          <w:tab w:leader="none" w:pos="123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its transfer agent to deliver unlegended shares of Common Stock to a transferee of an Investor in accordance with any sale of Registrable Securities pursuant to a Registration Statement with respect to which such Investor has entered into a contract for sale prior to such Investor’s receipt of the notice from the Company of the existence of the Allowed Delay or Suspension Event.</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7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Cooperation</w:t>
      </w:r>
      <w:r>
        <w:rPr>
          <w:rFonts w:ascii="Times New Roman" w:cs="Times New Roman" w:eastAsia="Times New Roman" w:hAnsi="Times New Roman"/>
          <w:sz w:val="18"/>
          <w:szCs w:val="18"/>
          <w:color w:val="auto"/>
        </w:rPr>
        <w:t>.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w:t>
      </w:r>
    </w:p>
    <w:p>
      <w:pPr>
        <w:spacing w:after="0" w:line="28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REGISTRATION.</w:t>
      </w:r>
    </w:p>
    <w:p>
      <w:pPr>
        <w:spacing w:after="0" w:line="121"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All Registration Expenses incurred in connection with registrations pursuant to this Agreement shall be borne by the Company. All Selling Expenses relating to securities registered on behalf of the Investors shall be borne by the Investors pro rata on the basis of the number of Registrable Securities so registered.</w:t>
      </w:r>
    </w:p>
    <w:p>
      <w:pPr>
        <w:spacing w:after="0" w:line="280" w:lineRule="exact"/>
        <w:rPr>
          <w:sz w:val="20"/>
          <w:szCs w:val="20"/>
          <w:color w:val="auto"/>
        </w:rPr>
      </w:pPr>
    </w:p>
    <w:p>
      <w:pPr>
        <w:ind w:left="620" w:hanging="184"/>
        <w:spacing w:after="0"/>
        <w:tabs>
          <w:tab w:leader="none" w:pos="6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121" w:lineRule="exact"/>
        <w:rPr>
          <w:rFonts w:ascii="Times New Roman" w:cs="Times New Roman" w:eastAsia="Times New Roman" w:hAnsi="Times New Roman"/>
          <w:sz w:val="18"/>
          <w:szCs w:val="18"/>
          <w:b w:val="1"/>
          <w:bCs w:val="1"/>
          <w:color w:val="auto"/>
        </w:rPr>
      </w:pPr>
    </w:p>
    <w:p>
      <w:pPr>
        <w:jc w:val="both"/>
        <w:ind w:firstLine="987"/>
        <w:spacing w:after="0" w:line="251" w:lineRule="auto"/>
        <w:tabs>
          <w:tab w:leader="none" w:pos="12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the Company will, and hereby does, indemnify, hold harmless and defend each Investor, each Person, if any, who controls such Investor, the members, the directors, officers, partners, employees, members, managers, agents, representatives and advisors of such Investor and each Person, if any, who controls such Investor within the meaning of the Securities Act or the Exchange Act (each, an “</w:t>
      </w:r>
      <w:r>
        <w:rPr>
          <w:rFonts w:ascii="Times New Roman" w:cs="Times New Roman" w:eastAsia="Times New Roman" w:hAnsi="Times New Roman"/>
          <w:sz w:val="18"/>
          <w:szCs w:val="18"/>
          <w:b w:val="1"/>
          <w:bCs w:val="1"/>
          <w:color w:val="auto"/>
        </w:rPr>
        <w:t>Investor Indemnified Person</w:t>
      </w:r>
      <w:r>
        <w:rPr>
          <w:rFonts w:ascii="Times New Roman" w:cs="Times New Roman" w:eastAsia="Times New Roman" w:hAnsi="Times New Roman"/>
          <w:sz w:val="18"/>
          <w:szCs w:val="18"/>
          <w:color w:val="auto"/>
        </w:rPr>
        <w:t>”), against any losses, obligation, claims, damages, liabilities, contingencies, judgments, fines, penalties, charges, costs (including, without limitation, court costs and costs of preparation), reasonable and documented attorneys’ fees, amounts paid in settlement and reasonable and documented expenses,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 w:cs="Times New Roman" w:eastAsia="Times New Roman" w:hAnsi="Times New Roman"/>
          <w:sz w:val="18"/>
          <w:szCs w:val="18"/>
          <w:b w:val="1"/>
          <w:bCs w:val="1"/>
          <w:color w:val="auto"/>
        </w:rPr>
        <w:t>Indemnified Damages</w:t>
      </w:r>
      <w:r>
        <w:rPr>
          <w:rFonts w:ascii="Times New Roman" w:cs="Times New Roman" w:eastAsia="Times New Roman" w:hAnsi="Times New Roman"/>
          <w:sz w:val="18"/>
          <w:szCs w:val="18"/>
          <w:color w:val="auto"/>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cs="Times New Roman" w:eastAsia="Times New Roman" w:hAnsi="Times New Roman"/>
          <w:sz w:val="18"/>
          <w:szCs w:val="18"/>
          <w:b w:val="1"/>
          <w:bCs w:val="1"/>
          <w:color w:val="auto"/>
        </w:rPr>
        <w:t>Violations</w:t>
      </w:r>
      <w:r>
        <w:rPr>
          <w:rFonts w:ascii="Times New Roman" w:cs="Times New Roman" w:eastAsia="Times New Roman" w:hAnsi="Times New Roman"/>
          <w:sz w:val="18"/>
          <w:szCs w:val="18"/>
          <w:color w:val="auto"/>
        </w:rPr>
        <w:t xml:space="preserve">”). Notwithstanding anything to the contrary contained herein, the indemnification agreement contained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(A) shall not apply to a Claim by an Investor Indemnified Person arising out of or based upon a Violation which occurs in reliance upon and in conformity with information furnished in writing to the Company by the Investors or such Investor Indemnified Person specifically for use in such Registration Statement or prospectus and was reviewed and approved in writing by such Investor or such Investor Indemnified Person expressly for use in connection with the preparation of any Registration Statement, any prospectus or any such amendment thereof or supplement thereto, if such in each case if the foregoing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Investor Indemnified Person) if the untrue statement or omission of</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59" w:name="page60"/>
    <w:bookmarkEnd w:id="59"/>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fact contained in the superseded prospectus was corrected in the revised prospectus, as then amended or supplemented, and the Investor Indemnified Person was promptly advised in writing not to use the outdated, defective or incorrect prospectus prior to the use giving rise to a Violation;</w:t>
      </w:r>
    </w:p>
    <w:p>
      <w:pPr>
        <w:jc w:val="both"/>
        <w:ind w:left="4" w:right="20" w:hanging="4"/>
        <w:spacing w:after="0" w:line="255" w:lineRule="auto"/>
        <w:tabs>
          <w:tab w:leader="none" w:pos="30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apply to amounts paid in settlement of any Claim if such settlement is effected without the prior written consent of the Company. Such indemnity shall remain in full force and effect regardless of any investigation made by or on behalf of the Investor Indemnified Person and shall survive the transfer of the Registrable Securities by the Investor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left="4" w:firstLine="987"/>
        <w:spacing w:after="0" w:line="252" w:lineRule="auto"/>
        <w:tabs>
          <w:tab w:leader="none" w:pos="126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Initial Registration Statement, any New Registration Statement or any prospectus, the Investors, severally and not jointly, agree to indemnify, hold harmless and defend, the Company, each of its directors, each of its officers who signed the Initial Registration Statement or signs any New Registration Statement, each Person, if any, who controls the Company within the meaning of the Securities Act or the Exchange Act (each, a “</w:t>
      </w:r>
      <w:r>
        <w:rPr>
          <w:rFonts w:ascii="Times New Roman" w:cs="Times New Roman" w:eastAsia="Times New Roman" w:hAnsi="Times New Roman"/>
          <w:sz w:val="18"/>
          <w:szCs w:val="18"/>
          <w:b w:val="1"/>
          <w:bCs w:val="1"/>
          <w:color w:val="auto"/>
        </w:rPr>
        <w:t>Company Indemnified Party</w:t>
      </w:r>
      <w:r>
        <w:rPr>
          <w:rFonts w:ascii="Times New Roman" w:cs="Times New Roman" w:eastAsia="Times New Roman" w:hAnsi="Times New Roman"/>
          <w:sz w:val="18"/>
          <w:szCs w:val="18"/>
          <w:color w:val="auto"/>
        </w:rPr>
        <w:t xml:space="preserve">”), against any losses, claims, damages, liabilities and expense (including reasonable attorney fees) resulting from any untrue statement or alleged untrue statement or omission or alleged omission of any material fact contained in any Registration Statement, any preliminary Prospectus or final Prospectus, or any amendment or supplement thereto, in each case to the extent, and only to the extent, that such untrue statement or alleged untrue statement or omission or alleged omission of any material fact contained in any Registration Statement, any preliminary Prospectus or final Prospectus, or any amendment or supplement thereto was made in reliance upon and in conformity with information about an Investor furnished in writing by such Investor to the Company for use in such Registration Statement and reviewed and approved in writing by such Investor or such Investor Indemnified Person expressly for use in connection with the preparation of the Registration Statement, any New Registration Statement, any prospectus or any such amendment thereof or supplement thereto. In no event shall the liability of an Investor be greater in amount than the dollar amount of the net proceeds received by such Investor upon the sale of the Registrable Securities included in such Registration Statement giving rise to such indemnification obligation. Such indemnity shall remain in full force and effect regardless of any investigation made by or on behalf of such Company Indemnified Party and shall survive the transfer of the Registrable Securities by any Investor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jc w:val="both"/>
        <w:ind w:left="4" w:firstLine="987"/>
        <w:spacing w:after="0" w:line="252" w:lineRule="auto"/>
        <w:tabs>
          <w:tab w:leader="none" w:pos="127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Investor Indemnified Person or a Company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notice of the commencement of any action or proceeding (including any governmental action or proceeding) involving a Claim, such Investor Indemnified Person or Company Indemnified Party shall, if a Claim in respect thereof is to be made against any indemnifying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Investor Indemnified Person or the Company Indemnified Party, as the case may be, and upon such notice, the indemnifying party shall not be liable to the Investor Indemnified Person or the Company Indemnified Party for any legal or other expenses subsequently incurred by the Investor Indemnified Person or the Company Indemnified Party in connection with the defense thereof; provided, however, that an Investor Indemnified Person or Company Indemnified Party (together with all other Investor Indemnified Persons and Indemnified Parties that may be represented without conflict by one counsel) shall have the right to retain its own counsel with the reasonable and documented fees and expenses to be paid by the indemnifying party, if, in the reasonable opinion of counsel retained by the indemnifying party, the representation by such counsel of the Investor Indemnified Person or Company Indemnified Party and the indemnifying party would be inappropriate due to actual or potential differing interests between such Investor Indemnified Person or Company Indemnified Party and any other party represented by such counsel in such proceeding.</w:t>
      </w:r>
    </w:p>
    <w:p>
      <w:pPr>
        <w:spacing w:after="0" w:line="197" w:lineRule="exact"/>
        <w:rPr>
          <w:rFonts w:ascii="Times New Roman" w:cs="Times New Roman" w:eastAsia="Times New Roman" w:hAnsi="Times New Roman"/>
          <w:sz w:val="18"/>
          <w:szCs w:val="18"/>
          <w:color w:val="auto"/>
        </w:rPr>
      </w:pPr>
    </w:p>
    <w:p>
      <w:pPr>
        <w:jc w:val="both"/>
        <w:ind w:left="4" w:firstLine="987"/>
        <w:spacing w:after="0" w:line="266" w:lineRule="auto"/>
        <w:tabs>
          <w:tab w:leader="none" w:pos="1263"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Indemnified Party or Investor Indemnified Person shall cooperate with the indemnifying party in connection with any negotiation or defense of any such action or claim by the indemnifying party and shall furnish to the indemnifying party all information reasonably available to the Company Indemnified Party or Investor Indemnified Person which relates to such action or claim.</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70" w:right="439" w:bottom="1440" w:gutter="0" w:footer="0" w:header="0"/>
        </w:sectPr>
      </w:pPr>
    </w:p>
    <w:bookmarkStart w:id="60" w:name="page61"/>
    <w:bookmarkEnd w:id="60"/>
    <w:p>
      <w:pPr>
        <w:jc w:val="both"/>
        <w:ind w:left="4" w:firstLine="987"/>
        <w:spacing w:after="0" w:line="253" w:lineRule="auto"/>
        <w:tabs>
          <w:tab w:leader="none" w:pos="124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indemnifying party shall keep the Company Indemnified Party or Investor Indemnified Person fully apprised as to the status of the defense or any settlement negotiations with respect thereto. No indemnifying party shall be liable for any settlement of any action, claim or proceeding effected without its written consent. No indemnifying party shall, without the consent of the Company Indemnified Party or Investor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Company Indemnified Party or Investor Indemnified Person in respect to or arising out of such claim or litigation in favor of, and (iii) does not include any admission of fault, culpability, wrongdoing, or wrongdoing or malfeasance by or on behalf of, the Company Indemnified Party or Investor Indemnified Person. Following indemnification as provided for hereunder, the indemnifying party shall be subrogated to all rights of the Company Indemnified Party or Investor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Investor Indemnified Person or Company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except to the extent that the indemnifying party is prejudiced in its ability to defend such action.</w:t>
      </w:r>
    </w:p>
    <w:p>
      <w:pPr>
        <w:spacing w:after="0" w:line="189"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indemnification required by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which person is later determined to not be entitled to such payment shall return such payment (including reimbursement of expenses) to the person making it.</w:t>
      </w:r>
    </w:p>
    <w:p>
      <w:pPr>
        <w:spacing w:after="0" w:line="179"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agreements contained herein shall be in addition to (i) any cause of action or similar right of the Company Indemnified Party or Investor Indemnified Person against the indemnifying party or others, and (ii) any liabilities the indemnifying party may be subject to pursuant to the law.</w:t>
      </w:r>
    </w:p>
    <w:p>
      <w:pPr>
        <w:spacing w:after="0" w:line="2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7. CONTRIBUTION.</w:t>
      </w:r>
    </w:p>
    <w:p>
      <w:pPr>
        <w:spacing w:after="0" w:line="121" w:lineRule="exact"/>
        <w:rPr>
          <w:sz w:val="20"/>
          <w:szCs w:val="20"/>
          <w:color w:val="auto"/>
        </w:rPr>
      </w:pPr>
    </w:p>
    <w:p>
      <w:pPr>
        <w:jc w:val="both"/>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w:t>
      </w:r>
    </w:p>
    <w:p>
      <w:pPr>
        <w:spacing w:after="0" w:line="3" w:lineRule="exact"/>
        <w:rPr>
          <w:sz w:val="20"/>
          <w:szCs w:val="20"/>
          <w:color w:val="auto"/>
        </w:rPr>
      </w:pPr>
    </w:p>
    <w:p>
      <w:pPr>
        <w:ind w:left="4" w:hanging="4"/>
        <w:spacing w:after="0" w:line="260" w:lineRule="auto"/>
        <w:tabs>
          <w:tab w:leader="none" w:pos="27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by any seller of Registrable Securities shall be limited in amount to the net amount of proceeds received by such seller from the sale of such Registrable Securities giving rise to such contribution obligation.</w:t>
      </w:r>
    </w:p>
    <w:p>
      <w:pPr>
        <w:spacing w:after="0" w:line="2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8. ASSIGNMENT OF REGISTRATION RIGHTS.</w:t>
      </w:r>
    </w:p>
    <w:p>
      <w:pPr>
        <w:spacing w:after="0" w:line="121" w:lineRule="exact"/>
        <w:rPr>
          <w:sz w:val="20"/>
          <w:szCs w:val="20"/>
          <w:color w:val="auto"/>
        </w:rPr>
      </w:pPr>
    </w:p>
    <w:p>
      <w:pPr>
        <w:jc w:val="both"/>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The Company shall not assign this Agreement or any rights or obligations hereunder (whether by operation of law or otherwise) without the prior written consent of the Required Investors; provided, however,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Required Investors shall not be required for such transaction.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70" w:right="439" w:bottom="1440" w:gutter="0" w:footer="0" w:header="0"/>
        </w:sectPr>
      </w:pPr>
    </w:p>
    <w:bookmarkStart w:id="61" w:name="page62"/>
    <w:bookmarkEnd w:id="61"/>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in connection with an assignment to an Affiliate of an Investor, no Investor shall have the right to assign all or part of its or his rights and obligations under this Agreement to any Person without the written consent of the Company (not to be unreasonably withheld or delayed) and unless such Person agrees in writing to be bound by all of the provisions contained herein.</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provisions of this Agreement shall be binding upon and inure to the benefit of the Investor and its successors and permitted assigns.</w:t>
      </w:r>
    </w:p>
    <w:p>
      <w:pPr>
        <w:spacing w:after="0" w:line="329" w:lineRule="exact"/>
        <w:rPr>
          <w:sz w:val="20"/>
          <w:szCs w:val="20"/>
          <w:color w:val="auto"/>
        </w:rPr>
      </w:pPr>
    </w:p>
    <w:p>
      <w:pPr>
        <w:ind w:left="624" w:hanging="184"/>
        <w:spacing w:after="0"/>
        <w:tabs>
          <w:tab w:leader="none" w:pos="624"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AND WAIVERS; TERMINATION.</w:t>
      </w:r>
    </w:p>
    <w:p>
      <w:pPr>
        <w:spacing w:after="0" w:line="121" w:lineRule="exact"/>
        <w:rPr>
          <w:rFonts w:ascii="Times New Roman" w:cs="Times New Roman" w:eastAsia="Times New Roman" w:hAnsi="Times New Roman"/>
          <w:sz w:val="18"/>
          <w:szCs w:val="18"/>
          <w:b w:val="1"/>
          <w:bCs w:val="1"/>
          <w:color w:val="auto"/>
        </w:rPr>
      </w:pPr>
    </w:p>
    <w:p>
      <w:pPr>
        <w:jc w:val="both"/>
        <w:ind w:left="4" w:right="20" w:firstLine="987"/>
        <w:spacing w:after="0" w:line="261" w:lineRule="auto"/>
        <w:tabs>
          <w:tab w:leader="none" w:pos="1254"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including the provisions of this sentence, may be amended, modified or supplemented, or waived only by a written instrument executed by (i) the Company and (ii) the Required Investors, provided that (1) any party may give a waiver as to itself,</w:t>
      </w:r>
    </w:p>
    <w:p>
      <w:pPr>
        <w:jc w:val="both"/>
        <w:ind w:left="4" w:hanging="4"/>
        <w:spacing w:after="0" w:line="252" w:lineRule="auto"/>
        <w:tabs>
          <w:tab w:leader="none" w:pos="26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and (3) any amendments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all of the Registrable Securities to which such waiver or consent relates.</w:t>
      </w:r>
    </w:p>
    <w:p>
      <w:pPr>
        <w:spacing w:after="0" w:line="189"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62"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the Company under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in each case solely with respect to such Investor, will terminate upon the earlier of:</w:t>
      </w:r>
    </w:p>
    <w:p>
      <w:pPr>
        <w:spacing w:after="0" w:line="53" w:lineRule="exact"/>
        <w:rPr>
          <w:rFonts w:ascii="Times New Roman" w:cs="Times New Roman" w:eastAsia="Times New Roman" w:hAnsi="Times New Roman"/>
          <w:sz w:val="18"/>
          <w:szCs w:val="18"/>
          <w:color w:val="auto"/>
        </w:rPr>
      </w:pPr>
    </w:p>
    <w:p>
      <w:pPr>
        <w:ind w:left="444" w:right="20" w:firstLine="948"/>
        <w:spacing w:after="0" w:line="282" w:lineRule="auto"/>
        <w:tabs>
          <w:tab w:leader="none" w:pos="1548" w:val="left"/>
        </w:tabs>
        <w:numPr>
          <w:ilvl w:val="3"/>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date on which a Registration Statement with respect to the sale of such Investor’s Registrable Securities shall have been declared effective under the Securities Act and such securities shall have been disposed of in accordance with such Registration Statement;</w:t>
      </w:r>
    </w:p>
    <w:p>
      <w:pPr>
        <w:spacing w:after="0" w:line="53" w:lineRule="exact"/>
        <w:rPr>
          <w:rFonts w:ascii="Times New Roman" w:cs="Times New Roman" w:eastAsia="Times New Roman" w:hAnsi="Times New Roman"/>
          <w:sz w:val="18"/>
          <w:szCs w:val="18"/>
          <w:color w:val="auto"/>
        </w:rPr>
      </w:pPr>
    </w:p>
    <w:p>
      <w:pPr>
        <w:ind w:left="1584" w:hanging="192"/>
        <w:spacing w:after="0"/>
        <w:tabs>
          <w:tab w:leader="none" w:pos="1584" w:val="left"/>
        </w:tabs>
        <w:numPr>
          <w:ilvl w:val="3"/>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date on which such Investor’s Registrable Securities have been disposed of in compliance with the requirements of Rule</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w:t>
      </w:r>
    </w:p>
    <w:p>
      <w:pPr>
        <w:spacing w:after="0" w:line="98" w:lineRule="exact"/>
        <w:rPr>
          <w:rFonts w:ascii="Times New Roman" w:cs="Times New Roman" w:eastAsia="Times New Roman" w:hAnsi="Times New Roman"/>
          <w:sz w:val="18"/>
          <w:szCs w:val="18"/>
          <w:color w:val="auto"/>
        </w:rPr>
      </w:pPr>
    </w:p>
    <w:p>
      <w:pPr>
        <w:ind w:left="1624" w:hanging="232"/>
        <w:spacing w:after="0"/>
        <w:tabs>
          <w:tab w:leader="none" w:pos="1624" w:val="left"/>
        </w:tabs>
        <w:numPr>
          <w:ilvl w:val="3"/>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date on which such Investor’s Registrable Securities have been sold in a public offering of securities;</w:t>
      </w:r>
    </w:p>
    <w:p>
      <w:pPr>
        <w:spacing w:after="0" w:line="117" w:lineRule="exact"/>
        <w:rPr>
          <w:rFonts w:ascii="Times New Roman" w:cs="Times New Roman" w:eastAsia="Times New Roman" w:hAnsi="Times New Roman"/>
          <w:sz w:val="18"/>
          <w:szCs w:val="18"/>
          <w:color w:val="auto"/>
        </w:rPr>
      </w:pPr>
    </w:p>
    <w:p>
      <w:pPr>
        <w:jc w:val="both"/>
        <w:ind w:left="444" w:firstLine="948"/>
        <w:spacing w:after="0" w:line="266" w:lineRule="auto"/>
        <w:tabs>
          <w:tab w:leader="none" w:pos="1619" w:val="left"/>
        </w:tabs>
        <w:numPr>
          <w:ilvl w:val="3"/>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date on which such the Investor is eligible to sell its Registrable Securities pursuant to Rule 144 (without limitation as to volume or manner of sale and without the requirement for the Company to be in compliance with the current public information requirement under Rule 144 under the Securities Act or any other rule of similar effect);</w:t>
      </w:r>
    </w:p>
    <w:p>
      <w:pPr>
        <w:spacing w:after="0" w:line="67" w:lineRule="exact"/>
        <w:rPr>
          <w:rFonts w:ascii="Times New Roman" w:cs="Times New Roman" w:eastAsia="Times New Roman" w:hAnsi="Times New Roman"/>
          <w:sz w:val="18"/>
          <w:szCs w:val="18"/>
          <w:color w:val="auto"/>
        </w:rPr>
      </w:pPr>
    </w:p>
    <w:p>
      <w:pPr>
        <w:ind w:left="1564" w:hanging="172"/>
        <w:spacing w:after="0"/>
        <w:tabs>
          <w:tab w:leader="none" w:pos="1564" w:val="left"/>
        </w:tabs>
        <w:numPr>
          <w:ilvl w:val="3"/>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date on which such Investor’s Registrable Securities have ceased to be outstanding; or</w:t>
      </w:r>
    </w:p>
    <w:p>
      <w:pPr>
        <w:spacing w:after="0" w:line="117" w:lineRule="exact"/>
        <w:rPr>
          <w:rFonts w:ascii="Times New Roman" w:cs="Times New Roman" w:eastAsia="Times New Roman" w:hAnsi="Times New Roman"/>
          <w:sz w:val="18"/>
          <w:szCs w:val="18"/>
          <w:color w:val="auto"/>
        </w:rPr>
      </w:pPr>
    </w:p>
    <w:p>
      <w:pPr>
        <w:jc w:val="both"/>
        <w:ind w:left="444" w:right="20" w:firstLine="948"/>
        <w:spacing w:after="0" w:line="266" w:lineRule="auto"/>
        <w:tabs>
          <w:tab w:leader="none" w:pos="1636" w:val="left"/>
        </w:tabs>
        <w:numPr>
          <w:ilvl w:val="3"/>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date following the first anniversary of the date the Initial Registration Statement becomes effective under the Securities Act on which such Investor is not, and has not for the preceding three months been, an “affiliate” (as defined in Rule 144 under the Securities Act) of the Company.</w:t>
      </w:r>
    </w:p>
    <w:p>
      <w:pPr>
        <w:spacing w:after="0" w:line="27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70" w:right="439" w:bottom="1440" w:gutter="0" w:footer="0" w:header="0"/>
        </w:sectPr>
      </w:pPr>
    </w:p>
    <w:bookmarkStart w:id="62" w:name="page63"/>
    <w:bookmarkEnd w:id="62"/>
    <w:p>
      <w:pPr>
        <w:jc w:val="both"/>
        <w:ind w:left="4" w:right="20" w:firstLine="987"/>
        <w:spacing w:after="0" w:line="255" w:lineRule="auto"/>
        <w:tabs>
          <w:tab w:leader="none" w:pos="12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Times New Roman" w:cs="Times New Roman" w:eastAsia="Times New Roman" w:hAnsi="Times New Roman"/>
          <w:sz w:val="18"/>
          <w:szCs w:val="18"/>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(in each case, without receipt of an undeliverable or similar notice), (c) three days after having been sent by certified or registered mail, return-receipt requested and postage prepaid, or</w:t>
      </w:r>
    </w:p>
    <w:p>
      <w:pPr>
        <w:spacing w:after="0" w:line="2" w:lineRule="exact"/>
        <w:rPr>
          <w:rFonts w:ascii="Times New Roman" w:cs="Times New Roman" w:eastAsia="Times New Roman" w:hAnsi="Times New Roman"/>
          <w:sz w:val="18"/>
          <w:szCs w:val="18"/>
          <w:color w:val="auto"/>
        </w:rPr>
      </w:pPr>
    </w:p>
    <w:p>
      <w:pPr>
        <w:ind w:left="4" w:right="20" w:hanging="4"/>
        <w:spacing w:after="0" w:line="260" w:lineRule="auto"/>
        <w:tabs>
          <w:tab w:leader="none" w:pos="26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Business Day after deposit with a nationally recognized overnight courier, freight prepaid, specifying next Business Day delivery, with written verification of receipt:</w:t>
      </w:r>
    </w:p>
    <w:p>
      <w:pPr>
        <w:spacing w:after="0" w:line="73" w:lineRule="exact"/>
        <w:rPr>
          <w:rFonts w:ascii="Times New Roman" w:cs="Times New Roman" w:eastAsia="Times New Roman" w:hAnsi="Times New Roman"/>
          <w:sz w:val="18"/>
          <w:szCs w:val="18"/>
          <w:color w:val="auto"/>
        </w:rPr>
      </w:pPr>
    </w:p>
    <w:p>
      <w:pPr>
        <w:ind w:left="1524" w:hanging="132"/>
        <w:spacing w:after="0"/>
        <w:tabs>
          <w:tab w:leader="none" w:pos="1524"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addressed as follows:</w:t>
      </w:r>
    </w:p>
    <w:p>
      <w:pPr>
        <w:spacing w:after="0" w:line="117"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First Tracks Biotherapeutics, Inc.</w:t>
      </w:r>
    </w:p>
    <w:p>
      <w:pPr>
        <w:spacing w:after="0" w:line="27"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10770 Wateridge Circle, Suite 210</w:t>
      </w:r>
    </w:p>
    <w:p>
      <w:pPr>
        <w:spacing w:after="0" w:line="9"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9"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Attention: Dan Faga</w:t>
      </w:r>
    </w:p>
    <w:p>
      <w:pPr>
        <w:spacing w:after="0" w:line="99"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with a copy (which shall not constitute notice):</w:t>
      </w:r>
    </w:p>
    <w:p>
      <w:pPr>
        <w:spacing w:after="0" w:line="117"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1285 Avenue of the Americas, New York, NY 10019</w:t>
      </w:r>
    </w:p>
    <w:p>
      <w:pPr>
        <w:spacing w:after="0" w:line="9"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Attention: Benjamin M. Goodchild; Timothy Cruickshank;</w:t>
      </w:r>
    </w:p>
    <w:p>
      <w:pPr>
        <w:spacing w:after="0" w:line="9"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Christodoulos Kaoutzanis</w:t>
      </w:r>
    </w:p>
    <w:p>
      <w:pPr>
        <w:spacing w:after="0" w:line="9"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Email: bgoodchild@paulweiss.com;</w:t>
      </w:r>
    </w:p>
    <w:p>
      <w:pPr>
        <w:spacing w:after="0" w:line="9" w:lineRule="exact"/>
        <w:rPr>
          <w:sz w:val="20"/>
          <w:szCs w:val="20"/>
          <w:color w:val="auto"/>
        </w:rPr>
      </w:pPr>
    </w:p>
    <w:p>
      <w:pPr>
        <w:ind w:left="2664"/>
        <w:spacing w:after="0"/>
        <w:rPr>
          <w:sz w:val="20"/>
          <w:szCs w:val="20"/>
          <w:color w:val="auto"/>
        </w:rPr>
      </w:pPr>
      <w:r>
        <w:rPr>
          <w:rFonts w:ascii="Times New Roman" w:cs="Times New Roman" w:eastAsia="Times New Roman" w:hAnsi="Times New Roman"/>
          <w:sz w:val="18"/>
          <w:szCs w:val="18"/>
          <w:color w:val="auto"/>
        </w:rPr>
        <w:t>tcruickshank@paulweiss.com; ckaoutzanis@paulweiss.com</w:t>
      </w:r>
    </w:p>
    <w:p>
      <w:pPr>
        <w:spacing w:after="0" w:line="99" w:lineRule="exact"/>
        <w:rPr>
          <w:sz w:val="20"/>
          <w:szCs w:val="20"/>
          <w:color w:val="auto"/>
        </w:rPr>
      </w:pPr>
    </w:p>
    <w:p>
      <w:pPr>
        <w:ind w:left="444" w:right="20" w:firstLine="948"/>
        <w:spacing w:after="0" w:line="282" w:lineRule="auto"/>
        <w:tabs>
          <w:tab w:leader="none" w:pos="160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Investor, at its e-mail address or address set forth on its signature page to the Purchase Agreement or to such e-mail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Person may change the address to which notices and communications to it are to be addressed by notification as provided for herein.</w:t>
      </w:r>
    </w:p>
    <w:p>
      <w:pPr>
        <w:spacing w:after="0" w:line="225" w:lineRule="exact"/>
        <w:rPr>
          <w:sz w:val="20"/>
          <w:szCs w:val="20"/>
          <w:color w:val="auto"/>
        </w:rPr>
      </w:pPr>
    </w:p>
    <w:p>
      <w:pPr>
        <w:jc w:val="both"/>
        <w:ind w:left="4" w:firstLine="987"/>
        <w:spacing w:after="0" w:line="255" w:lineRule="auto"/>
        <w:tabs>
          <w:tab w:leader="none" w:pos="127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Electronic Notice</w:t>
      </w:r>
      <w:r>
        <w:rPr>
          <w:rFonts w:ascii="Times New Roman" w:cs="Times New Roman" w:eastAsia="Times New Roman" w:hAnsi="Times New Roman"/>
          <w:sz w:val="18"/>
          <w:szCs w:val="18"/>
          <w:color w:val="auto"/>
        </w:rPr>
        <w:t>. Subject to applicable requirements under applicable federal and state securities laws, each Investor consents to the delivery of any stockholder notice pursuant to the Delaware General Corporation Law, as amended or superseded from time to time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by electronic mail pursuant to Section 232 of the DGCL (or any successor thereto) at the e-mail address set forth below the Investor’s name on the signature page or Exhibit A,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spacing w:after="0" w:line="188" w:lineRule="exact"/>
        <w:rPr>
          <w:rFonts w:ascii="Times New Roman" w:cs="Times New Roman" w:eastAsia="Times New Roman" w:hAnsi="Times New Roman"/>
          <w:sz w:val="18"/>
          <w:szCs w:val="18"/>
          <w:color w:val="auto"/>
        </w:rPr>
      </w:pPr>
    </w:p>
    <w:p>
      <w:pPr>
        <w:jc w:val="both"/>
        <w:ind w:left="4" w:firstLine="987"/>
        <w:spacing w:after="0" w:line="266" w:lineRule="auto"/>
        <w:tabs>
          <w:tab w:leader="none" w:pos="126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7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of the Purchase Agreement are incorporated by reference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70" w:right="439" w:bottom="1440" w:gutter="0" w:footer="0" w:header="0"/>
        </w:sectPr>
      </w:pPr>
    </w:p>
    <w:bookmarkStart w:id="63" w:name="page64"/>
    <w:bookmarkEnd w:id="63"/>
    <w:p>
      <w:pPr>
        <w:ind w:right="20" w:firstLine="987"/>
        <w:spacing w:after="0" w:line="282" w:lineRule="auto"/>
        <w:tabs>
          <w:tab w:leader="none" w:pos="12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Headings</w:t>
      </w:r>
      <w:r>
        <w:rPr>
          <w:rFonts w:ascii="Times New Roman" w:cs="Times New Roman" w:eastAsia="Times New Roman" w:hAnsi="Times New Roman"/>
          <w:sz w:val="18"/>
          <w:szCs w:val="18"/>
          <w:color w:val="auto"/>
        </w:rPr>
        <w:t>. The titles, subtitles and headings in this Agreement are for convenience of reference and shall not form part of, or affect the interpretation of, this Agreement.</w:t>
      </w:r>
    </w:p>
    <w:p>
      <w:pPr>
        <w:spacing w:after="0" w:line="161" w:lineRule="exact"/>
        <w:rPr>
          <w:rFonts w:ascii="Times New Roman" w:cs="Times New Roman" w:eastAsia="Times New Roman" w:hAnsi="Times New Roman"/>
          <w:sz w:val="18"/>
          <w:szCs w:val="18"/>
          <w:color w:val="auto"/>
        </w:rPr>
      </w:pPr>
    </w:p>
    <w:p>
      <w:pPr>
        <w:jc w:val="both"/>
        <w:ind w:firstLine="987"/>
        <w:spacing w:after="0" w:line="258" w:lineRule="auto"/>
        <w:tabs>
          <w:tab w:leader="none" w:pos="123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183"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5" w:lineRule="exact"/>
        <w:rPr>
          <w:rFonts w:ascii="Times New Roman" w:cs="Times New Roman" w:eastAsia="Times New Roman" w:hAnsi="Times New Roman"/>
          <w:sz w:val="18"/>
          <w:szCs w:val="18"/>
          <w:color w:val="auto"/>
        </w:rPr>
      </w:pPr>
    </w:p>
    <w:p>
      <w:pPr>
        <w:ind w:right="20" w:firstLine="987"/>
        <w:spacing w:after="0" w:line="282" w:lineRule="auto"/>
        <w:tabs>
          <w:tab w:leader="none" w:pos="1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 Interpretation</w:t>
      </w:r>
      <w:r>
        <w:rPr>
          <w:rFonts w:ascii="Times New Roman" w:cs="Times New Roman" w:eastAsia="Times New Roman" w:hAnsi="Times New Roman"/>
          <w:sz w:val="18"/>
          <w:szCs w:val="18"/>
          <w:color w:val="auto"/>
        </w:rPr>
        <w:t>. This Agreement is the joint product of each Investor and the Company and each provision hereof has been subject to the mutual consultation, negotiation and agreement of such parties and shall not be construed for or against any party hereto.</w:t>
      </w:r>
    </w:p>
    <w:p>
      <w:pPr>
        <w:spacing w:after="0" w:line="161" w:lineRule="exact"/>
        <w:rPr>
          <w:rFonts w:ascii="Times New Roman" w:cs="Times New Roman" w:eastAsia="Times New Roman" w:hAnsi="Times New Roman"/>
          <w:sz w:val="18"/>
          <w:szCs w:val="18"/>
          <w:color w:val="auto"/>
        </w:rPr>
      </w:pPr>
    </w:p>
    <w:p>
      <w:pPr>
        <w:jc w:val="both"/>
        <w:ind w:firstLine="987"/>
        <w:spacing w:after="0" w:line="258" w:lineRule="auto"/>
        <w:tabs>
          <w:tab w:leader="none" w:pos="120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third-party beneficiary with respect to this Agreement or the transactions contemplated hereby.</w:t>
      </w:r>
    </w:p>
    <w:p>
      <w:pPr>
        <w:spacing w:after="0" w:line="183" w:lineRule="exact"/>
        <w:rPr>
          <w:rFonts w:ascii="Times New Roman" w:cs="Times New Roman" w:eastAsia="Times New Roman" w:hAnsi="Times New Roman"/>
          <w:sz w:val="18"/>
          <w:szCs w:val="18"/>
          <w:color w:val="auto"/>
        </w:rPr>
      </w:pPr>
    </w:p>
    <w:p>
      <w:pPr>
        <w:jc w:val="both"/>
        <w:ind w:firstLine="987"/>
        <w:spacing w:after="0" w:line="261" w:lineRule="auto"/>
        <w:tabs>
          <w:tab w:leader="none" w:pos="120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54" w:lineRule="auto"/>
        <w:tabs>
          <w:tab w:leader="none" w:pos="1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spacing w:after="0" w:line="191" w:lineRule="exact"/>
        <w:rPr>
          <w:rFonts w:ascii="Times New Roman" w:cs="Times New Roman" w:eastAsia="Times New Roman" w:hAnsi="Times New Roman"/>
          <w:sz w:val="18"/>
          <w:szCs w:val="18"/>
          <w:color w:val="auto"/>
        </w:rPr>
      </w:pPr>
    </w:p>
    <w:p>
      <w:pPr>
        <w:jc w:val="both"/>
        <w:ind w:firstLine="987"/>
        <w:spacing w:after="0" w:line="266" w:lineRule="auto"/>
        <w:tabs>
          <w:tab w:leader="none" w:pos="123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In addition to any and all other remedies that may be available at law in the event of any breach of this Agreement, each Investor shall be entitled to specific performance of the agreements and obligations of the Company hereunder and to such other injunction or other equitable relief as may be granted by a court of competent jurisdiction.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 </w:t>
      </w:r>
      <w:r>
        <w:rPr>
          <w:rFonts w:ascii="Times New Roman" w:cs="Times New Roman" w:eastAsia="Times New Roman" w:hAnsi="Times New Roman"/>
          <w:sz w:val="17"/>
          <w:szCs w:val="17"/>
          <w:u w:val="single" w:color="auto"/>
          <w:color w:val="auto"/>
        </w:rPr>
        <w:t>Cumulative Remedies</w:t>
      </w:r>
      <w:r>
        <w:rPr>
          <w:rFonts w:ascii="Times New Roman" w:cs="Times New Roman" w:eastAsia="Times New Roman" w:hAnsi="Times New Roman"/>
          <w:sz w:val="17"/>
          <w:szCs w:val="17"/>
          <w:color w:val="auto"/>
        </w:rPr>
        <w:t>. The remedies provided herein are cumulative and not exclusive of any remedies provided by law.</w:t>
      </w:r>
    </w:p>
    <w:p>
      <w:pPr>
        <w:sectPr>
          <w:pgSz w:w="11900" w:h="16838" w:orient="portrait"/>
          <w:cols w:equalWidth="0" w:num="1">
            <w:col w:w="9039"/>
          </w:cols>
          <w:pgMar w:left="1420" w:top="270" w:right="1440" w:bottom="1440" w:gutter="0" w:footer="0" w:header="0"/>
        </w:sect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039"/>
          </w:cols>
          <w:pgMar w:left="1420" w:top="270" w:right="1440"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FIRST TRACKS BIOTHERAPEUTICS,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960"/>
          </w:cols>
          <w:pgMar w:left="1420" w:top="266" w:right="5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17145</wp:posOffset>
            </wp:positionV>
            <wp:extent cx="2425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17145</wp:posOffset>
            </wp:positionV>
            <wp:extent cx="2425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17145</wp:posOffset>
            </wp:positionV>
            <wp:extent cx="2425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960"/>
          </w:cols>
          <w:pgMar w:left="1420" w:top="266" w:right="5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received after the date of this prospectus from a selling stockholder as a gift, pledge, partnership distribution or other transfer, may, from time to time, sell, transfer or otherwise dispose of any or all of their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w:t>
      </w:r>
    </w:p>
    <w:p>
      <w:pPr>
        <w:spacing w:after="0" w:line="131" w:lineRule="exact"/>
        <w:rPr>
          <w:sz w:val="20"/>
          <w:szCs w:val="20"/>
          <w:color w:val="auto"/>
        </w:rPr>
      </w:pPr>
    </w:p>
    <w:p>
      <w:pPr>
        <w:ind w:left="960" w:hanging="424"/>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members, partners, stockholders or other equityholders of the selling stockholders;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brokers or dealers;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and settlement of short sales;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on a best-efforts basis;</w:t>
      </w:r>
    </w:p>
    <w:p>
      <w:pPr>
        <w:spacing w:after="0" w:line="130" w:lineRule="exact"/>
        <w:rPr>
          <w:rFonts w:ascii="Times New Roman" w:cs="Times New Roman" w:eastAsia="Times New Roman" w:hAnsi="Times New Roman"/>
          <w:sz w:val="18"/>
          <w:szCs w:val="18"/>
          <w:color w:val="auto"/>
        </w:rPr>
      </w:pPr>
    </w:p>
    <w:p>
      <w:pPr>
        <w:jc w:val="both"/>
        <w:ind w:left="960" w:hanging="424"/>
        <w:spacing w:after="0" w:line="266" w:lineRule="auto"/>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plans entered into by the selling stockholders pursuant to Rule 10b5-1 under the Exchange Act that are in place at the time of an offering pursuant to this prospectus and any applicable prospectus supplement hereto that provide for periodic sales of their shares of common stock on the basis of parameters described in such trading plans;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68" w:name="page69"/>
    <w:bookmarkEnd w:id="68"/>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69" w:name="page70"/>
    <w:bookmarkEnd w:id="6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70" w:name="page71"/>
    <w:bookmarkEnd w:id="70"/>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Investor Questionnaire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252" w:lineRule="exact"/>
        <w:rPr>
          <w:sz w:val="20"/>
          <w:szCs w:val="20"/>
          <w:color w:val="auto"/>
        </w:rPr>
      </w:pPr>
    </w:p>
    <w:p>
      <w:pPr>
        <w:ind w:left="244" w:hanging="244"/>
        <w:spacing w:after="0"/>
        <w:tabs>
          <w:tab w:leader="none" w:pos="244"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121" w:lineRule="exact"/>
        <w:rPr>
          <w:rFonts w:ascii="Times New Roman" w:cs="Times New Roman" w:eastAsia="Times New Roman" w:hAnsi="Times New Roman"/>
          <w:sz w:val="18"/>
          <w:szCs w:val="18"/>
          <w:b w:val="1"/>
          <w:bCs w:val="1"/>
          <w:color w:val="auto"/>
        </w:rPr>
      </w:pPr>
    </w:p>
    <w:p>
      <w:pPr>
        <w:ind w:left="884" w:hanging="641"/>
        <w:spacing w:after="0"/>
        <w:tabs>
          <w:tab w:leader="none" w:pos="88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Investor</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884" w:hanging="641"/>
        <w:spacing w:after="0"/>
        <w:tabs>
          <w:tab w:leader="none" w:pos="88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884" w:hanging="641"/>
        <w:spacing w:after="0" w:line="282" w:lineRule="auto"/>
        <w:tabs>
          <w:tab w:leader="none" w:pos="88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for Notices to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-1334135</wp:posOffset>
            </wp:positionV>
            <wp:extent cx="64293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-905510</wp:posOffset>
            </wp:positionV>
            <wp:extent cx="64293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-339725</wp:posOffset>
            </wp:positionV>
            <wp:extent cx="64293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311150</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534035</wp:posOffset>
            </wp:positionV>
            <wp:extent cx="6995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756920</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17145</wp:posOffset>
            </wp:positionV>
            <wp:extent cx="64204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17145</wp:posOffset>
            </wp:positionV>
            <wp:extent cx="65747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16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71" w:name="page72"/>
    <w:bookmarkEnd w:id="7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17145</wp:posOffset>
            </wp:positionV>
            <wp:extent cx="60775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77585" cy="8255"/>
                    </a:xfrm>
                    <a:prstGeom prst="rect">
                      <a:avLst/>
                    </a:prstGeom>
                    <a:noFill/>
                  </pic:spPr>
                </pic:pic>
              </a:graphicData>
            </a:graphic>
          </wp:anchor>
        </w:drawing>
      </w:r>
    </w:p>
    <w:p>
      <w:pPr>
        <w:spacing w:after="0" w:line="336" w:lineRule="exact"/>
        <w:rPr>
          <w:sz w:val="20"/>
          <w:szCs w:val="20"/>
          <w:color w:val="auto"/>
        </w:rPr>
      </w:pPr>
    </w:p>
    <w:p>
      <w:pPr>
        <w:ind w:left="184" w:hanging="184"/>
        <w:spacing w:after="0"/>
        <w:tabs>
          <w:tab w:leader="none" w:pos="184"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Broker-Dealer Status:</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211" w:lineRule="exact"/>
        <w:rPr>
          <w:sz w:val="20"/>
          <w:szCs w:val="20"/>
          <w:color w:val="auto"/>
        </w:rPr>
      </w:pPr>
    </w:p>
    <w:p>
      <w:pPr>
        <w:jc w:val="center"/>
        <w:ind w:right="-3"/>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left="964" w:hanging="532"/>
        <w:spacing w:after="0"/>
        <w:tabs>
          <w:tab w:leader="none" w:pos="96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“yes” to Section 3(a), did you receive your Registrable Securities as compensation for investment banking services to the Company?</w:t>
      </w:r>
    </w:p>
    <w:p>
      <w:pPr>
        <w:spacing w:after="0" w:line="211" w:lineRule="exact"/>
        <w:rPr>
          <w:sz w:val="20"/>
          <w:szCs w:val="20"/>
          <w:color w:val="auto"/>
        </w:rPr>
      </w:pPr>
    </w:p>
    <w:p>
      <w:pPr>
        <w:jc w:val="center"/>
        <w:ind w:right="-3"/>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Note:  If “no” to Section 3(b), the Commission’s staff has indicated that you should be identified as an underwriter in the Registration Statement.</w:t>
      </w:r>
    </w:p>
    <w:p>
      <w:pPr>
        <w:spacing w:after="0" w:line="131" w:lineRule="exact"/>
        <w:rPr>
          <w:sz w:val="20"/>
          <w:szCs w:val="20"/>
          <w:color w:val="auto"/>
        </w:rPr>
      </w:pPr>
    </w:p>
    <w:p>
      <w:pPr>
        <w:ind w:left="964" w:hanging="532"/>
        <w:spacing w:after="0"/>
        <w:tabs>
          <w:tab w:leader="none" w:pos="9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an affiliate of a broker-dealer?</w:t>
      </w:r>
    </w:p>
    <w:p>
      <w:pPr>
        <w:spacing w:after="0" w:line="211" w:lineRule="exact"/>
        <w:rPr>
          <w:sz w:val="20"/>
          <w:szCs w:val="20"/>
          <w:color w:val="auto"/>
        </w:rPr>
      </w:pPr>
    </w:p>
    <w:p>
      <w:pPr>
        <w:jc w:val="center"/>
        <w:ind w:right="-3"/>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left="964" w:hanging="532"/>
        <w:spacing w:after="0" w:line="266" w:lineRule="auto"/>
        <w:tabs>
          <w:tab w:leader="none" w:pos="96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62" w:lineRule="exact"/>
        <w:rPr>
          <w:sz w:val="20"/>
          <w:szCs w:val="20"/>
          <w:color w:val="auto"/>
        </w:rPr>
      </w:pPr>
    </w:p>
    <w:p>
      <w:pPr>
        <w:jc w:val="center"/>
        <w:ind w:right="-3"/>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Note:  If “no” to Section 3(d), the Commission’s staff has indicated that you should be identified as an underwriter in the Registration Statement.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 Beneficial Ownership of Securities of the Company Owned by the Investor.</w:t>
      </w:r>
    </w:p>
    <w:p>
      <w:pPr>
        <w:spacing w:after="0" w:line="119" w:lineRule="exact"/>
        <w:rPr>
          <w:sz w:val="20"/>
          <w:szCs w:val="20"/>
          <w:color w:val="auto"/>
        </w:rPr>
      </w:pPr>
    </w:p>
    <w:p>
      <w:pPr>
        <w:ind w:left="444"/>
        <w:spacing w:after="0" w:line="284" w:lineRule="auto"/>
        <w:rPr>
          <w:sz w:val="20"/>
          <w:szCs w:val="20"/>
          <w:color w:val="auto"/>
        </w:rPr>
      </w:pPr>
      <w:r>
        <w:rPr>
          <w:rFonts w:ascii="Times New Roman" w:cs="Times New Roman" w:eastAsia="Times New Roman" w:hAnsi="Times New Roman"/>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87" w:lineRule="exact"/>
        <w:rPr>
          <w:sz w:val="20"/>
          <w:szCs w:val="20"/>
          <w:color w:val="auto"/>
        </w:rPr>
      </w:pPr>
    </w:p>
    <w:p>
      <w:pPr>
        <w:ind w:left="884" w:hanging="524"/>
        <w:spacing w:after="0"/>
        <w:tabs>
          <w:tab w:leader="none" w:pos="88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Investor: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left="54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-453390</wp:posOffset>
            </wp:positionV>
            <wp:extent cx="64293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29375"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-230505</wp:posOffset>
            </wp:positionV>
            <wp:extent cx="64293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29375"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 Relationships with the Company:</w:t>
      </w:r>
    </w:p>
    <w:p>
      <w:pPr>
        <w:spacing w:after="0" w:line="119" w:lineRule="exact"/>
        <w:rPr>
          <w:sz w:val="20"/>
          <w:szCs w:val="20"/>
          <w:color w:val="auto"/>
        </w:rPr>
      </w:pPr>
    </w:p>
    <w:p>
      <w:pPr>
        <w:jc w:val="both"/>
        <w:ind w:left="440"/>
        <w:spacing w:after="0" w:line="267" w:lineRule="auto"/>
        <w:rPr>
          <w:sz w:val="20"/>
          <w:szCs w:val="20"/>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or more of the equity securities of the undersigned) has held any position or office or has had any other material relationship with the Company (or its predecessors or affiliates) during the past three years.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308610</wp:posOffset>
            </wp:positionV>
            <wp:extent cx="67119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531495</wp:posOffset>
            </wp:positionV>
            <wp:extent cx="67119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76"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0"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189"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18"/>
          <w:szCs w:val="18"/>
          <w:color w:val="auto"/>
        </w:rPr>
        <w:t xml:space="preserve">Date:                                                       </w:t>
      </w:r>
      <w:r>
        <w:rPr>
          <w:sz w:val="20"/>
          <w:szCs w:val="20"/>
          <w:color w:val="auto"/>
        </w:rPr>
        <w:tab/>
      </w:r>
      <w:r>
        <w:rPr>
          <w:rFonts w:ascii="Times New Roman" w:cs="Times New Roman" w:eastAsia="Times New Roman" w:hAnsi="Times New Roman"/>
          <w:sz w:val="17"/>
          <w:szCs w:val="17"/>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-7620</wp:posOffset>
            </wp:positionV>
            <wp:extent cx="20567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056765" cy="8255"/>
                    </a:xfrm>
                    <a:prstGeom prst="rect">
                      <a:avLst/>
                    </a:prstGeom>
                    <a:noFill/>
                  </pic:spPr>
                </pic:pic>
              </a:graphicData>
            </a:graphic>
          </wp:anchor>
        </w:drawing>
      </w:r>
    </w:p>
    <w:p>
      <w:pPr>
        <w:spacing w:after="0" w:line="23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EMAIL A .PDF COPY OF THE COMPLETED AND EXECUTED QUESTIONNAIRE TO: [•]</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Anaptys Board of Directors Approves Spin-Off of First Tracks Biotherapeutics</w:t>
      </w:r>
    </w:p>
    <w:p>
      <w:pPr>
        <w:spacing w:after="0" w:line="135" w:lineRule="exact"/>
        <w:rPr>
          <w:sz w:val="20"/>
          <w:szCs w:val="20"/>
          <w:color w:val="auto"/>
        </w:rPr>
      </w:pPr>
    </w:p>
    <w:p>
      <w:pPr>
        <w:ind w:left="960" w:hanging="424"/>
        <w:spacing w:after="0"/>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sets spin-off distribution date for First Tracks Biotherapeutics: expected to occur April 20, 2026, pre-market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receive one share of First Tracks Bio common stock for every one share of AnaptysBio common stock owned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Tracks Bio initial cash balance of $180 million, inclusive of $80 million from private placement</w:t>
      </w:r>
    </w:p>
    <w:p>
      <w:pPr>
        <w:spacing w:after="0" w:line="22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 DIEGO, CA — March 27, 2026 — </w:t>
      </w:r>
      <w:r>
        <w:rPr>
          <w:rFonts w:ascii="Times New Roman" w:cs="Times New Roman" w:eastAsia="Times New Roman" w:hAnsi="Times New Roman"/>
          <w:sz w:val="18"/>
          <w:szCs w:val="18"/>
          <w:color w:val="auto"/>
        </w:rPr>
        <w:t>AnaptysBio, Inc. (Nasdaq: ANAB) today announced that its Board of Directors has approved the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spin-off of First Tracks Biotherapeutics, Inc. (“First Tracks Bio”). The new company is expected to begin “regular-way” trading on the Nasdaq Stock Market LLC (“Nasdaq”) on April 20, 2026, under the ticker symbol “TRAX.”</w:t>
      </w:r>
    </w:p>
    <w:p>
      <w:pPr>
        <w:spacing w:after="0" w:line="17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First Tracks Bio will be a clinical-stage biotechnology company advancing next-generation antibody therapeutics that modulate immune pathways implicated in autoimmune and inflammatory diseases. Its initial three lead development-stage assets will include ANB033, a CD122 antagonist, in a Phase 1b trial for celiac disease and eosinophilic esophagitis; rosnilimab, a pathogenic T cell depleter, which has completed a Phase 2b trial for rheumatoid arthritis; and ANB101, a BDCA2 modulator, in a Phase 1a trial.</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spin-off of First Tracks into an independent, public company is a strategic step that unlocks the value of our potentially best-in-class development pipeline focused on autoimmune diseases. With an initial two-year cash runway, we are positioned to carve a new trail toward a future where autoimmune diseases no longer define a patient’s life,” said Daniel Faga, who will serve as president and CEO of First Tracks Bio, and as Anaptys’ CEO. “This separation positions Anaptys to remain focused on managing and protecting our royalty streams and First Tracks Bio to focus on developing therapeutics that will deliver long-term value for patients and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Weiss, Rifkind, Wharton &amp; Garrison LLP is acting as legal adviser to Anaptys for the transaction.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and Board of Directors for First Tracks Bio</w:t>
      </w:r>
    </w:p>
    <w:p>
      <w:pPr>
        <w:spacing w:after="0" w:line="135" w:lineRule="exact"/>
        <w:rPr>
          <w:sz w:val="20"/>
          <w:szCs w:val="20"/>
          <w:color w:val="auto"/>
        </w:rPr>
      </w:pPr>
    </w:p>
    <w:p>
      <w:pPr>
        <w:ind w:left="960" w:hanging="424"/>
        <w:spacing w:after="0"/>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leadership team will include from Anaptys Daniel Faga, CEO; Paul Lizzul, M.D., Ph.D., CMO; and Ben Stone, CBO</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expected appointment of industry veteran Ajim Tamboli as Chief Financial Officer (CFO)</w:t>
      </w:r>
    </w:p>
    <w:p>
      <w:pPr>
        <w:spacing w:after="0" w:line="130" w:lineRule="exact"/>
        <w:rPr>
          <w:rFonts w:ascii="Times New Roman" w:cs="Times New Roman" w:eastAsia="Times New Roman" w:hAnsi="Times New Roman"/>
          <w:sz w:val="18"/>
          <w:szCs w:val="18"/>
          <w:color w:val="auto"/>
        </w:rPr>
      </w:pPr>
    </w:p>
    <w:p>
      <w:pPr>
        <w:ind w:left="2080" w:right="180" w:hanging="545"/>
        <w:spacing w:after="0" w:line="282" w:lineRule="auto"/>
        <w:tabs>
          <w:tab w:leader="none" w:pos="20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Tamboli brings &gt;25 years’ experience in life sciences as an investor and equity research analyst, as well as significant strategic and financial operations leadership as CFO at multiple public and private biotech companies</w:t>
      </w:r>
    </w:p>
    <w:p>
      <w:pPr>
        <w:spacing w:after="0" w:line="67"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Tamboli is expected to start on April 20, 2026</w:t>
      </w:r>
    </w:p>
    <w:p>
      <w:pPr>
        <w:spacing w:after="0" w:line="130"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will include certain current members of Anaptys’ Board: Daniel Faga; Dennis Fenton, Ph.D.; John Orwin (Chairman); John Schmid; Magda Marquet, Ph.D.; Rita Jain, M.D.; and Tony Ware, M.D.</w:t>
      </w:r>
    </w:p>
    <w:p>
      <w:pPr>
        <w:sectPr>
          <w:pgSz w:w="11900" w:h="16838" w:orient="portrait"/>
          <w:cols w:equalWidth="0" w:num="1">
            <w:col w:w="11020"/>
          </w:cols>
          <w:pgMar w:left="440" w:top="117"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 Position for First Tracks Bio</w:t>
      </w:r>
    </w:p>
    <w:p>
      <w:pPr>
        <w:spacing w:after="0" w:line="135" w:lineRule="exact"/>
        <w:rPr>
          <w:sz w:val="20"/>
          <w:szCs w:val="20"/>
          <w:color w:val="auto"/>
        </w:rPr>
      </w:pPr>
    </w:p>
    <w:p>
      <w:pPr>
        <w:ind w:left="960" w:hanging="424"/>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to launch with $180 million in cash and an initial two-year cash-runway</w:t>
      </w:r>
    </w:p>
    <w:p>
      <w:pPr>
        <w:spacing w:after="0" w:line="130" w:lineRule="exact"/>
        <w:rPr>
          <w:rFonts w:ascii="Times New Roman" w:cs="Times New Roman" w:eastAsia="Times New Roman" w:hAnsi="Times New Roman"/>
          <w:sz w:val="18"/>
          <w:szCs w:val="18"/>
          <w:color w:val="auto"/>
        </w:rPr>
      </w:pPr>
    </w:p>
    <w:p>
      <w:pPr>
        <w:ind w:left="2080" w:right="580" w:hanging="545"/>
        <w:spacing w:after="0" w:line="282" w:lineRule="auto"/>
        <w:tabs>
          <w:tab w:leader="none" w:pos="20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Consisting of $100 million from Anaptys and $80 million in gross proceeds from oversubscribed private placement financing</w:t>
      </w:r>
    </w:p>
    <w:p>
      <w:pPr>
        <w:spacing w:after="0" w:line="67" w:lineRule="exact"/>
        <w:rPr>
          <w:rFonts w:ascii="Times New Roman" w:cs="Times New Roman" w:eastAsia="Times New Roman" w:hAnsi="Times New Roman"/>
          <w:sz w:val="18"/>
          <w:szCs w:val="18"/>
          <w:color w:val="auto"/>
        </w:rPr>
      </w:pPr>
    </w:p>
    <w:p>
      <w:pPr>
        <w:ind w:left="2080" w:right="60" w:hanging="545"/>
        <w:spacing w:after="0" w:line="261" w:lineRule="auto"/>
        <w:tabs>
          <w:tab w:leader="none" w:pos="20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participation from new and existing investors including 683 Capital Partners, LP, Adage Capital Partners, L.P., Affinity Asset Advisors, LLC, Ally Bridge Group, Janus Henderson Investors, Palo Alto Investors LP, Point72, StemPoint Capital LP, TCGX, Trails Edge Capital Partners, Vestal Point Capital, Woodline Partners LP, a leading mutual fund, and other institutional investors.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Spin-off and Trading Dynamics</w:t>
      </w:r>
    </w:p>
    <w:p>
      <w:pPr>
        <w:spacing w:after="0" w:line="135" w:lineRule="exact"/>
        <w:rPr>
          <w:sz w:val="20"/>
          <w:szCs w:val="20"/>
          <w:color w:val="auto"/>
        </w:rPr>
      </w:pPr>
    </w:p>
    <w:p>
      <w:pPr>
        <w:ind w:left="960" w:right="220" w:hanging="424"/>
        <w:spacing w:after="0" w:line="266" w:lineRule="auto"/>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separation, Anaptys’ Board of Directors approved a distribution to Anaptys stockholders of all shares of First Tracks Bio common stock. Holders of Anaptys common stock will be entitled to receive one share of First Tracks Bio common stock for every one share of Anaptys common stock held on the expected record date of April 6, 2026</w:t>
      </w:r>
    </w:p>
    <w:p>
      <w:pPr>
        <w:spacing w:after="0" w:line="81"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is expected to occur on April 20, 2026, prior to market open</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federal income tax purposes, the distribution is expected to be a taxable transaction for Anaptys</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is subject to certain conditions described in the registration statement on Form 10 filed by First Tracks Bio</w:t>
      </w:r>
    </w:p>
    <w:p>
      <w:pPr>
        <w:spacing w:after="0" w:line="130"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Anaptys stockholders do not need to take any action to receive shares of First Tracks Bio common stock to which they are entitled as Anaptys stockholders. Additionally, stockholders do not need to make any payment, or surrender or exchange shares of Anaptys common stock, to participate in the separation</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completion of the planned spin-off, Anaptys will continue to operate as a standalone company</w:t>
      </w:r>
    </w:p>
    <w:p>
      <w:pPr>
        <w:spacing w:after="0" w:line="130" w:lineRule="exact"/>
        <w:rPr>
          <w:rFonts w:ascii="Times New Roman" w:cs="Times New Roman" w:eastAsia="Times New Roman" w:hAnsi="Times New Roman"/>
          <w:sz w:val="18"/>
          <w:szCs w:val="18"/>
          <w:color w:val="auto"/>
        </w:rPr>
      </w:pPr>
    </w:p>
    <w:p>
      <w:pPr>
        <w:ind w:left="2080" w:right="40" w:hanging="545"/>
        <w:spacing w:after="0" w:line="282" w:lineRule="auto"/>
        <w:tabs>
          <w:tab w:leader="none" w:pos="20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Anaptys stockholders will continue to hold their shares of Anaptys common stock that will continue to be listed on Nasdaq under the ticker symbol “ANAB”</w:t>
      </w:r>
    </w:p>
    <w:p>
      <w:pPr>
        <w:spacing w:after="0" w:line="67" w:lineRule="exact"/>
        <w:rPr>
          <w:rFonts w:ascii="Times New Roman" w:cs="Times New Roman" w:eastAsia="Times New Roman" w:hAnsi="Times New Roman"/>
          <w:sz w:val="18"/>
          <w:szCs w:val="18"/>
          <w:color w:val="auto"/>
        </w:rPr>
      </w:pPr>
    </w:p>
    <w:p>
      <w:pPr>
        <w:jc w:val="both"/>
        <w:ind w:left="960" w:right="300" w:hanging="424"/>
        <w:spacing w:after="0" w:line="266" w:lineRule="auto"/>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Anaptys anticipates that “when-issued” trading of First Tracks Bio common stock on Nasdaq will begin on or about April 6, 2026, and First Tracks Bio common stock will begin “regular-way” trading on Nasdaq on the distribution date, April 20, 2026, under the symbol “TRAX”</w:t>
      </w:r>
    </w:p>
    <w:p>
      <w:pPr>
        <w:spacing w:after="0" w:line="81" w:lineRule="exact"/>
        <w:rPr>
          <w:rFonts w:ascii="Times New Roman" w:cs="Times New Roman" w:eastAsia="Times New Roman" w:hAnsi="Times New Roman"/>
          <w:sz w:val="18"/>
          <w:szCs w:val="18"/>
          <w:color w:val="auto"/>
        </w:rPr>
      </w:pPr>
    </w:p>
    <w:p>
      <w:pPr>
        <w:jc w:val="both"/>
        <w:ind w:left="960" w:right="100" w:hanging="424"/>
        <w:spacing w:after="0" w:line="266" w:lineRule="auto"/>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Anaptys stockholders who hold shares of common stock on the record date of April 6, 2026, and decide to sell any of those shares before the distribution date, should consult their stockbroker, bank or other nominee to understand whether the shares of Anaptys common stock will be sold with or without entitlement to First Tracks Bio common stock distributed pursuant to the distribution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including, but not limited to: statements relating to plans for executing the spin-off, the expected timing of the spin-off, the expected financial operations and condition of Anaptys and First Tracks Bio following the spin-off; the strategies, plans and objectives of Anaptys and First Tracks Bio following the spin-off; expectations related to the leadership, management, and staffing of Anaptys and First Tracks Bio following the spin-off; expectations regarding the structure, infrastructure, timing and taxation of the proposed separation of companies; whether any of First Tracks Bio’s product candidates will be best in class; and the projected cash runway for Anaptys and First Tracks Bio.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w:t>
      </w:r>
    </w:p>
    <w:p>
      <w:pPr>
        <w:sectPr>
          <w:pgSz w:w="11900" w:h="16838" w:orient="portrait"/>
          <w:cols w:equalWidth="0" w:num="1">
            <w:col w:w="10960"/>
          </w:cols>
          <w:pgMar w:left="440" w:top="266" w:right="499" w:bottom="1440" w:gutter="0" w:footer="0" w:header="0"/>
        </w:sectPr>
      </w:pPr>
    </w:p>
    <w:bookmarkStart w:id="75" w:name="page76"/>
    <w:bookmarkEnd w:id="7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the ability to effect the separation of companies as described herein and other risks and uncertainties described under the heading “Risk Factors” in documents Anaptys files from time to time with the Securities and Exchange Commission and First Tracks Bio has filed in its Form 10 registration statement. These forward-looking statements speak only as of the date of this press release, and the company undertakes no obligation to revise or update any forward-looking statements to reflect events or circumstances after the date hereof.</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Montemarano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858.732.0178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investors@anaptysbio.com</w:t>
      </w:r>
    </w:p>
    <w:p>
      <w:pPr>
        <w:sectPr>
          <w:pgSz w:w="11900" w:h="16838" w:orient="portrait"/>
          <w:cols w:equalWidth="0" w:num="1">
            <w:col w:w="11000"/>
          </w:cols>
          <w:pgMar w:left="440" w:top="270" w:right="45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Tracks Biotherapeutics, the Planned Spin-Off of Anaptys, Secures Commitments of $145 Million in Private Placement</w:t>
      </w:r>
    </w:p>
    <w:p>
      <w:pPr>
        <w:spacing w:after="0" w:line="256" w:lineRule="exact"/>
        <w:rPr>
          <w:sz w:val="20"/>
          <w:szCs w:val="20"/>
          <w:color w:val="auto"/>
        </w:rPr>
      </w:pPr>
    </w:p>
    <w:p>
      <w:pPr>
        <w:ind w:left="960" w:hanging="424"/>
        <w:spacing w:after="0"/>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 of $80 million in proceeds from private placement by leading investors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Tracks Biotherapeutics to launch with $180 million in cash and two-year cash-runway</w:t>
      </w:r>
    </w:p>
    <w:p>
      <w:pPr>
        <w:spacing w:after="0" w:line="221"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 DIEGO, CA — March 27, 2026 — </w:t>
      </w:r>
      <w:r>
        <w:rPr>
          <w:rFonts w:ascii="Times New Roman" w:cs="Times New Roman" w:eastAsia="Times New Roman" w:hAnsi="Times New Roman"/>
          <w:sz w:val="18"/>
          <w:szCs w:val="18"/>
          <w:color w:val="auto"/>
        </w:rPr>
        <w:t>AnaptysBio, Inc. (Nasdaq: ANAB) today announced that its planned spin-off, First Tracks Biotherapeutics,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(“First Tracks Bio”), and EcoR1 Capital (the “Selling Stockholder”) have entered into a purchase agreement with certain third-party investors for a $145 million private placement, before deducting placement agent fees and other expenses.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transaction, First Tracks Bio is selling an aggregate of 5,791,478 shares of First Tracks Bio’s common stock (the “Primary Shares”) at a price of $13.81 per share resulting in $80 million in gross proceeds to the company. Closing of the private placement is conditioned on, and is expected to occur upon, the completion of the previously announced spin-off of First Tracks Bio from AnaptysBio, Inc. (“Anaptys”), which is expected to occur on April 20,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 is selling an aggregate of 4,705,576 shares of First Tracks Bio’s common stock, also at a price of $13.81 per share.</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First Tracks Bio intends to use the proceeds from the sale of the Primary Shares for general corporate purposes, including for clinical development of ANB033, a CD122 antagonist.</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financing included participation from new and existing investors including 683 Capital Partners, LP, Adage Capital Partners, L.P., Affinity Asset Advisors, LLC, Ally Bridge Group, Janus Henderson Investors, Palo Alto Investors LP, Point72, StemPoint Capital LP, TCGX, Trails Edge Capital Partners, Vestal Point Capital, Woodline Partners LP, a leading mutual fund, and other institutional investors.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Barclays and UBS Investment Bank are acting as placement agents for the financing.</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offer and sale of the foregoing securities are being made in a transaction not involving a public offering and the securities will not and have not been registered under the Securities Act of 1933, as amended, and may not be reoffered or resold in the United States absent registration or an applicable exemption from registration requirements. First Tracks Bio has agreed to file a registration statement with the SEC registering the resale of the common stock sold in the transaction.</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any securities described herein,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including, but not limited to: whether the financing will close and the timing therefor; and whether the spin-off of First Tracks Bio will occur and the timing therefor.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w:t>
      </w:r>
    </w:p>
    <w:p>
      <w:pPr>
        <w:sectPr>
          <w:pgSz w:w="11900" w:h="16838" w:orient="portrait"/>
          <w:cols w:equalWidth="0" w:num="1">
            <w:col w:w="11020"/>
          </w:cols>
          <w:pgMar w:left="440" w:top="117" w:right="439" w:bottom="1440" w:gutter="0" w:footer="0" w:header="0"/>
        </w:sectPr>
      </w:pPr>
    </w:p>
    <w:bookmarkStart w:id="77" w:name="page78"/>
    <w:bookmarkEnd w:id="7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the ability to effect the separation of companies as described herein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Montemarano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858.732.0178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investors@anaptysbio.com</w:t>
      </w:r>
    </w:p>
    <w:p>
      <w:pPr>
        <w:sectPr>
          <w:pgSz w:w="11900" w:h="16838" w:orient="portrait"/>
          <w:cols w:equalWidth="0" w:num="1">
            <w:col w:w="10860"/>
          </w:cols>
          <w:pgMar w:left="440" w:top="270" w:right="59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Anaptys Announces $100 Million Stock Repurchase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Provides a Business Update</w:t>
      </w:r>
    </w:p>
    <w:p>
      <w:pPr>
        <w:spacing w:after="0" w:line="234" w:lineRule="exact"/>
        <w:rPr>
          <w:sz w:val="20"/>
          <w:szCs w:val="20"/>
          <w:color w:val="auto"/>
        </w:rPr>
      </w:pPr>
    </w:p>
    <w:p>
      <w:pPr>
        <w:ind w:left="960" w:hanging="424"/>
        <w:spacing w:after="0"/>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Anaptys to spin-off biopharma operations into First Tracks Biotherapeutics, with a target distribution date of April 20, 2026</w:t>
      </w:r>
    </w:p>
    <w:p>
      <w:pPr>
        <w:spacing w:after="0" w:line="128" w:lineRule="exact"/>
        <w:rPr>
          <w:rFonts w:ascii="Times New Roman" w:cs="Times New Roman" w:eastAsia="Times New Roman" w:hAnsi="Times New Roman"/>
          <w:sz w:val="18"/>
          <w:szCs w:val="18"/>
          <w:color w:val="auto"/>
        </w:rPr>
      </w:pPr>
    </w:p>
    <w:p>
      <w:pPr>
        <w:ind w:left="960" w:right="580" w:hanging="424"/>
        <w:spacing w:after="0" w:line="284" w:lineRule="auto"/>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Anaptys to manage the financial collaborations for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with GSK and imsidolimab with Vanda, with a focus on protecting and returning their value to shareholders, as well as an initial ~$140-$145 million in net cash and investments</w:t>
      </w:r>
    </w:p>
    <w:p>
      <w:pPr>
        <w:spacing w:after="0" w:line="6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Susannah Gray, former CFO of Royalty Pharma, appointed to Anaptys’ Board of Directors</w:t>
      </w:r>
    </w:p>
    <w:p>
      <w:pPr>
        <w:spacing w:after="0" w:line="221"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 DIEGO, CA — March 27, 2026 — </w:t>
      </w:r>
      <w:r>
        <w:rPr>
          <w:rFonts w:ascii="Times New Roman" w:cs="Times New Roman" w:eastAsia="Times New Roman" w:hAnsi="Times New Roman"/>
          <w:sz w:val="18"/>
          <w:szCs w:val="18"/>
          <w:color w:val="auto"/>
        </w:rPr>
        <w:t>AnaptysBio, Inc. (Nasdaq: ANAB) today announced that its Board of Directors has authorized a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Plan under which the company may repurchase up to $100,000,000 of the company’s outstanding common stock, par value $0.001 per share, and provided a business update.</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 xml:space="preserve">Following the planned spin-off of First Tracks Biotherapeutics (“First Tracks Bio”) (NASDAQ: TRAX) on April 20, 2026, Anaptys will manage the financial collaborations for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with GSK and imsidolimab with Vanda, with a focus on protecting and returning their value to shareholders. The company will operate with limited FTEs, minimal operating expenses and an initial ~$140-$145 million in net cash and investments.</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has also expanded its Board of Directors, adding industry veteran Susannah Gray. Gray brings deeply relevant corporate and royalty finance experience, as well as capital markets expertise, to Anaptys.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“Anaptys will emerge post the spin-off of First Tracks with a clear mandate: protect and maximize the value of our partnered assets and return that value to shareholders, including through the $100 million stock repurchase plan announced today,” said Daniel Faga, who will serve as Anaptys’ CEO and president and CEO of First Tracks Bio. “Alongside our Board of Directors who helped secure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and imsidolimab royalty streams that anchor our strategy, Susannah brings the discipline, foresight and conviction needed to drive Anaptys’ transformation and unlock the full potential of our royalty-based model.”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Anaptys’ Operating Model Post Spin-Off</w:t>
      </w:r>
    </w:p>
    <w:p>
      <w:pPr>
        <w:spacing w:after="0" w:line="133" w:lineRule="exact"/>
        <w:rPr>
          <w:sz w:val="20"/>
          <w:szCs w:val="20"/>
          <w:color w:val="auto"/>
        </w:rPr>
      </w:pPr>
    </w:p>
    <w:p>
      <w:pPr>
        <w:ind w:left="960" w:right="300" w:hanging="424"/>
        <w:spacing w:after="0" w:line="284" w:lineRule="auto"/>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 the financial collaborations for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with GSK and imsidolimab with Vanda, with a focus on protecting and returning their value to shareholders</w:t>
      </w:r>
    </w:p>
    <w:p>
      <w:pPr>
        <w:spacing w:after="0" w:line="6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 operating model with less than ~10 FTEs operating as contractors to support the essential functions of a public company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annualized operating expenses of less than $10 million and a greater than 95% EBIT margin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paydown of remaining non-recourse debt monetization to Sagard by the end of Q2 2027</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Anaptys Leadership and Board of Directors Updates</w:t>
      </w:r>
    </w:p>
    <w:p>
      <w:pPr>
        <w:spacing w:after="0" w:line="135" w:lineRule="exact"/>
        <w:rPr>
          <w:sz w:val="20"/>
          <w:szCs w:val="20"/>
          <w:color w:val="auto"/>
        </w:rPr>
      </w:pPr>
    </w:p>
    <w:p>
      <w:pPr>
        <w:ind w:left="960" w:hanging="424"/>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 Faga will continue as CEO of Anaptys post the spin-off of First Tracks Bio</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Search initiated for a chief financial officer (CFO) for Anaptys post the spin-off of First Tracks Bio</w:t>
      </w:r>
    </w:p>
    <w:p>
      <w:pPr>
        <w:sectPr>
          <w:pgSz w:w="11900" w:h="16838" w:orient="portrait"/>
          <w:cols w:equalWidth="0" w:num="1">
            <w:col w:w="11020"/>
          </w:cols>
          <w:pgMar w:left="440" w:top="117" w:right="439" w:bottom="1440" w:gutter="0" w:footer="0" w:header="0"/>
        </w:sectPr>
      </w:pPr>
    </w:p>
    <w:bookmarkStart w:id="79" w:name="page80"/>
    <w:bookmarkEnd w:id="79"/>
    <w:p>
      <w:pPr>
        <w:ind w:left="960" w:hanging="424"/>
        <w:spacing w:after="0"/>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Announced appointment of Susannah Gray to the Board of Directors</w:t>
      </w:r>
    </w:p>
    <w:p>
      <w:pPr>
        <w:spacing w:after="0" w:line="130" w:lineRule="exact"/>
        <w:rPr>
          <w:rFonts w:ascii="Times New Roman" w:cs="Times New Roman" w:eastAsia="Times New Roman" w:hAnsi="Times New Roman"/>
          <w:sz w:val="18"/>
          <w:szCs w:val="18"/>
          <w:color w:val="auto"/>
        </w:rPr>
      </w:pPr>
    </w:p>
    <w:p>
      <w:pPr>
        <w:ind w:left="2080" w:right="100" w:hanging="545"/>
        <w:spacing w:after="0" w:line="282" w:lineRule="auto"/>
        <w:tabs>
          <w:tab w:leader="none" w:pos="20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Gray has more than 30 years of biopharmaceutical experience, specifically in corporate and royalty finance, as well as capital markets expertise</w:t>
      </w:r>
    </w:p>
    <w:p>
      <w:pPr>
        <w:spacing w:after="0" w:line="67"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Gray spent 14 years as CFO of Royalty Pharma before retiring in 2019</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Gray will stay on Anaptys’ Board following the spin-off of First Tracks Bio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Plan</w:t>
      </w:r>
    </w:p>
    <w:p>
      <w:pPr>
        <w:spacing w:after="0" w:line="135" w:lineRule="exact"/>
        <w:rPr>
          <w:sz w:val="20"/>
          <w:szCs w:val="20"/>
          <w:color w:val="auto"/>
        </w:rPr>
      </w:pPr>
    </w:p>
    <w:p>
      <w:pPr>
        <w:ind w:left="960" w:hanging="424"/>
        <w:spacing w:after="0" w:line="261" w:lineRule="auto"/>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 $100.0 million stock repurchase plan under which the company may repurchase outstanding common stock, par value $0.001 per share, from time to time in open market transactions, or other means in accordance with Rule 10b5-1 of the Securities Exchange Act of 1934, as amended (the “Exchange Act”), and Rule 10b-18 of the Exchange Act. The company’s previously announced stock repurchase plan expires on March 31, 2026.</w:t>
      </w:r>
    </w:p>
    <w:p>
      <w:pPr>
        <w:spacing w:after="0" w:line="85" w:lineRule="exact"/>
        <w:rPr>
          <w:rFonts w:ascii="Times New Roman" w:cs="Times New Roman" w:eastAsia="Times New Roman" w:hAnsi="Times New Roman"/>
          <w:sz w:val="18"/>
          <w:szCs w:val="18"/>
          <w:color w:val="auto"/>
        </w:rPr>
      </w:pPr>
    </w:p>
    <w:p>
      <w:pPr>
        <w:ind w:left="2080" w:right="60" w:hanging="545"/>
        <w:spacing w:after="0" w:line="312" w:lineRule="auto"/>
        <w:tabs>
          <w:tab w:leader="none" w:pos="208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number of shares repurchased and prices paid for the stock under this program will depend on general business and market conditions, as well as corporate and regulatory limitations, prevailing stock prices and other considerations</w:t>
      </w:r>
    </w:p>
    <w:p>
      <w:pPr>
        <w:spacing w:after="0" w:line="45" w:lineRule="exact"/>
        <w:rPr>
          <w:rFonts w:ascii="Times New Roman" w:cs="Times New Roman" w:eastAsia="Times New Roman" w:hAnsi="Times New Roman"/>
          <w:sz w:val="17"/>
          <w:szCs w:val="17"/>
          <w:color w:val="auto"/>
        </w:rPr>
      </w:pPr>
    </w:p>
    <w:p>
      <w:pPr>
        <w:ind w:left="2080" w:right="440" w:hanging="545"/>
        <w:spacing w:after="0" w:line="282" w:lineRule="auto"/>
        <w:tabs>
          <w:tab w:leader="none" w:pos="20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Repurchase Plan will expire on Dec. 31, 2026, may be suspended or discontinued at any time, and does not obligate the company to acquire any amount of common stock</w:t>
      </w:r>
    </w:p>
    <w:p>
      <w:pPr>
        <w:spacing w:after="0" w:line="67"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Anaptys has engaged Piper Sandler &amp; Co. as exclusive financial advisor to assist with the process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including, but not limited to: statements relating to plans for executing the spin-off, the expected timing of the spin-off, the expected financial operations and condition of Anaptys following the spin-off; the strategies, plans and objectives of Anaptys following the spin-off; expectations related to the leadership, management, and staffing of Anaptys following the spin-off; expectations regarding the structure, infrastructure, timing and taxation of the proposed separation of companies; timing of paydown of financial obligations to Sagard; the potential to receive any royalties or milestone payments from the Vanda Pharmaceuticals license agreement; and the potential to receive any additional milestones or royalties from the GSK collaboration and timing therefor.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the ability to effect the separation of companies as described herein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Montemarano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858.732.0178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investors@anaptysbio.com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1."/>
      <w:numFmt w:val="decimal"/>
      <w:start w:val="1"/>
    </w:lvl>
  </w:abstractNum>
  <w:abstractNum w:abstractNumId="2">
    <w:nsid w:val="6A2342EC"/>
    <w:multiLevelType w:val="hybridMultilevel"/>
    <w:lvl w:ilvl="0">
      <w:lvlJc w:val="left"/>
      <w:lvlText w:val="%1."/>
      <w:numFmt w:val="decimal"/>
      <w:start w:val="2"/>
    </w:lvl>
    <w:lvl w:ilvl="1">
      <w:lvlJc w:val="left"/>
      <w:lvlText w:val="(%2)"/>
      <w:numFmt w:val="lowerLetter"/>
      <w:start w:val="1"/>
    </w:lvl>
  </w:abstractNum>
  <w:abstractNum w:abstractNumId="3">
    <w:nsid w:val="2A487CB0"/>
    <w:multiLevelType w:val="hybridMultilevel"/>
    <w:lvl w:ilvl="0">
      <w:lvlJc w:val="left"/>
      <w:lvlText w:val="%1."/>
      <w:numFmt w:val="decimal"/>
      <w:start w:val="3"/>
    </w:lvl>
  </w:abstractNum>
  <w:abstractNum w:abstractNumId="4">
    <w:nsid w:val="1D4ED43B"/>
    <w:multiLevelType w:val="hybridMultilevel"/>
    <w:lvl w:ilvl="0">
      <w:lvlJc w:val="left"/>
      <w:lvlText w:val="(%1)"/>
      <w:numFmt w:val="lowerLetter"/>
      <w:start w:val="1"/>
    </w:lvl>
  </w:abstractNum>
  <w:abstractNum w:abstractNumId="5">
    <w:nsid w:val="725A06FB"/>
    <w:multiLevelType w:val="hybridMultilevel"/>
    <w:lvl w:ilvl="0">
      <w:lvlJc w:val="left"/>
      <w:lvlText w:val="(%1)"/>
      <w:numFmt w:val="lowerLetter"/>
      <w:start w:val="2"/>
    </w:lvl>
  </w:abstractNum>
  <w:abstractNum w:abstractNumId="6">
    <w:nsid w:val="2CD89A32"/>
    <w:multiLevelType w:val="hybridMultilevel"/>
    <w:lvl w:ilvl="0">
      <w:lvlJc w:val="left"/>
      <w:lvlText w:val="(%1)"/>
      <w:numFmt w:val="lowerRoman"/>
      <w:start w:val="1"/>
    </w:lvl>
  </w:abstractNum>
  <w:abstractNum w:abstractNumId="7">
    <w:nsid w:val="57E4CCAF"/>
    <w:multiLevelType w:val="hybridMultilevel"/>
    <w:lvl w:ilvl="0">
      <w:lvlJc w:val="left"/>
      <w:lvlText w:val="(%1)"/>
      <w:numFmt w:val="lowerRoman"/>
      <w:start w:val="5"/>
    </w:lvl>
  </w:abstractNum>
  <w:abstractNum w:abstractNumId="8">
    <w:nsid w:val="7A6D8D3C"/>
    <w:multiLevelType w:val="hybridMultilevel"/>
    <w:lvl w:ilvl="0">
      <w:lvlJc w:val="left"/>
      <w:lvlText w:val="(%1)"/>
      <w:numFmt w:val="lowerRoman"/>
      <w:start w:val="4"/>
    </w:lvl>
  </w:abstractNum>
  <w:abstractNum w:abstractNumId="9">
    <w:nsid w:val="4B588F54"/>
    <w:multiLevelType w:val="hybridMultilevel"/>
    <w:lvl w:ilvl="0">
      <w:lvlJc w:val="left"/>
      <w:lvlText w:val="(%1)"/>
      <w:numFmt w:val="lowerRoman"/>
      <w:start w:val="1"/>
    </w:lvl>
  </w:abstractNum>
  <w:abstractNum w:abstractNumId="10">
    <w:nsid w:val="542289EC"/>
    <w:multiLevelType w:val="hybridMultilevel"/>
    <w:lvl w:ilvl="0">
      <w:lvlJc w:val="left"/>
      <w:lvlText w:val="(%1)"/>
      <w:numFmt w:val="lowerRoman"/>
      <w:start w:val="3"/>
    </w:lvl>
  </w:abstractNum>
  <w:abstractNum w:abstractNumId="11">
    <w:nsid w:val="6DE91B18"/>
    <w:multiLevelType w:val="hybridMultilevel"/>
    <w:lvl w:ilvl="0">
      <w:lvlJc w:val="left"/>
      <w:lvlText w:val="(%1)"/>
      <w:numFmt w:val="upperLetter"/>
      <w:start w:val="1"/>
    </w:lvl>
  </w:abstractNum>
  <w:abstractNum w:abstractNumId="12">
    <w:nsid w:val="38437FDB"/>
    <w:multiLevelType w:val="hybridMultilevel"/>
    <w:lvl w:ilvl="0">
      <w:lvlJc w:val="left"/>
      <w:lvlText w:val="%1."/>
      <w:numFmt w:val="decimal"/>
      <w:start w:val="4"/>
    </w:lvl>
  </w:abstractNum>
  <w:abstractNum w:abstractNumId="13">
    <w:nsid w:val="7644A45C"/>
    <w:multiLevelType w:val="hybridMultilevel"/>
    <w:lvl w:ilvl="0">
      <w:lvlJc w:val="left"/>
      <w:lvlText w:val="%1."/>
      <w:numFmt w:val="decimal"/>
      <w:start w:val="5"/>
    </w:lvl>
  </w:abstractNum>
  <w:abstractNum w:abstractNumId="14">
    <w:nsid w:val="32FFF902"/>
    <w:multiLevelType w:val="hybridMultilevel"/>
    <w:lvl w:ilvl="0">
      <w:lvlJc w:val="left"/>
      <w:lvlText w:val="%1."/>
      <w:numFmt w:val="decimal"/>
      <w:start w:val="6"/>
    </w:lvl>
  </w:abstractNum>
  <w:abstractNum w:abstractNumId="15">
    <w:nsid w:val="684A481A"/>
    <w:multiLevelType w:val="hybridMultilevel"/>
    <w:lvl w:ilvl="0">
      <w:lvlJc w:val="left"/>
      <w:lvlText w:val="%1"/>
      <w:numFmt w:val="lowerLetter"/>
      <w:start w:val="1"/>
    </w:lvl>
    <w:lvl w:ilvl="1">
      <w:lvlJc w:val="left"/>
      <w:lvlText w:val="(%2)"/>
      <w:numFmt w:val="lowerLetter"/>
      <w:start w:val="1"/>
    </w:lvl>
  </w:abstractNum>
  <w:abstractNum w:abstractNumId="16">
    <w:nsid w:val="579478FE"/>
    <w:multiLevelType w:val="hybridMultilevel"/>
    <w:lvl w:ilvl="0">
      <w:lvlJc w:val="left"/>
      <w:lvlText w:val="(%1)"/>
      <w:numFmt w:val="lowerLetter"/>
      <w:start w:val="9"/>
    </w:lvl>
    <w:lvl w:ilvl="1">
      <w:lvlJc w:val="left"/>
      <w:lvlText w:val="%2"/>
      <w:numFmt w:val="lowerLetter"/>
      <w:start w:val="1"/>
    </w:lvl>
  </w:abstractNum>
  <w:abstractNum w:abstractNumId="17">
    <w:nsid w:val="749ABB43"/>
    <w:multiLevelType w:val="hybridMultilevel"/>
    <w:lvl w:ilvl="0">
      <w:lvlJc w:val="left"/>
      <w:lvlText w:val="(%1)"/>
      <w:numFmt w:val="upperLetter"/>
      <w:start w:val="1"/>
    </w:lvl>
  </w:abstractNum>
  <w:abstractNum w:abstractNumId="18">
    <w:nsid w:val="3DC240FB"/>
    <w:multiLevelType w:val="hybridMultilevel"/>
    <w:lvl w:ilvl="0">
      <w:lvlJc w:val="left"/>
      <w:lvlText w:val="(%1)"/>
      <w:numFmt w:val="lowerLetter"/>
      <w:start w:val="1"/>
    </w:lvl>
  </w:abstractNum>
  <w:abstractNum w:abstractNumId="19">
    <w:nsid w:val="1BA026FA"/>
    <w:multiLevelType w:val="hybridMultilevel"/>
    <w:lvl w:ilvl="0">
      <w:lvlJc w:val="left"/>
      <w:lvlText w:val="(%1)"/>
      <w:numFmt w:val="lowerLetter"/>
      <w:start w:val="2"/>
    </w:lvl>
  </w:abstractNum>
  <w:abstractNum w:abstractNumId="20">
    <w:nsid w:val="79A1DEAA"/>
    <w:multiLevelType w:val="hybridMultilevel"/>
    <w:lvl w:ilvl="0">
      <w:lvlJc w:val="left"/>
      <w:lvlText w:val="(%1)"/>
      <w:numFmt w:val="lowerLetter"/>
      <w:start w:val="2"/>
    </w:lvl>
  </w:abstractNum>
  <w:abstractNum w:abstractNumId="21">
    <w:nsid w:val="75C6C33A"/>
    <w:multiLevelType w:val="hybridMultilevel"/>
    <w:lvl w:ilvl="0">
      <w:lvlJc w:val="left"/>
      <w:lvlText w:val="%1."/>
      <w:numFmt w:val="decimal"/>
      <w:start w:val="7"/>
    </w:lvl>
  </w:abstractNum>
  <w:abstractNum w:abstractNumId="22">
    <w:nsid w:val="12E685FB"/>
    <w:multiLevelType w:val="hybridMultilevel"/>
    <w:lvl w:ilvl="0">
      <w:lvlJc w:val="left"/>
      <w:lvlText w:val="(%1)"/>
      <w:numFmt w:val="lowerLetter"/>
      <w:start w:val="1"/>
    </w:lvl>
  </w:abstractNum>
  <w:abstractNum w:abstractNumId="23">
    <w:nsid w:val="70C6A529"/>
    <w:multiLevelType w:val="hybridMultilevel"/>
    <w:lvl w:ilvl="0">
      <w:lvlJc w:val="left"/>
      <w:lvlText w:val="(%1)"/>
      <w:numFmt w:val="lowerLetter"/>
      <w:start w:val="4"/>
    </w:lvl>
  </w:abstractNum>
  <w:abstractNum w:abstractNumId="24">
    <w:nsid w:val="520EEDD1"/>
    <w:multiLevelType w:val="hybridMultilevel"/>
    <w:lvl w:ilvl="0">
      <w:lvlJc w:val="left"/>
      <w:lvlText w:val="(%1)"/>
      <w:numFmt w:val="lowerLetter"/>
      <w:start w:val="13"/>
    </w:lvl>
  </w:abstractNum>
  <w:abstractNum w:abstractNumId="25">
    <w:nsid w:val="374A3FE6"/>
    <w:multiLevelType w:val="hybridMultilevel"/>
    <w:lvl w:ilvl="0">
      <w:lvlJc w:val="left"/>
      <w:lvlText w:val="(%1)"/>
      <w:numFmt w:val="lowerLetter"/>
      <w:start w:val="1"/>
    </w:lvl>
  </w:abstractNum>
  <w:abstractNum w:abstractNumId="26">
    <w:nsid w:val="4F4EF005"/>
    <w:multiLevelType w:val="hybridMultilevel"/>
    <w:lvl w:ilvl="0">
      <w:lvlJc w:val="left"/>
      <w:lvlText w:val="(%1)"/>
      <w:numFmt w:val="lowerLetter"/>
      <w:start w:val="5"/>
    </w:lvl>
  </w:abstractNum>
  <w:abstractNum w:abstractNumId="27">
    <w:nsid w:val="23F9C13C"/>
    <w:multiLevelType w:val="hybridMultilevel"/>
    <w:lvl w:ilvl="0">
      <w:lvlJc w:val="left"/>
      <w:lvlText w:val="(%1)"/>
      <w:numFmt w:val="lowerLetter"/>
      <w:start w:val="1"/>
    </w:lvl>
  </w:abstractNum>
  <w:abstractNum w:abstractNumId="28">
    <w:nsid w:val="649BB77C"/>
    <w:multiLevelType w:val="hybridMultilevel"/>
    <w:lvl w:ilvl="0">
      <w:lvlJc w:val="left"/>
      <w:lvlText w:val="%1"/>
      <w:numFmt w:val="decimal"/>
      <w:start w:val="1"/>
    </w:lvl>
    <w:lvl w:ilvl="1">
      <w:lvlJc w:val="left"/>
      <w:lvlText w:val="(%2)"/>
      <w:numFmt w:val="lowerLetter"/>
      <w:start w:val="7"/>
    </w:lvl>
  </w:abstractNum>
  <w:abstractNum w:abstractNumId="29">
    <w:nsid w:val="275AC794"/>
    <w:multiLevelType w:val="hybridMultilevel"/>
    <w:lvl w:ilvl="0">
      <w:lvlJc w:val="left"/>
      <w:lvlText w:val="%1."/>
      <w:numFmt w:val="decimal"/>
      <w:start w:val="8"/>
    </w:lvl>
    <w:lvl w:ilvl="1">
      <w:lvlJc w:val="left"/>
      <w:lvlText w:val="%2"/>
      <w:numFmt w:val="lowerLetter"/>
      <w:start w:val="1"/>
    </w:lvl>
  </w:abstractNum>
  <w:abstractNum w:abstractNumId="30">
    <w:nsid w:val="39386575"/>
    <w:multiLevelType w:val="hybridMultilevel"/>
    <w:lvl w:ilvl="0">
      <w:lvlJc w:val="left"/>
      <w:lvlText w:val="(%1)"/>
      <w:numFmt w:val="lowerRoman"/>
      <w:start w:val="1"/>
    </w:lvl>
  </w:abstractNum>
  <w:abstractNum w:abstractNumId="31">
    <w:nsid w:val="1CF10FD8"/>
    <w:multiLevelType w:val="hybridMultilevel"/>
    <w:lvl w:ilvl="0">
      <w:lvlJc w:val="left"/>
      <w:lvlText w:val="%1."/>
      <w:numFmt w:val="decimal"/>
      <w:start w:val="9"/>
    </w:lvl>
  </w:abstractNum>
  <w:abstractNum w:abstractNumId="32">
    <w:nsid w:val="180115BE"/>
    <w:multiLevelType w:val="hybridMultilevel"/>
    <w:lvl w:ilvl="0">
      <w:lvlJc w:val="left"/>
      <w:lvlText w:val="(%1)"/>
      <w:numFmt w:val="lowerLetter"/>
      <w:start w:val="4"/>
    </w:lvl>
    <w:lvl w:ilvl="1">
      <w:lvlJc w:val="left"/>
      <w:lvlText w:val="(%2)"/>
      <w:numFmt w:val="lowerLetter"/>
      <w:start w:val="1"/>
    </w:lvl>
  </w:abstractNum>
  <w:abstractNum w:abstractNumId="33">
    <w:nsid w:val="235BA861"/>
    <w:multiLevelType w:val="hybridMultilevel"/>
    <w:lvl w:ilvl="0">
      <w:lvlJc w:val="left"/>
      <w:lvlText w:val="(%1)"/>
      <w:numFmt w:val="lowerLetter"/>
      <w:start w:val="3"/>
    </w:lvl>
  </w:abstractNum>
  <w:abstractNum w:abstractNumId="34">
    <w:nsid w:val="47398C89"/>
    <w:multiLevelType w:val="hybridMultilevel"/>
    <w:lvl w:ilvl="0">
      <w:lvlJc w:val="left"/>
      <w:lvlText w:val="(%1)"/>
      <w:numFmt w:val="lowerLetter"/>
      <w:start w:val="1"/>
    </w:lvl>
    <w:lvl w:ilvl="1">
      <w:lvlJc w:val="left"/>
      <w:lvlText w:val="(%2)"/>
      <w:numFmt w:val="lowerRoman"/>
      <w:start w:val="1"/>
    </w:lvl>
  </w:abstractNum>
  <w:abstractNum w:abstractNumId="35">
    <w:nsid w:val="354FE9F9"/>
    <w:multiLevelType w:val="hybridMultilevel"/>
    <w:lvl w:ilvl="0">
      <w:lvlJc w:val="left"/>
      <w:lvlText w:val="(%1)"/>
      <w:numFmt w:val="lowerLetter"/>
      <w:start w:val="1"/>
    </w:lvl>
  </w:abstractNum>
  <w:abstractNum w:abstractNumId="36">
    <w:nsid w:val="15B5AF5C"/>
    <w:multiLevelType w:val="hybridMultilevel"/>
    <w:lvl w:ilvl="0">
      <w:lvlJc w:val="left"/>
      <w:lvlText w:val="%1"/>
      <w:numFmt w:val="lowerLetter"/>
      <w:start w:val="1"/>
    </w:lvl>
    <w:lvl w:ilvl="1">
      <w:lvlJc w:val="left"/>
      <w:lvlText w:val="(%2)"/>
      <w:numFmt w:val="lowerLetter"/>
      <w:start w:val="1"/>
    </w:lvl>
  </w:abstractNum>
  <w:abstractNum w:abstractNumId="37">
    <w:nsid w:val="741226BB"/>
    <w:multiLevelType w:val="hybridMultilevel"/>
    <w:lvl w:ilvl="0">
      <w:lvlJc w:val="left"/>
      <w:lvlText w:val="(%1)"/>
      <w:numFmt w:val="lowerLetter"/>
      <w:start w:val="9"/>
    </w:lvl>
    <w:lvl w:ilvl="1">
      <w:lvlJc w:val="left"/>
      <w:lvlText w:val="(%2)"/>
      <w:numFmt w:val="lowerLetter"/>
      <w:start w:val="2"/>
    </w:lvl>
  </w:abstractNum>
  <w:abstractNum w:abstractNumId="38">
    <w:nsid w:val="D34B6A8"/>
    <w:multiLevelType w:val="hybridMultilevel"/>
    <w:lvl w:ilvl="0">
      <w:lvlJc w:val="left"/>
      <w:lvlText w:val="(%1)"/>
      <w:numFmt w:val="lowerLetter"/>
      <w:start w:val="3"/>
    </w:lvl>
  </w:abstractNum>
  <w:abstractNum w:abstractNumId="39">
    <w:nsid w:val="10233C99"/>
    <w:multiLevelType w:val="hybridMultilevel"/>
    <w:lvl w:ilvl="0">
      <w:lvlJc w:val="left"/>
      <w:lvlText w:val="%1"/>
      <w:numFmt w:val="lowerLetter"/>
      <w:start w:val="1"/>
    </w:lvl>
    <w:lvl w:ilvl="1">
      <w:lvlJc w:val="left"/>
      <w:lvlText w:val="(%2)"/>
      <w:numFmt w:val="lowerLetter"/>
      <w:start w:val="1"/>
    </w:lvl>
  </w:abstractNum>
  <w:abstractNum w:abstractNumId="40">
    <w:nsid w:val="3F6AB60F"/>
    <w:multiLevelType w:val="hybridMultilevel"/>
    <w:lvl w:ilvl="0">
      <w:lvlJc w:val="left"/>
      <w:lvlText w:val="(%1)"/>
      <w:numFmt w:val="lowerLetter"/>
      <w:start w:val="35"/>
    </w:lvl>
    <w:lvl w:ilvl="1">
      <w:lvlJc w:val="left"/>
      <w:lvlText w:val="(%2)"/>
      <w:numFmt w:val="lowerLetter"/>
      <w:start w:val="3"/>
    </w:lvl>
  </w:abstractNum>
  <w:abstractNum w:abstractNumId="41">
    <w:nsid w:val="6157409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42">
    <w:nsid w:val="7E0C57B1"/>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43">
    <w:nsid w:val="77AE35E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4">
    <w:nsid w:val="579BE4F1"/>
    <w:multiLevelType w:val="hybridMultilevel"/>
    <w:lvl w:ilvl="0">
      <w:lvlJc w:val="left"/>
      <w:lvlText w:val="(%1)"/>
      <w:numFmt w:val="lowerLetter"/>
      <w:start w:val="2"/>
    </w:lvl>
  </w:abstractNum>
  <w:abstractNum w:abstractNumId="45">
    <w:nsid w:val="310C50B3"/>
    <w:multiLevelType w:val="hybridMultilevel"/>
    <w:lvl w:ilvl="0">
      <w:lvlJc w:val="left"/>
      <w:lvlText w:val="(%1)"/>
      <w:numFmt w:val="lowerLetter"/>
      <w:start w:val="2"/>
    </w:lvl>
    <w:lvl w:ilvl="1">
      <w:lvlJc w:val="left"/>
      <w:lvlText w:val="(%2)"/>
      <w:numFmt w:val="lowerLetter"/>
      <w:start w:val="6"/>
    </w:lvl>
  </w:abstractNum>
  <w:abstractNum w:abstractNumId="46">
    <w:nsid w:val="5FF87E05"/>
    <w:multiLevelType w:val="hybridMultilevel"/>
    <w:lvl w:ilvl="0">
      <w:lvlJc w:val="left"/>
      <w:lvlText w:val="(%1)"/>
      <w:numFmt w:val="lowerLetter"/>
      <w:start w:val="1"/>
    </w:lvl>
  </w:abstractNum>
  <w:abstractNum w:abstractNumId="47">
    <w:nsid w:val="2F305DEF"/>
    <w:multiLevelType w:val="hybridMultilevel"/>
    <w:lvl w:ilvl="0">
      <w:lvlJc w:val="left"/>
      <w:lvlText w:val="(%1)"/>
      <w:numFmt w:val="lowerLetter"/>
      <w:start w:val="2"/>
    </w:lvl>
  </w:abstractNum>
  <w:abstractNum w:abstractNumId="48">
    <w:nsid w:val="25A70BF7"/>
    <w:multiLevelType w:val="hybridMultilevel"/>
    <w:lvl w:ilvl="0">
      <w:lvlJc w:val="left"/>
      <w:lvlText w:val="(%1)"/>
      <w:numFmt w:val="lowerLetter"/>
      <w:start w:val="6"/>
    </w:lvl>
  </w:abstractNum>
  <w:abstractNum w:abstractNumId="49">
    <w:nsid w:val="1DBABF0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9"/>
    </w:lvl>
  </w:abstractNum>
  <w:abstractNum w:abstractNumId="50">
    <w:nsid w:val="4AD084E9"/>
    <w:multiLevelType w:val="hybridMultilevel"/>
    <w:lvl w:ilvl="0">
      <w:lvlJc w:val="left"/>
      <w:lvlText w:val="(%1)"/>
      <w:numFmt w:val="upperLetter"/>
      <w:start w:val="3"/>
    </w:lvl>
    <w:lvl w:ilvl="1">
      <w:lvlJc w:val="left"/>
      <w:lvlText w:val="%2."/>
      <w:numFmt w:val="decimal"/>
      <w:start w:val="3"/>
    </w:lvl>
    <w:lvl w:ilvl="2">
      <w:lvlJc w:val="left"/>
      <w:lvlText w:val="(%3)"/>
      <w:numFmt w:val="lowerLetter"/>
      <w:start w:val="11"/>
    </w:lvl>
  </w:abstractNum>
  <w:abstractNum w:abstractNumId="51">
    <w:nsid w:val="1F48EAA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52">
    <w:nsid w:val="1381823A"/>
    <w:multiLevelType w:val="hybridMultilevel"/>
    <w:lvl w:ilvl="0">
      <w:lvlJc w:val="left"/>
      <w:lvlText w:val="%1"/>
      <w:numFmt w:val="decimal"/>
      <w:start w:val="1"/>
    </w:lvl>
    <w:lvl w:ilvl="1">
      <w:lvlJc w:val="left"/>
      <w:lvlText w:val="(%2)"/>
      <w:numFmt w:val="lowerLetter"/>
      <w:start w:val="3"/>
    </w:lvl>
  </w:abstractNum>
  <w:abstractNum w:abstractNumId="53">
    <w:nsid w:val="5DB70AE5"/>
    <w:multiLevelType w:val="hybridMultilevel"/>
    <w:lvl w:ilvl="0">
      <w:lvlJc w:val="left"/>
      <w:lvlText w:val="%1."/>
      <w:numFmt w:val="decimal"/>
      <w:start w:val="5"/>
    </w:lvl>
    <w:lvl w:ilvl="1">
      <w:lvlJc w:val="left"/>
      <w:lvlText w:val="%2"/>
      <w:numFmt w:val="lowerLetter"/>
      <w:start w:val="1"/>
    </w:lvl>
  </w:abstractNum>
  <w:abstractNum w:abstractNumId="54">
    <w:nsid w:val="100F8FCA"/>
    <w:multiLevelType w:val="hybridMultilevel"/>
    <w:lvl w:ilvl="0">
      <w:lvlJc w:val="left"/>
      <w:lvlText w:val="%1."/>
      <w:numFmt w:val="decimal"/>
      <w:start w:val="6"/>
    </w:lvl>
    <w:lvl w:ilvl="1">
      <w:lvlJc w:val="left"/>
      <w:lvlText w:val="(%2)"/>
      <w:numFmt w:val="lowerLetter"/>
      <w:start w:val="1"/>
    </w:lvl>
  </w:abstractNum>
  <w:abstractNum w:abstractNumId="55">
    <w:nsid w:val="6590700B"/>
    <w:multiLevelType w:val="hybridMultilevel"/>
    <w:lvl w:ilvl="0">
      <w:lvlJc w:val="left"/>
      <w:lvlText w:val="(%1)"/>
      <w:numFmt w:val="upperLetter"/>
      <w:start w:val="3"/>
    </w:lvl>
    <w:lvl w:ilvl="1">
      <w:lvlJc w:val="left"/>
      <w:lvlText w:val="(%2)"/>
      <w:numFmt w:val="lowerLetter"/>
      <w:start w:val="2"/>
    </w:lvl>
  </w:abstractNum>
  <w:abstractNum w:abstractNumId="56">
    <w:nsid w:val="15014ACB"/>
    <w:multiLevelType w:val="hybridMultilevel"/>
    <w:lvl w:ilvl="0">
      <w:lvlJc w:val="left"/>
      <w:lvlText w:val="(%1)"/>
      <w:numFmt w:val="lowerLetter"/>
      <w:start w:val="5"/>
    </w:lvl>
  </w:abstractNum>
  <w:abstractNum w:abstractNumId="57">
    <w:nsid w:val="5F5E7FD0"/>
    <w:multiLevelType w:val="hybridMultilevel"/>
    <w:lvl w:ilvl="0">
      <w:lvlJc w:val="left"/>
      <w:lvlText w:val="(%1)"/>
      <w:numFmt w:val="lowerRoman"/>
      <w:start w:val="2"/>
    </w:lvl>
  </w:abstractNum>
  <w:abstractNum w:abstractNumId="58">
    <w:nsid w:val="98A3148"/>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lvl w:ilvl="3">
      <w:lvlJc w:val="left"/>
      <w:lvlText w:val="%4"/>
      <w:numFmt w:val="lowerRoman"/>
      <w:start w:val="1"/>
    </w:lvl>
  </w:abstractNum>
  <w:abstractNum w:abstractNumId="59">
    <w:nsid w:val="799D0247"/>
    <w:multiLevelType w:val="hybridMultilevel"/>
    <w:lvl w:ilvl="0">
      <w:lvlJc w:val="left"/>
      <w:lvlText w:val="(%1)"/>
      <w:numFmt w:val="decimal"/>
      <w:start w:val="2"/>
    </w:lvl>
    <w:lvl w:ilvl="1">
      <w:lvlJc w:val="left"/>
      <w:lvlText w:val="%2."/>
      <w:numFmt w:val="decimal"/>
      <w:start w:val="9"/>
    </w:lvl>
    <w:lvl w:ilvl="2">
      <w:lvlJc w:val="left"/>
      <w:lvlText w:val="(%3)"/>
      <w:numFmt w:val="lowerLetter"/>
      <w:start w:val="2"/>
    </w:lvl>
    <w:lvl w:ilvl="3">
      <w:lvlJc w:val="left"/>
      <w:lvlText w:val="%4."/>
      <w:numFmt w:val="lowerRoman"/>
      <w:start w:val="1"/>
    </w:lvl>
  </w:abstractNum>
  <w:abstractNum w:abstractNumId="60">
    <w:nsid w:val="6B9476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1">
    <w:nsid w:val="42C296BD"/>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62">
    <w:nsid w:val="168E121F"/>
    <w:multiLevelType w:val="hybridMultilevel"/>
    <w:lvl w:ilvl="0">
      <w:lvlJc w:val="left"/>
      <w:lvlText w:val="%1."/>
      <w:numFmt w:val="lowerRoman"/>
      <w:start w:val="2"/>
    </w:lvl>
  </w:abstractNum>
  <w:abstractNum w:abstractNumId="63">
    <w:nsid w:val="1EBA5D23"/>
    <w:multiLevelType w:val="hybridMultilevel"/>
    <w:lvl w:ilvl="0">
      <w:lvlJc w:val="left"/>
      <w:lvlText w:val="(%1)"/>
      <w:numFmt w:val="lowerLetter"/>
      <w:start w:val="2"/>
    </w:lvl>
  </w:abstractNum>
  <w:abstractNum w:abstractNumId="64">
    <w:nsid w:val="661E3F1E"/>
    <w:multiLevelType w:val="hybridMultilevel"/>
    <w:lvl w:ilvl="0">
      <w:lvlJc w:val="left"/>
      <w:lvlText w:val="(%1)"/>
      <w:numFmt w:val="lowerLetter"/>
      <w:start w:val="5"/>
    </w:lvl>
  </w:abstractNum>
  <w:abstractNum w:abstractNumId="65">
    <w:nsid w:val="5DC79EA8"/>
    <w:multiLevelType w:val="hybridMultilevel"/>
    <w:lvl w:ilvl="0">
      <w:lvlJc w:val="left"/>
      <w:lvlText w:val="•"/>
      <w:numFmt w:val="bullet"/>
      <w:start w:val="1"/>
    </w:lvl>
  </w:abstractNum>
  <w:abstractNum w:abstractNumId="66">
    <w:nsid w:val="540A471C"/>
    <w:multiLevelType w:val="hybridMultilevel"/>
    <w:lvl w:ilvl="0">
      <w:lvlJc w:val="left"/>
      <w:lvlText w:val="%1."/>
      <w:numFmt w:val="decimal"/>
      <w:start w:val="1"/>
    </w:lvl>
    <w:lvl w:ilvl="1">
      <w:lvlJc w:val="left"/>
      <w:lvlText w:val="(%2)"/>
      <w:numFmt w:val="lowerLetter"/>
      <w:start w:val="1"/>
    </w:lvl>
  </w:abstractNum>
  <w:abstractNum w:abstractNumId="67">
    <w:nsid w:val="7BD3EE7B"/>
    <w:multiLevelType w:val="hybridMultilevel"/>
    <w:lvl w:ilvl="0">
      <w:lvlJc w:val="left"/>
      <w:lvlText w:val="%1."/>
      <w:numFmt w:val="decimal"/>
      <w:start w:val="3"/>
    </w:lvl>
    <w:lvl w:ilvl="1">
      <w:lvlJc w:val="left"/>
      <w:lvlText w:val="(%2)"/>
      <w:numFmt w:val="lowerLetter"/>
      <w:start w:val="1"/>
    </w:lvl>
  </w:abstractNum>
  <w:abstractNum w:abstractNumId="68">
    <w:nsid w:val="51D9C564"/>
    <w:multiLevelType w:val="hybridMultilevel"/>
    <w:lvl w:ilvl="0">
      <w:lvlJc w:val="left"/>
      <w:lvlText w:val="(%1)"/>
      <w:numFmt w:val="lowerLetter"/>
      <w:start w:val="2"/>
    </w:lvl>
  </w:abstractNum>
  <w:abstractNum w:abstractNumId="69">
    <w:nsid w:val="613EFDC5"/>
    <w:multiLevelType w:val="hybridMultilevel"/>
    <w:lvl w:ilvl="0">
      <w:lvlJc w:val="left"/>
      <w:lvlText w:val="(%1)"/>
      <w:numFmt w:val="lowerLetter"/>
      <w:start w:val="3"/>
    </w:lvl>
  </w:abstractNum>
  <w:abstractNum w:abstractNumId="70">
    <w:nsid w:val="BF72B14"/>
    <w:multiLevelType w:val="hybridMultilevel"/>
    <w:lvl w:ilvl="0">
      <w:lvlJc w:val="left"/>
      <w:lvlText w:val="(%1)"/>
      <w:numFmt w:val="lowerLetter"/>
      <w:start w:val="4"/>
    </w:lvl>
  </w:abstractNum>
  <w:abstractNum w:abstractNumId="71">
    <w:nsid w:val="11447B73"/>
    <w:multiLevelType w:val="hybridMultilevel"/>
    <w:lvl w:ilvl="0">
      <w:lvlJc w:val="left"/>
      <w:lvlText w:val="(%1)"/>
      <w:numFmt w:val="lowerLetter"/>
      <w:start w:val="1"/>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
      <w:numFmt w:val="bullet"/>
      <w:start w:val="1"/>
    </w:lvl>
    <w:lvl w:ilvl="1">
      <w:lvlJc w:val="left"/>
      <w:lvlText w:val="•"/>
      <w:numFmt w:val="bullet"/>
      <w:start w:val="1"/>
    </w:lvl>
  </w:abstractNum>
  <w:abstractNum w:abstractNumId="74">
    <w:nsid w:val="8F2B15E"/>
    <w:multiLevelType w:val="hybridMultilevel"/>
    <w:lvl w:ilvl="0">
      <w:lvlJc w:val="left"/>
      <w:lvlText w:val="•"/>
      <w:numFmt w:val="bullet"/>
      <w:start w:val="1"/>
    </w:lvl>
    <w:lvl w:ilvl="1">
      <w:lvlJc w:val="left"/>
      <w:lvlText w:val="•"/>
      <w:numFmt w:val="bullet"/>
      <w:start w:val="1"/>
    </w:lvl>
  </w:abstractNum>
  <w:abstractNum w:abstractNumId="75">
    <w:nsid w:val="1A32234B"/>
    <w:multiLevelType w:val="hybridMultilevel"/>
    <w:lvl w:ilvl="0">
      <w:lvlJc w:val="left"/>
      <w:lvlText w:val="•"/>
      <w:numFmt w:val="bullet"/>
      <w:start w:val="1"/>
    </w:lvl>
    <w:lvl w:ilvl="1">
      <w:lvlJc w:val="left"/>
      <w:lvlText w:val="•"/>
      <w:numFmt w:val="bullet"/>
      <w:start w:val="1"/>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
      <w:numFmt w:val="bullet"/>
      <w:start w:val="1"/>
    </w:lvl>
  </w:abstractNum>
  <w:abstractNum w:abstractNumId="78">
    <w:nsid w:val="4962813B"/>
    <w:multiLevelType w:val="hybridMultilevel"/>
    <w:lvl w:ilvl="0">
      <w:lvlJc w:val="left"/>
      <w:lvlText w:val="•"/>
      <w:numFmt w:val="bullet"/>
      <w:start w:val="1"/>
    </w:lvl>
  </w:abstractNum>
  <w:abstractNum w:abstractNumId="79">
    <w:nsid w:val="60B6DF70"/>
    <w:multiLevelType w:val="hybridMultilevel"/>
    <w:lvl w:ilvl="0">
      <w:lvlJc w:val="left"/>
      <w:lvlText w:val="•"/>
      <w:numFmt w:val="bullet"/>
      <w:start w:val="1"/>
    </w:lvl>
  </w:abstractNum>
  <w:abstractNum w:abstractNumId="80">
    <w:nsid w:val="6A5EE64"/>
    <w:multiLevelType w:val="hybridMultilevel"/>
    <w:lvl w:ilvl="0">
      <w:lvlJc w:val="left"/>
      <w:lvlText w:val="•"/>
      <w:numFmt w:val="bullet"/>
      <w:start w:val="1"/>
    </w:lvl>
    <w:lvl w:ilvl="1">
      <w:lvlJc w:val="left"/>
      <w:lvlText w:val="•"/>
      <w:numFmt w:val="bullet"/>
      <w:start w:val="1"/>
    </w:lvl>
  </w:abstractNum>
  <w:abstractNum w:abstractNumId="81">
    <w:nsid w:val="14330624"/>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2026-03-27T08:26:44Z</dcterms:created>
  <dcterms:modified xsi:type="dcterms:W3CDTF">2026-03-27T08:26:44Z</dcterms:modified>
</cp:coreProperties>
</file>