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10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1058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417"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260" w:type="dxa"/>
            <w:vAlign w:val="bottom"/>
            <w:gridSpan w:val="2"/>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Londei Marco</w:t>
              </w:r>
            </w:hyperlink>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ANAPTYSBIO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rPr>
              <w:t>C/O ANAPTYSBIO, INC.</w:t>
            </w:r>
          </w:p>
        </w:tc>
        <w:tc>
          <w:tcPr>
            <w:tcW w:w="1260" w:type="dxa"/>
            <w:vAlign w:val="bottom"/>
          </w:tcPr>
          <w:p>
            <w:pPr>
              <w:spacing w:after="0"/>
              <w:rPr>
                <w:sz w:val="19"/>
                <w:szCs w:val="19"/>
                <w:color w:val="auto"/>
              </w:rPr>
            </w:pPr>
          </w:p>
        </w:tc>
        <w:tc>
          <w:tcPr>
            <w:tcW w:w="1940" w:type="dxa"/>
            <w:vAlign w:val="bottom"/>
            <w:gridSpan w:val="3"/>
          </w:tcPr>
          <w:p>
            <w:pPr>
              <w:ind w:left="160"/>
              <w:spacing w:after="0"/>
              <w:rPr>
                <w:sz w:val="20"/>
                <w:szCs w:val="20"/>
                <w:color w:val="auto"/>
              </w:rPr>
            </w:pPr>
            <w:r>
              <w:rPr>
                <w:rFonts w:ascii="Arial" w:cs="Arial" w:eastAsia="Arial" w:hAnsi="Arial"/>
                <w:sz w:val="17"/>
                <w:szCs w:val="17"/>
                <w:color w:val="0000FF"/>
              </w:rPr>
              <w:t>06/04/2019</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10421 PACIFIC CENTER COURT,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66"/>
        <w:spacing w:after="0"/>
        <w:rPr>
          <w:sz w:val="20"/>
          <w:szCs w:val="20"/>
          <w:color w:val="auto"/>
        </w:rPr>
      </w:pPr>
      <w:r>
        <w:rPr>
          <w:rFonts w:ascii="Arial" w:cs="Arial" w:eastAsia="Arial" w:hAnsi="Arial"/>
          <w:sz w:val="17"/>
          <w:szCs w:val="17"/>
          <w:color w:val="0000FF"/>
        </w:rPr>
        <w:t>Chief Medical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417"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SAN DIEGO</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92121</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jc w:val="center"/>
              <w:ind w:left="487"/>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gridSpan w:val="3"/>
          </w:tcPr>
          <w:p>
            <w:pPr>
              <w:jc w:val="center"/>
              <w:ind w:left="487"/>
              <w:spacing w:after="0"/>
              <w:rPr>
                <w:sz w:val="20"/>
                <w:szCs w:val="20"/>
                <w:color w:val="auto"/>
              </w:rPr>
            </w:pPr>
            <w:r>
              <w:rPr>
                <w:rFonts w:ascii="Arial" w:cs="Arial" w:eastAsia="Arial" w:hAnsi="Arial"/>
                <w:sz w:val="17"/>
                <w:szCs w:val="17"/>
                <w:color w:val="0000FF"/>
                <w:w w:val="93"/>
              </w:rPr>
              <w:t>06/04/2019</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10,060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12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32,437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93"/>
              </w:rPr>
              <w:t>06/04/2019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6,009</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72.4511</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26,428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93"/>
              </w:rPr>
              <w:t>06/04/2019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2,048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73.4296</w:t>
            </w:r>
            <w:r>
              <w:rPr>
                <w:rFonts w:ascii="Arial" w:cs="Arial" w:eastAsia="Arial" w:hAnsi="Arial"/>
                <w:sz w:val="22"/>
                <w:szCs w:val="22"/>
                <w:color w:val="008000"/>
                <w:w w:val="90"/>
                <w:vertAlign w:val="superscript"/>
              </w:rPr>
              <w:t>(3)</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24,380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93"/>
              </w:rPr>
              <w:t>06/04/2019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2,003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74.4978</w:t>
            </w:r>
            <w:r>
              <w:rPr>
                <w:rFonts w:ascii="Arial" w:cs="Arial" w:eastAsia="Arial" w:hAnsi="Arial"/>
                <w:sz w:val="22"/>
                <w:szCs w:val="22"/>
                <w:color w:val="008000"/>
                <w:w w:val="90"/>
                <w:vertAlign w:val="superscript"/>
              </w:rPr>
              <w:t>(4)</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22,377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9"/>
          </w:tcPr>
          <w:p>
            <w:pPr>
              <w:jc w:val="center"/>
              <w:ind w:left="60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10,060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vMerge w:val="restart"/>
          </w:tcPr>
          <w:p>
            <w:pPr>
              <w:ind w:left="320"/>
              <w:spacing w:after="0" w:line="278" w:lineRule="exact"/>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0.7</w:t>
            </w:r>
          </w:p>
        </w:tc>
        <w:tc>
          <w:tcPr>
            <w:tcW w:w="140" w:type="dxa"/>
            <w:vAlign w:val="bottom"/>
          </w:tcPr>
          <w:p>
            <w:pPr>
              <w:spacing w:after="0"/>
              <w:rPr>
                <w:sz w:val="11"/>
                <w:szCs w:val="11"/>
                <w:color w:val="auto"/>
              </w:rPr>
            </w:pPr>
          </w:p>
        </w:tc>
        <w:tc>
          <w:tcPr>
            <w:tcW w:w="1080" w:type="dxa"/>
            <w:vAlign w:val="bottom"/>
          </w:tcPr>
          <w:p>
            <w:pPr>
              <w:ind w:left="260"/>
              <w:spacing w:after="0" w:line="132" w:lineRule="exact"/>
              <w:rPr>
                <w:sz w:val="20"/>
                <w:szCs w:val="20"/>
                <w:color w:val="auto"/>
              </w:rPr>
            </w:pPr>
            <w:r>
              <w:rPr>
                <w:rFonts w:ascii="Arial" w:cs="Arial" w:eastAsia="Arial" w:hAnsi="Arial"/>
                <w:sz w:val="13"/>
                <w:szCs w:val="13"/>
                <w:color w:val="0000FF"/>
              </w:rPr>
              <w:t>06/04/2019</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ind w:left="40"/>
              <w:spacing w:after="0" w:line="132"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11"/>
                <w:szCs w:val="11"/>
                <w:color w:val="auto"/>
              </w:rPr>
            </w:pPr>
          </w:p>
        </w:tc>
        <w:tc>
          <w:tcPr>
            <w:tcW w:w="720" w:type="dxa"/>
            <w:vAlign w:val="bottom"/>
          </w:tcPr>
          <w:p>
            <w:pPr>
              <w:ind w:left="320"/>
              <w:spacing w:after="0" w:line="132" w:lineRule="exact"/>
              <w:rPr>
                <w:sz w:val="20"/>
                <w:szCs w:val="20"/>
                <w:color w:val="auto"/>
              </w:rPr>
            </w:pPr>
            <w:r>
              <w:rPr>
                <w:rFonts w:ascii="Arial" w:cs="Arial" w:eastAsia="Arial" w:hAnsi="Arial"/>
                <w:sz w:val="13"/>
                <w:szCs w:val="13"/>
                <w:color w:val="0000FF"/>
                <w:w w:val="95"/>
              </w:rPr>
              <w:t>10,060</w:t>
            </w:r>
          </w:p>
        </w:tc>
        <w:tc>
          <w:tcPr>
            <w:tcW w:w="820" w:type="dxa"/>
            <w:vAlign w:val="bottom"/>
            <w:vMerge w:val="continue"/>
          </w:tcPr>
          <w:p>
            <w:pPr>
              <w:spacing w:after="0"/>
              <w:rPr>
                <w:sz w:val="11"/>
                <w:szCs w:val="11"/>
                <w:color w:val="auto"/>
              </w:rPr>
            </w:pPr>
          </w:p>
        </w:tc>
        <w:tc>
          <w:tcPr>
            <w:tcW w:w="800" w:type="dxa"/>
            <w:vAlign w:val="bottom"/>
          </w:tcPr>
          <w:p>
            <w:pPr>
              <w:ind w:left="120"/>
              <w:spacing w:after="0" w:line="132" w:lineRule="exact"/>
              <w:rPr>
                <w:sz w:val="20"/>
                <w:szCs w:val="20"/>
                <w:color w:val="auto"/>
              </w:rPr>
            </w:pPr>
            <w:r>
              <w:rPr>
                <w:rFonts w:ascii="Arial" w:cs="Arial" w:eastAsia="Arial" w:hAnsi="Arial"/>
                <w:sz w:val="13"/>
                <w:szCs w:val="13"/>
                <w:color w:val="0000FF"/>
              </w:rPr>
              <w:t>10/27/2024</w:t>
            </w:r>
          </w:p>
        </w:tc>
        <w:tc>
          <w:tcPr>
            <w:tcW w:w="5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10b5-1 trading plan adopted by the reporting person.</w:t>
      </w:r>
    </w:p>
    <w:p>
      <w:pPr>
        <w:spacing w:after="0" w:line="5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$72.00 to $72.99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$73.04 to $73.98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jc w:val="both"/>
        <w:ind w:left="40" w:right="3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$74.085 to $74.78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vested and became exercisable as to 25% of the shares subject to the option on October 24, 2015, and thereafter vests as to 1/48th of the shares in equal monthly installments, until such time as the option is 100% vested, subject to the continuing employment of the Reporting Person on each vesting date.</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also holds (i) additional options to purchase up to an aggregate of 224,148 shares of common stock, which options vest according to their terms, and (ii) 22,377 shares of common stock held directly.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/s/Eric Loumeau,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06/05/2019</w:t>
            </w:r>
          </w:p>
        </w:tc>
        <w:tc>
          <w:tcPr>
            <w:tcW w:w="0" w:type="dxa"/>
            <w:vAlign w:val="bottom"/>
          </w:tcPr>
          <w:p>
            <w:pPr>
              <w:spacing w:after="0"/>
              <w:rPr>
                <w:sz w:val="1"/>
                <w:szCs w:val="1"/>
                <w:color w:val="auto"/>
              </w:rPr>
            </w:pPr>
          </w:p>
        </w:tc>
      </w:tr>
      <w:tr>
        <w:trPr>
          <w:trHeight w:val="92"/>
        </w:trPr>
        <w:tc>
          <w:tcPr>
            <w:tcW w:w="20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2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4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4500"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2019-12-24T04:43:32Z</dcterms:created>
  <dcterms:modified xsi:type="dcterms:W3CDTF">2019-12-24T04:43:32Z</dcterms:modified>
</cp:coreProperties>
</file>