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955165"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55165" cy="3860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color w:val="auto"/>
        </w:rPr>
        <w:t>September 19, 2018</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20549-3720</w:t>
      </w:r>
    </w:p>
    <w:p>
      <w:pPr>
        <w:spacing w:after="0" w:line="196"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Re:</w:t>
        <w:tab/>
        <w:t>AnaptysBio, Inc.</w:t>
      </w:r>
    </w:p>
    <w:p>
      <w:pPr>
        <w:spacing w:after="0" w:line="28"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Form 10-K for the year ended December 31, 2017</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Filed March 5, 2018</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File No. 001-37985</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4"/>
          <w:szCs w:val="24"/>
          <w:color w:val="auto"/>
        </w:rPr>
      </w:pPr>
    </w:p>
    <w:p>
      <w:pPr>
        <w:jc w:val="both"/>
        <w:ind w:firstLine="648"/>
        <w:spacing w:after="0" w:line="248" w:lineRule="auto"/>
        <w:rPr>
          <w:sz w:val="20"/>
          <w:szCs w:val="20"/>
          <w:color w:val="auto"/>
        </w:rPr>
      </w:pPr>
      <w:r>
        <w:rPr>
          <w:rFonts w:ascii="Arial" w:cs="Arial" w:eastAsia="Arial" w:hAnsi="Arial"/>
          <w:sz w:val="22"/>
          <w:szCs w:val="22"/>
          <w:color w:val="auto"/>
        </w:rPr>
        <w:t>I am submitting this letter on behalf of AnaptysBio,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in response to the comment from the staff (the “</w:t>
      </w:r>
      <w:r>
        <w:rPr>
          <w:rFonts w:ascii="Arial" w:cs="Arial" w:eastAsia="Arial" w:hAnsi="Arial"/>
          <w:sz w:val="22"/>
          <w:szCs w:val="22"/>
          <w:b w:val="1"/>
          <w:bCs w:val="1"/>
          <w:i w:val="1"/>
          <w:iCs w:val="1"/>
          <w:color w:val="auto"/>
        </w:rPr>
        <w:t>Staff</w:t>
      </w:r>
      <w:r>
        <w:rPr>
          <w:rFonts w:ascii="Arial" w:cs="Arial" w:eastAsia="Arial" w:hAnsi="Arial"/>
          <w:sz w:val="22"/>
          <w:szCs w:val="22"/>
          <w:color w:val="auto"/>
        </w:rPr>
        <w:t>”) of the Securities and Exchange Commission (the “</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received by letter dated September 7, 2018 that relates to the Company’s Form 10-K for the fiscal year ended December 31, 2017 (File No. 001-37985) filed with the Commission on March 5, 2018 (the “</w:t>
      </w:r>
      <w:r>
        <w:rPr>
          <w:rFonts w:ascii="Arial" w:cs="Arial" w:eastAsia="Arial" w:hAnsi="Arial"/>
          <w:sz w:val="22"/>
          <w:szCs w:val="22"/>
          <w:b w:val="1"/>
          <w:bCs w:val="1"/>
          <w:i w:val="1"/>
          <w:iCs w:val="1"/>
          <w:color w:val="auto"/>
        </w:rPr>
        <w:t>Form 10-K</w:t>
      </w:r>
      <w:r>
        <w:rPr>
          <w:rFonts w:ascii="Arial" w:cs="Arial" w:eastAsia="Arial" w:hAnsi="Arial"/>
          <w:sz w:val="22"/>
          <w:szCs w:val="22"/>
          <w:color w:val="auto"/>
        </w:rPr>
        <w:t>”). For ease of reference, we have repeated the Staff’s comment in bold italics, followed by our response below the comment.</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Fiscal Year Ended December 31, 2017</w:t>
      </w:r>
    </w:p>
    <w:p>
      <w:pPr>
        <w:spacing w:after="0" w:line="220" w:lineRule="exact"/>
        <w:rPr>
          <w:sz w:val="24"/>
          <w:szCs w:val="24"/>
          <w:color w:val="auto"/>
        </w:rPr>
      </w:pPr>
    </w:p>
    <w:p>
      <w:pPr>
        <w:ind w:right="2500"/>
        <w:spacing w:after="0" w:line="254" w:lineRule="auto"/>
        <w:rPr>
          <w:sz w:val="20"/>
          <w:szCs w:val="20"/>
          <w:color w:val="auto"/>
        </w:rPr>
      </w:pPr>
      <w:r>
        <w:rPr>
          <w:rFonts w:ascii="Arial" w:cs="Arial" w:eastAsia="Arial" w:hAnsi="Arial"/>
          <w:sz w:val="22"/>
          <w:szCs w:val="22"/>
          <w:b w:val="1"/>
          <w:bCs w:val="1"/>
          <w:u w:val="single" w:color="auto"/>
          <w:color w:val="auto"/>
        </w:rPr>
        <w:t>Item 7. Management's Discussion and Analysis of Financial Condition and Results of Operations Results of Operations</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Comparison of Years Ended December 31, 2017 and 2016</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Research and Development Expenses, page 71</w:t>
      </w:r>
    </w:p>
    <w:p>
      <w:pPr>
        <w:spacing w:after="0" w:line="202" w:lineRule="exact"/>
        <w:rPr>
          <w:sz w:val="24"/>
          <w:szCs w:val="24"/>
          <w:color w:val="auto"/>
        </w:rPr>
      </w:pPr>
    </w:p>
    <w:p>
      <w:pPr>
        <w:jc w:val="both"/>
        <w:ind w:left="660" w:right="20" w:hanging="328"/>
        <w:spacing w:after="0" w:line="253" w:lineRule="auto"/>
        <w:tabs>
          <w:tab w:leader="none" w:pos="660" w:val="left"/>
        </w:tabs>
        <w:numPr>
          <w:ilvl w:val="0"/>
          <w:numId w:val="1"/>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provide us an analysis of research and development expenses incurred for each year presented by product candidate. Consider providing us proposed disclosure to be included in future periodic reports to improve your disclosure.</w:t>
      </w:r>
    </w:p>
    <w:p>
      <w:pPr>
        <w:spacing w:after="0" w:line="78" w:lineRule="exact"/>
        <w:rPr>
          <w:sz w:val="24"/>
          <w:szCs w:val="24"/>
          <w:color w:val="auto"/>
        </w:rPr>
      </w:pPr>
    </w:p>
    <w:p>
      <w:pPr>
        <w:ind w:right="280" w:firstLine="648"/>
        <w:spacing w:after="0" w:line="263" w:lineRule="auto"/>
        <w:rPr>
          <w:sz w:val="20"/>
          <w:szCs w:val="20"/>
          <w:color w:val="auto"/>
        </w:rPr>
      </w:pPr>
      <w:r>
        <w:rPr>
          <w:rFonts w:ascii="Arial" w:cs="Arial" w:eastAsia="Arial" w:hAnsi="Arial"/>
          <w:sz w:val="22"/>
          <w:szCs w:val="22"/>
          <w:color w:val="auto"/>
        </w:rPr>
        <w:t>The Company respectfully acknowledges the Staff’s comment and proposes to address this comment by providing text in substantially the form below in its future filings with the Commission, where applicable:</w:t>
      </w:r>
    </w:p>
    <w:p>
      <w:pPr>
        <w:spacing w:after="0" w:line="67" w:lineRule="exact"/>
        <w:rPr>
          <w:sz w:val="24"/>
          <w:szCs w:val="24"/>
          <w:color w:val="auto"/>
        </w:rPr>
      </w:pPr>
    </w:p>
    <w:p>
      <w:pPr>
        <w:ind w:left="660" w:right="160"/>
        <w:spacing w:after="0" w:line="259" w:lineRule="auto"/>
        <w:rPr>
          <w:sz w:val="20"/>
          <w:szCs w:val="20"/>
          <w:color w:val="auto"/>
        </w:rPr>
      </w:pPr>
      <w:r>
        <w:rPr>
          <w:rFonts w:ascii="Arial" w:cs="Arial" w:eastAsia="Arial" w:hAnsi="Arial"/>
          <w:sz w:val="21"/>
          <w:szCs w:val="21"/>
          <w:color w:val="auto"/>
        </w:rPr>
        <w:t>We do not track fully burdened research and development costs separately for each of our drug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share-based compensation and benefits, which are not tracked by product candidate as several of our departments support multiple product candidate research and development programs. The following table summarizes the external costs attributable to each program and internal costs (in thousands):</w:t>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7F7F7F"/>
        </w:rPr>
        <w:t>AnaptysBio, Inc. 10421 Pacific Center Court, Suite 200 San Diego, CA 92121 P 858 362 6295 F 858 362 6296 www.anaptysbio.com</w:t>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00" w:type="dxa"/>
            <w:vAlign w:val="bottom"/>
            <w:gridSpan w:val="3"/>
          </w:tcPr>
          <w:p>
            <w:pPr>
              <w:jc w:val="right"/>
              <w:ind w:right="332"/>
              <w:spacing w:after="0"/>
              <w:rPr>
                <w:sz w:val="20"/>
                <w:szCs w:val="20"/>
                <w:color w:val="auto"/>
              </w:rPr>
            </w:pPr>
            <w:r>
              <w:rPr>
                <w:rFonts w:ascii="Arial" w:cs="Arial" w:eastAsia="Arial" w:hAnsi="Arial"/>
                <w:sz w:val="16"/>
                <w:szCs w:val="16"/>
                <w:b w:val="1"/>
                <w:bCs w:val="1"/>
                <w:color w:val="auto"/>
                <w:w w:val="90"/>
              </w:rPr>
              <w:t>Years Ended December 31,</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jc w:val="right"/>
              <w:ind w:right="632"/>
              <w:spacing w:after="0"/>
              <w:rPr>
                <w:sz w:val="20"/>
                <w:szCs w:val="20"/>
                <w:color w:val="auto"/>
              </w:rPr>
            </w:pPr>
            <w:r>
              <w:rPr>
                <w:rFonts w:ascii="Arial" w:cs="Arial" w:eastAsia="Arial" w:hAnsi="Arial"/>
                <w:sz w:val="16"/>
                <w:szCs w:val="16"/>
                <w:b w:val="1"/>
                <w:bCs w:val="1"/>
                <w:color w:val="auto"/>
              </w:rPr>
              <w:t>Increase/</w:t>
            </w:r>
          </w:p>
        </w:tc>
      </w:tr>
      <w:tr>
        <w:trPr>
          <w:trHeight w:val="33"/>
        </w:trPr>
        <w:tc>
          <w:tcPr>
            <w:tcW w:w="5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2"/>
              <w:spacing w:after="0"/>
              <w:rPr>
                <w:sz w:val="20"/>
                <w:szCs w:val="20"/>
                <w:color w:val="auto"/>
              </w:rPr>
            </w:pPr>
            <w:r>
              <w:rPr>
                <w:rFonts w:ascii="Arial" w:cs="Arial" w:eastAsia="Arial" w:hAnsi="Arial"/>
                <w:sz w:val="16"/>
                <w:szCs w:val="16"/>
                <w:b w:val="1"/>
                <w:bCs w:val="1"/>
                <w:color w:val="auto"/>
              </w:rPr>
              <w:t>2016</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jc w:val="right"/>
              <w:ind w:right="572"/>
              <w:spacing w:after="0"/>
              <w:rPr>
                <w:sz w:val="20"/>
                <w:szCs w:val="20"/>
                <w:color w:val="auto"/>
              </w:rPr>
            </w:pPr>
            <w:r>
              <w:rPr>
                <w:rFonts w:ascii="Arial" w:cs="Arial" w:eastAsia="Arial" w:hAnsi="Arial"/>
                <w:sz w:val="16"/>
                <w:szCs w:val="16"/>
                <w:b w:val="1"/>
                <w:bCs w:val="1"/>
                <w:color w:val="auto"/>
              </w:rPr>
              <w:t>(Decrease)</w:t>
            </w:r>
          </w:p>
        </w:tc>
      </w:tr>
      <w:tr>
        <w:trPr>
          <w:trHeight w:val="33"/>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Costs</w:t>
            </w: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Etokimab</w:t>
            </w:r>
          </w:p>
        </w:tc>
        <w:tc>
          <w:tcPr>
            <w:tcW w:w="1180" w:type="dxa"/>
            <w:vAlign w:val="bottom"/>
          </w:tcPr>
          <w:p>
            <w:pPr>
              <w:jc w:val="right"/>
              <w:ind w:right="99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12,267</w:t>
            </w:r>
          </w:p>
        </w:tc>
        <w:tc>
          <w:tcPr>
            <w:tcW w:w="100" w:type="dxa"/>
            <w:vAlign w:val="bottom"/>
          </w:tcPr>
          <w:p>
            <w:pPr>
              <w:spacing w:after="0"/>
              <w:rPr>
                <w:sz w:val="21"/>
                <w:szCs w:val="21"/>
                <w:color w:val="auto"/>
              </w:rPr>
            </w:pPr>
          </w:p>
        </w:tc>
        <w:tc>
          <w:tcPr>
            <w:tcW w:w="1320" w:type="dxa"/>
            <w:vAlign w:val="bottom"/>
          </w:tcPr>
          <w:p>
            <w:pPr>
              <w:jc w:val="right"/>
              <w:ind w:right="1112"/>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11,878</w:t>
            </w:r>
          </w:p>
        </w:tc>
      </w:tr>
      <w:tr>
        <w:trPr>
          <w:trHeight w:val="27"/>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ANB019</w:t>
            </w:r>
          </w:p>
        </w:tc>
        <w:tc>
          <w:tcPr>
            <w:tcW w:w="1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Preclinical and other unallocated costs</w:t>
            </w:r>
          </w:p>
        </w:tc>
        <w:tc>
          <w:tcPr>
            <w:tcW w:w="1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Costs</w:t>
            </w:r>
          </w:p>
        </w:tc>
        <w:tc>
          <w:tcPr>
            <w:tcW w:w="118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Internal Costs</w:t>
            </w:r>
          </w:p>
        </w:tc>
        <w:tc>
          <w:tcPr>
            <w:tcW w:w="1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8,854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6,686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2,168</w:t>
            </w:r>
          </w:p>
        </w:tc>
      </w:tr>
      <w:tr>
        <w:trPr>
          <w:trHeight w:val="27"/>
        </w:trPr>
        <w:tc>
          <w:tcPr>
            <w:tcW w:w="5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29,443</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14,023</w:t>
            </w:r>
          </w:p>
        </w:tc>
      </w:tr>
      <w:tr>
        <w:trPr>
          <w:trHeight w:val="20"/>
        </w:trPr>
        <w:tc>
          <w:tcPr>
            <w:tcW w:w="5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15. Exhibits, Consolidated Financial Statement Schedules, page 104</w:t>
      </w:r>
    </w:p>
    <w:p>
      <w:pPr>
        <w:spacing w:after="0" w:line="226" w:lineRule="exact"/>
        <w:rPr>
          <w:sz w:val="20"/>
          <w:szCs w:val="20"/>
          <w:color w:val="auto"/>
        </w:rPr>
      </w:pPr>
    </w:p>
    <w:p>
      <w:pPr>
        <w:jc w:val="both"/>
        <w:ind w:left="660" w:hanging="328"/>
        <w:spacing w:after="0" w:line="248" w:lineRule="auto"/>
        <w:tabs>
          <w:tab w:leader="none" w:pos="66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Please amend your filing to provide new certifications filed as Exhibits 31.1 and 31.2 to conform exactly to that provided in Item 601(b)(31) of Regulation S-K as it relates to internal controls over financial reporting (ICFR). In this regard, the introductory sentence in paragraph 4 should refer to ICFR as defined in the Exchange Act and certification 4(b) should discuss your obligations related to ICFR. Similarly, please amend the 10-Qs for the quarterly periods ended March 31, 2018 and June 30, 2018.</w:t>
      </w:r>
    </w:p>
    <w:p>
      <w:pPr>
        <w:spacing w:after="0" w:line="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We respectfully acknowledge the Staff’s comment and have amended the Form 10-K, the Form 10-Q for the quarterly period ended March 31, 2018 and the Form 10-Q for the quarterly period ended June 30, 2018 to revise the Principal Executive Officer and Principal Financial Officer certifications, filed as Exhibits 31.1 and 31.2 to each filing, to include both the introductory sentence within paragraph 4 regarding internal control over financial reporting and paragraph 4(b) of Item 601(b)(31) of Regulation S-K.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 * * *</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7F7F7F"/>
        </w:rPr>
        <w:t>AnaptysBio, Inc. 10421 Pacific Center Court, Suite 200 San Diego, CA 92121 P 858 362 6295 F 858 362 6296 www.anaptysbio.com</w:t>
      </w:r>
    </w:p>
    <w:p>
      <w:pPr>
        <w:sectPr>
          <w:pgSz w:w="11900" w:h="16838" w:orient="portrait"/>
          <w:cols w:equalWidth="0" w:num="1">
            <w:col w:w="11420"/>
          </w:cols>
          <w:pgMar w:left="240" w:top="544"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22"/>
          <w:szCs w:val="22"/>
          <w:color w:val="auto"/>
        </w:rPr>
        <w:t>If you have any further questions, please feel free to contact me at (858) 732-0179.</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Eric Loumeau</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Eric Loumeau,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cc: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Hamza Suria, 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Dominic G. Piscitelli,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AnaptysBio,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Effie Toshav</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Matthew Rossiter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Julia Forbess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Fenwick &amp; West LLP</w:t>
      </w:r>
    </w:p>
    <w:p>
      <w:pPr>
        <w:spacing w:after="0" w:line="200" w:lineRule="exact"/>
        <w:rPr>
          <w:sz w:val="20"/>
          <w:szCs w:val="20"/>
          <w:color w:val="auto"/>
        </w:rPr>
      </w:pPr>
    </w:p>
    <w:p>
      <w:pPr>
        <w:spacing w:after="0" w:line="338" w:lineRule="exact"/>
        <w:rPr>
          <w:sz w:val="20"/>
          <w:szCs w:val="20"/>
          <w:color w:val="auto"/>
        </w:rPr>
      </w:pPr>
    </w:p>
    <w:p>
      <w:pPr>
        <w:jc w:val="right"/>
        <w:ind w:right="539"/>
        <w:spacing w:after="0"/>
        <w:rPr>
          <w:sz w:val="20"/>
          <w:szCs w:val="20"/>
          <w:color w:val="auto"/>
        </w:rPr>
      </w:pPr>
      <w:r>
        <w:rPr>
          <w:rFonts w:ascii="Arial" w:cs="Arial" w:eastAsia="Arial" w:hAnsi="Arial"/>
          <w:sz w:val="14"/>
          <w:szCs w:val="14"/>
          <w:b w:val="1"/>
          <w:bCs w:val="1"/>
          <w:color w:val="7F7F7F"/>
        </w:rPr>
        <w:t>AnaptysBio, Inc. 10421 Pacific Center Court, Suite 200 San Diego, CA 92121 P 858 362 6295 F 858 362 6296 www.anaptysbio.com</w:t>
      </w:r>
    </w:p>
    <w:sectPr>
      <w:pgSz w:w="11900" w:h="16838" w:orient="portrait"/>
      <w:cols w:equalWidth="0" w:num="1">
        <w:col w:w="10219"/>
      </w:cols>
      <w:pgMar w:left="240" w:top="1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2019-12-07T05:16:44Z</dcterms:created>
  <dcterms:modified xsi:type="dcterms:W3CDTF">2019-12-07T05:16:44Z</dcterms:modified>
</cp:coreProperties>
</file>