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54" w:lineRule="exact"/>
        <w:rPr>
          <w:sz w:val="24"/>
          <w:szCs w:val="24"/>
          <w:color w:val="auto"/>
        </w:rPr>
      </w:pPr>
    </w:p>
    <w:p>
      <w:pPr>
        <w:ind w:left="4400"/>
        <w:spacing w:after="0"/>
        <w:rPr>
          <w:sz w:val="20"/>
          <w:szCs w:val="20"/>
          <w:color w:val="auto"/>
        </w:rPr>
      </w:pPr>
      <w:r>
        <w:rPr>
          <w:rFonts w:ascii="Arial" w:cs="Arial" w:eastAsia="Arial" w:hAnsi="Arial"/>
          <w:sz w:val="20"/>
          <w:szCs w:val="20"/>
          <w:b w:val="1"/>
          <w:bCs w:val="1"/>
          <w:color w:val="auto"/>
        </w:rPr>
        <w:t>Date of Report: April 1, 2023</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8"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54"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49"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6" w:lineRule="exact"/>
        <w:rPr>
          <w:sz w:val="24"/>
          <w:szCs w:val="24"/>
          <w:color w:val="auto"/>
        </w:rPr>
      </w:pPr>
    </w:p>
    <w:p>
      <w:pPr>
        <w:ind w:right="20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9"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ind w:left="1080" w:right="480" w:hanging="1052"/>
        <w:spacing w:after="0" w:line="267" w:lineRule="auto"/>
        <w:tabs>
          <w:tab w:leader="none" w:pos="106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April 1, 2023, Laura J. Hamill advised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AnaptysBio,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that she would resign as a Class II director of the Board, effective on April 1, 2023 (the “</w:t>
      </w:r>
      <w:r>
        <w:rPr>
          <w:rFonts w:ascii="Arial" w:cs="Arial" w:eastAsia="Arial" w:hAnsi="Arial"/>
          <w:sz w:val="20"/>
          <w:szCs w:val="20"/>
          <w:b w:val="1"/>
          <w:bCs w:val="1"/>
          <w:i w:val="1"/>
          <w:iCs w:val="1"/>
          <w:color w:val="auto"/>
        </w:rPr>
        <w:t>Resignation</w:t>
      </w:r>
      <w:r>
        <w:rPr>
          <w:rFonts w:ascii="Arial" w:cs="Arial" w:eastAsia="Arial" w:hAnsi="Arial"/>
          <w:sz w:val="20"/>
          <w:szCs w:val="20"/>
          <w:color w:val="auto"/>
        </w:rPr>
        <w:t>”). Ms. Hamill’s resignation is not the result of any disagreement with the Company on any matter relating to its operations, policies or practices.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On April 3, 2023, the Board appointed Rita Jain, M.D. as a Class II director and as a member of the Compensation Committee, effective immediately.</w:t>
      </w:r>
    </w:p>
    <w:p>
      <w:pPr>
        <w:spacing w:after="0" w:line="123"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In connection with her appointment as a non-employee director of the Board, and in accordance with the Company’s existing compensation policy for non-employee directors, Dr. Jain received a pro rata portion of the annual retainer for service as a director for the remaining portion of the year, which includes (i) a stock option to purchase 8,015 shares of common stock at an exercise price equal to the closing sale price of the common stock on April 3, 2023, as reported by the Nasdaq Global Market, which shall vest in equal monthly installments and in full on January 6, 2024, and (ii) 3,234 restricted stock units which shall vest in full on the date of the Company’s 2024 annual meeting, in each case subject to Dr. Jain’s continued service to the Company. In addition, the Board granted to Dr. Jain a stock option to purchase 10,600 shares of common stock at an exercise price equal to the closing sale price of the common stock on April 3, 2023, as reported by the Nasdaq Global Market, which will vest monthly over three years, and 3,900 restricted stock units, which shall vest over a three-year period such that one-third of the shares shall vest one year after June 15, 2023, and on each yearly anniversary thereafter, in each case subject to Dr. Jain’s continued service to the Company.</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The Company has entered into its standard form of indemnification agreement with Dr. Jain. The form of the indemnification agreement was previously filed by the Company as Exhibit 10.1 to the Company’s Registration Statement on Form S-1 filed with the Securities and Exchange Commission on September 9, 2015 and incorporated by reference herein.</w:t>
      </w:r>
    </w:p>
    <w:p>
      <w:pPr>
        <w:spacing w:after="0" w:line="119"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There are no arrangements or understandings between Dr. Jain and any other persons, pursuant to which Dr. Jain was selected as a member of the Board. There are also no family relationships among any of the Company’s other directors or executive officers and Dr. Jain, and Dr. Jain does not have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1808480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7"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April 6,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19050</wp:posOffset>
            </wp:positionV>
            <wp:extent cx="4097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Eric Loumeau</w:t>
      </w:r>
    </w:p>
    <w:p>
      <w:pPr>
        <w:spacing w:after="0" w:line="4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2023-04-06T18:01:08Z</dcterms:created>
  <dcterms:modified xsi:type="dcterms:W3CDTF">2023-04-06T18:01:08Z</dcterms:modified>
</cp:coreProperties>
</file>