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May 11, 2017</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tbl>
      <w:tblPr>
        <w:tblLayout w:type="fixed"/>
        <w:tblInd w:w="1440" w:type="dxa"/>
        <w:tblCellMar>
          <w:top w:w="0" w:type="dxa"/>
          <w:left w:w="0" w:type="dxa"/>
          <w:bottom w:w="0" w:type="dxa"/>
          <w:right w:w="0" w:type="dxa"/>
        </w:tblCellMar>
      </w:tblPr>
      <w:tr>
        <w:trPr>
          <w:trHeight w:val="525"/>
        </w:trPr>
        <w:tc>
          <w:tcPr>
            <w:tcW w:w="6500" w:type="dxa"/>
            <w:vAlign w:val="bottom"/>
            <w:gridSpan w:val="3"/>
          </w:tcPr>
          <w:p>
            <w:pPr>
              <w:jc w:val="center"/>
              <w:ind w:left="1948"/>
              <w:spacing w:after="0"/>
              <w:rPr>
                <w:sz w:val="20"/>
                <w:szCs w:val="20"/>
                <w:color w:val="auto"/>
              </w:rPr>
            </w:pPr>
            <w:r>
              <w:rPr>
                <w:rFonts w:ascii="Arial" w:cs="Arial" w:eastAsia="Arial" w:hAnsi="Arial"/>
                <w:sz w:val="43"/>
                <w:szCs w:val="43"/>
                <w:b w:val="1"/>
                <w:bCs w:val="1"/>
                <w:color w:val="auto"/>
              </w:rPr>
              <w:t>ANAPTYSBIO, INC.</w:t>
            </w:r>
          </w:p>
        </w:tc>
        <w:tc>
          <w:tcPr>
            <w:tcW w:w="1280" w:type="dxa"/>
            <w:vAlign w:val="bottom"/>
          </w:tcPr>
          <w:p>
            <w:pPr>
              <w:spacing w:after="0"/>
              <w:rPr>
                <w:sz w:val="24"/>
                <w:szCs w:val="24"/>
                <w:color w:val="auto"/>
              </w:rPr>
            </w:pPr>
          </w:p>
        </w:tc>
      </w:tr>
      <w:tr>
        <w:trPr>
          <w:trHeight w:val="234"/>
        </w:trPr>
        <w:tc>
          <w:tcPr>
            <w:tcW w:w="6500" w:type="dxa"/>
            <w:vAlign w:val="bottom"/>
            <w:gridSpan w:val="3"/>
          </w:tcPr>
          <w:p>
            <w:pPr>
              <w:jc w:val="center"/>
              <w:ind w:left="196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80" w:type="dxa"/>
            <w:vAlign w:val="bottom"/>
          </w:tcPr>
          <w:p>
            <w:pPr>
              <w:spacing w:after="0"/>
              <w:rPr>
                <w:sz w:val="20"/>
                <w:szCs w:val="20"/>
                <w:color w:val="auto"/>
              </w:rPr>
            </w:pPr>
          </w:p>
        </w:tc>
      </w:tr>
      <w:tr>
        <w:trPr>
          <w:trHeight w:val="365"/>
        </w:trPr>
        <w:tc>
          <w:tcPr>
            <w:tcW w:w="3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3"/>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spacing w:after="0"/>
              <w:rPr>
                <w:sz w:val="24"/>
                <w:szCs w:val="24"/>
                <w:color w:val="auto"/>
              </w:rPr>
            </w:pPr>
          </w:p>
        </w:tc>
      </w:tr>
      <w:tr>
        <w:trPr>
          <w:trHeight w:val="186"/>
        </w:trPr>
        <w:tc>
          <w:tcPr>
            <w:tcW w:w="6500" w:type="dxa"/>
            <w:vAlign w:val="bottom"/>
            <w:gridSpan w:val="3"/>
          </w:tcPr>
          <w:p>
            <w:pPr>
              <w:jc w:val="center"/>
              <w:ind w:left="1948"/>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1280" w:type="dxa"/>
            <w:vAlign w:val="bottom"/>
          </w:tcPr>
          <w:p>
            <w:pPr>
              <w:spacing w:after="0"/>
              <w:rPr>
                <w:sz w:val="16"/>
                <w:szCs w:val="16"/>
                <w:color w:val="auto"/>
              </w:rPr>
            </w:pPr>
          </w:p>
        </w:tc>
      </w:tr>
      <w:tr>
        <w:trPr>
          <w:trHeight w:val="421"/>
        </w:trPr>
        <w:tc>
          <w:tcPr>
            <w:tcW w:w="3080" w:type="dxa"/>
            <w:vAlign w:val="bottom"/>
          </w:tcPr>
          <w:p>
            <w:pPr>
              <w:jc w:val="center"/>
              <w:ind w:right="88"/>
              <w:spacing w:after="0"/>
              <w:rPr>
                <w:sz w:val="20"/>
                <w:szCs w:val="20"/>
                <w:color w:val="auto"/>
              </w:rPr>
            </w:pPr>
            <w:r>
              <w:rPr>
                <w:rFonts w:ascii="Arial" w:cs="Arial" w:eastAsia="Arial" w:hAnsi="Arial"/>
                <w:sz w:val="18"/>
                <w:szCs w:val="18"/>
                <w:b w:val="1"/>
                <w:bCs w:val="1"/>
                <w:color w:val="auto"/>
                <w:w w:val="90"/>
              </w:rPr>
              <w:t>001-37985</w:t>
            </w: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20-3828755</w:t>
            </w:r>
          </w:p>
        </w:tc>
      </w:tr>
      <w:tr>
        <w:trPr>
          <w:trHeight w:val="149"/>
        </w:trPr>
        <w:tc>
          <w:tcPr>
            <w:tcW w:w="6500" w:type="dxa"/>
            <w:vAlign w:val="bottom"/>
            <w:gridSpan w:val="3"/>
          </w:tcPr>
          <w:p>
            <w:pPr>
              <w:jc w:val="center"/>
              <w:ind w:right="360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28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500" w:type="dxa"/>
            <w:vAlign w:val="bottom"/>
            <w:gridSpan w:val="3"/>
          </w:tcPr>
          <w:p>
            <w:pPr>
              <w:jc w:val="center"/>
              <w:ind w:right="3600"/>
              <w:spacing w:after="0"/>
              <w:rPr>
                <w:sz w:val="20"/>
                <w:szCs w:val="20"/>
                <w:color w:val="auto"/>
              </w:rPr>
            </w:pPr>
            <w:r>
              <w:rPr>
                <w:rFonts w:ascii="Arial" w:cs="Arial" w:eastAsia="Arial" w:hAnsi="Arial"/>
                <w:sz w:val="14"/>
                <w:szCs w:val="14"/>
                <w:b w:val="1"/>
                <w:bCs w:val="1"/>
                <w:color w:val="auto"/>
                <w:w w:val="95"/>
              </w:rPr>
              <w:t>File Number)</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50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1"/>
              </w:rPr>
              <w:t>10421 Pacific Center Court, Suite 200</w:t>
            </w:r>
          </w:p>
        </w:tc>
        <w:tc>
          <w:tcPr>
            <w:tcW w:w="1280" w:type="dxa"/>
            <w:vAlign w:val="bottom"/>
          </w:tcPr>
          <w:p>
            <w:pPr>
              <w:spacing w:after="0"/>
              <w:rPr>
                <w:sz w:val="24"/>
                <w:szCs w:val="24"/>
                <w:color w:val="auto"/>
              </w:rPr>
            </w:pPr>
          </w:p>
        </w:tc>
      </w:tr>
      <w:tr>
        <w:trPr>
          <w:trHeight w:val="225"/>
        </w:trPr>
        <w:tc>
          <w:tcPr>
            <w:tcW w:w="650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1"/>
              </w:rPr>
              <w:t>San Diego, CA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186"/>
        </w:trPr>
        <w:tc>
          <w:tcPr>
            <w:tcW w:w="6500" w:type="dxa"/>
            <w:vAlign w:val="bottom"/>
            <w:gridSpan w:val="3"/>
          </w:tcPr>
          <w:p>
            <w:pPr>
              <w:jc w:val="center"/>
              <w:ind w:right="3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460" w:type="dxa"/>
            <w:vAlign w:val="bottom"/>
            <w:gridSpan w:val="2"/>
          </w:tcPr>
          <w:p>
            <w:pPr>
              <w:jc w:val="center"/>
              <w:ind w:left="3008"/>
              <w:spacing w:after="0"/>
              <w:rPr>
                <w:sz w:val="20"/>
                <w:szCs w:val="20"/>
                <w:color w:val="auto"/>
              </w:rPr>
            </w:pPr>
            <w:r>
              <w:rPr>
                <w:rFonts w:ascii="Arial" w:cs="Arial" w:eastAsia="Arial" w:hAnsi="Arial"/>
                <w:sz w:val="18"/>
                <w:szCs w:val="18"/>
                <w:b w:val="1"/>
                <w:bCs w:val="1"/>
                <w:color w:val="auto"/>
                <w:w w:val="90"/>
              </w:rPr>
              <w:t>(858) 362-6295</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6"/>
        </w:trPr>
        <w:tc>
          <w:tcPr>
            <w:tcW w:w="6500" w:type="dxa"/>
            <w:vAlign w:val="bottom"/>
            <w:gridSpan w:val="3"/>
          </w:tcPr>
          <w:p>
            <w:pPr>
              <w:jc w:val="center"/>
              <w:ind w:left="196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80" w:type="dxa"/>
            <w:vAlign w:val="bottom"/>
          </w:tcPr>
          <w:p>
            <w:pPr>
              <w:spacing w:after="0"/>
              <w:rPr>
                <w:sz w:val="16"/>
                <w:szCs w:val="16"/>
                <w:color w:val="auto"/>
              </w:rPr>
            </w:pPr>
          </w:p>
        </w:tc>
      </w:tr>
      <w:tr>
        <w:trPr>
          <w:trHeight w:val="394"/>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1280" w:type="dxa"/>
            <w:vAlign w:val="bottom"/>
          </w:tcPr>
          <w:p>
            <w:pPr>
              <w:spacing w:after="0"/>
              <w:rPr>
                <w:sz w:val="24"/>
                <w:szCs w:val="24"/>
                <w:color w:val="auto"/>
              </w:rPr>
            </w:pPr>
          </w:p>
        </w:tc>
      </w:tr>
      <w:tr>
        <w:trPr>
          <w:trHeight w:val="186"/>
        </w:trPr>
        <w:tc>
          <w:tcPr>
            <w:tcW w:w="6500" w:type="dxa"/>
            <w:vAlign w:val="bottom"/>
            <w:gridSpan w:val="3"/>
          </w:tcPr>
          <w:p>
            <w:pPr>
              <w:jc w:val="center"/>
              <w:ind w:left="196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360"/>
          </w:cols>
          <w:pgMar w:left="240" w:top="368" w:right="299" w:bottom="144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22"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11, 2017, AnaptysBio, Inc.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issued a press release announcing its financial results for the three months ended March 31, 2017. A copy of the press release is attached as Exhibit 99.01 to this Current Report on Form 8-K.</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99.01</w:t>
      </w:r>
      <w:r>
        <w:rPr>
          <w:sz w:val="20"/>
          <w:szCs w:val="20"/>
          <w:color w:val="auto"/>
        </w:rPr>
        <w:tab/>
      </w:r>
      <w:r>
        <w:rPr>
          <w:rFonts w:ascii="Arial" w:cs="Arial" w:eastAsia="Arial" w:hAnsi="Arial"/>
          <w:sz w:val="16"/>
          <w:szCs w:val="16"/>
          <w:color w:val="auto"/>
        </w:rPr>
        <w:t>Press release issued by AnaptysBio regarding its financial results for the three months ended March 31, 2017, dated May 11, 2017.</w:t>
      </w:r>
    </w:p>
    <w:p>
      <w:pPr>
        <w:sectPr>
          <w:pgSz w:w="11900" w:h="16838" w:orient="portrait"/>
          <w:cols w:equalWidth="0" w:num="1">
            <w:col w:w="11420"/>
          </w:cols>
          <w:pgMar w:left="240" w:top="270"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May 11, 2017</w:t>
      </w:r>
      <w:r>
        <w:rPr>
          <w:sz w:val="20"/>
          <w:szCs w:val="20"/>
          <w:color w:val="auto"/>
        </w:rPr>
        <w:tab/>
      </w:r>
      <w:r>
        <w:rPr>
          <w:rFonts w:ascii="Arial" w:cs="Arial" w:eastAsia="Arial" w:hAnsi="Arial"/>
          <w:sz w:val="17"/>
          <w:szCs w:val="17"/>
          <w:color w:val="auto"/>
        </w:rPr>
        <w:t>By:  /s/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Dominic Piscitelli</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20"/>
          </w:cols>
          <w:pgMar w:left="240" w:top="270" w:right="4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58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99.01</w:t>
      </w:r>
      <w:r>
        <w:rPr>
          <w:sz w:val="20"/>
          <w:szCs w:val="20"/>
          <w:color w:val="auto"/>
        </w:rPr>
        <w:tab/>
      </w:r>
      <w:r>
        <w:rPr>
          <w:rFonts w:ascii="Arial" w:cs="Arial" w:eastAsia="Arial" w:hAnsi="Arial"/>
          <w:sz w:val="16"/>
          <w:szCs w:val="16"/>
          <w:color w:val="auto"/>
        </w:rPr>
        <w:t>Press release issued by AnaptysBio regarding its financial results for the three months ended March 31, 2017, dated May 11, 2017.</w:t>
      </w:r>
    </w:p>
    <w:p>
      <w:pPr>
        <w:sectPr>
          <w:pgSz w:w="11900" w:h="16838" w:orient="portrait"/>
          <w:cols w:equalWidth="0" w:num="1">
            <w:col w:w="10340"/>
          </w:cols>
          <w:pgMar w:left="240" w:top="270" w:right="1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ANNOUNCES FIRST QUARTER 2017 FINANCIAL RESULTS AND PROVIDES PIPELINE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Data from Ongoing ANB020 Phase 2a Trials and ANB019 Phase 1 Trial Expected in Second Half 2017</w:t>
      </w:r>
    </w:p>
    <w:p>
      <w:pPr>
        <w:spacing w:after="0" w:line="221"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SAN DIEGO</w:t>
      </w:r>
      <w:r>
        <w:rPr>
          <w:rFonts w:ascii="Arial" w:cs="Arial" w:eastAsia="Arial" w:hAnsi="Arial"/>
          <w:sz w:val="16"/>
          <w:szCs w:val="16"/>
          <w:color w:val="auto"/>
        </w:rPr>
        <w:t>, May 11, 2017 - AnaptysBio, Inc. (Nasdaq: ANAB), a clinical-stage biotechnology company developing first-in-class antibody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focused on unmet medical needs in inflammation, today reported first quarter 2017 financial results and provided a pipeline update.</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advanced our anti-IL-33 antibody, ANB020, into multiple Phase 2a clinical trials in patients and our anti-IL-36R antibody, ANB019, into a Phase 1 clinical trial,” said Hamza Suria, president and chief executive officer of AnaptysBio. “We look forward to the top-line data from the ongoing ANB020 Phase 2a trials and ANB019 Phase 1 trial expected in the second half of 2017 and are well positioned to execute our strategy of developing novel antibody approaches to treat severe inflammatory diseases.”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and Business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ANB020 (Anti-IL-33 Program)</w:t>
      </w:r>
    </w:p>
    <w:p>
      <w:pPr>
        <w:spacing w:after="0" w:line="131" w:lineRule="exact"/>
        <w:rPr>
          <w:sz w:val="20"/>
          <w:szCs w:val="20"/>
          <w:color w:val="auto"/>
        </w:rPr>
      </w:pPr>
    </w:p>
    <w:p>
      <w:pPr>
        <w:ind w:left="900" w:right="160" w:hanging="325"/>
        <w:spacing w:after="0" w:line="30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Presented detailed Phase 1 clinical trial data at the 2017 American Academy of Dermatology (AAD) Annual Meeting on March 3, 2017 and the American Academy of Allergy, Asthma and Immunology (AAAAI) 2017 Annual Meeting on March 4, 2017. Data demonstrated that ANB020 was well-tolerated and no dose-limiting toxicities were observed at any dose level.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illustrated that a single dose of ANB020 at certain dose levels was sufficient to suppress IL-33 function for approximately three months post-dosing.</w:t>
      </w:r>
    </w:p>
    <w:p>
      <w:pPr>
        <w:spacing w:after="0" w:line="59" w:lineRule="exact"/>
        <w:rPr>
          <w:rFonts w:ascii="Arial" w:cs="Arial" w:eastAsia="Arial" w:hAnsi="Arial"/>
          <w:sz w:val="16"/>
          <w:szCs w:val="16"/>
          <w:color w:val="auto"/>
        </w:rPr>
      </w:pPr>
    </w:p>
    <w:p>
      <w:pPr>
        <w:ind w:left="900" w:right="6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enrollment of a Phase 2a clinical trial for ANB020 in adult patients with severe peanut allergy. Top-line results from this trial are anticipated during the second half of 2017.</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enrollment of a Phase 2a clinical trial for ANB020 for the treatment of adults with moderate-to-severe atopic dermatitis. Top-line results from this trial are anticipated during the second half of 2017.</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Submitted a UK Clinical Trial Authorisation seeking regulatory clearance to initiate a Phase 2a trial in patients with severe adult eosinophilic asthma. Top-line results from this trial are anticipated during the first half of 2018.</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Scientific collaborators at the Benaroya Research Institute presented a translational research study regarding the potential role of IL-33 in severe peanut allergy at AAAAI. The research concluded that IL-33 is a key checkpoint of allergic responses, and blocking IL-33 has the potential to reduce expression of the effector cytokines involved in severe peanut allergy.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ANB019 (Anti-IL-36 Receptor Program)</w:t>
      </w:r>
    </w:p>
    <w:p>
      <w:pPr>
        <w:spacing w:after="0" w:line="131" w:lineRule="exact"/>
        <w:rPr>
          <w:sz w:val="20"/>
          <w:szCs w:val="20"/>
          <w:color w:val="auto"/>
        </w:rPr>
      </w:pPr>
    </w:p>
    <w:p>
      <w:pPr>
        <w:ind w:left="900" w:right="18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Initiated a Phase 1 clinical trial in healthy volunteers in Australia in which ANB019 is being administered in single and multiple doses, through subcutaneous and intravenous routes of administration. Top-line results are expected during the second half of 2017.</w:t>
      </w:r>
    </w:p>
    <w:p>
      <w:pPr>
        <w:spacing w:after="0" w:line="51"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AnaptysBio plans to initiate Phase 2 studies for the treatment of two orphan inflammatory diseases, generalized pustular psoriasis and palmo-plantar pustular psoriasis, using ANB019 during 2018.</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TESARO Partnership</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April 2017, TESARO initiated a registration program for an AnaptysBio-generated anti-PD-1 antagonist antibody (TSR-042) resulting in a</w:t>
      </w:r>
    </w:p>
    <w:p>
      <w:pPr>
        <w:spacing w:after="0" w:line="34" w:lineRule="exact"/>
        <w:rPr>
          <w:rFonts w:ascii="Arial" w:cs="Arial" w:eastAsia="Arial" w:hAnsi="Arial"/>
          <w:sz w:val="17"/>
          <w:szCs w:val="17"/>
          <w:color w:val="auto"/>
        </w:rPr>
      </w:pPr>
    </w:p>
    <w:p>
      <w:pPr>
        <w:ind w:left="900"/>
        <w:spacing w:after="0" w:line="261" w:lineRule="auto"/>
        <w:rPr>
          <w:rFonts w:ascii="Arial" w:cs="Arial" w:eastAsia="Arial" w:hAnsi="Arial"/>
          <w:sz w:val="17"/>
          <w:szCs w:val="17"/>
          <w:color w:val="auto"/>
        </w:rPr>
      </w:pPr>
      <w:r>
        <w:rPr>
          <w:rFonts w:ascii="Arial" w:cs="Arial" w:eastAsia="Arial" w:hAnsi="Arial"/>
          <w:sz w:val="18"/>
          <w:szCs w:val="18"/>
          <w:color w:val="auto"/>
        </w:rPr>
        <w:t>$3.0 million milestone payment being earned. We expect to recognize as revenue and receive this milestone payment during the second quarter of 2017.</w:t>
      </w:r>
    </w:p>
    <w:p>
      <w:pPr>
        <w:spacing w:after="0" w:line="89"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2017, TESARO submitted an IND to the FDA for an AnaptysBio-generated anti-LAG-3 antagonist antibody (TSR-033). Upon clearance of the IND, we expect to receive a $4.0 million milestone payment.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2017 Financial Results and Financial Guidance</w:t>
      </w:r>
    </w:p>
    <w:p>
      <w:pPr>
        <w:spacing w:after="0" w:line="135" w:lineRule="exact"/>
        <w:rPr>
          <w:sz w:val="20"/>
          <w:szCs w:val="20"/>
          <w:color w:val="auto"/>
        </w:rPr>
      </w:pPr>
    </w:p>
    <w:p>
      <w:pPr>
        <w:ind w:left="900" w:right="10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cash equivalents and investments totaled $123.8 million as of March 31, 2017, which includes net proceeds of $80.2 million from the Company’s initial public offering completed in January 2017, compared to $51.2 million as of December 31, 2016. The Company expects that it has sufficient capital to fund its operating plan through the end of 2018.</w:t>
      </w:r>
    </w:p>
    <w:p>
      <w:pPr>
        <w:spacing w:after="0" w:line="86"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was no revenue recorded for the quarter ended March 31, 2017, compared to $4.9 million for the quarter ended March 31, 2016. The quarter ended March 31, 2016 included revenue of $0.7 million related to the amortization of the upfront payment from TESARO, $1.2 million related to research and development service and $3.0 million of milestone related revenues. The upfront payment was fully recognized and the research and development services were completed as of December 31, 2016.</w:t>
      </w:r>
    </w:p>
    <w:p>
      <w:pPr>
        <w:spacing w:after="0" w:line="92"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expenses were $7.9 million for the quarter ended March 31, 2017, compared to $4.8 million for the quarter ended March 31, 2016. The increase was primarily due to an increase in preclinical and clinical trial expenses offset by the recognition of certain tax incentives.</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were $2.1 million for the quarter ended March 31, 2017, compared to $1.2 million for the quarter ended March 31, 2016. The increase was attributable to additional personnel-related expenses, including non-cash stock-based compensation, and an increase in public company related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AnaptysBio</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 checkpoint receptors are insufficiently activated and have demonstrated efficacy in an animal model of graft-versus-host disease. AnaptysBio’s antibody pipeline has been developed using its proprietary somatic hypermutation (SHM) platform, which uses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SHM for antibody discovery and is designed to replicate key features of the human immune system to overcome the limitations of competing antibody</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technologies. AnaptysBio has also</w:t>
      </w:r>
    </w:p>
    <w:p>
      <w:pPr>
        <w:sectPr>
          <w:pgSz w:w="11900" w:h="16838" w:orient="portrait"/>
          <w:cols w:equalWidth="0" w:num="1">
            <w:col w:w="11400"/>
          </w:cols>
          <w:pgMar w:left="240" w:top="274" w:right="25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developed multiple therapeutic antibodies in an immuno-oncology partnership with TESARO and an inflammation partnership with Celgene, including an anti-PD-1 antagonist antibody (TSR-042) and an anti-TIM-3 antagonist antibody (TSR-022), which are currently under clinical development with TESARO, and an anti-PD-1 checkpoint agonist antibody (CC-90006) currently in the clinic with Celgene.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including, but not limited to: our belief that ANB020’s efficacy in inhibiting IL-33 has the potential to reduce expression of the effector cytokines involved in severe peanut allergy and effectively treat severe peanut allergy; and the timing of the release of data from our clinical trials, including ANB020’s Phase 2a clinical trials for the treatment of severe peanut allergy, moderate-to-severe adult atopic dermatitis and severe adult eosinophilic asthma and our Phase 1 clinical trial of ANB019;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360"/>
          </w:cols>
          <w:pgMar w:left="240" w:top="274"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3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96,754</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Receivable from collaborative 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Australian 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6,742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20,327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131,111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jc w:val="center"/>
              <w:ind w:right="550"/>
              <w:spacing w:after="0"/>
              <w:rPr>
                <w:sz w:val="20"/>
                <w:szCs w:val="20"/>
                <w:color w:val="auto"/>
              </w:rPr>
            </w:pPr>
            <w:r>
              <w:rPr>
                <w:rFonts w:ascii="Arial" w:cs="Arial" w:eastAsia="Arial" w:hAnsi="Arial"/>
                <w:sz w:val="18"/>
                <w:szCs w:val="18"/>
                <w:b w:val="1"/>
                <w:bCs w:val="1"/>
                <w:color w:val="auto"/>
              </w:rPr>
              <w:t>LIABILITIES, CONVERTIBLE PREFERRED STOCK AND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right="530"/>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2,546</w:t>
            </w:r>
          </w:p>
        </w:tc>
        <w:tc>
          <w:tcPr>
            <w:tcW w:w="360" w:type="dxa"/>
            <w:vAlign w:val="bottom"/>
          </w:tcPr>
          <w:p>
            <w:pPr>
              <w:spacing w:after="0"/>
              <w:rPr>
                <w:sz w:val="18"/>
                <w:szCs w:val="18"/>
                <w:color w:val="auto"/>
              </w:rPr>
            </w:pPr>
          </w:p>
        </w:tc>
        <w:tc>
          <w:tcPr>
            <w:tcW w:w="6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Notes payable,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 convertible preferred stock, $0.001 par value, no shares and 3,963 authorized,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March 31, 2017 and December 31, 2016,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6"/>
              </w:rPr>
              <w:t>Series C convertible preferred stock, $0.001 par value, no shares and 1,887 shares authorized, no shares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1,593 shares issued and outstanding at March 31, 2017 and December 31, 2016,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Series C-1 convertible preferred stock, $0.001 par value, no shares and 474 shares authorized,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March 31, 2017 and December 31, 2016,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9"/>
              </w:rPr>
              <w:t>Series D convertible preferred stock, $0.001 par value, no shares and 5,491 shares authorized,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outstanding at March 31, 2017 and December 31, 2016,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rPr>
              <w:t>Preferred stock, $0.001 par value, 10,000 shares and no shares authorized, issued or outstanding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March 31, 2017 and December 31, 2016,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500,000 and 17,214 shares authorized, 20,249 shares and 2,651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at March 31, 2017 and December 31, 2016,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176,507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(66,399)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131,111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52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(9,988)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liability for preferred stock warrants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520"/>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(11,435)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available for sale securities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(11,448)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60"/>
              <w:spacing w:after="0"/>
              <w:rPr>
                <w:sz w:val="20"/>
                <w:szCs w:val="20"/>
                <w:color w:val="auto"/>
              </w:rPr>
            </w:pPr>
            <w:r>
              <w:rPr>
                <w:rFonts w:ascii="Arial" w:cs="Arial" w:eastAsia="Arial" w:hAnsi="Arial"/>
                <w:sz w:val="18"/>
                <w:szCs w:val="18"/>
                <w:color w:val="auto"/>
              </w:rPr>
              <w:t>Net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60"/>
              <w:spacing w:after="0"/>
              <w:rPr>
                <w:sz w:val="20"/>
                <w:szCs w:val="20"/>
                <w:color w:val="auto"/>
              </w:rPr>
            </w:pPr>
            <w:r>
              <w:rPr>
                <w:rFonts w:ascii="Arial" w:cs="Arial" w:eastAsia="Arial" w:hAnsi="Arial"/>
                <w:sz w:val="18"/>
                <w:szCs w:val="18"/>
                <w:color w:val="auto"/>
              </w:rPr>
              <w:t>Weighted-average number of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2019-12-07T04:07:22Z</dcterms:created>
  <dcterms:modified xsi:type="dcterms:W3CDTF">2019-12-07T04:07:22Z</dcterms:modified>
</cp:coreProperties>
</file>