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Suria Hamza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ANAPTYSBIO,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4"/>
          <w:szCs w:val="14"/>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ANAPTYSBIO,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ANAB</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02/10/2022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65"/>
        <w:spacing w:after="0"/>
        <w:rPr>
          <w:sz w:val="20"/>
          <w:szCs w:val="20"/>
          <w:color w:val="auto"/>
        </w:rPr>
      </w:pPr>
      <w:r>
        <w:rPr>
          <w:rFonts w:ascii="Arial" w:cs="Arial" w:eastAsia="Arial" w:hAnsi="Arial"/>
          <w:sz w:val="17"/>
          <w:szCs w:val="17"/>
          <w:color w:val="0000FF"/>
        </w:rPr>
        <w:t>President, CEO</w:t>
      </w:r>
    </w:p>
    <w:p>
      <w:pPr>
        <w:spacing w:after="0" w:line="388"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SAN DIEGO</w:t>
            </w:r>
          </w:p>
        </w:tc>
        <w:tc>
          <w:tcPr>
            <w:tcW w:w="980" w:type="dxa"/>
            <w:vAlign w:val="bottom"/>
          </w:tcPr>
          <w:p>
            <w:pPr>
              <w:ind w:left="18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92121</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2"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30.44</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02/10/2022</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rPr>
                <w:sz w:val="20"/>
                <w:szCs w:val="20"/>
                <w:color w:val="auto"/>
              </w:rPr>
            </w:pPr>
            <w:r>
              <w:rPr>
                <w:rFonts w:ascii="Arial" w:cs="Arial" w:eastAsia="Arial" w:hAnsi="Arial"/>
                <w:sz w:val="13"/>
                <w:szCs w:val="13"/>
                <w:color w:val="0000FF"/>
              </w:rPr>
              <w:t>200,000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3"/>
                <w:szCs w:val="13"/>
                <w:color w:val="0000FF"/>
                <w:w w:val="95"/>
              </w:rPr>
              <w:t>02/09/2032</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200,000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ind w:left="200"/>
              <w:spacing w:after="0" w:line="200" w:lineRule="exact"/>
              <w:rPr>
                <w:sz w:val="20"/>
                <w:szCs w:val="20"/>
                <w:color w:val="auto"/>
              </w:rPr>
            </w:pPr>
            <w:r>
              <w:rPr>
                <w:rFonts w:ascii="Arial" w:cs="Arial" w:eastAsia="Arial" w:hAnsi="Arial"/>
                <w:sz w:val="13"/>
                <w:szCs w:val="13"/>
                <w:color w:val="0000FF"/>
              </w:rPr>
              <w:t>200,000</w:t>
            </w:r>
            <w:r>
              <w:rPr>
                <w:rFonts w:ascii="Arial" w:cs="Arial" w:eastAsia="Arial" w:hAnsi="Arial"/>
                <w:sz w:val="21"/>
                <w:szCs w:val="21"/>
                <w:color w:val="008000"/>
                <w:vertAlign w:val="superscript"/>
              </w:rPr>
              <w:t>(2)</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22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vests and becomes exercisable as to 25% of the shares subject to the option on February 10, 2023, and thereafter vests as to 1/48th of the shares in equal monthly installments, until such time as the option is 100% vested, subject to the continuing employment of the Reporting Person on each vesting date.</w:t>
      </w:r>
    </w:p>
    <w:p>
      <w:pPr>
        <w:spacing w:after="0" w:line="27" w:lineRule="exact"/>
        <w:rPr>
          <w:rFonts w:ascii="Arial" w:cs="Arial" w:eastAsia="Arial" w:hAnsi="Arial"/>
          <w:sz w:val="13"/>
          <w:szCs w:val="13"/>
          <w:color w:val="008000"/>
        </w:rPr>
      </w:pPr>
    </w:p>
    <w:p>
      <w:pPr>
        <w:ind w:left="40" w:right="24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addition to the remaining options to purchase 200,000 shares of common stock as set forth in Table II above, the Reporting Person also holds (i) additional options to purchase up to an aggregate of 1,118,893 shares of common stock, which options vest according to their terms, and (ii) 68,600 shares of common stock held directly.</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Eric Loumeau, Attorney-in-</w:t>
            </w:r>
          </w:p>
        </w:tc>
        <w:tc>
          <w:tcPr>
            <w:tcW w:w="16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02/14/2022</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4495"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2022-02-14T16:13:28Z</dcterms:created>
  <dcterms:modified xsi:type="dcterms:W3CDTF">2022-02-14T16:13:28Z</dcterms:modified>
</cp:coreProperties>
</file>