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2479675</wp:posOffset>
            </wp:positionH>
            <wp:positionV relativeFrom="page">
              <wp:posOffset>680720</wp:posOffset>
            </wp:positionV>
            <wp:extent cx="25888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88895" cy="8255"/>
                    </a:xfrm>
                    <a:prstGeom prst="rect">
                      <a:avLst/>
                    </a:prstGeom>
                    <a:noFill/>
                  </pic:spPr>
                </pic:pic>
              </a:graphicData>
            </a:graphic>
          </wp:anchor>
        </w:drawing>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114300</wp:posOffset>
            </wp:positionV>
            <wp:extent cx="25888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5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132080</wp:posOffset>
            </wp:positionV>
            <wp:extent cx="2588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296"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22"/>
          <w:szCs w:val="22"/>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5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440" w:hanging="414"/>
        <w:spacing w:after="0"/>
        <w:tabs>
          <w:tab w:leader="none" w:pos="44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128" w:lineRule="exact"/>
        <w:rPr>
          <w:sz w:val="24"/>
          <w:szCs w:val="24"/>
          <w:color w:val="auto"/>
        </w:rPr>
      </w:pPr>
    </w:p>
    <w:p>
      <w:pPr>
        <w:ind w:left="3380"/>
        <w:spacing w:after="0"/>
        <w:tabs>
          <w:tab w:leader="none" w:pos="6660" w:val="left"/>
          <w:tab w:leader="none" w:pos="7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3648075</wp:posOffset>
            </wp:positionH>
            <wp:positionV relativeFrom="paragraph">
              <wp:posOffset>-7620</wp:posOffset>
            </wp:positionV>
            <wp:extent cx="1323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9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001-37985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128905</wp:posOffset>
            </wp:positionV>
            <wp:extent cx="25888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6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ANAPTYSBIO, INC.</w:t>
      </w:r>
    </w:p>
    <w:p>
      <w:pPr>
        <w:spacing w:after="0" w:line="3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107315</wp:posOffset>
            </wp:positionV>
            <wp:extent cx="25888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p>
      <w:pPr>
        <w:spacing w:after="0" w:line="300" w:lineRule="exact"/>
        <w:rPr>
          <w:sz w:val="24"/>
          <w:szCs w:val="24"/>
          <w:color w:val="auto"/>
        </w:rPr>
      </w:pPr>
    </w:p>
    <w:p>
      <w:pPr>
        <w:ind w:left="26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20-3828755</w:t>
      </w:r>
    </w:p>
    <w:p>
      <w:pPr>
        <w:spacing w:after="0" w:line="31" w:lineRule="exact"/>
        <w:rPr>
          <w:sz w:val="24"/>
          <w:szCs w:val="24"/>
          <w:color w:val="auto"/>
        </w:rPr>
      </w:pPr>
    </w:p>
    <w:p>
      <w:pPr>
        <w:sectPr>
          <w:pgSz w:w="11900" w:h="16838" w:orient="portrait"/>
          <w:cols w:equalWidth="0" w:num="2">
            <w:col w:w="7160" w:space="720"/>
            <w:col w:w="3380"/>
          </w:cols>
          <w:pgMar w:left="320" w:top="1133" w:right="319" w:bottom="1440" w:gutter="0" w:footer="0" w:header="0"/>
          <w:type w:val="continuous"/>
        </w:sectPr>
      </w:pPr>
    </w:p>
    <w:p>
      <w:pPr>
        <w:spacing w:after="0" w:line="12" w:lineRule="exact"/>
        <w:rPr>
          <w:sz w:val="24"/>
          <w:szCs w:val="24"/>
          <w:color w:val="auto"/>
        </w:rPr>
      </w:pPr>
    </w:p>
    <w:p>
      <w:pPr>
        <w:ind w:left="2120"/>
        <w:spacing w:after="0"/>
        <w:rPr>
          <w:sz w:val="20"/>
          <w:szCs w:val="20"/>
          <w:color w:val="auto"/>
        </w:rPr>
      </w:pPr>
      <w:r>
        <w:rPr>
          <w:rFonts w:ascii="Arial" w:cs="Arial" w:eastAsia="Arial" w:hAnsi="Arial"/>
          <w:sz w:val="13"/>
          <w:szCs w:val="13"/>
          <w:b w:val="1"/>
          <w:bCs w:val="1"/>
          <w:color w:val="auto"/>
        </w:rPr>
        <w:t>(State or other jurisdiction of</w:t>
      </w:r>
    </w:p>
    <w:p>
      <w:pPr>
        <w:ind w:left="20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20"/>
        <w:spacing w:after="0"/>
        <w:rPr>
          <w:sz w:val="20"/>
          <w:szCs w:val="20"/>
          <w:color w:val="auto"/>
        </w:rPr>
      </w:pPr>
      <w:r>
        <w:rPr>
          <w:rFonts w:ascii="Arial" w:cs="Arial" w:eastAsia="Arial" w:hAnsi="Arial"/>
          <w:sz w:val="14"/>
          <w:szCs w:val="14"/>
          <w:b w:val="1"/>
          <w:bCs w:val="1"/>
          <w:color w:val="auto"/>
        </w:rPr>
        <w:t>(I.R.S. Employer</w:t>
      </w:r>
    </w:p>
    <w:p>
      <w:pPr>
        <w:jc w:val="center"/>
        <w:ind w:right="2220"/>
        <w:spacing w:after="0"/>
        <w:rPr>
          <w:sz w:val="20"/>
          <w:szCs w:val="20"/>
          <w:color w:val="auto"/>
        </w:rPr>
      </w:pPr>
      <w:r>
        <w:rPr>
          <w:rFonts w:ascii="Arial" w:cs="Arial" w:eastAsia="Arial" w:hAnsi="Arial"/>
          <w:sz w:val="13"/>
          <w:szCs w:val="13"/>
          <w:b w:val="1"/>
          <w:bCs w:val="1"/>
          <w:color w:val="auto"/>
        </w:rPr>
        <w:t>Identification Number)</w:t>
      </w:r>
    </w:p>
    <w:p>
      <w:pPr>
        <w:spacing w:after="0" w:line="109" w:lineRule="exact"/>
        <w:rPr>
          <w:sz w:val="24"/>
          <w:szCs w:val="24"/>
          <w:color w:val="auto"/>
        </w:rPr>
      </w:pPr>
    </w:p>
    <w:p>
      <w:pPr>
        <w:sectPr>
          <w:pgSz w:w="11900" w:h="16838" w:orient="portrait"/>
          <w:cols w:equalWidth="0" w:num="2">
            <w:col w:w="6880" w:space="720"/>
            <w:col w:w="3660"/>
          </w:cols>
          <w:pgMar w:left="320" w:top="1133" w:right="319" w:bottom="1440" w:gutter="0" w:footer="0" w:header="0"/>
          <w:type w:val="continuous"/>
        </w:sectPr>
      </w:pPr>
    </w:p>
    <w:p>
      <w:pPr>
        <w:ind w:left="4320"/>
        <w:spacing w:after="0"/>
        <w:rPr>
          <w:sz w:val="20"/>
          <w:szCs w:val="20"/>
          <w:color w:val="auto"/>
        </w:rPr>
      </w:pPr>
      <w:r>
        <w:rPr>
          <w:rFonts w:ascii="Arial" w:cs="Arial" w:eastAsia="Arial" w:hAnsi="Arial"/>
          <w:sz w:val="18"/>
          <w:szCs w:val="18"/>
          <w:b w:val="1"/>
          <w:bCs w:val="1"/>
          <w:color w:val="auto"/>
        </w:rPr>
        <w:t>10770 Wateridge Circle, Suite 210</w:t>
      </w:r>
    </w:p>
    <w:p>
      <w:pPr>
        <w:spacing w:after="0" w:line="27"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San Diego, CA 92121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(Address of principal executive offices and zip code)</w:t>
      </w:r>
    </w:p>
    <w:p>
      <w:pPr>
        <w:sectPr>
          <w:pgSz w:w="11900" w:h="16838" w:orient="portrait"/>
          <w:cols w:equalWidth="0" w:num="1">
            <w:col w:w="11260"/>
          </w:cols>
          <w:pgMar w:left="320" w:top="1133" w:right="319" w:bottom="1440" w:gutter="0" w:footer="0" w:header="0"/>
          <w:type w:val="continuous"/>
        </w:sectPr>
      </w:pPr>
    </w:p>
    <w:p>
      <w:pPr>
        <w:spacing w:after="0" w:line="12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(858) 362-6295</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3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10421 Pacific Center Court, Suite 200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San Diego, CA 92121</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262255</wp:posOffset>
            </wp:positionV>
            <wp:extent cx="2588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8"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30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1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w:t>
            </w:r>
          </w:p>
        </w:tc>
        <w:tc>
          <w:tcPr>
            <w:tcW w:w="3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ANAB</w:t>
            </w:r>
          </w:p>
        </w:tc>
        <w:tc>
          <w:tcPr>
            <w:tcW w:w="4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80" w:lineRule="exact"/>
        <w:rPr>
          <w:sz w:val="24"/>
          <w:szCs w:val="24"/>
          <w:color w:val="auto"/>
        </w:rPr>
      </w:pPr>
    </w:p>
    <w:p>
      <w:pPr>
        <w:ind w:right="260"/>
        <w:spacing w:after="0" w:line="288"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88" w:lineRule="exact"/>
        <w:tabs>
          <w:tab w:leader="none" w:pos="2600" w:val="left"/>
          <w:tab w:leader="none" w:pos="3360" w:val="left"/>
        </w:tabs>
        <w:rPr>
          <w:sz w:val="20"/>
          <w:szCs w:val="20"/>
          <w:color w:val="auto"/>
        </w:rPr>
      </w:pPr>
      <w:r>
        <w:rPr>
          <w:rFonts w:ascii="Arial" w:cs="Arial" w:eastAsia="Arial" w:hAnsi="Arial"/>
          <w:sz w:val="18"/>
          <w:szCs w:val="18"/>
          <w:color w:val="auto"/>
        </w:rPr>
        <w:t>requirements for the past 90 days:</w:t>
        <w:tab/>
        <w:t xml:space="preserve">Yes </w:t>
      </w:r>
      <w:r>
        <w:rPr>
          <w:rFonts w:ascii="MS PGothic" w:cs="MS PGothic" w:eastAsia="MS PGothic" w:hAnsi="MS PGothic"/>
          <w:sz w:val="25"/>
          <w:szCs w:val="25"/>
          <w:color w:val="auto"/>
        </w:rPr>
        <w:t>☒</w:t>
      </w:r>
      <w:r>
        <w:rPr>
          <w:rFonts w:ascii="Arial" w:cs="Arial" w:eastAsia="Arial" w:hAnsi="Arial"/>
          <w:sz w:val="18"/>
          <w:szCs w:val="18"/>
          <w:color w:val="auto"/>
        </w:rPr>
        <w:tab/>
        <w:t xml:space="preserve">No </w:t>
      </w:r>
      <w:r>
        <w:rPr>
          <w:rFonts w:ascii="MS PGothic" w:cs="MS PGothic" w:eastAsia="MS PGothic" w:hAnsi="MS PGothic"/>
          <w:sz w:val="21"/>
          <w:szCs w:val="21"/>
          <w:color w:val="auto"/>
        </w:rPr>
        <w:t>☐</w:t>
      </w:r>
    </w:p>
    <w:p>
      <w:pPr>
        <w:spacing w:after="0" w:line="53" w:lineRule="exact"/>
        <w:rPr>
          <w:sz w:val="24"/>
          <w:szCs w:val="24"/>
          <w:color w:val="auto"/>
        </w:rPr>
      </w:pPr>
    </w:p>
    <w:p>
      <w:pPr>
        <w:ind w:right="320"/>
        <w:spacing w:after="0" w:line="288"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288" w:lineRule="exact"/>
        <w:tabs>
          <w:tab w:leader="none" w:pos="580" w:val="left"/>
          <w:tab w:leader="none" w:pos="1340" w:val="left"/>
        </w:tabs>
        <w:rPr>
          <w:sz w:val="20"/>
          <w:szCs w:val="20"/>
          <w:color w:val="auto"/>
        </w:rPr>
      </w:pPr>
      <w:r>
        <w:rPr>
          <w:rFonts w:ascii="Arial" w:cs="Arial" w:eastAsia="Arial" w:hAnsi="Arial"/>
          <w:sz w:val="18"/>
          <w:szCs w:val="18"/>
          <w:color w:val="auto"/>
        </w:rPr>
        <w:t>files).</w:t>
        <w:tab/>
        <w:t xml:space="preserve">Yes </w:t>
      </w:r>
      <w:r>
        <w:rPr>
          <w:rFonts w:ascii="MS PGothic" w:cs="MS PGothic" w:eastAsia="MS PGothic" w:hAnsi="MS PGothic"/>
          <w:sz w:val="25"/>
          <w:szCs w:val="25"/>
          <w:color w:val="auto"/>
        </w:rPr>
        <w:t>☒</w:t>
      </w:r>
      <w:r>
        <w:rPr>
          <w:rFonts w:ascii="Arial" w:cs="Arial" w:eastAsia="Arial" w:hAnsi="Arial"/>
          <w:sz w:val="18"/>
          <w:szCs w:val="18"/>
          <w:color w:val="auto"/>
        </w:rPr>
        <w:tab/>
        <w:t xml:space="preserve">No </w:t>
      </w:r>
      <w:r>
        <w:rPr>
          <w:rFonts w:ascii="MS PGothic" w:cs="MS PGothic" w:eastAsia="MS PGothic" w:hAnsi="MS PGothic"/>
          <w:sz w:val="21"/>
          <w:szCs w:val="21"/>
          <w:color w:val="auto"/>
        </w:rPr>
        <w:t>☐</w:t>
      </w:r>
    </w:p>
    <w:p>
      <w:pPr>
        <w:spacing w:after="0" w:line="53" w:lineRule="exact"/>
        <w:rPr>
          <w:sz w:val="24"/>
          <w:szCs w:val="24"/>
          <w:color w:val="auto"/>
        </w:rPr>
      </w:pPr>
    </w:p>
    <w:p>
      <w:pPr>
        <w:ind w:right="2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308"/>
        </w:trPr>
        <w:tc>
          <w:tcPr>
            <w:tcW w:w="2240" w:type="dxa"/>
            <w:vAlign w:val="bottom"/>
          </w:tcPr>
          <w:p>
            <w:pPr>
              <w:ind w:left="40"/>
              <w:spacing w:after="0"/>
              <w:rPr>
                <w:sz w:val="20"/>
                <w:szCs w:val="20"/>
                <w:color w:val="auto"/>
              </w:rPr>
            </w:pPr>
            <w:r>
              <w:rPr>
                <w:rFonts w:ascii="Arial" w:cs="Arial" w:eastAsia="Arial" w:hAnsi="Arial"/>
                <w:sz w:val="18"/>
                <w:szCs w:val="18"/>
                <w:color w:val="auto"/>
              </w:rPr>
              <w:t>Large Accelerated Filer</w:t>
            </w:r>
          </w:p>
        </w:tc>
        <w:tc>
          <w:tcPr>
            <w:tcW w:w="33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rPr>
              <w:t>☐</w:t>
            </w:r>
          </w:p>
        </w:tc>
        <w:tc>
          <w:tcPr>
            <w:tcW w:w="4980" w:type="dxa"/>
            <w:vAlign w:val="bottom"/>
          </w:tcPr>
          <w:p>
            <w:pPr>
              <w:ind w:left="2540"/>
              <w:spacing w:after="0"/>
              <w:rPr>
                <w:sz w:val="20"/>
                <w:szCs w:val="20"/>
                <w:color w:val="auto"/>
              </w:rPr>
            </w:pPr>
            <w:r>
              <w:rPr>
                <w:rFonts w:ascii="Arial" w:cs="Arial" w:eastAsia="Arial" w:hAnsi="Arial"/>
                <w:sz w:val="18"/>
                <w:szCs w:val="18"/>
                <w:color w:val="auto"/>
              </w:rPr>
              <w:t>Accelerated Filer</w:t>
            </w:r>
          </w:p>
        </w:tc>
        <w:tc>
          <w:tcPr>
            <w:tcW w:w="720" w:type="dxa"/>
            <w:vAlign w:val="bottom"/>
          </w:tcPr>
          <w:p>
            <w:pPr>
              <w:ind w:left="380"/>
              <w:spacing w:after="0" w:line="221" w:lineRule="exact"/>
              <w:rPr>
                <w:sz w:val="20"/>
                <w:szCs w:val="20"/>
                <w:color w:val="auto"/>
              </w:rPr>
            </w:pPr>
            <w:r>
              <w:rPr>
                <w:rFonts w:ascii="MS PGothic" w:cs="MS PGothic" w:eastAsia="MS PGothic" w:hAnsi="MS PGothic"/>
                <w:sz w:val="22"/>
                <w:szCs w:val="22"/>
                <w:color w:val="auto"/>
              </w:rPr>
              <w:t>☐</w:t>
            </w:r>
          </w:p>
        </w:tc>
      </w:tr>
      <w:tr>
        <w:trPr>
          <w:trHeight w:val="367"/>
        </w:trPr>
        <w:tc>
          <w:tcPr>
            <w:tcW w:w="2240" w:type="dxa"/>
            <w:vAlign w:val="bottom"/>
          </w:tcPr>
          <w:p>
            <w:pPr>
              <w:ind w:left="40"/>
              <w:spacing w:after="0"/>
              <w:rPr>
                <w:sz w:val="20"/>
                <w:szCs w:val="20"/>
                <w:color w:val="auto"/>
              </w:rPr>
            </w:pPr>
            <w:r>
              <w:rPr>
                <w:rFonts w:ascii="Arial" w:cs="Arial" w:eastAsia="Arial" w:hAnsi="Arial"/>
                <w:sz w:val="18"/>
                <w:szCs w:val="18"/>
                <w:color w:val="auto"/>
              </w:rPr>
              <w:t>Non-accelerated Filer</w:t>
            </w:r>
          </w:p>
        </w:tc>
        <w:tc>
          <w:tcPr>
            <w:tcW w:w="3300" w:type="dxa"/>
            <w:vAlign w:val="bottom"/>
          </w:tcPr>
          <w:p>
            <w:pPr>
              <w:ind w:left="520"/>
              <w:spacing w:after="0" w:line="251" w:lineRule="exact"/>
              <w:rPr>
                <w:sz w:val="20"/>
                <w:szCs w:val="20"/>
                <w:color w:val="auto"/>
              </w:rPr>
            </w:pPr>
            <w:r>
              <w:rPr>
                <w:rFonts w:ascii="MS PGothic" w:cs="MS PGothic" w:eastAsia="MS PGothic" w:hAnsi="MS PGothic"/>
                <w:sz w:val="25"/>
                <w:szCs w:val="25"/>
                <w:color w:val="auto"/>
              </w:rPr>
              <w:t>☒</w:t>
            </w:r>
          </w:p>
        </w:tc>
        <w:tc>
          <w:tcPr>
            <w:tcW w:w="4980" w:type="dxa"/>
            <w:vAlign w:val="bottom"/>
          </w:tcPr>
          <w:p>
            <w:pPr>
              <w:ind w:left="2540"/>
              <w:spacing w:after="0"/>
              <w:rPr>
                <w:sz w:val="20"/>
                <w:szCs w:val="20"/>
                <w:color w:val="auto"/>
              </w:rPr>
            </w:pPr>
            <w:r>
              <w:rPr>
                <w:rFonts w:ascii="Arial" w:cs="Arial" w:eastAsia="Arial" w:hAnsi="Arial"/>
                <w:sz w:val="18"/>
                <w:szCs w:val="18"/>
                <w:color w:val="auto"/>
              </w:rPr>
              <w:t>Smaller Reporting Company</w:t>
            </w:r>
          </w:p>
        </w:tc>
        <w:tc>
          <w:tcPr>
            <w:tcW w:w="720" w:type="dxa"/>
            <w:vAlign w:val="bottom"/>
          </w:tcPr>
          <w:p>
            <w:pPr>
              <w:ind w:left="380"/>
              <w:spacing w:after="0" w:line="251" w:lineRule="exact"/>
              <w:rPr>
                <w:sz w:val="20"/>
                <w:szCs w:val="20"/>
                <w:color w:val="auto"/>
              </w:rPr>
            </w:pPr>
            <w:r>
              <w:rPr>
                <w:rFonts w:ascii="MS PGothic" w:cs="MS PGothic" w:eastAsia="MS PGothic" w:hAnsi="MS PGothic"/>
                <w:sz w:val="25"/>
                <w:szCs w:val="25"/>
                <w:color w:val="auto"/>
              </w:rPr>
              <w:t>☒</w:t>
            </w:r>
          </w:p>
        </w:tc>
      </w:tr>
      <w:tr>
        <w:trPr>
          <w:trHeight w:val="338"/>
        </w:trPr>
        <w:tc>
          <w:tcPr>
            <w:tcW w:w="22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980" w:type="dxa"/>
            <w:vAlign w:val="bottom"/>
          </w:tcPr>
          <w:p>
            <w:pPr>
              <w:ind w:left="2540"/>
              <w:spacing w:after="0"/>
              <w:rPr>
                <w:sz w:val="20"/>
                <w:szCs w:val="20"/>
                <w:color w:val="auto"/>
              </w:rPr>
            </w:pPr>
            <w:r>
              <w:rPr>
                <w:rFonts w:ascii="Arial" w:cs="Arial" w:eastAsia="Arial" w:hAnsi="Arial"/>
                <w:sz w:val="18"/>
                <w:szCs w:val="18"/>
                <w:color w:val="auto"/>
              </w:rPr>
              <w:t>Emerging Growth Company</w:t>
            </w:r>
          </w:p>
        </w:tc>
        <w:tc>
          <w:tcPr>
            <w:tcW w:w="720" w:type="dxa"/>
            <w:vAlign w:val="bottom"/>
          </w:tcPr>
          <w:p>
            <w:pPr>
              <w:ind w:left="380"/>
              <w:spacing w:after="0" w:line="221" w:lineRule="exact"/>
              <w:rPr>
                <w:sz w:val="20"/>
                <w:szCs w:val="20"/>
                <w:color w:val="auto"/>
              </w:rPr>
            </w:pPr>
            <w:r>
              <w:rPr>
                <w:rFonts w:ascii="MS PGothic" w:cs="MS PGothic" w:eastAsia="MS PGothic" w:hAnsi="MS PGothic"/>
                <w:sz w:val="22"/>
                <w:szCs w:val="22"/>
                <w:color w:val="auto"/>
              </w:rPr>
              <w:t>☐</w:t>
            </w:r>
          </w:p>
        </w:tc>
      </w:tr>
      <w:tr>
        <w:trPr>
          <w:trHeight w:val="824"/>
        </w:trPr>
        <w:tc>
          <w:tcPr>
            <w:tcW w:w="224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type w:val="continuous"/>
        </w:sectPr>
      </w:pPr>
    </w:p>
    <w:bookmarkStart w:id="1" w:name="page2"/>
    <w:bookmarkEnd w:id="1"/>
    <w:p>
      <w:pPr>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 w:lineRule="exact"/>
        <w:rPr>
          <w:sz w:val="20"/>
          <w:szCs w:val="20"/>
          <w:color w:val="auto"/>
        </w:rPr>
      </w:pPr>
    </w:p>
    <w:p>
      <w:pPr>
        <w:ind w:right="216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5"/>
          <w:szCs w:val="25"/>
          <w:color w:val="auto"/>
        </w:rPr>
        <w:t>☒</w:t>
      </w:r>
      <w:r>
        <w:rPr>
          <w:rFonts w:ascii="Arial" w:cs="Arial" w:eastAsia="Arial" w:hAnsi="Arial"/>
          <w:sz w:val="18"/>
          <w:szCs w:val="18"/>
          <w:color w:val="auto"/>
        </w:rPr>
        <w:t xml:space="preserve"> As of April 30, 2021, there were 27,369,199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639445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111760</wp:posOffset>
            </wp:positionV>
            <wp:extent cx="25888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ectPr>
          <w:pgSz w:w="11900" w:h="16838" w:orient="portrait"/>
          <w:cols w:equalWidth="0" w:num="1">
            <w:col w:w="11080"/>
          </w:cols>
          <w:pgMar w:left="320" w:top="827" w:right="4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7"/>
        </w:trPr>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80" w:type="dxa"/>
            <w:vAlign w:val="bottom"/>
            <w:gridSpan w:val="9"/>
          </w:tcPr>
          <w:p>
            <w:pPr>
              <w:jc w:val="center"/>
              <w:ind w:right="3060"/>
              <w:spacing w:after="0"/>
              <w:rPr>
                <w:sz w:val="20"/>
                <w:szCs w:val="20"/>
                <w:color w:val="auto"/>
              </w:rPr>
            </w:pPr>
            <w:r>
              <w:rPr>
                <w:rFonts w:ascii="Arial" w:cs="Arial" w:eastAsia="Arial" w:hAnsi="Arial"/>
                <w:sz w:val="22"/>
                <w:szCs w:val="22"/>
                <w:b w:val="1"/>
                <w:bCs w:val="1"/>
                <w:color w:val="auto"/>
                <w:w w:val="89"/>
              </w:rPr>
              <w:t>AnaptysBio, Inc.</w:t>
            </w:r>
          </w:p>
        </w:tc>
      </w:tr>
      <w:tr>
        <w:trPr>
          <w:trHeight w:val="280"/>
        </w:trPr>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80" w:type="dxa"/>
            <w:vAlign w:val="bottom"/>
            <w:gridSpan w:val="9"/>
          </w:tcPr>
          <w:p>
            <w:pPr>
              <w:jc w:val="center"/>
              <w:ind w:right="3060"/>
              <w:spacing w:after="0"/>
              <w:rPr>
                <w:sz w:val="20"/>
                <w:szCs w:val="20"/>
                <w:color w:val="auto"/>
              </w:rPr>
            </w:pPr>
            <w:r>
              <w:rPr>
                <w:rFonts w:ascii="Arial" w:cs="Arial" w:eastAsia="Arial" w:hAnsi="Arial"/>
                <w:sz w:val="22"/>
                <w:szCs w:val="22"/>
                <w:b w:val="1"/>
                <w:bCs w:val="1"/>
                <w:color w:val="auto"/>
                <w:w w:val="87"/>
              </w:rPr>
              <w:t>Table of Contents</w:t>
            </w:r>
          </w:p>
        </w:tc>
      </w:tr>
      <w:tr>
        <w:trPr>
          <w:trHeight w:val="827"/>
        </w:trPr>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920" w:type="dxa"/>
            <w:vAlign w:val="bottom"/>
            <w:gridSpan w:val="10"/>
          </w:tcPr>
          <w:p>
            <w:pPr>
              <w:jc w:val="center"/>
              <w:ind w:right="2040"/>
              <w:spacing w:after="0"/>
              <w:rPr>
                <w:sz w:val="20"/>
                <w:szCs w:val="20"/>
                <w:color w:val="auto"/>
              </w:rPr>
            </w:pPr>
            <w:r>
              <w:rPr>
                <w:rFonts w:ascii="Arial" w:cs="Arial" w:eastAsia="Arial" w:hAnsi="Arial"/>
                <w:sz w:val="18"/>
                <w:szCs w:val="18"/>
                <w:b w:val="1"/>
                <w:bCs w:val="1"/>
                <w:color w:val="auto"/>
              </w:rPr>
              <w:t>PART I. FINANCIAL INFORMATION</w:t>
            </w:r>
          </w:p>
        </w:tc>
      </w:tr>
      <w:tr>
        <w:trPr>
          <w:trHeight w:val="297"/>
        </w:trPr>
        <w:tc>
          <w:tcPr>
            <w:tcW w:w="1300" w:type="dxa"/>
            <w:vAlign w:val="bottom"/>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Item 1.</w:t>
              </w:r>
            </w:hyperlink>
          </w:p>
        </w:tc>
        <w:tc>
          <w:tcPr>
            <w:tcW w:w="8220" w:type="dxa"/>
            <w:vAlign w:val="bottom"/>
            <w:gridSpan w:val="19"/>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Consolidated Financial Statements (unaudited)</w:t>
              </w:r>
            </w:hyperlink>
          </w:p>
        </w:tc>
      </w:tr>
      <w:tr>
        <w:trPr>
          <w:trHeight w:val="20"/>
        </w:trPr>
        <w:tc>
          <w:tcPr>
            <w:tcW w:w="130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304"/>
        </w:trPr>
        <w:tc>
          <w:tcPr>
            <w:tcW w:w="1300" w:type="dxa"/>
            <w:vAlign w:val="bottom"/>
          </w:tcPr>
          <w:p>
            <w:pPr>
              <w:spacing w:after="0"/>
              <w:rPr>
                <w:sz w:val="24"/>
                <w:szCs w:val="24"/>
                <w:color w:val="auto"/>
              </w:rPr>
            </w:pPr>
          </w:p>
        </w:tc>
        <w:tc>
          <w:tcPr>
            <w:tcW w:w="8220" w:type="dxa"/>
            <w:vAlign w:val="bottom"/>
            <w:gridSpan w:val="19"/>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Consolidated Balance Sheets as of March 31, 2021 and December 31, 2020</w:t>
              </w:r>
            </w:hyperlink>
          </w:p>
        </w:tc>
      </w:tr>
      <w:tr>
        <w:trPr>
          <w:trHeight w:val="20"/>
        </w:trPr>
        <w:tc>
          <w:tcPr>
            <w:tcW w:w="130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304"/>
        </w:trPr>
        <w:tc>
          <w:tcPr>
            <w:tcW w:w="1300" w:type="dxa"/>
            <w:vAlign w:val="bottom"/>
          </w:tcPr>
          <w:p>
            <w:pPr>
              <w:spacing w:after="0"/>
              <w:rPr>
                <w:sz w:val="24"/>
                <w:szCs w:val="24"/>
                <w:color w:val="auto"/>
              </w:rPr>
            </w:pPr>
          </w:p>
        </w:tc>
        <w:tc>
          <w:tcPr>
            <w:tcW w:w="8220" w:type="dxa"/>
            <w:vAlign w:val="bottom"/>
            <w:tcBorders>
              <w:bottom w:val="single" w:sz="8" w:color="0000FF"/>
            </w:tcBorders>
            <w:gridSpan w:val="19"/>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Consolidated Statements of Operations and Comprehensive Loss for the Three Months Ended March 31, 2021 and</w:t>
              </w:r>
            </w:hyperlink>
          </w:p>
        </w:tc>
      </w:tr>
      <w:tr>
        <w:trPr>
          <w:trHeight w:val="156"/>
        </w:trPr>
        <w:tc>
          <w:tcPr>
            <w:tcW w:w="1300" w:type="dxa"/>
            <w:vAlign w:val="bottom"/>
          </w:tcPr>
          <w:p>
            <w:pPr>
              <w:spacing w:after="0"/>
              <w:rPr>
                <w:sz w:val="13"/>
                <w:szCs w:val="13"/>
                <w:color w:val="auto"/>
              </w:rPr>
            </w:pPr>
          </w:p>
        </w:tc>
        <w:tc>
          <w:tcPr>
            <w:tcW w:w="320" w:type="dxa"/>
            <w:vAlign w:val="bottom"/>
            <w:tcBorders>
              <w:bottom w:val="single" w:sz="8" w:color="0000FF"/>
            </w:tcBorders>
          </w:tcPr>
          <w:p>
            <w:pPr>
              <w:spacing w:after="0" w:line="156" w:lineRule="exact"/>
              <w:rPr>
                <w:rFonts w:ascii="Arial" w:cs="Arial" w:eastAsia="Arial" w:hAnsi="Arial"/>
                <w:sz w:val="18"/>
                <w:szCs w:val="18"/>
                <w:color w:val="0000FF"/>
                <w:w w:val="74"/>
              </w:rPr>
            </w:pPr>
            <w:hyperlink w:anchor="page4">
              <w:r>
                <w:rPr>
                  <w:rFonts w:ascii="Arial" w:cs="Arial" w:eastAsia="Arial" w:hAnsi="Arial"/>
                  <w:sz w:val="18"/>
                  <w:szCs w:val="18"/>
                  <w:color w:val="0000FF"/>
                  <w:w w:val="74"/>
                </w:rPr>
                <w:t>2020</w:t>
              </w:r>
            </w:hyperlink>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304"/>
        </w:trPr>
        <w:tc>
          <w:tcPr>
            <w:tcW w:w="1300" w:type="dxa"/>
            <w:vAlign w:val="bottom"/>
          </w:tcPr>
          <w:p>
            <w:pPr>
              <w:spacing w:after="0"/>
              <w:rPr>
                <w:sz w:val="24"/>
                <w:szCs w:val="24"/>
                <w:color w:val="auto"/>
              </w:rPr>
            </w:pPr>
          </w:p>
        </w:tc>
        <w:tc>
          <w:tcPr>
            <w:tcW w:w="8220" w:type="dxa"/>
            <w:vAlign w:val="bottom"/>
            <w:gridSpan w:val="1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Consolidated Statements of Stockholders' Equity for the Three Months Ended March 31, 2021</w:t>
              </w:r>
            </w:hyperlink>
          </w:p>
        </w:tc>
      </w:tr>
      <w:tr>
        <w:trPr>
          <w:trHeight w:val="20"/>
        </w:trPr>
        <w:tc>
          <w:tcPr>
            <w:tcW w:w="1300" w:type="dxa"/>
            <w:vAlign w:val="bottom"/>
            <w:tcBorders>
              <w:right w:val="single" w:sz="8" w:color="0000FF"/>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304"/>
        </w:trPr>
        <w:tc>
          <w:tcPr>
            <w:tcW w:w="1300" w:type="dxa"/>
            <w:vAlign w:val="bottom"/>
          </w:tcPr>
          <w:p>
            <w:pPr>
              <w:spacing w:after="0"/>
              <w:rPr>
                <w:sz w:val="24"/>
                <w:szCs w:val="24"/>
                <w:color w:val="auto"/>
              </w:rPr>
            </w:pPr>
          </w:p>
        </w:tc>
        <w:tc>
          <w:tcPr>
            <w:tcW w:w="6800" w:type="dxa"/>
            <w:vAlign w:val="bottom"/>
            <w:tcBorders>
              <w:bottom w:val="single" w:sz="8" w:color="0000FF"/>
            </w:tcBorders>
            <w:gridSpan w:val="17"/>
          </w:tcPr>
          <w:p>
            <w:pPr>
              <w:spacing w:after="0"/>
              <w:rPr>
                <w:rFonts w:ascii="Arial" w:cs="Arial" w:eastAsia="Arial" w:hAnsi="Arial"/>
                <w:sz w:val="18"/>
                <w:szCs w:val="18"/>
                <w:color w:val="0000FF"/>
                <w:w w:val="90"/>
              </w:rPr>
            </w:pPr>
            <w:hyperlink w:anchor="page6">
              <w:r>
                <w:rPr>
                  <w:rFonts w:ascii="Arial" w:cs="Arial" w:eastAsia="Arial" w:hAnsi="Arial"/>
                  <w:sz w:val="18"/>
                  <w:szCs w:val="18"/>
                  <w:color w:val="0000FF"/>
                  <w:w w:val="90"/>
                </w:rPr>
                <w:t>Consolidated Statements of Stockholders’ Equity for the Three Months Ended March 31, 2020</w:t>
              </w:r>
            </w:hyperlink>
          </w:p>
        </w:tc>
        <w:tc>
          <w:tcPr>
            <w:tcW w:w="1420" w:type="dxa"/>
            <w:vAlign w:val="bottom"/>
            <w:gridSpan w:val="2"/>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8220" w:type="dxa"/>
            <w:vAlign w:val="bottom"/>
            <w:gridSpan w:val="19"/>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Consolidated Statements of Cash Flows for the Three Months Ended March 31, 2021 and 2020</w:t>
              </w:r>
            </w:hyperlink>
          </w:p>
        </w:tc>
      </w:tr>
      <w:tr>
        <w:trPr>
          <w:trHeight w:val="304"/>
        </w:trPr>
        <w:tc>
          <w:tcPr>
            <w:tcW w:w="1300" w:type="dxa"/>
            <w:vAlign w:val="bottom"/>
          </w:tcPr>
          <w:p>
            <w:pPr>
              <w:spacing w:after="0"/>
              <w:rPr>
                <w:sz w:val="24"/>
                <w:szCs w:val="24"/>
                <w:color w:val="auto"/>
              </w:rPr>
            </w:pPr>
          </w:p>
        </w:tc>
        <w:tc>
          <w:tcPr>
            <w:tcW w:w="418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Notes to the Unaudited Consolidated Financial Statements</w:t>
              </w:r>
            </w:hyperlink>
          </w:p>
        </w:tc>
        <w:tc>
          <w:tcPr>
            <w:tcW w:w="2640" w:type="dxa"/>
            <w:vAlign w:val="bottom"/>
            <w:tcBorders>
              <w:top w:val="single" w:sz="8" w:color="0000FF"/>
            </w:tcBorders>
            <w:gridSpan w:val="7"/>
          </w:tcPr>
          <w:p>
            <w:pPr>
              <w:spacing w:after="0"/>
              <w:rPr>
                <w:sz w:val="24"/>
                <w:szCs w:val="24"/>
                <w:color w:val="auto"/>
              </w:rPr>
            </w:pPr>
          </w:p>
        </w:tc>
        <w:tc>
          <w:tcPr>
            <w:tcW w:w="1400" w:type="dxa"/>
            <w:vAlign w:val="bottom"/>
          </w:tcPr>
          <w:p>
            <w:pPr>
              <w:spacing w:after="0"/>
              <w:rPr>
                <w:sz w:val="24"/>
                <w:szCs w:val="24"/>
                <w:color w:val="auto"/>
              </w:rPr>
            </w:pPr>
          </w:p>
        </w:tc>
      </w:tr>
      <w:tr>
        <w:trPr>
          <w:trHeight w:val="304"/>
        </w:trPr>
        <w:tc>
          <w:tcPr>
            <w:tcW w:w="1300" w:type="dxa"/>
            <w:vAlign w:val="bottom"/>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Item 2.</w:t>
              </w:r>
            </w:hyperlink>
          </w:p>
        </w:tc>
        <w:tc>
          <w:tcPr>
            <w:tcW w:w="8220" w:type="dxa"/>
            <w:vAlign w:val="bottom"/>
            <w:gridSpan w:val="19"/>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Management’s Discussion and Analysis of Financial Condition and Results of Operations</w:t>
              </w:r>
            </w:hyperlink>
          </w:p>
        </w:tc>
      </w:tr>
      <w:tr>
        <w:trPr>
          <w:trHeight w:val="304"/>
        </w:trPr>
        <w:tc>
          <w:tcPr>
            <w:tcW w:w="1300" w:type="dxa"/>
            <w:vAlign w:val="bottom"/>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Item 3.</w:t>
              </w:r>
            </w:hyperlink>
          </w:p>
        </w:tc>
        <w:tc>
          <w:tcPr>
            <w:tcW w:w="4340" w:type="dxa"/>
            <w:vAlign w:val="bottom"/>
            <w:tcBorders>
              <w:top w:val="single" w:sz="8" w:color="0000FF"/>
              <w:bottom w:val="single" w:sz="8" w:color="0000FF"/>
            </w:tcBorders>
            <w:gridSpan w:val="13"/>
          </w:tcPr>
          <w:p>
            <w:pPr>
              <w:spacing w:after="0"/>
              <w:rPr>
                <w:rFonts w:ascii="Arial" w:cs="Arial" w:eastAsia="Arial" w:hAnsi="Arial"/>
                <w:sz w:val="18"/>
                <w:szCs w:val="18"/>
                <w:color w:val="0000FF"/>
                <w:w w:val="91"/>
              </w:rPr>
            </w:pPr>
            <w:hyperlink w:anchor="page32">
              <w:r>
                <w:rPr>
                  <w:rFonts w:ascii="Arial" w:cs="Arial" w:eastAsia="Arial" w:hAnsi="Arial"/>
                  <w:sz w:val="18"/>
                  <w:szCs w:val="18"/>
                  <w:color w:val="0000FF"/>
                  <w:w w:val="91"/>
                </w:rPr>
                <w:t>Quantitative and Qualitative Disclosures About Market Risk</w:t>
              </w:r>
            </w:hyperlink>
          </w:p>
        </w:tc>
        <w:tc>
          <w:tcPr>
            <w:tcW w:w="2080" w:type="dxa"/>
            <w:vAlign w:val="bottom"/>
            <w:tcBorders>
              <w:top w:val="single" w:sz="8" w:color="0000FF"/>
            </w:tcBorders>
            <w:gridSpan w:val="2"/>
          </w:tcPr>
          <w:p>
            <w:pPr>
              <w:spacing w:after="0"/>
              <w:rPr>
                <w:sz w:val="24"/>
                <w:szCs w:val="24"/>
                <w:color w:val="auto"/>
              </w:rPr>
            </w:pPr>
          </w:p>
        </w:tc>
        <w:tc>
          <w:tcPr>
            <w:tcW w:w="1800" w:type="dxa"/>
            <w:vAlign w:val="bottom"/>
            <w:gridSpan w:val="4"/>
          </w:tcPr>
          <w:p>
            <w:pPr>
              <w:spacing w:after="0"/>
              <w:rPr>
                <w:sz w:val="24"/>
                <w:szCs w:val="24"/>
                <w:color w:val="auto"/>
              </w:rPr>
            </w:pPr>
          </w:p>
        </w:tc>
      </w:tr>
      <w:tr>
        <w:trPr>
          <w:trHeight w:val="304"/>
        </w:trPr>
        <w:tc>
          <w:tcPr>
            <w:tcW w:w="1300" w:type="dxa"/>
            <w:vAlign w:val="bottom"/>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Item 4.</w:t>
              </w:r>
            </w:hyperlink>
          </w:p>
        </w:tc>
        <w:tc>
          <w:tcPr>
            <w:tcW w:w="8220" w:type="dxa"/>
            <w:vAlign w:val="bottom"/>
            <w:gridSpan w:val="19"/>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Controls and Procedures</w:t>
              </w:r>
            </w:hyperlink>
          </w:p>
        </w:tc>
      </w:tr>
      <w:tr>
        <w:trPr>
          <w:trHeight w:val="614"/>
        </w:trPr>
        <w:tc>
          <w:tcPr>
            <w:tcW w:w="130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5920" w:type="dxa"/>
            <w:vAlign w:val="bottom"/>
            <w:gridSpan w:val="10"/>
          </w:tcPr>
          <w:p>
            <w:pPr>
              <w:jc w:val="center"/>
              <w:ind w:right="2040"/>
              <w:spacing w:after="0"/>
              <w:rPr>
                <w:sz w:val="20"/>
                <w:szCs w:val="20"/>
                <w:color w:val="auto"/>
              </w:rPr>
            </w:pPr>
            <w:r>
              <w:rPr>
                <w:rFonts w:ascii="Arial" w:cs="Arial" w:eastAsia="Arial" w:hAnsi="Arial"/>
                <w:sz w:val="18"/>
                <w:szCs w:val="18"/>
                <w:b w:val="1"/>
                <w:bCs w:val="1"/>
                <w:color w:val="auto"/>
              </w:rPr>
              <w:t>PART II. OTHER INFORMATION</w:t>
            </w:r>
          </w:p>
        </w:tc>
      </w:tr>
      <w:tr>
        <w:trPr>
          <w:trHeight w:val="459"/>
        </w:trPr>
        <w:tc>
          <w:tcPr>
            <w:tcW w:w="1300" w:type="dxa"/>
            <w:vAlign w:val="bottom"/>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1.</w:t>
              </w:r>
            </w:hyperlink>
          </w:p>
        </w:tc>
        <w:tc>
          <w:tcPr>
            <w:tcW w:w="8220" w:type="dxa"/>
            <w:vAlign w:val="bottom"/>
            <w:gridSpan w:val="19"/>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Legal Proceedings</w:t>
              </w:r>
            </w:hyperlink>
          </w:p>
        </w:tc>
      </w:tr>
      <w:tr>
        <w:trPr>
          <w:trHeight w:val="304"/>
        </w:trPr>
        <w:tc>
          <w:tcPr>
            <w:tcW w:w="1300" w:type="dxa"/>
            <w:vAlign w:val="bottom"/>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1A.</w:t>
              </w:r>
            </w:hyperlink>
          </w:p>
        </w:tc>
        <w:tc>
          <w:tcPr>
            <w:tcW w:w="88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85"/>
              </w:rPr>
            </w:pPr>
            <w:hyperlink w:anchor="page34">
              <w:r>
                <w:rPr>
                  <w:rFonts w:ascii="Arial" w:cs="Arial" w:eastAsia="Arial" w:hAnsi="Arial"/>
                  <w:sz w:val="18"/>
                  <w:szCs w:val="18"/>
                  <w:color w:val="0000FF"/>
                  <w:w w:val="85"/>
                </w:rPr>
                <w:t>Risk Factors</w:t>
              </w:r>
            </w:hyperlink>
          </w:p>
        </w:tc>
        <w:tc>
          <w:tcPr>
            <w:tcW w:w="420" w:type="dxa"/>
            <w:vAlign w:val="bottom"/>
            <w:tcBorders>
              <w:top w:val="single" w:sz="8" w:color="0000FF"/>
            </w:tcBorders>
            <w:gridSpan w:val="3"/>
          </w:tcPr>
          <w:p>
            <w:pPr>
              <w:spacing w:after="0"/>
              <w:rPr>
                <w:sz w:val="24"/>
                <w:szCs w:val="24"/>
                <w:color w:val="auto"/>
              </w:rPr>
            </w:pPr>
          </w:p>
        </w:tc>
        <w:tc>
          <w:tcPr>
            <w:tcW w:w="6920" w:type="dxa"/>
            <w:vAlign w:val="bottom"/>
            <w:gridSpan w:val="12"/>
          </w:tcPr>
          <w:p>
            <w:pPr>
              <w:spacing w:after="0"/>
              <w:rPr>
                <w:sz w:val="24"/>
                <w:szCs w:val="24"/>
                <w:color w:val="auto"/>
              </w:rPr>
            </w:pPr>
          </w:p>
        </w:tc>
      </w:tr>
      <w:tr>
        <w:trPr>
          <w:trHeight w:val="304"/>
        </w:trPr>
        <w:tc>
          <w:tcPr>
            <w:tcW w:w="1300" w:type="dxa"/>
            <w:vAlign w:val="bottom"/>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Item 2.</w:t>
              </w:r>
            </w:hyperlink>
          </w:p>
        </w:tc>
        <w:tc>
          <w:tcPr>
            <w:tcW w:w="4320" w:type="dxa"/>
            <w:vAlign w:val="bottom"/>
            <w:tcBorders>
              <w:bottom w:val="single" w:sz="8" w:color="0000FF"/>
            </w:tcBorders>
            <w:gridSpan w:val="12"/>
          </w:tcPr>
          <w:p>
            <w:pPr>
              <w:spacing w:after="0"/>
              <w:rPr>
                <w:rFonts w:ascii="Arial" w:cs="Arial" w:eastAsia="Arial" w:hAnsi="Arial"/>
                <w:sz w:val="18"/>
                <w:szCs w:val="18"/>
                <w:color w:val="0000FF"/>
                <w:w w:val="88"/>
              </w:rPr>
            </w:pPr>
            <w:hyperlink w:anchor="page72">
              <w:r>
                <w:rPr>
                  <w:rFonts w:ascii="Arial" w:cs="Arial" w:eastAsia="Arial" w:hAnsi="Arial"/>
                  <w:sz w:val="18"/>
                  <w:szCs w:val="18"/>
                  <w:color w:val="0000FF"/>
                  <w:w w:val="88"/>
                </w:rPr>
                <w:t>Unregistered Sales of Equity Securities and Use of Proceeds</w:t>
              </w:r>
            </w:hyperlink>
          </w:p>
        </w:tc>
        <w:tc>
          <w:tcPr>
            <w:tcW w:w="3900" w:type="dxa"/>
            <w:vAlign w:val="bottom"/>
            <w:gridSpan w:val="7"/>
          </w:tcPr>
          <w:p>
            <w:pPr>
              <w:spacing w:after="0"/>
              <w:rPr>
                <w:sz w:val="24"/>
                <w:szCs w:val="24"/>
                <w:color w:val="auto"/>
              </w:rPr>
            </w:pPr>
          </w:p>
        </w:tc>
      </w:tr>
      <w:tr>
        <w:trPr>
          <w:trHeight w:val="304"/>
        </w:trPr>
        <w:tc>
          <w:tcPr>
            <w:tcW w:w="1300" w:type="dxa"/>
            <w:vAlign w:val="bottom"/>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Item 3.</w:t>
              </w:r>
            </w:hyperlink>
          </w:p>
        </w:tc>
        <w:tc>
          <w:tcPr>
            <w:tcW w:w="2300" w:type="dxa"/>
            <w:vAlign w:val="bottom"/>
            <w:tcBorders>
              <w:bottom w:val="single" w:sz="8" w:color="0000FF"/>
            </w:tcBorders>
            <w:gridSpan w:val="9"/>
          </w:tcPr>
          <w:p>
            <w:pPr>
              <w:spacing w:after="0"/>
              <w:rPr>
                <w:rFonts w:ascii="Arial" w:cs="Arial" w:eastAsia="Arial" w:hAnsi="Arial"/>
                <w:sz w:val="18"/>
                <w:szCs w:val="18"/>
                <w:color w:val="0000FF"/>
                <w:w w:val="89"/>
              </w:rPr>
            </w:pPr>
            <w:hyperlink w:anchor="page72">
              <w:r>
                <w:rPr>
                  <w:rFonts w:ascii="Arial" w:cs="Arial" w:eastAsia="Arial" w:hAnsi="Arial"/>
                  <w:sz w:val="18"/>
                  <w:szCs w:val="18"/>
                  <w:color w:val="0000FF"/>
                  <w:w w:val="89"/>
                </w:rPr>
                <w:t>Defaults Upon Senior Securities</w:t>
              </w:r>
            </w:hyperlink>
          </w:p>
        </w:tc>
        <w:tc>
          <w:tcPr>
            <w:tcW w:w="5920" w:type="dxa"/>
            <w:vAlign w:val="bottom"/>
            <w:gridSpan w:val="10"/>
          </w:tcPr>
          <w:p>
            <w:pPr>
              <w:spacing w:after="0"/>
              <w:rPr>
                <w:sz w:val="24"/>
                <w:szCs w:val="24"/>
                <w:color w:val="auto"/>
              </w:rPr>
            </w:pPr>
          </w:p>
        </w:tc>
      </w:tr>
      <w:tr>
        <w:trPr>
          <w:trHeight w:val="304"/>
        </w:trPr>
        <w:tc>
          <w:tcPr>
            <w:tcW w:w="1300" w:type="dxa"/>
            <w:vAlign w:val="bottom"/>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Item 4.</w:t>
              </w:r>
            </w:hyperlink>
          </w:p>
        </w:tc>
        <w:tc>
          <w:tcPr>
            <w:tcW w:w="1740" w:type="dxa"/>
            <w:vAlign w:val="bottom"/>
            <w:tcBorders>
              <w:bottom w:val="single" w:sz="8" w:color="0000FF"/>
            </w:tcBorders>
            <w:gridSpan w:val="8"/>
          </w:tcPr>
          <w:p>
            <w:pPr>
              <w:spacing w:after="0"/>
              <w:rPr>
                <w:rFonts w:ascii="Arial" w:cs="Arial" w:eastAsia="Arial" w:hAnsi="Arial"/>
                <w:sz w:val="18"/>
                <w:szCs w:val="18"/>
                <w:color w:val="0000FF"/>
                <w:w w:val="89"/>
              </w:rPr>
            </w:pPr>
            <w:hyperlink w:anchor="page72">
              <w:r>
                <w:rPr>
                  <w:rFonts w:ascii="Arial" w:cs="Arial" w:eastAsia="Arial" w:hAnsi="Arial"/>
                  <w:sz w:val="18"/>
                  <w:szCs w:val="18"/>
                  <w:color w:val="0000FF"/>
                  <w:w w:val="89"/>
                </w:rPr>
                <w:t>Mine Safety Disclosures</w:t>
              </w:r>
            </w:hyperlink>
          </w:p>
        </w:tc>
        <w:tc>
          <w:tcPr>
            <w:tcW w:w="6480" w:type="dxa"/>
            <w:vAlign w:val="bottom"/>
            <w:gridSpan w:val="11"/>
          </w:tcPr>
          <w:p>
            <w:pPr>
              <w:spacing w:after="0"/>
              <w:rPr>
                <w:sz w:val="24"/>
                <w:szCs w:val="24"/>
                <w:color w:val="auto"/>
              </w:rPr>
            </w:pPr>
          </w:p>
        </w:tc>
      </w:tr>
      <w:tr>
        <w:trPr>
          <w:trHeight w:val="304"/>
        </w:trPr>
        <w:tc>
          <w:tcPr>
            <w:tcW w:w="1300" w:type="dxa"/>
            <w:vAlign w:val="bottom"/>
          </w:tcPr>
          <w:p>
            <w:pPr>
              <w:spacing w:after="0"/>
              <w:rPr>
                <w:rFonts w:ascii="Arial" w:cs="Arial" w:eastAsia="Arial" w:hAnsi="Arial"/>
                <w:sz w:val="18"/>
                <w:szCs w:val="18"/>
                <w:color w:val="0000FF"/>
              </w:rPr>
            </w:pPr>
            <w:hyperlink w:anchor="page73">
              <w:r>
                <w:rPr>
                  <w:rFonts w:ascii="Arial" w:cs="Arial" w:eastAsia="Arial" w:hAnsi="Arial"/>
                  <w:sz w:val="18"/>
                  <w:szCs w:val="18"/>
                  <w:color w:val="0000FF"/>
                </w:rPr>
                <w:t>Item 5.</w:t>
              </w:r>
            </w:hyperlink>
          </w:p>
        </w:tc>
        <w:tc>
          <w:tcPr>
            <w:tcW w:w="8220" w:type="dxa"/>
            <w:vAlign w:val="bottom"/>
            <w:gridSpan w:val="19"/>
          </w:tcPr>
          <w:p>
            <w:pPr>
              <w:spacing w:after="0"/>
              <w:rPr>
                <w:rFonts w:ascii="Arial" w:cs="Arial" w:eastAsia="Arial" w:hAnsi="Arial"/>
                <w:sz w:val="18"/>
                <w:szCs w:val="18"/>
                <w:color w:val="0000FF"/>
              </w:rPr>
            </w:pPr>
            <w:hyperlink w:anchor="page73">
              <w:r>
                <w:rPr>
                  <w:rFonts w:ascii="Arial" w:cs="Arial" w:eastAsia="Arial" w:hAnsi="Arial"/>
                  <w:sz w:val="18"/>
                  <w:szCs w:val="18"/>
                  <w:color w:val="0000FF"/>
                </w:rPr>
                <w:t>Other Information</w:t>
              </w:r>
            </w:hyperlink>
          </w:p>
        </w:tc>
      </w:tr>
      <w:tr>
        <w:trPr>
          <w:trHeight w:val="304"/>
        </w:trPr>
        <w:tc>
          <w:tcPr>
            <w:tcW w:w="1300" w:type="dxa"/>
            <w:vAlign w:val="bottom"/>
          </w:tcPr>
          <w:p>
            <w:pPr>
              <w:spacing w:after="0"/>
              <w:rPr>
                <w:rFonts w:ascii="Arial" w:cs="Arial" w:eastAsia="Arial" w:hAnsi="Arial"/>
                <w:sz w:val="18"/>
                <w:szCs w:val="18"/>
                <w:color w:val="0000FF"/>
              </w:rPr>
            </w:pPr>
            <w:hyperlink w:anchor="page73">
              <w:r>
                <w:rPr>
                  <w:rFonts w:ascii="Arial" w:cs="Arial" w:eastAsia="Arial" w:hAnsi="Arial"/>
                  <w:sz w:val="18"/>
                  <w:szCs w:val="18"/>
                  <w:color w:val="0000FF"/>
                </w:rPr>
                <w:t>Item 6.</w:t>
              </w:r>
            </w:hyperlink>
          </w:p>
        </w:tc>
        <w:tc>
          <w:tcPr>
            <w:tcW w:w="1280" w:type="dxa"/>
            <w:vAlign w:val="bottom"/>
            <w:tcBorders>
              <w:top w:val="single" w:sz="8" w:color="0000FF"/>
            </w:tcBorders>
            <w:gridSpan w:val="6"/>
          </w:tcPr>
          <w:p>
            <w:pPr>
              <w:spacing w:after="0"/>
              <w:rPr>
                <w:rFonts w:ascii="Arial" w:cs="Arial" w:eastAsia="Arial" w:hAnsi="Arial"/>
                <w:sz w:val="18"/>
                <w:szCs w:val="18"/>
                <w:color w:val="0000FF"/>
              </w:rPr>
            </w:pPr>
            <w:hyperlink w:anchor="page73">
              <w:r>
                <w:rPr>
                  <w:rFonts w:ascii="Arial" w:cs="Arial" w:eastAsia="Arial" w:hAnsi="Arial"/>
                  <w:sz w:val="18"/>
                  <w:szCs w:val="18"/>
                  <w:color w:val="0000FF"/>
                </w:rPr>
                <w:t>Exhibits</w:t>
              </w:r>
            </w:hyperlink>
          </w:p>
        </w:tc>
        <w:tc>
          <w:tcPr>
            <w:tcW w:w="6940" w:type="dxa"/>
            <w:vAlign w:val="bottom"/>
            <w:gridSpan w:val="13"/>
          </w:tcPr>
          <w:p>
            <w:pPr>
              <w:spacing w:after="0"/>
              <w:rPr>
                <w:sz w:val="24"/>
                <w:szCs w:val="24"/>
                <w:color w:val="auto"/>
              </w:rPr>
            </w:pPr>
          </w:p>
        </w:tc>
      </w:tr>
      <w:tr>
        <w:trPr>
          <w:trHeight w:val="20"/>
        </w:trPr>
        <w:tc>
          <w:tcPr>
            <w:tcW w:w="1300" w:type="dxa"/>
            <w:vAlign w:val="bottom"/>
            <w:tcBorders>
              <w:right w:val="single" w:sz="8" w:color="0000FF"/>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20" w:type="dxa"/>
            <w:vAlign w:val="bottom"/>
            <w:gridSpan w:val="14"/>
          </w:tcPr>
          <w:p>
            <w:pPr>
              <w:spacing w:after="0" w:line="20" w:lineRule="exact"/>
              <w:rPr>
                <w:sz w:val="1"/>
                <w:szCs w:val="1"/>
                <w:color w:val="auto"/>
              </w:rPr>
            </w:pPr>
          </w:p>
        </w:tc>
      </w:tr>
      <w:tr>
        <w:trPr>
          <w:trHeight w:val="304"/>
        </w:trPr>
        <w:tc>
          <w:tcPr>
            <w:tcW w:w="1300" w:type="dxa"/>
            <w:vAlign w:val="bottom"/>
          </w:tcPr>
          <w:p>
            <w:pPr>
              <w:spacing w:after="0"/>
              <w:rPr>
                <w:sz w:val="24"/>
                <w:szCs w:val="24"/>
                <w:color w:val="auto"/>
              </w:rPr>
            </w:pPr>
          </w:p>
        </w:tc>
        <w:tc>
          <w:tcPr>
            <w:tcW w:w="1000" w:type="dxa"/>
            <w:vAlign w:val="bottom"/>
            <w:tcBorders>
              <w:bottom w:val="single" w:sz="8" w:color="0000FF"/>
            </w:tcBorders>
            <w:gridSpan w:val="5"/>
          </w:tcPr>
          <w:p>
            <w:pPr>
              <w:spacing w:after="0"/>
              <w:rPr>
                <w:rFonts w:ascii="Arial" w:cs="Arial" w:eastAsia="Arial" w:hAnsi="Arial"/>
                <w:sz w:val="18"/>
                <w:szCs w:val="18"/>
                <w:color w:val="0000FF"/>
                <w:w w:val="95"/>
              </w:rPr>
            </w:pPr>
            <w:hyperlink w:anchor="page73">
              <w:r>
                <w:rPr>
                  <w:rFonts w:ascii="Arial" w:cs="Arial" w:eastAsia="Arial" w:hAnsi="Arial"/>
                  <w:sz w:val="18"/>
                  <w:szCs w:val="18"/>
                  <w:color w:val="0000FF"/>
                  <w:w w:val="95"/>
                </w:rPr>
                <w:t>Exhibit Index</w:t>
              </w:r>
            </w:hyperlink>
          </w:p>
        </w:tc>
        <w:tc>
          <w:tcPr>
            <w:tcW w:w="7220" w:type="dxa"/>
            <w:vAlign w:val="bottom"/>
            <w:gridSpan w:val="14"/>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8220" w:type="dxa"/>
            <w:vAlign w:val="bottom"/>
            <w:gridSpan w:val="19"/>
          </w:tcPr>
          <w:p>
            <w:pPr>
              <w:spacing w:after="0"/>
              <w:rPr>
                <w:rFonts w:ascii="Arial" w:cs="Arial" w:eastAsia="Arial" w:hAnsi="Arial"/>
                <w:sz w:val="18"/>
                <w:szCs w:val="18"/>
                <w:color w:val="0000FF"/>
              </w:rPr>
            </w:pPr>
            <w:hyperlink w:anchor="page73">
              <w:r>
                <w:rPr>
                  <w:rFonts w:ascii="Arial" w:cs="Arial" w:eastAsia="Arial" w:hAnsi="Arial"/>
                  <w:sz w:val="18"/>
                  <w:szCs w:val="18"/>
                  <w:color w:val="0000FF"/>
                </w:rPr>
                <w:t>Signatures</w:t>
              </w:r>
            </w:hyperlink>
          </w:p>
        </w:tc>
      </w:tr>
      <w:tr>
        <w:trPr>
          <w:trHeight w:val="20"/>
        </w:trPr>
        <w:tc>
          <w:tcPr>
            <w:tcW w:w="13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673100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-4431030</wp:posOffset>
            </wp:positionV>
            <wp:extent cx="7115175"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205740"/>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-4019550</wp:posOffset>
            </wp:positionV>
            <wp:extent cx="7115175" cy="316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316865"/>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-3496945</wp:posOffset>
            </wp:positionV>
            <wp:extent cx="7115175"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205740"/>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-3085465</wp:posOffset>
            </wp:positionV>
            <wp:extent cx="7115175" cy="205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205740"/>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-2673985</wp:posOffset>
            </wp:positionV>
            <wp:extent cx="7115175" cy="205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205740"/>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-2262505</wp:posOffset>
            </wp:positionV>
            <wp:extent cx="711517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-1945005</wp:posOffset>
            </wp:positionV>
            <wp:extent cx="711517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-1567815</wp:posOffset>
            </wp:positionV>
            <wp:extent cx="7115175" cy="205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205740"/>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-1156970</wp:posOffset>
            </wp:positionV>
            <wp:extent cx="7115175" cy="205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205740"/>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-745490</wp:posOffset>
            </wp:positionV>
            <wp:extent cx="7115175" cy="205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205740"/>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-334010</wp:posOffset>
            </wp:positionV>
            <wp:extent cx="7115175"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auto"/>
        </w:rPr>
        <w:t>Page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36830</wp:posOffset>
            </wp:positionV>
            <wp:extent cx="8401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440"/>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p>
      <w:pPr>
        <w:spacing w:after="0" w:line="117" w:lineRule="exact"/>
        <w:rPr>
          <w:sz w:val="20"/>
          <w:szCs w:val="20"/>
          <w:color w:val="auto"/>
        </w:rPr>
      </w:pPr>
    </w:p>
    <w:p>
      <w:pPr>
        <w:ind w:left="440"/>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p>
      <w:pPr>
        <w:spacing w:after="0" w:line="293" w:lineRule="exact"/>
        <w:rPr>
          <w:sz w:val="20"/>
          <w:szCs w:val="20"/>
          <w:color w:val="auto"/>
        </w:rPr>
      </w:pPr>
    </w:p>
    <w:p>
      <w:pPr>
        <w:ind w:left="440"/>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p>
      <w:pPr>
        <w:spacing w:after="0" w:line="117" w:lineRule="exact"/>
        <w:rPr>
          <w:sz w:val="20"/>
          <w:szCs w:val="20"/>
          <w:color w:val="auto"/>
        </w:rPr>
      </w:pPr>
    </w:p>
    <w:p>
      <w:pPr>
        <w:ind w:left="440"/>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p>
      <w:pPr>
        <w:spacing w:after="0" w:line="117" w:lineRule="exact"/>
        <w:rPr>
          <w:sz w:val="20"/>
          <w:szCs w:val="20"/>
          <w:color w:val="auto"/>
        </w:rPr>
      </w:pPr>
    </w:p>
    <w:p>
      <w:pPr>
        <w:ind w:left="440"/>
        <w:spacing w:after="0"/>
        <w:rPr>
          <w:rFonts w:ascii="Arial" w:cs="Arial" w:eastAsia="Arial" w:hAnsi="Arial"/>
          <w:sz w:val="18"/>
          <w:szCs w:val="18"/>
          <w:color w:val="0000FF"/>
        </w:rPr>
      </w:pPr>
      <w:hyperlink w:anchor="page6">
        <w:r>
          <w:rPr>
            <w:rFonts w:ascii="Arial" w:cs="Arial" w:eastAsia="Arial" w:hAnsi="Arial"/>
            <w:sz w:val="18"/>
            <w:szCs w:val="18"/>
            <w:color w:val="0000FF"/>
          </w:rPr>
          <w:t>4</w:t>
        </w:r>
      </w:hyperlink>
    </w:p>
    <w:p>
      <w:pPr>
        <w:spacing w:after="0" w:line="117" w:lineRule="exact"/>
        <w:rPr>
          <w:sz w:val="20"/>
          <w:szCs w:val="20"/>
          <w:color w:val="auto"/>
        </w:rPr>
      </w:pPr>
    </w:p>
    <w:p>
      <w:pPr>
        <w:ind w:left="440"/>
        <w:spacing w:after="0"/>
        <w:rPr>
          <w:rFonts w:ascii="Arial" w:cs="Arial" w:eastAsia="Arial" w:hAnsi="Arial"/>
          <w:sz w:val="18"/>
          <w:szCs w:val="18"/>
          <w:color w:val="0000FF"/>
        </w:rPr>
      </w:pPr>
      <w:hyperlink w:anchor="page7">
        <w:r>
          <w:rPr>
            <w:rFonts w:ascii="Arial" w:cs="Arial" w:eastAsia="Arial" w:hAnsi="Arial"/>
            <w:sz w:val="18"/>
            <w:szCs w:val="18"/>
            <w:color w:val="0000FF"/>
          </w:rPr>
          <w:t>5</w:t>
        </w:r>
      </w:hyperlink>
    </w:p>
    <w:p>
      <w:pPr>
        <w:spacing w:after="0" w:line="117" w:lineRule="exact"/>
        <w:rPr>
          <w:sz w:val="20"/>
          <w:szCs w:val="20"/>
          <w:color w:val="auto"/>
        </w:rPr>
      </w:pPr>
    </w:p>
    <w:p>
      <w:pPr>
        <w:ind w:left="440"/>
        <w:spacing w:after="0"/>
        <w:rPr>
          <w:rFonts w:ascii="Arial" w:cs="Arial" w:eastAsia="Arial" w:hAnsi="Arial"/>
          <w:sz w:val="18"/>
          <w:szCs w:val="18"/>
          <w:color w:val="0000FF"/>
        </w:rPr>
      </w:pPr>
      <w:hyperlink w:anchor="page8">
        <w:r>
          <w:rPr>
            <w:rFonts w:ascii="Arial" w:cs="Arial" w:eastAsia="Arial" w:hAnsi="Arial"/>
            <w:sz w:val="18"/>
            <w:szCs w:val="18"/>
            <w:color w:val="0000FF"/>
          </w:rPr>
          <w:t>6</w:t>
        </w:r>
      </w:hyperlink>
    </w:p>
    <w:p>
      <w:pPr>
        <w:spacing w:after="0" w:line="117" w:lineRule="exact"/>
        <w:rPr>
          <w:sz w:val="20"/>
          <w:szCs w:val="20"/>
          <w:color w:val="auto"/>
        </w:rPr>
      </w:pPr>
    </w:p>
    <w:p>
      <w:pPr>
        <w:ind w:left="400"/>
        <w:spacing w:after="0"/>
        <w:rPr>
          <w:rFonts w:ascii="Arial" w:cs="Arial" w:eastAsia="Arial" w:hAnsi="Arial"/>
          <w:sz w:val="18"/>
          <w:szCs w:val="18"/>
          <w:color w:val="0000FF"/>
        </w:rPr>
      </w:pPr>
      <w:hyperlink w:anchor="page23">
        <w:r>
          <w:rPr>
            <w:rFonts w:ascii="Arial" w:cs="Arial" w:eastAsia="Arial" w:hAnsi="Arial"/>
            <w:sz w:val="18"/>
            <w:szCs w:val="18"/>
            <w:color w:val="0000FF"/>
          </w:rPr>
          <w:t>21</w:t>
        </w:r>
      </w:hyperlink>
    </w:p>
    <w:p>
      <w:pPr>
        <w:spacing w:after="0" w:line="117" w:lineRule="exact"/>
        <w:rPr>
          <w:sz w:val="20"/>
          <w:szCs w:val="20"/>
          <w:color w:val="auto"/>
        </w:rPr>
      </w:pPr>
    </w:p>
    <w:p>
      <w:pPr>
        <w:ind w:left="400"/>
        <w:spacing w:after="0"/>
        <w:rPr>
          <w:rFonts w:ascii="Arial" w:cs="Arial" w:eastAsia="Arial" w:hAnsi="Arial"/>
          <w:sz w:val="18"/>
          <w:szCs w:val="18"/>
          <w:color w:val="0000FF"/>
        </w:rPr>
      </w:pPr>
      <w:hyperlink w:anchor="page32">
        <w:r>
          <w:rPr>
            <w:rFonts w:ascii="Arial" w:cs="Arial" w:eastAsia="Arial" w:hAnsi="Arial"/>
            <w:sz w:val="18"/>
            <w:szCs w:val="18"/>
            <w:color w:val="0000FF"/>
          </w:rPr>
          <w:t>30</w:t>
        </w:r>
      </w:hyperlink>
    </w:p>
    <w:p>
      <w:pPr>
        <w:spacing w:after="0" w:line="117" w:lineRule="exact"/>
        <w:rPr>
          <w:sz w:val="20"/>
          <w:szCs w:val="20"/>
          <w:color w:val="auto"/>
        </w:rPr>
      </w:pPr>
    </w:p>
    <w:p>
      <w:pPr>
        <w:ind w:left="400"/>
        <w:spacing w:after="0"/>
        <w:rPr>
          <w:rFonts w:ascii="Arial" w:cs="Arial" w:eastAsia="Arial" w:hAnsi="Arial"/>
          <w:sz w:val="18"/>
          <w:szCs w:val="18"/>
          <w:color w:val="0000FF"/>
        </w:rPr>
      </w:pPr>
      <w:hyperlink w:anchor="page33">
        <w:r>
          <w:rPr>
            <w:rFonts w:ascii="Arial" w:cs="Arial" w:eastAsia="Arial" w:hAnsi="Arial"/>
            <w:sz w:val="18"/>
            <w:szCs w:val="18"/>
            <w:color w:val="0000FF"/>
          </w:rPr>
          <w:t>30</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0"/>
        <w:spacing w:after="0"/>
        <w:rPr>
          <w:rFonts w:ascii="Arial" w:cs="Arial" w:eastAsia="Arial" w:hAnsi="Arial"/>
          <w:sz w:val="18"/>
          <w:szCs w:val="18"/>
          <w:color w:val="0000FF"/>
        </w:rPr>
      </w:pPr>
      <w:hyperlink w:anchor="page34">
        <w:r>
          <w:rPr>
            <w:rFonts w:ascii="Arial" w:cs="Arial" w:eastAsia="Arial" w:hAnsi="Arial"/>
            <w:sz w:val="18"/>
            <w:szCs w:val="18"/>
            <w:color w:val="0000FF"/>
          </w:rPr>
          <w:t>31</w:t>
        </w:r>
      </w:hyperlink>
    </w:p>
    <w:p>
      <w:pPr>
        <w:spacing w:after="0" w:line="117" w:lineRule="exact"/>
        <w:rPr>
          <w:sz w:val="20"/>
          <w:szCs w:val="20"/>
          <w:color w:val="auto"/>
        </w:rPr>
      </w:pPr>
    </w:p>
    <w:p>
      <w:pPr>
        <w:ind w:left="400"/>
        <w:spacing w:after="0"/>
        <w:rPr>
          <w:rFonts w:ascii="Arial" w:cs="Arial" w:eastAsia="Arial" w:hAnsi="Arial"/>
          <w:sz w:val="18"/>
          <w:szCs w:val="18"/>
          <w:color w:val="0000FF"/>
        </w:rPr>
      </w:pPr>
      <w:hyperlink w:anchor="page34">
        <w:r>
          <w:rPr>
            <w:rFonts w:ascii="Arial" w:cs="Arial" w:eastAsia="Arial" w:hAnsi="Arial"/>
            <w:sz w:val="18"/>
            <w:szCs w:val="18"/>
            <w:color w:val="0000FF"/>
          </w:rPr>
          <w:t>31</w:t>
        </w:r>
      </w:hyperlink>
    </w:p>
    <w:p>
      <w:pPr>
        <w:spacing w:after="0" w:line="117" w:lineRule="exact"/>
        <w:rPr>
          <w:sz w:val="20"/>
          <w:szCs w:val="20"/>
          <w:color w:val="auto"/>
        </w:rPr>
      </w:pPr>
    </w:p>
    <w:p>
      <w:pPr>
        <w:ind w:left="400"/>
        <w:spacing w:after="0"/>
        <w:rPr>
          <w:rFonts w:ascii="Arial" w:cs="Arial" w:eastAsia="Arial" w:hAnsi="Arial"/>
          <w:sz w:val="18"/>
          <w:szCs w:val="18"/>
          <w:color w:val="0000FF"/>
        </w:rPr>
      </w:pPr>
      <w:hyperlink w:anchor="page72">
        <w:r>
          <w:rPr>
            <w:rFonts w:ascii="Arial" w:cs="Arial" w:eastAsia="Arial" w:hAnsi="Arial"/>
            <w:sz w:val="18"/>
            <w:szCs w:val="18"/>
            <w:color w:val="0000FF"/>
          </w:rPr>
          <w:t>69</w:t>
        </w:r>
      </w:hyperlink>
    </w:p>
    <w:p>
      <w:pPr>
        <w:spacing w:after="0" w:line="117" w:lineRule="exact"/>
        <w:rPr>
          <w:sz w:val="20"/>
          <w:szCs w:val="20"/>
          <w:color w:val="auto"/>
        </w:rPr>
      </w:pPr>
    </w:p>
    <w:p>
      <w:pPr>
        <w:ind w:left="400"/>
        <w:spacing w:after="0"/>
        <w:rPr>
          <w:rFonts w:ascii="Arial" w:cs="Arial" w:eastAsia="Arial" w:hAnsi="Arial"/>
          <w:sz w:val="18"/>
          <w:szCs w:val="18"/>
          <w:color w:val="0000FF"/>
        </w:rPr>
      </w:pPr>
      <w:hyperlink w:anchor="page72">
        <w:r>
          <w:rPr>
            <w:rFonts w:ascii="Arial" w:cs="Arial" w:eastAsia="Arial" w:hAnsi="Arial"/>
            <w:sz w:val="18"/>
            <w:szCs w:val="18"/>
            <w:color w:val="0000FF"/>
          </w:rPr>
          <w:t>69</w:t>
        </w:r>
      </w:hyperlink>
    </w:p>
    <w:p>
      <w:pPr>
        <w:spacing w:after="0" w:line="117" w:lineRule="exact"/>
        <w:rPr>
          <w:sz w:val="20"/>
          <w:szCs w:val="20"/>
          <w:color w:val="auto"/>
        </w:rPr>
      </w:pPr>
    </w:p>
    <w:p>
      <w:pPr>
        <w:ind w:left="400"/>
        <w:spacing w:after="0"/>
        <w:rPr>
          <w:rFonts w:ascii="Arial" w:cs="Arial" w:eastAsia="Arial" w:hAnsi="Arial"/>
          <w:sz w:val="18"/>
          <w:szCs w:val="18"/>
          <w:color w:val="0000FF"/>
        </w:rPr>
      </w:pPr>
      <w:hyperlink w:anchor="page72">
        <w:r>
          <w:rPr>
            <w:rFonts w:ascii="Arial" w:cs="Arial" w:eastAsia="Arial" w:hAnsi="Arial"/>
            <w:sz w:val="18"/>
            <w:szCs w:val="18"/>
            <w:color w:val="0000FF"/>
          </w:rPr>
          <w:t>70</w:t>
        </w:r>
      </w:hyperlink>
    </w:p>
    <w:p>
      <w:pPr>
        <w:spacing w:after="0" w:line="117" w:lineRule="exact"/>
        <w:rPr>
          <w:sz w:val="20"/>
          <w:szCs w:val="20"/>
          <w:color w:val="auto"/>
        </w:rPr>
      </w:pPr>
    </w:p>
    <w:p>
      <w:pPr>
        <w:ind w:left="400"/>
        <w:spacing w:after="0"/>
        <w:rPr>
          <w:rFonts w:ascii="Arial" w:cs="Arial" w:eastAsia="Arial" w:hAnsi="Arial"/>
          <w:sz w:val="18"/>
          <w:szCs w:val="18"/>
          <w:color w:val="0000FF"/>
        </w:rPr>
      </w:pPr>
      <w:hyperlink w:anchor="page73">
        <w:r>
          <w:rPr>
            <w:rFonts w:ascii="Arial" w:cs="Arial" w:eastAsia="Arial" w:hAnsi="Arial"/>
            <w:sz w:val="18"/>
            <w:szCs w:val="18"/>
            <w:color w:val="0000FF"/>
          </w:rPr>
          <w:t>70</w:t>
        </w:r>
      </w:hyperlink>
    </w:p>
    <w:p>
      <w:pPr>
        <w:spacing w:after="0" w:line="117" w:lineRule="exact"/>
        <w:rPr>
          <w:sz w:val="20"/>
          <w:szCs w:val="20"/>
          <w:color w:val="auto"/>
        </w:rPr>
      </w:pPr>
    </w:p>
    <w:p>
      <w:pPr>
        <w:ind w:left="400"/>
        <w:spacing w:after="0"/>
        <w:rPr>
          <w:rFonts w:ascii="Arial" w:cs="Arial" w:eastAsia="Arial" w:hAnsi="Arial"/>
          <w:sz w:val="18"/>
          <w:szCs w:val="18"/>
          <w:color w:val="0000FF"/>
        </w:rPr>
      </w:pPr>
      <w:hyperlink w:anchor="page73">
        <w:r>
          <w:rPr>
            <w:rFonts w:ascii="Arial" w:cs="Arial" w:eastAsia="Arial" w:hAnsi="Arial"/>
            <w:sz w:val="18"/>
            <w:szCs w:val="18"/>
            <w:color w:val="0000FF"/>
          </w:rPr>
          <w:t>70</w:t>
        </w:r>
      </w:hyperlink>
    </w:p>
    <w:p>
      <w:pPr>
        <w:spacing w:after="0" w:line="117" w:lineRule="exact"/>
        <w:rPr>
          <w:sz w:val="20"/>
          <w:szCs w:val="20"/>
          <w:color w:val="auto"/>
        </w:rPr>
      </w:pPr>
    </w:p>
    <w:p>
      <w:pPr>
        <w:ind w:left="400"/>
        <w:spacing w:after="0"/>
        <w:rPr>
          <w:rFonts w:ascii="Arial" w:cs="Arial" w:eastAsia="Arial" w:hAnsi="Arial"/>
          <w:sz w:val="18"/>
          <w:szCs w:val="18"/>
          <w:color w:val="0000FF"/>
        </w:rPr>
      </w:pPr>
      <w:hyperlink w:anchor="page73">
        <w:r>
          <w:rPr>
            <w:rFonts w:ascii="Arial" w:cs="Arial" w:eastAsia="Arial" w:hAnsi="Arial"/>
            <w:sz w:val="18"/>
            <w:szCs w:val="18"/>
            <w:color w:val="0000FF"/>
          </w:rPr>
          <w:t>70</w:t>
        </w:r>
      </w:hyperlink>
    </w:p>
    <w:p>
      <w:pPr>
        <w:spacing w:after="0" w:line="117" w:lineRule="exact"/>
        <w:rPr>
          <w:sz w:val="20"/>
          <w:szCs w:val="20"/>
          <w:color w:val="auto"/>
        </w:rPr>
      </w:pPr>
    </w:p>
    <w:p>
      <w:pPr>
        <w:ind w:left="400"/>
        <w:spacing w:after="0"/>
        <w:rPr>
          <w:rFonts w:ascii="Arial" w:cs="Arial" w:eastAsia="Arial" w:hAnsi="Arial"/>
          <w:sz w:val="18"/>
          <w:szCs w:val="18"/>
          <w:color w:val="0000FF"/>
        </w:rPr>
      </w:pPr>
      <w:hyperlink w:anchor="page73">
        <w:r>
          <w:rPr>
            <w:rFonts w:ascii="Arial" w:cs="Arial" w:eastAsia="Arial" w:hAnsi="Arial"/>
            <w:sz w:val="18"/>
            <w:szCs w:val="18"/>
            <w:color w:val="0000FF"/>
          </w:rPr>
          <w:t>71</w:t>
        </w:r>
      </w:hyperlink>
    </w:p>
    <w:p>
      <w:pPr>
        <w:sectPr>
          <w:pgSz w:w="11900" w:h="16838" w:orient="portrait"/>
          <w:cols w:equalWidth="0" w:num="2">
            <w:col w:w="9520" w:space="480"/>
            <w:col w:w="980"/>
          </w:cols>
          <w:pgMar w:left="400" w:top="895" w:right="519" w:bottom="1440" w:gutter="0" w:footer="0" w:header="0"/>
        </w:sectPr>
      </w:pPr>
    </w:p>
    <w:bookmarkStart w:id="3" w:name="page4"/>
    <w:bookmarkEnd w:id="3"/>
    <w:p>
      <w:pPr>
        <w:ind w:left="410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16"/>
                <w:szCs w:val="16"/>
                <w:color w:val="auto"/>
              </w:rPr>
            </w:pPr>
          </w:p>
        </w:tc>
        <w:tc>
          <w:tcPr>
            <w:tcW w:w="1420" w:type="dxa"/>
            <w:vAlign w:val="bottom"/>
          </w:tcPr>
          <w:p>
            <w:pPr>
              <w:jc w:val="right"/>
              <w:ind w:right="119"/>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25"/>
        </w:trPr>
        <w:tc>
          <w:tcPr>
            <w:tcW w:w="7980" w:type="dxa"/>
            <w:vAlign w:val="bottom"/>
          </w:tcPr>
          <w:p>
            <w:pPr>
              <w:ind w:left="532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284,148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250,456</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Receivable from collaborative partners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96,212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143,197</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2,908</w:t>
            </w:r>
          </w:p>
        </w:tc>
        <w:tc>
          <w:tcPr>
            <w:tcW w:w="0" w:type="dxa"/>
            <w:vAlign w:val="bottom"/>
          </w:tcPr>
          <w:p>
            <w:pPr>
              <w:spacing w:after="0"/>
              <w:rPr>
                <w:sz w:val="1"/>
                <w:szCs w:val="1"/>
                <w:color w:val="auto"/>
              </w:rPr>
            </w:pPr>
          </w:p>
        </w:tc>
      </w:tr>
      <w:tr>
        <w:trPr>
          <w:trHeight w:val="21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980" w:type="dxa"/>
            <w:vAlign w:val="bottom"/>
            <w:shd w:val="clear" w:color="auto" w:fill="CCEEFF"/>
          </w:tcPr>
          <w:p>
            <w:pPr>
              <w:ind w:left="760"/>
              <w:spacing w:after="0"/>
              <w:rPr>
                <w:sz w:val="20"/>
                <w:szCs w:val="20"/>
                <w:color w:val="auto"/>
              </w:rPr>
            </w:pPr>
            <w:r>
              <w:rPr>
                <w:rFonts w:ascii="Arial" w:cs="Arial" w:eastAsia="Arial" w:hAnsi="Arial"/>
                <w:sz w:val="16"/>
                <w:szCs w:val="16"/>
                <w:color w:val="auto"/>
              </w:rPr>
              <w:t>Total current assets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387,131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396,561</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1,783</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investments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17,546</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Other long-term assets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602</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7"/>
        </w:trPr>
        <w:tc>
          <w:tcPr>
            <w:tcW w:w="7980" w:type="dxa"/>
            <w:vAlign w:val="bottom"/>
          </w:tcPr>
          <w:p>
            <w:pPr>
              <w:ind w:left="520"/>
              <w:spacing w:after="0"/>
              <w:rPr>
                <w:sz w:val="20"/>
                <w:szCs w:val="20"/>
                <w:color w:val="auto"/>
              </w:rPr>
            </w:pPr>
            <w:r>
              <w:rPr>
                <w:rFonts w:ascii="Arial" w:cs="Arial" w:eastAsia="Arial" w:hAnsi="Arial"/>
                <w:sz w:val="16"/>
                <w:szCs w:val="16"/>
                <w:color w:val="auto"/>
              </w:rPr>
              <w:t>Total assets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396,418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416,552</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980" w:type="dxa"/>
            <w:vAlign w:val="bottom"/>
            <w:shd w:val="clear" w:color="auto" w:fill="CCEEFF"/>
          </w:tcPr>
          <w:p>
            <w:pPr>
              <w:ind w:left="386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4,217</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Accrued expenses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11,826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15,262</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207"/>
        </w:trPr>
        <w:tc>
          <w:tcPr>
            <w:tcW w:w="7980" w:type="dxa"/>
            <w:vAlign w:val="bottom"/>
          </w:tcPr>
          <w:p>
            <w:pPr>
              <w:ind w:left="760"/>
              <w:spacing w:after="0"/>
              <w:rPr>
                <w:sz w:val="20"/>
                <w:szCs w:val="20"/>
                <w:color w:val="auto"/>
              </w:rPr>
            </w:pPr>
            <w:r>
              <w:rPr>
                <w:rFonts w:ascii="Arial" w:cs="Arial" w:eastAsia="Arial" w:hAnsi="Arial"/>
                <w:sz w:val="16"/>
                <w:szCs w:val="16"/>
                <w:color w:val="auto"/>
              </w:rPr>
              <w:t>Total current liabilities</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14,475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19,821</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7980" w:type="dxa"/>
            <w:vAlign w:val="bottom"/>
          </w:tcPr>
          <w:p>
            <w:pPr>
              <w:ind w:left="20"/>
              <w:spacing w:after="0" w:line="179" w:lineRule="exact"/>
              <w:rPr>
                <w:sz w:val="20"/>
                <w:szCs w:val="20"/>
                <w:color w:val="auto"/>
              </w:rPr>
            </w:pPr>
            <w:r>
              <w:rPr>
                <w:rFonts w:ascii="Arial" w:cs="Arial" w:eastAsia="Arial" w:hAnsi="Arial"/>
                <w:sz w:val="16"/>
                <w:szCs w:val="16"/>
                <w:color w:val="auto"/>
                <w:w w:val="92"/>
              </w:rPr>
              <w:t>Preferred stock, $0.001 par value, 10,000 shares authorized and no shares, issued or outstanding at March 31, 2021 and</w:t>
            </w:r>
          </w:p>
        </w:tc>
        <w:tc>
          <w:tcPr>
            <w:tcW w:w="200" w:type="dxa"/>
            <w:vAlign w:val="bottom"/>
          </w:tcPr>
          <w:p>
            <w:pPr>
              <w:spacing w:after="0"/>
              <w:rPr>
                <w:sz w:val="15"/>
                <w:szCs w:val="15"/>
                <w:color w:val="auto"/>
              </w:rPr>
            </w:pPr>
          </w:p>
        </w:tc>
        <w:tc>
          <w:tcPr>
            <w:tcW w:w="14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980" w:type="dxa"/>
            <w:vAlign w:val="bottom"/>
          </w:tcPr>
          <w:p>
            <w:pPr>
              <w:ind w:left="20"/>
              <w:spacing w:after="0"/>
              <w:rPr>
                <w:sz w:val="20"/>
                <w:szCs w:val="20"/>
                <w:color w:val="auto"/>
              </w:rPr>
            </w:pPr>
            <w:r>
              <w:rPr>
                <w:rFonts w:ascii="Arial" w:cs="Arial" w:eastAsia="Arial" w:hAnsi="Arial"/>
                <w:sz w:val="16"/>
                <w:szCs w:val="16"/>
                <w:color w:val="auto"/>
              </w:rPr>
              <w:t>December 31, 2020, respectively</w:t>
            </w:r>
          </w:p>
        </w:tc>
        <w:tc>
          <w:tcPr>
            <w:tcW w:w="20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9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1"/>
              </w:rPr>
              <w:t>Common stock, $0.001 par value, 500,000 shares authorized, 27,367 shares and 27,356 shares issued and outstanding at</w:t>
            </w:r>
          </w:p>
        </w:tc>
        <w:tc>
          <w:tcPr>
            <w:tcW w:w="20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2"/>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31, 2021 and December 31, 2020, respectively</w:t>
            </w:r>
          </w:p>
        </w:tc>
        <w:tc>
          <w:tcPr>
            <w:tcW w:w="20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Additional paid in capital</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664,147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660,665</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deficit</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(282,120)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(263,957)</w:t>
            </w:r>
          </w:p>
        </w:tc>
        <w:tc>
          <w:tcPr>
            <w:tcW w:w="0" w:type="dxa"/>
            <w:vAlign w:val="bottom"/>
          </w:tcPr>
          <w:p>
            <w:pPr>
              <w:spacing w:after="0"/>
              <w:rPr>
                <w:sz w:val="1"/>
                <w:szCs w:val="1"/>
                <w:color w:val="auto"/>
              </w:rPr>
            </w:pPr>
          </w:p>
        </w:tc>
      </w:tr>
      <w:tr>
        <w:trPr>
          <w:trHeight w:val="213"/>
        </w:trPr>
        <w:tc>
          <w:tcPr>
            <w:tcW w:w="79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381,943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396,731</w:t>
            </w:r>
          </w:p>
        </w:tc>
        <w:tc>
          <w:tcPr>
            <w:tcW w:w="0" w:type="dxa"/>
            <w:vAlign w:val="bottom"/>
          </w:tcPr>
          <w:p>
            <w:pPr>
              <w:spacing w:after="0"/>
              <w:rPr>
                <w:sz w:val="1"/>
                <w:szCs w:val="1"/>
                <w:color w:val="auto"/>
              </w:rPr>
            </w:pPr>
          </w:p>
        </w:tc>
      </w:tr>
      <w:tr>
        <w:trPr>
          <w:trHeight w:val="207"/>
        </w:trPr>
        <w:tc>
          <w:tcPr>
            <w:tcW w:w="7980" w:type="dxa"/>
            <w:vAlign w:val="bottom"/>
          </w:tcPr>
          <w:p>
            <w:pPr>
              <w:ind w:left="52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396,418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416,552</w:t>
            </w:r>
          </w:p>
        </w:tc>
        <w:tc>
          <w:tcPr>
            <w:tcW w:w="0" w:type="dxa"/>
            <w:vAlign w:val="bottom"/>
          </w:tcPr>
          <w:p>
            <w:pPr>
              <w:spacing w:after="0"/>
              <w:rPr>
                <w:sz w:val="1"/>
                <w:szCs w:val="1"/>
                <w:color w:val="auto"/>
              </w:rPr>
            </w:pPr>
          </w:p>
        </w:tc>
      </w:tr>
      <w:tr>
        <w:trPr>
          <w:trHeight w:val="23"/>
        </w:trPr>
        <w:tc>
          <w:tcPr>
            <w:tcW w:w="7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1" w:lineRule="exact"/>
        <w:rPr>
          <w:sz w:val="20"/>
          <w:szCs w:val="20"/>
          <w:color w:val="auto"/>
        </w:rPr>
      </w:pPr>
    </w:p>
    <w:p>
      <w:pPr>
        <w:jc w:val="center"/>
        <w:ind w:left="8520"/>
        <w:spacing w:after="0"/>
        <w:rPr>
          <w:sz w:val="20"/>
          <w:szCs w:val="20"/>
          <w:color w:val="auto"/>
        </w:rPr>
      </w:pPr>
      <w:r>
        <w:rPr>
          <w:rFonts w:ascii="Arial" w:cs="Arial" w:eastAsia="Arial" w:hAnsi="Arial"/>
          <w:sz w:val="14"/>
          <w:szCs w:val="14"/>
          <w:b w:val="1"/>
          <w:bCs w:val="1"/>
          <w:color w:val="auto"/>
        </w:rPr>
        <w:t>Three Months Ended</w:t>
      </w:r>
    </w:p>
    <w:p>
      <w:pPr>
        <w:jc w:val="center"/>
        <w:ind w:left="852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540" w:type="dxa"/>
            <w:vAlign w:val="bottom"/>
            <w:tcBorders>
              <w:bottom w:val="single" w:sz="8" w:color="CFF0FC"/>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FF0FC"/>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Collaboration revenue</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11,247</w:t>
            </w: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15,000</w:t>
            </w:r>
          </w:p>
        </w:tc>
        <w:tc>
          <w:tcPr>
            <w:tcW w:w="0" w:type="dxa"/>
            <w:vAlign w:val="bottom"/>
          </w:tcPr>
          <w:p>
            <w:pPr>
              <w:spacing w:after="0"/>
              <w:rPr>
                <w:sz w:val="1"/>
                <w:szCs w:val="1"/>
                <w:color w:val="auto"/>
              </w:rPr>
            </w:pPr>
          </w:p>
        </w:tc>
      </w:tr>
      <w:tr>
        <w:trPr>
          <w:trHeight w:val="193"/>
        </w:trPr>
        <w:tc>
          <w:tcPr>
            <w:tcW w:w="85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5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Research and development</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24,185</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20,968</w:t>
            </w:r>
          </w:p>
        </w:tc>
        <w:tc>
          <w:tcPr>
            <w:tcW w:w="0" w:type="dxa"/>
            <w:vAlign w:val="bottom"/>
          </w:tcPr>
          <w:p>
            <w:pPr>
              <w:spacing w:after="0"/>
              <w:rPr>
                <w:sz w:val="1"/>
                <w:szCs w:val="1"/>
                <w:color w:val="auto"/>
              </w:rPr>
            </w:pPr>
          </w:p>
        </w:tc>
      </w:tr>
      <w:tr>
        <w:trPr>
          <w:trHeight w:val="213"/>
        </w:trPr>
        <w:tc>
          <w:tcPr>
            <w:tcW w:w="85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General and administrative</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5,423</w:t>
            </w: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4,285</w:t>
            </w:r>
          </w:p>
        </w:tc>
        <w:tc>
          <w:tcPr>
            <w:tcW w:w="0" w:type="dxa"/>
            <w:vAlign w:val="bottom"/>
          </w:tcPr>
          <w:p>
            <w:pPr>
              <w:spacing w:after="0"/>
              <w:rPr>
                <w:sz w:val="1"/>
                <w:szCs w:val="1"/>
                <w:color w:val="auto"/>
              </w:rPr>
            </w:pPr>
          </w:p>
        </w:tc>
      </w:tr>
      <w:tr>
        <w:trPr>
          <w:trHeight w:val="212"/>
        </w:trPr>
        <w:tc>
          <w:tcPr>
            <w:tcW w:w="8540" w:type="dxa"/>
            <w:vAlign w:val="bottom"/>
            <w:shd w:val="clear" w:color="auto" w:fill="CFF0FC"/>
          </w:tcPr>
          <w:p>
            <w:pPr>
              <w:ind w:left="52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29,608</w:t>
            </w: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25,253</w:t>
            </w:r>
          </w:p>
        </w:tc>
        <w:tc>
          <w:tcPr>
            <w:tcW w:w="0" w:type="dxa"/>
            <w:vAlign w:val="bottom"/>
          </w:tcPr>
          <w:p>
            <w:pPr>
              <w:spacing w:after="0"/>
              <w:rPr>
                <w:sz w:val="1"/>
                <w:szCs w:val="1"/>
                <w:color w:val="auto"/>
              </w:rPr>
            </w:pPr>
          </w:p>
        </w:tc>
      </w:tr>
      <w:tr>
        <w:trPr>
          <w:trHeight w:val="207"/>
        </w:trPr>
        <w:tc>
          <w:tcPr>
            <w:tcW w:w="8540" w:type="dxa"/>
            <w:vAlign w:val="bottom"/>
            <w:tcBorders>
              <w:bottom w:val="single" w:sz="8" w:color="CFF0FC"/>
            </w:tcBorders>
          </w:tcPr>
          <w:p>
            <w:pPr>
              <w:ind w:left="760"/>
              <w:spacing w:after="0"/>
              <w:rPr>
                <w:sz w:val="20"/>
                <w:szCs w:val="20"/>
                <w:color w:val="auto"/>
              </w:rPr>
            </w:pPr>
            <w:r>
              <w:rPr>
                <w:rFonts w:ascii="Arial" w:cs="Arial" w:eastAsia="Arial" w:hAnsi="Arial"/>
                <w:sz w:val="16"/>
                <w:szCs w:val="16"/>
                <w:color w:val="auto"/>
              </w:rPr>
              <w:t>Loss from operations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(18,361)</w:t>
            </w:r>
          </w:p>
        </w:tc>
        <w:tc>
          <w:tcPr>
            <w:tcW w:w="10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(10,253)</w:t>
            </w:r>
          </w:p>
        </w:tc>
        <w:tc>
          <w:tcPr>
            <w:tcW w:w="0" w:type="dxa"/>
            <w:vAlign w:val="bottom"/>
          </w:tcPr>
          <w:p>
            <w:pPr>
              <w:spacing w:after="0"/>
              <w:rPr>
                <w:sz w:val="1"/>
                <w:szCs w:val="1"/>
                <w:color w:val="auto"/>
              </w:rPr>
            </w:pPr>
          </w:p>
        </w:tc>
      </w:tr>
      <w:tr>
        <w:trPr>
          <w:trHeight w:val="199"/>
        </w:trPr>
        <w:tc>
          <w:tcPr>
            <w:tcW w:w="8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income, net:</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54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1,897</w:t>
            </w:r>
          </w:p>
        </w:tc>
        <w:tc>
          <w:tcPr>
            <w:tcW w:w="0" w:type="dxa"/>
            <w:vAlign w:val="bottom"/>
          </w:tcPr>
          <w:p>
            <w:pPr>
              <w:spacing w:after="0"/>
              <w:rPr>
                <w:sz w:val="1"/>
                <w:szCs w:val="1"/>
                <w:color w:val="auto"/>
              </w:rPr>
            </w:pPr>
          </w:p>
        </w:tc>
      </w:tr>
      <w:tr>
        <w:trPr>
          <w:trHeight w:val="219"/>
        </w:trPr>
        <w:tc>
          <w:tcPr>
            <w:tcW w:w="85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Other income, net</w:t>
            </w: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07"/>
        </w:trPr>
        <w:tc>
          <w:tcPr>
            <w:tcW w:w="8540" w:type="dxa"/>
            <w:vAlign w:val="bottom"/>
            <w:tcBorders>
              <w:bottom w:val="single" w:sz="8" w:color="CFF0FC"/>
            </w:tcBorders>
          </w:tcPr>
          <w:p>
            <w:pPr>
              <w:ind w:left="520"/>
              <w:spacing w:after="0"/>
              <w:rPr>
                <w:sz w:val="20"/>
                <w:szCs w:val="20"/>
                <w:color w:val="auto"/>
              </w:rPr>
            </w:pPr>
            <w:r>
              <w:rPr>
                <w:rFonts w:ascii="Arial" w:cs="Arial" w:eastAsia="Arial" w:hAnsi="Arial"/>
                <w:sz w:val="16"/>
                <w:szCs w:val="16"/>
                <w:color w:val="auto"/>
              </w:rPr>
              <w:t>Total other income, net</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1,991</w:t>
            </w:r>
          </w:p>
        </w:tc>
        <w:tc>
          <w:tcPr>
            <w:tcW w:w="0" w:type="dxa"/>
            <w:vAlign w:val="bottom"/>
          </w:tcPr>
          <w:p>
            <w:pPr>
              <w:spacing w:after="0"/>
              <w:rPr>
                <w:sz w:val="1"/>
                <w:szCs w:val="1"/>
                <w:color w:val="auto"/>
              </w:rPr>
            </w:pPr>
          </w:p>
        </w:tc>
      </w:tr>
      <w:tr>
        <w:trPr>
          <w:trHeight w:val="213"/>
        </w:trPr>
        <w:tc>
          <w:tcPr>
            <w:tcW w:w="8540" w:type="dxa"/>
            <w:vAlign w:val="bottom"/>
            <w:shd w:val="clear" w:color="auto" w:fill="CFF0FC"/>
          </w:tcPr>
          <w:p>
            <w:pPr>
              <w:ind w:left="720"/>
              <w:spacing w:after="0"/>
              <w:rPr>
                <w:sz w:val="20"/>
                <w:szCs w:val="20"/>
                <w:color w:val="auto"/>
              </w:rPr>
            </w:pPr>
            <w:r>
              <w:rPr>
                <w:rFonts w:ascii="Arial" w:cs="Arial" w:eastAsia="Arial" w:hAnsi="Arial"/>
                <w:sz w:val="16"/>
                <w:szCs w:val="16"/>
                <w:color w:val="auto"/>
              </w:rPr>
              <w:t>Net loss</w:t>
            </w: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(18,163)</w:t>
            </w: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(8,262)</w:t>
            </w:r>
          </w:p>
        </w:tc>
        <w:tc>
          <w:tcPr>
            <w:tcW w:w="0" w:type="dxa"/>
            <w:vAlign w:val="bottom"/>
          </w:tcPr>
          <w:p>
            <w:pPr>
              <w:spacing w:after="0"/>
              <w:rPr>
                <w:sz w:val="1"/>
                <w:szCs w:val="1"/>
                <w:color w:val="auto"/>
              </w:rPr>
            </w:pPr>
          </w:p>
        </w:tc>
      </w:tr>
      <w:tr>
        <w:trPr>
          <w:trHeight w:val="207"/>
        </w:trPr>
        <w:tc>
          <w:tcPr>
            <w:tcW w:w="8540" w:type="dxa"/>
            <w:vAlign w:val="bottom"/>
            <w:tcBorders>
              <w:bottom w:val="single" w:sz="8" w:color="CFF0FC"/>
            </w:tcBorders>
          </w:tcPr>
          <w:p>
            <w:pPr>
              <w:ind w:left="520"/>
              <w:spacing w:after="0"/>
              <w:rPr>
                <w:sz w:val="20"/>
                <w:szCs w:val="20"/>
                <w:color w:val="auto"/>
              </w:rPr>
            </w:pPr>
            <w:r>
              <w:rPr>
                <w:rFonts w:ascii="Arial" w:cs="Arial" w:eastAsia="Arial" w:hAnsi="Arial"/>
                <w:sz w:val="16"/>
                <w:szCs w:val="16"/>
                <w:color w:val="auto"/>
              </w:rPr>
              <w:t>Unrealized (loss) income on available for sale securities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807</w:t>
            </w:r>
          </w:p>
        </w:tc>
        <w:tc>
          <w:tcPr>
            <w:tcW w:w="0" w:type="dxa"/>
            <w:vAlign w:val="bottom"/>
          </w:tcPr>
          <w:p>
            <w:pPr>
              <w:spacing w:after="0"/>
              <w:rPr>
                <w:sz w:val="1"/>
                <w:szCs w:val="1"/>
                <w:color w:val="auto"/>
              </w:rPr>
            </w:pPr>
          </w:p>
        </w:tc>
      </w:tr>
      <w:tr>
        <w:trPr>
          <w:trHeight w:val="235"/>
        </w:trPr>
        <w:tc>
          <w:tcPr>
            <w:tcW w:w="8540" w:type="dxa"/>
            <w:vAlign w:val="bottom"/>
            <w:tcBorders>
              <w:bottom w:val="single" w:sz="8" w:color="CFF0FC"/>
            </w:tcBorders>
            <w:shd w:val="clear" w:color="auto" w:fill="CFF0FC"/>
          </w:tcPr>
          <w:p>
            <w:pPr>
              <w:ind w:left="760"/>
              <w:spacing w:after="0"/>
              <w:rPr>
                <w:sz w:val="20"/>
                <w:szCs w:val="20"/>
                <w:color w:val="auto"/>
              </w:rPr>
            </w:pPr>
            <w:r>
              <w:rPr>
                <w:rFonts w:ascii="Arial" w:cs="Arial" w:eastAsia="Arial" w:hAnsi="Arial"/>
                <w:sz w:val="16"/>
                <w:szCs w:val="16"/>
                <w:color w:val="auto"/>
              </w:rPr>
              <w:t>Comprehensive loss</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(18,270)</w:t>
            </w: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(7,455)</w:t>
            </w:r>
          </w:p>
        </w:tc>
        <w:tc>
          <w:tcPr>
            <w:tcW w:w="0" w:type="dxa"/>
            <w:vAlign w:val="bottom"/>
          </w:tcPr>
          <w:p>
            <w:pPr>
              <w:spacing w:after="0"/>
              <w:rPr>
                <w:sz w:val="1"/>
                <w:szCs w:val="1"/>
                <w:color w:val="auto"/>
              </w:rPr>
            </w:pPr>
          </w:p>
        </w:tc>
      </w:tr>
      <w:tr>
        <w:trPr>
          <w:trHeight w:val="20"/>
        </w:trPr>
        <w:tc>
          <w:tcPr>
            <w:tcW w:w="854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6"/>
                <w:szCs w:val="16"/>
                <w:color w:val="auto"/>
              </w:rPr>
              <w:t>Net loss per common share:</w:t>
            </w: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5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8540" w:type="dxa"/>
            <w:vAlign w:val="bottom"/>
            <w:tcBorders>
              <w:bottom w:val="single" w:sz="8" w:color="CFF0FC"/>
            </w:tcBorders>
            <w:shd w:val="clear" w:color="auto" w:fill="CFF0FC"/>
          </w:tcPr>
          <w:p>
            <w:pPr>
              <w:ind w:left="760"/>
              <w:spacing w:after="0"/>
              <w:rPr>
                <w:sz w:val="20"/>
                <w:szCs w:val="20"/>
                <w:color w:val="auto"/>
              </w:rPr>
            </w:pPr>
            <w:r>
              <w:rPr>
                <w:rFonts w:ascii="Arial" w:cs="Arial" w:eastAsia="Arial" w:hAnsi="Arial"/>
                <w:sz w:val="16"/>
                <w:szCs w:val="16"/>
                <w:color w:val="auto"/>
              </w:rPr>
              <w:t>Basic and diluted</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(0.66)</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20"/>
        </w:trPr>
        <w:tc>
          <w:tcPr>
            <w:tcW w:w="854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6"/>
                <w:szCs w:val="16"/>
                <w:color w:val="auto"/>
              </w:rPr>
              <w:t>Weighted-average number of shares outstanding:</w:t>
            </w: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5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8540" w:type="dxa"/>
            <w:vAlign w:val="bottom"/>
            <w:tcBorders>
              <w:bottom w:val="single" w:sz="8" w:color="CFF0FC"/>
            </w:tcBorders>
            <w:shd w:val="clear" w:color="auto" w:fill="CFF0FC"/>
          </w:tcPr>
          <w:p>
            <w:pPr>
              <w:ind w:left="760"/>
              <w:spacing w:after="0"/>
              <w:rPr>
                <w:sz w:val="20"/>
                <w:szCs w:val="20"/>
                <w:color w:val="auto"/>
              </w:rPr>
            </w:pPr>
            <w:r>
              <w:rPr>
                <w:rFonts w:ascii="Arial" w:cs="Arial" w:eastAsia="Arial" w:hAnsi="Arial"/>
                <w:sz w:val="16"/>
                <w:szCs w:val="16"/>
                <w:color w:val="auto"/>
              </w:rPr>
              <w:t>Basic and diluted</w:t>
            </w:r>
          </w:p>
        </w:tc>
        <w:tc>
          <w:tcPr>
            <w:tcW w:w="3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27,361</w:t>
            </w: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27,264</w:t>
            </w:r>
          </w:p>
        </w:tc>
        <w:tc>
          <w:tcPr>
            <w:tcW w:w="0" w:type="dxa"/>
            <w:vAlign w:val="bottom"/>
          </w:tcPr>
          <w:p>
            <w:pPr>
              <w:spacing w:after="0"/>
              <w:rPr>
                <w:sz w:val="1"/>
                <w:szCs w:val="1"/>
                <w:color w:val="auto"/>
              </w:rPr>
            </w:pPr>
          </w:p>
        </w:tc>
      </w:tr>
      <w:tr>
        <w:trPr>
          <w:trHeight w:val="20"/>
        </w:trPr>
        <w:tc>
          <w:tcPr>
            <w:tcW w:w="85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Statement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140" w:type="dxa"/>
            <w:vAlign w:val="bottom"/>
          </w:tcPr>
          <w:p>
            <w:pPr>
              <w:spacing w:after="0"/>
              <w:rPr>
                <w:sz w:val="13"/>
                <w:szCs w:val="13"/>
                <w:color w:val="auto"/>
              </w:rPr>
            </w:pPr>
          </w:p>
        </w:tc>
        <w:tc>
          <w:tcPr>
            <w:tcW w:w="1720" w:type="dxa"/>
            <w:vAlign w:val="bottom"/>
            <w:tcBorders>
              <w:bottom w:val="single" w:sz="8" w:color="auto"/>
            </w:tcBorders>
            <w:gridSpan w:val="4"/>
          </w:tcPr>
          <w:p>
            <w:pPr>
              <w:jc w:val="right"/>
              <w:ind w:right="438"/>
              <w:spacing w:after="0"/>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2"/>
              </w:rPr>
              <w:t>Additional</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center"/>
              <w:ind w:right="141"/>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81"/>
        </w:trPr>
        <w:tc>
          <w:tcPr>
            <w:tcW w:w="4140" w:type="dxa"/>
            <w:vAlign w:val="bottom"/>
          </w:tcPr>
          <w:p>
            <w:pPr>
              <w:spacing w:after="0"/>
              <w:rPr>
                <w:sz w:val="7"/>
                <w:szCs w:val="7"/>
                <w:color w:val="auto"/>
              </w:rPr>
            </w:pPr>
          </w:p>
        </w:tc>
        <w:tc>
          <w:tcPr>
            <w:tcW w:w="900" w:type="dxa"/>
            <w:vAlign w:val="bottom"/>
            <w:gridSpan w:val="2"/>
            <w:vMerge w:val="restart"/>
          </w:tcPr>
          <w:p>
            <w:pPr>
              <w:ind w:left="240"/>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7"/>
                <w:szCs w:val="7"/>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rPr>
                <w:sz w:val="7"/>
                <w:szCs w:val="7"/>
                <w:color w:val="auto"/>
              </w:rPr>
            </w:pPr>
          </w:p>
        </w:tc>
        <w:tc>
          <w:tcPr>
            <w:tcW w:w="1120" w:type="dxa"/>
            <w:vAlign w:val="bottom"/>
            <w:gridSpan w:val="2"/>
          </w:tcPr>
          <w:p>
            <w:pPr>
              <w:jc w:val="center"/>
              <w:ind w:right="340"/>
              <w:spacing w:after="0" w:line="81" w:lineRule="exact"/>
              <w:rPr>
                <w:sz w:val="20"/>
                <w:szCs w:val="20"/>
                <w:color w:val="auto"/>
              </w:rPr>
            </w:pPr>
            <w:r>
              <w:rPr>
                <w:rFonts w:ascii="Arial" w:cs="Arial" w:eastAsia="Arial" w:hAnsi="Arial"/>
                <w:sz w:val="9"/>
                <w:szCs w:val="9"/>
                <w:b w:val="1"/>
                <w:bCs w:val="1"/>
                <w:color w:val="auto"/>
              </w:rPr>
              <w:t>Paid-in</w:t>
            </w:r>
          </w:p>
        </w:tc>
        <w:tc>
          <w:tcPr>
            <w:tcW w:w="120" w:type="dxa"/>
            <w:vAlign w:val="bottom"/>
          </w:tcPr>
          <w:p>
            <w:pPr>
              <w:spacing w:after="0"/>
              <w:rPr>
                <w:sz w:val="7"/>
                <w:szCs w:val="7"/>
                <w:color w:val="auto"/>
              </w:rPr>
            </w:pPr>
          </w:p>
        </w:tc>
        <w:tc>
          <w:tcPr>
            <w:tcW w:w="1220" w:type="dxa"/>
            <w:vAlign w:val="bottom"/>
            <w:gridSpan w:val="2"/>
          </w:tcPr>
          <w:p>
            <w:pPr>
              <w:jc w:val="center"/>
              <w:ind w:right="220"/>
              <w:spacing w:after="0" w:line="81" w:lineRule="exact"/>
              <w:rPr>
                <w:sz w:val="20"/>
                <w:szCs w:val="20"/>
                <w:color w:val="auto"/>
              </w:rPr>
            </w:pPr>
            <w:r>
              <w:rPr>
                <w:rFonts w:ascii="Arial" w:cs="Arial" w:eastAsia="Arial" w:hAnsi="Arial"/>
                <w:sz w:val="9"/>
                <w:szCs w:val="9"/>
                <w:b w:val="1"/>
                <w:bCs w:val="1"/>
                <w:color w:val="auto"/>
              </w:rPr>
              <w:t>Accumulated Other</w:t>
            </w:r>
          </w:p>
        </w:tc>
        <w:tc>
          <w:tcPr>
            <w:tcW w:w="200" w:type="dxa"/>
            <w:vAlign w:val="bottom"/>
          </w:tcPr>
          <w:p>
            <w:pPr>
              <w:spacing w:after="0"/>
              <w:rPr>
                <w:sz w:val="7"/>
                <w:szCs w:val="7"/>
                <w:color w:val="auto"/>
              </w:rPr>
            </w:pPr>
          </w:p>
        </w:tc>
        <w:tc>
          <w:tcPr>
            <w:tcW w:w="1140" w:type="dxa"/>
            <w:vAlign w:val="bottom"/>
            <w:gridSpan w:val="2"/>
          </w:tcPr>
          <w:p>
            <w:pPr>
              <w:jc w:val="center"/>
              <w:ind w:right="300"/>
              <w:spacing w:after="0" w:line="81" w:lineRule="exact"/>
              <w:rPr>
                <w:sz w:val="20"/>
                <w:szCs w:val="20"/>
                <w:color w:val="auto"/>
              </w:rPr>
            </w:pPr>
            <w:r>
              <w:rPr>
                <w:rFonts w:ascii="Arial" w:cs="Arial" w:eastAsia="Arial" w:hAnsi="Arial"/>
                <w:sz w:val="9"/>
                <w:szCs w:val="9"/>
                <w:b w:val="1"/>
                <w:bCs w:val="1"/>
                <w:color w:val="auto"/>
              </w:rPr>
              <w:t>Accumulated</w:t>
            </w:r>
          </w:p>
        </w:tc>
        <w:tc>
          <w:tcPr>
            <w:tcW w:w="200" w:type="dxa"/>
            <w:vAlign w:val="bottom"/>
          </w:tcPr>
          <w:p>
            <w:pPr>
              <w:spacing w:after="0"/>
              <w:rPr>
                <w:sz w:val="7"/>
                <w:szCs w:val="7"/>
                <w:color w:val="auto"/>
              </w:rPr>
            </w:pPr>
          </w:p>
        </w:tc>
        <w:tc>
          <w:tcPr>
            <w:tcW w:w="1040" w:type="dxa"/>
            <w:vAlign w:val="bottom"/>
          </w:tcPr>
          <w:p>
            <w:pPr>
              <w:jc w:val="center"/>
              <w:ind w:right="141"/>
              <w:spacing w:after="0" w:line="81" w:lineRule="exact"/>
              <w:rPr>
                <w:sz w:val="20"/>
                <w:szCs w:val="20"/>
                <w:color w:val="auto"/>
              </w:rPr>
            </w:pPr>
            <w:r>
              <w:rPr>
                <w:rFonts w:ascii="Arial" w:cs="Arial" w:eastAsia="Arial" w:hAnsi="Arial"/>
                <w:sz w:val="9"/>
                <w:szCs w:val="9"/>
                <w:b w:val="1"/>
                <w:bCs w:val="1"/>
                <w:color w:val="auto"/>
              </w:rPr>
              <w:t>Stockholders’</w:t>
            </w:r>
          </w:p>
        </w:tc>
        <w:tc>
          <w:tcPr>
            <w:tcW w:w="0" w:type="dxa"/>
            <w:vAlign w:val="bottom"/>
          </w:tcPr>
          <w:p>
            <w:pPr>
              <w:spacing w:after="0"/>
              <w:rPr>
                <w:sz w:val="1"/>
                <w:szCs w:val="1"/>
                <w:color w:val="auto"/>
              </w:rPr>
            </w:pPr>
          </w:p>
        </w:tc>
      </w:tr>
      <w:tr>
        <w:trPr>
          <w:trHeight w:val="140"/>
        </w:trPr>
        <w:tc>
          <w:tcPr>
            <w:tcW w:w="4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2"/>
              </w:rPr>
              <w:t>Capital</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6"/>
              </w:rPr>
              <w:t>Comprehensive Loss</w:t>
            </w:r>
          </w:p>
        </w:tc>
        <w:tc>
          <w:tcPr>
            <w:tcW w:w="200" w:type="dxa"/>
            <w:vAlign w:val="bottom"/>
          </w:tcPr>
          <w:p>
            <w:pPr>
              <w:spacing w:after="0"/>
              <w:rPr>
                <w:sz w:val="12"/>
                <w:szCs w:val="12"/>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5"/>
              </w:rPr>
              <w:t>Deficit</w:t>
            </w:r>
          </w:p>
        </w:tc>
        <w:tc>
          <w:tcPr>
            <w:tcW w:w="200" w:type="dxa"/>
            <w:vAlign w:val="bottom"/>
          </w:tcPr>
          <w:p>
            <w:pPr>
              <w:spacing w:after="0"/>
              <w:rPr>
                <w:sz w:val="12"/>
                <w:szCs w:val="12"/>
                <w:color w:val="auto"/>
              </w:rPr>
            </w:pPr>
          </w:p>
        </w:tc>
        <w:tc>
          <w:tcPr>
            <w:tcW w:w="1040" w:type="dxa"/>
            <w:vAlign w:val="bottom"/>
          </w:tcPr>
          <w:p>
            <w:pPr>
              <w:jc w:val="center"/>
              <w:ind w:right="141"/>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22"/>
        </w:trPr>
        <w:tc>
          <w:tcPr>
            <w:tcW w:w="4140" w:type="dxa"/>
            <w:vAlign w:val="bottom"/>
            <w:tcBorders>
              <w:bottom w:val="single" w:sz="8" w:color="CFF0FC"/>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140" w:type="dxa"/>
            <w:vAlign w:val="bottom"/>
            <w:shd w:val="clear" w:color="auto" w:fill="CFF0FC"/>
          </w:tcPr>
          <w:p>
            <w:pPr>
              <w:ind w:left="20"/>
              <w:spacing w:after="0" w:line="144" w:lineRule="exact"/>
              <w:rPr>
                <w:sz w:val="20"/>
                <w:szCs w:val="20"/>
                <w:color w:val="auto"/>
              </w:rPr>
            </w:pPr>
            <w:r>
              <w:rPr>
                <w:rFonts w:ascii="Arial" w:cs="Arial" w:eastAsia="Arial" w:hAnsi="Arial"/>
                <w:sz w:val="13"/>
                <w:szCs w:val="13"/>
                <w:b w:val="1"/>
                <w:bCs w:val="1"/>
                <w:color w:val="auto"/>
              </w:rPr>
              <w:t>Balance, December 31, 2020</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27,356</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660,665</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(263,957)</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FF0FC"/>
          </w:tcPr>
          <w:p>
            <w:pPr>
              <w:jc w:val="right"/>
              <w:ind w:right="1"/>
              <w:spacing w:after="0"/>
              <w:rPr>
                <w:sz w:val="20"/>
                <w:szCs w:val="20"/>
                <w:color w:val="auto"/>
              </w:rPr>
            </w:pPr>
            <w:r>
              <w:rPr>
                <w:rFonts w:ascii="Arial" w:cs="Arial" w:eastAsia="Arial" w:hAnsi="Arial"/>
                <w:sz w:val="13"/>
                <w:szCs w:val="13"/>
                <w:color w:val="auto"/>
              </w:rPr>
              <w:t>396,731</w:t>
            </w:r>
          </w:p>
        </w:tc>
        <w:tc>
          <w:tcPr>
            <w:tcW w:w="0" w:type="dxa"/>
            <w:vAlign w:val="bottom"/>
          </w:tcPr>
          <w:p>
            <w:pPr>
              <w:spacing w:after="0"/>
              <w:rPr>
                <w:sz w:val="1"/>
                <w:szCs w:val="1"/>
                <w:color w:val="auto"/>
              </w:rPr>
            </w:pPr>
          </w:p>
        </w:tc>
      </w:tr>
      <w:tr>
        <w:trPr>
          <w:trHeight w:val="168"/>
        </w:trPr>
        <w:tc>
          <w:tcPr>
            <w:tcW w:w="4140" w:type="dxa"/>
            <w:vAlign w:val="bottom"/>
          </w:tcPr>
          <w:p>
            <w:pPr>
              <w:ind w:left="20"/>
              <w:spacing w:after="0"/>
              <w:rPr>
                <w:sz w:val="20"/>
                <w:szCs w:val="20"/>
                <w:color w:val="auto"/>
              </w:rPr>
            </w:pPr>
            <w:r>
              <w:rPr>
                <w:rFonts w:ascii="Arial" w:cs="Arial" w:eastAsia="Arial" w:hAnsi="Arial"/>
                <w:sz w:val="13"/>
                <w:szCs w:val="13"/>
                <w:color w:val="auto"/>
              </w:rPr>
              <w:t>Shares issued under employee stock plans</w:t>
            </w:r>
          </w:p>
        </w:tc>
        <w:tc>
          <w:tcPr>
            <w:tcW w:w="80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167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9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14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40" w:type="dxa"/>
            <w:vAlign w:val="bottom"/>
          </w:tcPr>
          <w:p>
            <w:pPr>
              <w:jc w:val="right"/>
              <w:ind w:right="1"/>
              <w:spacing w:after="0"/>
              <w:rPr>
                <w:sz w:val="20"/>
                <w:szCs w:val="20"/>
                <w:color w:val="auto"/>
              </w:rPr>
            </w:pPr>
            <w:r>
              <w:rPr>
                <w:rFonts w:ascii="Arial" w:cs="Arial" w:eastAsia="Arial" w:hAnsi="Arial"/>
                <w:sz w:val="13"/>
                <w:szCs w:val="13"/>
                <w:color w:val="auto"/>
              </w:rPr>
              <w:t>167</w:t>
            </w:r>
          </w:p>
        </w:tc>
        <w:tc>
          <w:tcPr>
            <w:tcW w:w="0" w:type="dxa"/>
            <w:vAlign w:val="bottom"/>
          </w:tcPr>
          <w:p>
            <w:pPr>
              <w:spacing w:after="0"/>
              <w:rPr>
                <w:sz w:val="1"/>
                <w:szCs w:val="1"/>
                <w:color w:val="auto"/>
              </w:rPr>
            </w:pPr>
          </w:p>
        </w:tc>
      </w:tr>
      <w:tr>
        <w:trPr>
          <w:trHeight w:val="183"/>
        </w:trPr>
        <w:tc>
          <w:tcPr>
            <w:tcW w:w="4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Stock-based compensation</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3,315</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ind w:left="9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ind w:left="8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1"/>
              <w:spacing w:after="0"/>
              <w:rPr>
                <w:sz w:val="20"/>
                <w:szCs w:val="20"/>
                <w:color w:val="auto"/>
              </w:rPr>
            </w:pPr>
            <w:r>
              <w:rPr>
                <w:rFonts w:ascii="Arial" w:cs="Arial" w:eastAsia="Arial" w:hAnsi="Arial"/>
                <w:sz w:val="13"/>
                <w:szCs w:val="13"/>
                <w:color w:val="auto"/>
              </w:rPr>
              <w:t>3,315</w:t>
            </w:r>
          </w:p>
        </w:tc>
        <w:tc>
          <w:tcPr>
            <w:tcW w:w="0" w:type="dxa"/>
            <w:vAlign w:val="bottom"/>
          </w:tcPr>
          <w:p>
            <w:pPr>
              <w:spacing w:after="0"/>
              <w:rPr>
                <w:sz w:val="1"/>
                <w:szCs w:val="1"/>
                <w:color w:val="auto"/>
              </w:rPr>
            </w:pPr>
          </w:p>
        </w:tc>
      </w:tr>
      <w:tr>
        <w:trPr>
          <w:trHeight w:val="168"/>
        </w:trPr>
        <w:tc>
          <w:tcPr>
            <w:tcW w:w="4140" w:type="dxa"/>
            <w:vAlign w:val="bottom"/>
          </w:tcPr>
          <w:p>
            <w:pPr>
              <w:ind w:left="20"/>
              <w:spacing w:after="0"/>
              <w:rPr>
                <w:sz w:val="20"/>
                <w:szCs w:val="20"/>
                <w:color w:val="auto"/>
              </w:rPr>
            </w:pPr>
            <w:r>
              <w:rPr>
                <w:rFonts w:ascii="Arial" w:cs="Arial" w:eastAsia="Arial" w:hAnsi="Arial"/>
                <w:sz w:val="13"/>
                <w:szCs w:val="13"/>
                <w:color w:val="auto"/>
              </w:rPr>
              <w:t>Comprehensive loss, net</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(107)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(107)</w:t>
            </w:r>
          </w:p>
        </w:tc>
        <w:tc>
          <w:tcPr>
            <w:tcW w:w="0" w:type="dxa"/>
            <w:vAlign w:val="bottom"/>
          </w:tcPr>
          <w:p>
            <w:pPr>
              <w:spacing w:after="0"/>
              <w:rPr>
                <w:sz w:val="1"/>
                <w:szCs w:val="1"/>
                <w:color w:val="auto"/>
              </w:rPr>
            </w:pPr>
          </w:p>
        </w:tc>
      </w:tr>
      <w:tr>
        <w:trPr>
          <w:trHeight w:val="183"/>
        </w:trPr>
        <w:tc>
          <w:tcPr>
            <w:tcW w:w="4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ind w:left="9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(18,163)</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(18,163)</w:t>
            </w:r>
          </w:p>
        </w:tc>
        <w:tc>
          <w:tcPr>
            <w:tcW w:w="0" w:type="dxa"/>
            <w:vAlign w:val="bottom"/>
          </w:tcPr>
          <w:p>
            <w:pPr>
              <w:spacing w:after="0"/>
              <w:rPr>
                <w:sz w:val="1"/>
                <w:szCs w:val="1"/>
                <w:color w:val="auto"/>
              </w:rPr>
            </w:pPr>
          </w:p>
        </w:tc>
      </w:tr>
      <w:tr>
        <w:trPr>
          <w:trHeight w:val="163"/>
        </w:trPr>
        <w:tc>
          <w:tcPr>
            <w:tcW w:w="4140" w:type="dxa"/>
            <w:vAlign w:val="bottom"/>
          </w:tcPr>
          <w:p>
            <w:pPr>
              <w:ind w:left="20"/>
              <w:spacing w:after="0"/>
              <w:rPr>
                <w:sz w:val="20"/>
                <w:szCs w:val="20"/>
                <w:color w:val="auto"/>
              </w:rPr>
            </w:pPr>
            <w:r>
              <w:rPr>
                <w:rFonts w:ascii="Arial" w:cs="Arial" w:eastAsia="Arial" w:hAnsi="Arial"/>
                <w:sz w:val="13"/>
                <w:szCs w:val="13"/>
                <w:b w:val="1"/>
                <w:bCs w:val="1"/>
                <w:color w:val="auto"/>
              </w:rPr>
              <w:t>Balance, March 31, 2021</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27,367</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664,147</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(111)</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(282,120)</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3"/>
                <w:szCs w:val="13"/>
                <w:color w:val="auto"/>
              </w:rPr>
              <w:t>381,943</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6" w:name="page7"/>
    <w:bookmarkEnd w:id="6"/>
    <w:p>
      <w:pPr>
        <w:jc w:val="center"/>
        <w:ind w:right="-13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Consolidated Statement of Stockholders’ Equity</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w:t>
      </w:r>
    </w:p>
    <w:p>
      <w:pPr>
        <w:spacing w:after="0" w:line="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160" w:type="dxa"/>
            <w:vAlign w:val="bottom"/>
          </w:tcPr>
          <w:p>
            <w:pPr>
              <w:spacing w:after="0"/>
              <w:rPr>
                <w:sz w:val="13"/>
                <w:szCs w:val="13"/>
                <w:color w:val="auto"/>
              </w:rPr>
            </w:pPr>
          </w:p>
        </w:tc>
        <w:tc>
          <w:tcPr>
            <w:tcW w:w="1720" w:type="dxa"/>
            <w:vAlign w:val="bottom"/>
            <w:tcBorders>
              <w:bottom w:val="single" w:sz="8" w:color="auto"/>
            </w:tcBorders>
            <w:gridSpan w:val="4"/>
          </w:tcPr>
          <w:p>
            <w:pPr>
              <w:jc w:val="right"/>
              <w:ind w:right="438"/>
              <w:spacing w:after="0"/>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9"/>
              </w:rPr>
              <w:t>Additional</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center"/>
              <w:ind w:right="141"/>
              <w:spacing w:after="0"/>
              <w:rPr>
                <w:sz w:val="20"/>
                <w:szCs w:val="20"/>
                <w:color w:val="auto"/>
              </w:rPr>
            </w:pPr>
            <w:r>
              <w:rPr>
                <w:rFonts w:ascii="Arial" w:cs="Arial" w:eastAsia="Arial" w:hAnsi="Arial"/>
                <w:sz w:val="11"/>
                <w:szCs w:val="11"/>
                <w:b w:val="1"/>
                <w:bCs w:val="1"/>
                <w:color w:val="auto"/>
                <w:w w:val="83"/>
              </w:rPr>
              <w:t>Total</w:t>
            </w:r>
          </w:p>
        </w:tc>
        <w:tc>
          <w:tcPr>
            <w:tcW w:w="0" w:type="dxa"/>
            <w:vAlign w:val="bottom"/>
          </w:tcPr>
          <w:p>
            <w:pPr>
              <w:spacing w:after="0"/>
              <w:rPr>
                <w:sz w:val="1"/>
                <w:szCs w:val="1"/>
                <w:color w:val="auto"/>
              </w:rPr>
            </w:pPr>
          </w:p>
        </w:tc>
      </w:tr>
      <w:tr>
        <w:trPr>
          <w:trHeight w:val="81"/>
        </w:trPr>
        <w:tc>
          <w:tcPr>
            <w:tcW w:w="4160" w:type="dxa"/>
            <w:vAlign w:val="bottom"/>
          </w:tcPr>
          <w:p>
            <w:pPr>
              <w:spacing w:after="0"/>
              <w:rPr>
                <w:sz w:val="7"/>
                <w:szCs w:val="7"/>
                <w:color w:val="auto"/>
              </w:rPr>
            </w:pPr>
          </w:p>
        </w:tc>
        <w:tc>
          <w:tcPr>
            <w:tcW w:w="920" w:type="dxa"/>
            <w:vAlign w:val="bottom"/>
            <w:gridSpan w:val="2"/>
            <w:vMerge w:val="restart"/>
          </w:tcPr>
          <w:p>
            <w:pPr>
              <w:ind w:left="24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7"/>
                <w:szCs w:val="7"/>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rPr>
                <w:sz w:val="7"/>
                <w:szCs w:val="7"/>
                <w:color w:val="auto"/>
              </w:rPr>
            </w:pPr>
          </w:p>
        </w:tc>
        <w:tc>
          <w:tcPr>
            <w:tcW w:w="1080" w:type="dxa"/>
            <w:vAlign w:val="bottom"/>
            <w:gridSpan w:val="2"/>
          </w:tcPr>
          <w:p>
            <w:pPr>
              <w:jc w:val="center"/>
              <w:ind w:right="300"/>
              <w:spacing w:after="0" w:line="81" w:lineRule="exact"/>
              <w:rPr>
                <w:sz w:val="20"/>
                <w:szCs w:val="20"/>
                <w:color w:val="auto"/>
              </w:rPr>
            </w:pPr>
            <w:r>
              <w:rPr>
                <w:rFonts w:ascii="Arial" w:cs="Arial" w:eastAsia="Arial" w:hAnsi="Arial"/>
                <w:sz w:val="9"/>
                <w:szCs w:val="9"/>
                <w:b w:val="1"/>
                <w:bCs w:val="1"/>
                <w:color w:val="auto"/>
              </w:rPr>
              <w:t>Paid-in</w:t>
            </w:r>
          </w:p>
        </w:tc>
        <w:tc>
          <w:tcPr>
            <w:tcW w:w="120" w:type="dxa"/>
            <w:vAlign w:val="bottom"/>
          </w:tcPr>
          <w:p>
            <w:pPr>
              <w:spacing w:after="0"/>
              <w:rPr>
                <w:sz w:val="7"/>
                <w:szCs w:val="7"/>
                <w:color w:val="auto"/>
              </w:rPr>
            </w:pPr>
          </w:p>
        </w:tc>
        <w:tc>
          <w:tcPr>
            <w:tcW w:w="1200" w:type="dxa"/>
            <w:vAlign w:val="bottom"/>
            <w:gridSpan w:val="2"/>
          </w:tcPr>
          <w:p>
            <w:pPr>
              <w:jc w:val="center"/>
              <w:ind w:right="240"/>
              <w:spacing w:after="0" w:line="81" w:lineRule="exact"/>
              <w:rPr>
                <w:sz w:val="20"/>
                <w:szCs w:val="20"/>
                <w:color w:val="auto"/>
              </w:rPr>
            </w:pPr>
            <w:r>
              <w:rPr>
                <w:rFonts w:ascii="Arial" w:cs="Arial" w:eastAsia="Arial" w:hAnsi="Arial"/>
                <w:sz w:val="9"/>
                <w:szCs w:val="9"/>
                <w:b w:val="1"/>
                <w:bCs w:val="1"/>
                <w:color w:val="auto"/>
              </w:rPr>
              <w:t>Accumulated Other</w:t>
            </w:r>
          </w:p>
        </w:tc>
        <w:tc>
          <w:tcPr>
            <w:tcW w:w="180" w:type="dxa"/>
            <w:vAlign w:val="bottom"/>
          </w:tcPr>
          <w:p>
            <w:pPr>
              <w:spacing w:after="0"/>
              <w:rPr>
                <w:sz w:val="7"/>
                <w:szCs w:val="7"/>
                <w:color w:val="auto"/>
              </w:rPr>
            </w:pPr>
          </w:p>
        </w:tc>
        <w:tc>
          <w:tcPr>
            <w:tcW w:w="1100" w:type="dxa"/>
            <w:vAlign w:val="bottom"/>
            <w:gridSpan w:val="2"/>
          </w:tcPr>
          <w:p>
            <w:pPr>
              <w:jc w:val="center"/>
              <w:ind w:right="280"/>
              <w:spacing w:after="0" w:line="81" w:lineRule="exact"/>
              <w:rPr>
                <w:sz w:val="20"/>
                <w:szCs w:val="20"/>
                <w:color w:val="auto"/>
              </w:rPr>
            </w:pPr>
            <w:r>
              <w:rPr>
                <w:rFonts w:ascii="Arial" w:cs="Arial" w:eastAsia="Arial" w:hAnsi="Arial"/>
                <w:sz w:val="9"/>
                <w:szCs w:val="9"/>
                <w:b w:val="1"/>
                <w:bCs w:val="1"/>
                <w:color w:val="auto"/>
              </w:rPr>
              <w:t>Accumulated</w:t>
            </w:r>
          </w:p>
        </w:tc>
        <w:tc>
          <w:tcPr>
            <w:tcW w:w="200" w:type="dxa"/>
            <w:vAlign w:val="bottom"/>
          </w:tcPr>
          <w:p>
            <w:pPr>
              <w:spacing w:after="0"/>
              <w:rPr>
                <w:sz w:val="7"/>
                <w:szCs w:val="7"/>
                <w:color w:val="auto"/>
              </w:rPr>
            </w:pPr>
          </w:p>
        </w:tc>
        <w:tc>
          <w:tcPr>
            <w:tcW w:w="1020" w:type="dxa"/>
            <w:vAlign w:val="bottom"/>
          </w:tcPr>
          <w:p>
            <w:pPr>
              <w:jc w:val="center"/>
              <w:ind w:right="141"/>
              <w:spacing w:after="0" w:line="81" w:lineRule="exact"/>
              <w:rPr>
                <w:sz w:val="20"/>
                <w:szCs w:val="20"/>
                <w:color w:val="auto"/>
              </w:rPr>
            </w:pPr>
            <w:r>
              <w:rPr>
                <w:rFonts w:ascii="Arial" w:cs="Arial" w:eastAsia="Arial" w:hAnsi="Arial"/>
                <w:sz w:val="9"/>
                <w:szCs w:val="9"/>
                <w:b w:val="1"/>
                <w:bCs w:val="1"/>
                <w:color w:val="auto"/>
              </w:rPr>
              <w:t>Stockholders’</w:t>
            </w:r>
          </w:p>
        </w:tc>
        <w:tc>
          <w:tcPr>
            <w:tcW w:w="0" w:type="dxa"/>
            <w:vAlign w:val="bottom"/>
          </w:tcPr>
          <w:p>
            <w:pPr>
              <w:spacing w:after="0"/>
              <w:rPr>
                <w:sz w:val="1"/>
                <w:szCs w:val="1"/>
                <w:color w:val="auto"/>
              </w:rPr>
            </w:pPr>
          </w:p>
        </w:tc>
      </w:tr>
      <w:tr>
        <w:trPr>
          <w:trHeight w:val="140"/>
        </w:trPr>
        <w:tc>
          <w:tcPr>
            <w:tcW w:w="4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2"/>
              </w:rPr>
              <w:t>Capital</w:t>
            </w:r>
          </w:p>
        </w:tc>
        <w:tc>
          <w:tcPr>
            <w:tcW w:w="132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86"/>
              </w:rPr>
              <w:t>Comprehensive Income</w:t>
            </w:r>
          </w:p>
        </w:tc>
        <w:tc>
          <w:tcPr>
            <w:tcW w:w="180" w:type="dxa"/>
            <w:vAlign w:val="bottom"/>
          </w:tcPr>
          <w:p>
            <w:pPr>
              <w:spacing w:after="0"/>
              <w:rPr>
                <w:sz w:val="12"/>
                <w:szCs w:val="12"/>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9"/>
              </w:rPr>
              <w:t>Deficit</w:t>
            </w:r>
          </w:p>
        </w:tc>
        <w:tc>
          <w:tcPr>
            <w:tcW w:w="200" w:type="dxa"/>
            <w:vAlign w:val="bottom"/>
          </w:tcPr>
          <w:p>
            <w:pPr>
              <w:spacing w:after="0"/>
              <w:rPr>
                <w:sz w:val="12"/>
                <w:szCs w:val="12"/>
                <w:color w:val="auto"/>
              </w:rPr>
            </w:pPr>
          </w:p>
        </w:tc>
        <w:tc>
          <w:tcPr>
            <w:tcW w:w="1020" w:type="dxa"/>
            <w:vAlign w:val="bottom"/>
          </w:tcPr>
          <w:p>
            <w:pPr>
              <w:jc w:val="center"/>
              <w:ind w:right="141"/>
              <w:spacing w:after="0"/>
              <w:rPr>
                <w:sz w:val="20"/>
                <w:szCs w:val="20"/>
                <w:color w:val="auto"/>
              </w:rPr>
            </w:pPr>
            <w:r>
              <w:rPr>
                <w:rFonts w:ascii="Arial" w:cs="Arial" w:eastAsia="Arial" w:hAnsi="Arial"/>
                <w:sz w:val="11"/>
                <w:szCs w:val="11"/>
                <w:b w:val="1"/>
                <w:bCs w:val="1"/>
                <w:color w:val="auto"/>
                <w:w w:val="89"/>
              </w:rPr>
              <w:t>Equity</w:t>
            </w:r>
          </w:p>
        </w:tc>
        <w:tc>
          <w:tcPr>
            <w:tcW w:w="0" w:type="dxa"/>
            <w:vAlign w:val="bottom"/>
          </w:tcPr>
          <w:p>
            <w:pPr>
              <w:spacing w:after="0"/>
              <w:rPr>
                <w:sz w:val="1"/>
                <w:szCs w:val="1"/>
                <w:color w:val="auto"/>
              </w:rPr>
            </w:pPr>
          </w:p>
        </w:tc>
      </w:tr>
      <w:tr>
        <w:trPr>
          <w:trHeight w:val="22"/>
        </w:trPr>
        <w:tc>
          <w:tcPr>
            <w:tcW w:w="4160" w:type="dxa"/>
            <w:vAlign w:val="bottom"/>
            <w:tcBorders>
              <w:bottom w:val="single" w:sz="8" w:color="CFF0FC"/>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160" w:type="dxa"/>
            <w:vAlign w:val="bottom"/>
            <w:shd w:val="clear" w:color="auto" w:fill="CFF0FC"/>
          </w:tcPr>
          <w:p>
            <w:pPr>
              <w:ind w:left="20"/>
              <w:spacing w:after="0" w:line="144" w:lineRule="exact"/>
              <w:rPr>
                <w:sz w:val="20"/>
                <w:szCs w:val="20"/>
                <w:color w:val="auto"/>
              </w:rPr>
            </w:pPr>
            <w:r>
              <w:rPr>
                <w:rFonts w:ascii="Arial" w:cs="Arial" w:eastAsia="Arial" w:hAnsi="Arial"/>
                <w:sz w:val="13"/>
                <w:szCs w:val="13"/>
                <w:b w:val="1"/>
                <w:bCs w:val="1"/>
                <w:color w:val="auto"/>
              </w:rPr>
              <w:t>Balance, December 31, 2019</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27,255</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FF0FC"/>
          </w:tcPr>
          <w:p>
            <w:pPr>
              <w:jc w:val="right"/>
              <w:ind w:right="1"/>
              <w:spacing w:after="0"/>
              <w:rPr>
                <w:sz w:val="20"/>
                <w:szCs w:val="20"/>
                <w:color w:val="auto"/>
              </w:rPr>
            </w:pPr>
            <w:r>
              <w:rPr>
                <w:rFonts w:ascii="Arial" w:cs="Arial" w:eastAsia="Arial" w:hAnsi="Arial"/>
                <w:sz w:val="13"/>
                <w:szCs w:val="13"/>
                <w:color w:val="auto"/>
              </w:rPr>
              <w:t>648,669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338</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(244,026)</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shd w:val="clear" w:color="auto" w:fill="CFF0FC"/>
          </w:tcPr>
          <w:p>
            <w:pPr>
              <w:jc w:val="right"/>
              <w:ind w:right="1"/>
              <w:spacing w:after="0"/>
              <w:rPr>
                <w:sz w:val="20"/>
                <w:szCs w:val="20"/>
                <w:color w:val="auto"/>
              </w:rPr>
            </w:pPr>
            <w:r>
              <w:rPr>
                <w:rFonts w:ascii="Arial" w:cs="Arial" w:eastAsia="Arial" w:hAnsi="Arial"/>
                <w:sz w:val="13"/>
                <w:szCs w:val="13"/>
                <w:color w:val="auto"/>
              </w:rPr>
              <w:t>405,008</w:t>
            </w:r>
          </w:p>
        </w:tc>
        <w:tc>
          <w:tcPr>
            <w:tcW w:w="0" w:type="dxa"/>
            <w:vAlign w:val="bottom"/>
          </w:tcPr>
          <w:p>
            <w:pPr>
              <w:spacing w:after="0"/>
              <w:rPr>
                <w:sz w:val="1"/>
                <w:szCs w:val="1"/>
                <w:color w:val="auto"/>
              </w:rPr>
            </w:pPr>
          </w:p>
        </w:tc>
      </w:tr>
      <w:tr>
        <w:trPr>
          <w:trHeight w:val="168"/>
        </w:trPr>
        <w:tc>
          <w:tcPr>
            <w:tcW w:w="4160" w:type="dxa"/>
            <w:vAlign w:val="bottom"/>
          </w:tcPr>
          <w:p>
            <w:pPr>
              <w:ind w:left="20"/>
              <w:spacing w:after="0"/>
              <w:rPr>
                <w:sz w:val="20"/>
                <w:szCs w:val="20"/>
                <w:color w:val="auto"/>
              </w:rPr>
            </w:pPr>
            <w:r>
              <w:rPr>
                <w:rFonts w:ascii="Arial" w:cs="Arial" w:eastAsia="Arial" w:hAnsi="Arial"/>
                <w:sz w:val="13"/>
                <w:szCs w:val="13"/>
                <w:color w:val="auto"/>
              </w:rPr>
              <w:t>Shares issued under employee stock plans</w:t>
            </w:r>
          </w:p>
        </w:tc>
        <w:tc>
          <w:tcPr>
            <w:tcW w:w="800" w:type="dxa"/>
            <w:vAlign w:val="bottom"/>
          </w:tcPr>
          <w:p>
            <w:pPr>
              <w:jc w:val="right"/>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80" w:type="dxa"/>
            <w:vAlign w:val="bottom"/>
          </w:tcPr>
          <w:p>
            <w:pPr>
              <w:jc w:val="right"/>
              <w:ind w:right="1"/>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100" w:type="dxa"/>
            <w:vAlign w:val="bottom"/>
            <w:gridSpan w:val="2"/>
          </w:tcPr>
          <w:p>
            <w:pPr>
              <w:ind w:left="8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20" w:type="dxa"/>
            <w:vAlign w:val="bottom"/>
          </w:tcPr>
          <w:p>
            <w:pPr>
              <w:jc w:val="right"/>
              <w:ind w:right="1"/>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83"/>
        </w:trPr>
        <w:tc>
          <w:tcPr>
            <w:tcW w:w="4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Stock-based compensation</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1"/>
              <w:spacing w:after="0"/>
              <w:rPr>
                <w:sz w:val="20"/>
                <w:szCs w:val="20"/>
                <w:color w:val="auto"/>
              </w:rPr>
            </w:pPr>
            <w:r>
              <w:rPr>
                <w:rFonts w:ascii="Arial" w:cs="Arial" w:eastAsia="Arial" w:hAnsi="Arial"/>
                <w:sz w:val="13"/>
                <w:szCs w:val="13"/>
                <w:color w:val="auto"/>
              </w:rPr>
              <w:t>2,975</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ind w:left="8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1"/>
              <w:spacing w:after="0"/>
              <w:rPr>
                <w:sz w:val="20"/>
                <w:szCs w:val="20"/>
                <w:color w:val="auto"/>
              </w:rPr>
            </w:pPr>
            <w:r>
              <w:rPr>
                <w:rFonts w:ascii="Arial" w:cs="Arial" w:eastAsia="Arial" w:hAnsi="Arial"/>
                <w:sz w:val="13"/>
                <w:szCs w:val="13"/>
                <w:color w:val="auto"/>
              </w:rPr>
              <w:t>2,975</w:t>
            </w:r>
          </w:p>
        </w:tc>
        <w:tc>
          <w:tcPr>
            <w:tcW w:w="0" w:type="dxa"/>
            <w:vAlign w:val="bottom"/>
          </w:tcPr>
          <w:p>
            <w:pPr>
              <w:spacing w:after="0"/>
              <w:rPr>
                <w:sz w:val="1"/>
                <w:szCs w:val="1"/>
                <w:color w:val="auto"/>
              </w:rPr>
            </w:pPr>
          </w:p>
        </w:tc>
      </w:tr>
      <w:tr>
        <w:trPr>
          <w:trHeight w:val="168"/>
        </w:trPr>
        <w:tc>
          <w:tcPr>
            <w:tcW w:w="4160" w:type="dxa"/>
            <w:vAlign w:val="bottom"/>
          </w:tcPr>
          <w:p>
            <w:pPr>
              <w:ind w:left="20"/>
              <w:spacing w:after="0"/>
              <w:rPr>
                <w:sz w:val="20"/>
                <w:szCs w:val="20"/>
                <w:color w:val="auto"/>
              </w:rPr>
            </w:pPr>
            <w:r>
              <w:rPr>
                <w:rFonts w:ascii="Arial" w:cs="Arial" w:eastAsia="Arial" w:hAnsi="Arial"/>
                <w:sz w:val="13"/>
                <w:szCs w:val="13"/>
                <w:color w:val="auto"/>
              </w:rPr>
              <w:t>Comprehensive income, net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807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ind w:left="8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20" w:type="dxa"/>
            <w:vAlign w:val="bottom"/>
          </w:tcPr>
          <w:p>
            <w:pPr>
              <w:jc w:val="right"/>
              <w:ind w:right="1"/>
              <w:spacing w:after="0"/>
              <w:rPr>
                <w:sz w:val="20"/>
                <w:szCs w:val="20"/>
                <w:color w:val="auto"/>
              </w:rPr>
            </w:pPr>
            <w:r>
              <w:rPr>
                <w:rFonts w:ascii="Arial" w:cs="Arial" w:eastAsia="Arial" w:hAnsi="Arial"/>
                <w:sz w:val="13"/>
                <w:szCs w:val="13"/>
                <w:color w:val="auto"/>
              </w:rPr>
              <w:t>807</w:t>
            </w:r>
          </w:p>
        </w:tc>
        <w:tc>
          <w:tcPr>
            <w:tcW w:w="0" w:type="dxa"/>
            <w:vAlign w:val="bottom"/>
          </w:tcPr>
          <w:p>
            <w:pPr>
              <w:spacing w:after="0"/>
              <w:rPr>
                <w:sz w:val="1"/>
                <w:szCs w:val="1"/>
                <w:color w:val="auto"/>
              </w:rPr>
            </w:pPr>
          </w:p>
        </w:tc>
      </w:tr>
      <w:tr>
        <w:trPr>
          <w:trHeight w:val="183"/>
        </w:trPr>
        <w:tc>
          <w:tcPr>
            <w:tcW w:w="4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(8,262)</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(8,262)</w:t>
            </w:r>
          </w:p>
        </w:tc>
        <w:tc>
          <w:tcPr>
            <w:tcW w:w="0" w:type="dxa"/>
            <w:vAlign w:val="bottom"/>
          </w:tcPr>
          <w:p>
            <w:pPr>
              <w:spacing w:after="0"/>
              <w:rPr>
                <w:sz w:val="1"/>
                <w:szCs w:val="1"/>
                <w:color w:val="auto"/>
              </w:rPr>
            </w:pPr>
          </w:p>
        </w:tc>
      </w:tr>
      <w:tr>
        <w:trPr>
          <w:trHeight w:val="163"/>
        </w:trPr>
        <w:tc>
          <w:tcPr>
            <w:tcW w:w="4160" w:type="dxa"/>
            <w:vAlign w:val="bottom"/>
          </w:tcPr>
          <w:p>
            <w:pPr>
              <w:ind w:left="20"/>
              <w:spacing w:after="0"/>
              <w:rPr>
                <w:sz w:val="20"/>
                <w:szCs w:val="20"/>
                <w:color w:val="auto"/>
              </w:rPr>
            </w:pPr>
            <w:r>
              <w:rPr>
                <w:rFonts w:ascii="Arial" w:cs="Arial" w:eastAsia="Arial" w:hAnsi="Arial"/>
                <w:sz w:val="13"/>
                <w:szCs w:val="13"/>
                <w:b w:val="1"/>
                <w:bCs w:val="1"/>
                <w:color w:val="auto"/>
              </w:rPr>
              <w:t>Balance, March 31, 2020</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27,277</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3"/>
                <w:szCs w:val="13"/>
                <w:color w:val="auto"/>
              </w:rPr>
              <w:t>651,680</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1,145</w:t>
            </w: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(252,288)</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3"/>
                <w:szCs w:val="13"/>
                <w:color w:val="auto"/>
              </w:rPr>
              <w:t>400,564</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99" w:right="4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1" w:lineRule="exact"/>
        <w:rPr>
          <w:sz w:val="20"/>
          <w:szCs w:val="20"/>
          <w:color w:val="auto"/>
        </w:rPr>
      </w:pPr>
    </w:p>
    <w:p>
      <w:pPr>
        <w:jc w:val="center"/>
        <w:ind w:left="7760"/>
        <w:spacing w:after="0"/>
        <w:rPr>
          <w:sz w:val="20"/>
          <w:szCs w:val="20"/>
          <w:color w:val="auto"/>
        </w:rPr>
      </w:pPr>
      <w:r>
        <w:rPr>
          <w:rFonts w:ascii="Arial" w:cs="Arial" w:eastAsia="Arial" w:hAnsi="Arial"/>
          <w:sz w:val="14"/>
          <w:szCs w:val="14"/>
          <w:b w:val="1"/>
          <w:bCs w:val="1"/>
          <w:color w:val="auto"/>
        </w:rPr>
        <w:t>Three Months Ended</w:t>
      </w:r>
    </w:p>
    <w:p>
      <w:pPr>
        <w:jc w:val="center"/>
        <w:ind w:left="77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780" w:type="dxa"/>
            <w:vAlign w:val="bottom"/>
            <w:tcBorders>
              <w:bottom w:val="single" w:sz="8" w:color="CFF0FC"/>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FF0FC"/>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7"/>
        </w:trPr>
        <w:tc>
          <w:tcPr>
            <w:tcW w:w="77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Net loss</w:t>
            </w:r>
          </w:p>
        </w:tc>
        <w:tc>
          <w:tcPr>
            <w:tcW w:w="1040" w:type="dxa"/>
            <w:vAlign w:val="bottom"/>
          </w:tcPr>
          <w:p>
            <w:pPr>
              <w:jc w:val="right"/>
              <w:ind w:right="861"/>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(18,163)</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(8,262)</w:t>
            </w:r>
          </w:p>
        </w:tc>
        <w:tc>
          <w:tcPr>
            <w:tcW w:w="0" w:type="dxa"/>
            <w:vAlign w:val="bottom"/>
          </w:tcPr>
          <w:p>
            <w:pPr>
              <w:spacing w:after="0"/>
              <w:rPr>
                <w:sz w:val="1"/>
                <w:szCs w:val="1"/>
                <w:color w:val="auto"/>
              </w:rPr>
            </w:pPr>
          </w:p>
        </w:tc>
      </w:tr>
      <w:tr>
        <w:trPr>
          <w:trHeight w:val="233"/>
        </w:trPr>
        <w:tc>
          <w:tcPr>
            <w:tcW w:w="7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0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60"/>
              <w:spacing w:after="0"/>
              <w:rPr>
                <w:sz w:val="20"/>
                <w:szCs w:val="20"/>
                <w:color w:val="auto"/>
              </w:rPr>
            </w:pPr>
            <w:r>
              <w:rPr>
                <w:rFonts w:ascii="Arial" w:cs="Arial" w:eastAsia="Arial" w:hAnsi="Arial"/>
                <w:sz w:val="16"/>
                <w:szCs w:val="16"/>
                <w:color w:val="auto"/>
              </w:rPr>
              <w:t>Depreciation and amortization</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19"/>
        </w:trPr>
        <w:tc>
          <w:tcPr>
            <w:tcW w:w="7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Stock-based compensation</w:t>
            </w: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3,315</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2,975</w:t>
            </w:r>
          </w:p>
        </w:tc>
        <w:tc>
          <w:tcPr>
            <w:tcW w:w="0" w:type="dxa"/>
            <w:vAlign w:val="bottom"/>
          </w:tcPr>
          <w:p>
            <w:pPr>
              <w:spacing w:after="0"/>
              <w:rPr>
                <w:sz w:val="1"/>
                <w:szCs w:val="1"/>
                <w:color w:val="auto"/>
              </w:rPr>
            </w:pPr>
          </w:p>
        </w:tc>
      </w:tr>
      <w:tr>
        <w:trPr>
          <w:trHeight w:val="213"/>
        </w:trPr>
        <w:tc>
          <w:tcPr>
            <w:tcW w:w="7780" w:type="dxa"/>
            <w:vAlign w:val="bottom"/>
          </w:tcPr>
          <w:p>
            <w:pPr>
              <w:ind w:left="260"/>
              <w:spacing w:after="0"/>
              <w:rPr>
                <w:sz w:val="20"/>
                <w:szCs w:val="20"/>
                <w:color w:val="auto"/>
              </w:rPr>
            </w:pPr>
            <w:r>
              <w:rPr>
                <w:rFonts w:ascii="Arial" w:cs="Arial" w:eastAsia="Arial" w:hAnsi="Arial"/>
                <w:sz w:val="16"/>
                <w:szCs w:val="16"/>
                <w:color w:val="auto"/>
              </w:rPr>
              <w:t>Accretion/amortization of investments, net</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9"/>
        </w:trPr>
        <w:tc>
          <w:tcPr>
            <w:tcW w:w="7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520"/>
              <w:spacing w:after="0"/>
              <w:rPr>
                <w:sz w:val="20"/>
                <w:szCs w:val="20"/>
                <w:color w:val="auto"/>
              </w:rPr>
            </w:pPr>
            <w:r>
              <w:rPr>
                <w:rFonts w:ascii="Arial" w:cs="Arial" w:eastAsia="Arial" w:hAnsi="Arial"/>
                <w:sz w:val="16"/>
                <w:szCs w:val="16"/>
                <w:color w:val="auto"/>
              </w:rPr>
              <w:t>Receivable from collaborative partners</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(1,247)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219"/>
        </w:trPr>
        <w:tc>
          <w:tcPr>
            <w:tcW w:w="7780" w:type="dxa"/>
            <w:vAlign w:val="bottom"/>
            <w:shd w:val="clear" w:color="auto" w:fill="CFF0FC"/>
          </w:tcPr>
          <w:p>
            <w:pPr>
              <w:ind w:left="520"/>
              <w:spacing w:after="0"/>
              <w:rPr>
                <w:sz w:val="20"/>
                <w:szCs w:val="20"/>
                <w:color w:val="auto"/>
              </w:rPr>
            </w:pPr>
            <w:r>
              <w:rPr>
                <w:rFonts w:ascii="Arial" w:cs="Arial" w:eastAsia="Arial" w:hAnsi="Arial"/>
                <w:sz w:val="16"/>
                <w:szCs w:val="16"/>
                <w:color w:val="auto"/>
              </w:rPr>
              <w:t>Prepaid expenses and other assets</w:t>
            </w: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(2,276)</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13"/>
        </w:trPr>
        <w:tc>
          <w:tcPr>
            <w:tcW w:w="7780" w:type="dxa"/>
            <w:vAlign w:val="bottom"/>
            <w:tcBorders>
              <w:bottom w:val="single" w:sz="8" w:color="CFF0FC"/>
            </w:tcBorders>
          </w:tcPr>
          <w:p>
            <w:pPr>
              <w:ind w:left="520"/>
              <w:spacing w:after="0"/>
              <w:rPr>
                <w:sz w:val="20"/>
                <w:szCs w:val="20"/>
                <w:color w:val="auto"/>
              </w:rPr>
            </w:pPr>
            <w:r>
              <w:rPr>
                <w:rFonts w:ascii="Arial" w:cs="Arial" w:eastAsia="Arial" w:hAnsi="Arial"/>
                <w:sz w:val="16"/>
                <w:szCs w:val="16"/>
                <w:color w:val="auto"/>
              </w:rPr>
              <w:t>Accounts payable and other liabilities</w:t>
            </w: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(5,125)</w:t>
            </w:r>
          </w:p>
        </w:tc>
        <w:tc>
          <w:tcPr>
            <w:tcW w:w="10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(5,190)</w:t>
            </w:r>
          </w:p>
        </w:tc>
        <w:tc>
          <w:tcPr>
            <w:tcW w:w="0" w:type="dxa"/>
            <w:vAlign w:val="bottom"/>
          </w:tcPr>
          <w:p>
            <w:pPr>
              <w:spacing w:after="0"/>
              <w:rPr>
                <w:sz w:val="1"/>
                <w:szCs w:val="1"/>
                <w:color w:val="auto"/>
              </w:rPr>
            </w:pPr>
          </w:p>
        </w:tc>
      </w:tr>
      <w:tr>
        <w:trPr>
          <w:trHeight w:val="213"/>
        </w:trPr>
        <w:tc>
          <w:tcPr>
            <w:tcW w:w="7780" w:type="dxa"/>
            <w:vAlign w:val="bottom"/>
            <w:shd w:val="clear" w:color="auto" w:fill="CFF0FC"/>
          </w:tcPr>
          <w:p>
            <w:pPr>
              <w:ind w:left="760"/>
              <w:spacing w:after="0"/>
              <w:rPr>
                <w:sz w:val="20"/>
                <w:szCs w:val="20"/>
                <w:color w:val="auto"/>
              </w:rPr>
            </w:pPr>
            <w:r>
              <w:rPr>
                <w:rFonts w:ascii="Arial" w:cs="Arial" w:eastAsia="Arial" w:hAnsi="Arial"/>
                <w:sz w:val="16"/>
                <w:szCs w:val="16"/>
                <w:color w:val="auto"/>
              </w:rPr>
              <w:t>Net cash used in operating activities</w:t>
            </w:r>
          </w:p>
        </w:tc>
        <w:tc>
          <w:tcPr>
            <w:tcW w:w="10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(23,204)</w:t>
            </w:r>
          </w:p>
        </w:tc>
        <w:tc>
          <w:tcPr>
            <w:tcW w:w="10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(15,112)</w:t>
            </w:r>
          </w:p>
        </w:tc>
        <w:tc>
          <w:tcPr>
            <w:tcW w:w="0" w:type="dxa"/>
            <w:vAlign w:val="bottom"/>
          </w:tcPr>
          <w:p>
            <w:pPr>
              <w:spacing w:after="0"/>
              <w:rPr>
                <w:sz w:val="1"/>
                <w:szCs w:val="1"/>
                <w:color w:val="auto"/>
              </w:rPr>
            </w:pPr>
          </w:p>
        </w:tc>
      </w:tr>
      <w:tr>
        <w:trPr>
          <w:trHeight w:val="193"/>
        </w:trPr>
        <w:tc>
          <w:tcPr>
            <w:tcW w:w="778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Acquisition of investments</w:t>
            </w: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(6,238)</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(74,013)</w:t>
            </w: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Sales and maturities of investments</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63,284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84,851</w:t>
            </w:r>
          </w:p>
        </w:tc>
        <w:tc>
          <w:tcPr>
            <w:tcW w:w="0" w:type="dxa"/>
            <w:vAlign w:val="bottom"/>
          </w:tcPr>
          <w:p>
            <w:pPr>
              <w:spacing w:after="0"/>
              <w:rPr>
                <w:sz w:val="1"/>
                <w:szCs w:val="1"/>
                <w:color w:val="auto"/>
              </w:rPr>
            </w:pPr>
          </w:p>
        </w:tc>
      </w:tr>
      <w:tr>
        <w:trPr>
          <w:trHeight w:val="219"/>
        </w:trPr>
        <w:tc>
          <w:tcPr>
            <w:tcW w:w="7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Purchases of property and equipment</w:t>
            </w:r>
          </w:p>
        </w:tc>
        <w:tc>
          <w:tcPr>
            <w:tcW w:w="10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(317)</w:t>
            </w:r>
          </w:p>
        </w:tc>
        <w:tc>
          <w:tcPr>
            <w:tcW w:w="1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07"/>
        </w:trPr>
        <w:tc>
          <w:tcPr>
            <w:tcW w:w="7780" w:type="dxa"/>
            <w:vAlign w:val="bottom"/>
            <w:tcBorders>
              <w:bottom w:val="single" w:sz="8" w:color="CFF0FC"/>
            </w:tcBorders>
          </w:tcPr>
          <w:p>
            <w:pPr>
              <w:ind w:left="760"/>
              <w:spacing w:after="0"/>
              <w:rPr>
                <w:sz w:val="20"/>
                <w:szCs w:val="20"/>
                <w:color w:val="auto"/>
              </w:rPr>
            </w:pPr>
            <w:r>
              <w:rPr>
                <w:rFonts w:ascii="Arial" w:cs="Arial" w:eastAsia="Arial" w:hAnsi="Arial"/>
                <w:sz w:val="16"/>
                <w:szCs w:val="16"/>
                <w:color w:val="auto"/>
              </w:rPr>
              <w:t>Net cash provided by investing activities</w:t>
            </w:r>
          </w:p>
        </w:tc>
        <w:tc>
          <w:tcPr>
            <w:tcW w:w="10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56,729</w:t>
            </w:r>
          </w:p>
        </w:tc>
        <w:tc>
          <w:tcPr>
            <w:tcW w:w="100" w:type="dxa"/>
            <w:vAlign w:val="bottom"/>
            <w:tcBorders>
              <w:bottom w:val="single" w:sz="8" w:color="CFF0F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10,751</w:t>
            </w:r>
          </w:p>
        </w:tc>
        <w:tc>
          <w:tcPr>
            <w:tcW w:w="0" w:type="dxa"/>
            <w:vAlign w:val="bottom"/>
          </w:tcPr>
          <w:p>
            <w:pPr>
              <w:spacing w:after="0"/>
              <w:rPr>
                <w:sz w:val="1"/>
                <w:szCs w:val="1"/>
                <w:color w:val="auto"/>
              </w:rPr>
            </w:pPr>
          </w:p>
        </w:tc>
      </w:tr>
      <w:tr>
        <w:trPr>
          <w:trHeight w:val="199"/>
        </w:trPr>
        <w:tc>
          <w:tcPr>
            <w:tcW w:w="77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Proceeds from issuance of common stock, upon the exercise of stock options</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9"/>
        </w:trPr>
        <w:tc>
          <w:tcPr>
            <w:tcW w:w="7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Payments on notes payable</w:t>
            </w:r>
          </w:p>
        </w:tc>
        <w:tc>
          <w:tcPr>
            <w:tcW w:w="10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(1,375)</w:t>
            </w:r>
          </w:p>
        </w:tc>
        <w:tc>
          <w:tcPr>
            <w:tcW w:w="0" w:type="dxa"/>
            <w:vAlign w:val="bottom"/>
          </w:tcPr>
          <w:p>
            <w:pPr>
              <w:spacing w:after="0"/>
              <w:rPr>
                <w:sz w:val="1"/>
                <w:szCs w:val="1"/>
                <w:color w:val="auto"/>
              </w:rPr>
            </w:pPr>
          </w:p>
        </w:tc>
      </w:tr>
      <w:tr>
        <w:trPr>
          <w:trHeight w:val="207"/>
        </w:trPr>
        <w:tc>
          <w:tcPr>
            <w:tcW w:w="7780" w:type="dxa"/>
            <w:vAlign w:val="bottom"/>
            <w:tcBorders>
              <w:bottom w:val="single" w:sz="8" w:color="CFF0FC"/>
            </w:tcBorders>
          </w:tcPr>
          <w:p>
            <w:pPr>
              <w:ind w:left="760"/>
              <w:spacing w:after="0"/>
              <w:rPr>
                <w:sz w:val="20"/>
                <w:szCs w:val="20"/>
                <w:color w:val="auto"/>
              </w:rPr>
            </w:pPr>
            <w:r>
              <w:rPr>
                <w:rFonts w:ascii="Arial" w:cs="Arial" w:eastAsia="Arial" w:hAnsi="Arial"/>
                <w:sz w:val="16"/>
                <w:szCs w:val="16"/>
                <w:color w:val="auto"/>
              </w:rPr>
              <w:t>Net cash provided by (used in) financing activities</w:t>
            </w:r>
          </w:p>
        </w:tc>
        <w:tc>
          <w:tcPr>
            <w:tcW w:w="10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Borders>
              <w:bottom w:val="single" w:sz="8" w:color="CFF0FC"/>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(1,339)</w:t>
            </w:r>
          </w:p>
        </w:tc>
        <w:tc>
          <w:tcPr>
            <w:tcW w:w="0" w:type="dxa"/>
            <w:vAlign w:val="bottom"/>
          </w:tcPr>
          <w:p>
            <w:pPr>
              <w:spacing w:after="0"/>
              <w:rPr>
                <w:sz w:val="1"/>
                <w:szCs w:val="1"/>
                <w:color w:val="auto"/>
              </w:rPr>
            </w:pPr>
          </w:p>
        </w:tc>
      </w:tr>
      <w:tr>
        <w:trPr>
          <w:trHeight w:val="212"/>
        </w:trPr>
        <w:tc>
          <w:tcPr>
            <w:tcW w:w="7780" w:type="dxa"/>
            <w:vAlign w:val="bottom"/>
            <w:shd w:val="clear" w:color="auto" w:fill="CFF0FC"/>
          </w:tcPr>
          <w:p>
            <w:pPr>
              <w:ind w:left="100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33,692</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(5,700)</w:t>
            </w:r>
          </w:p>
        </w:tc>
        <w:tc>
          <w:tcPr>
            <w:tcW w:w="0" w:type="dxa"/>
            <w:vAlign w:val="bottom"/>
          </w:tcPr>
          <w:p>
            <w:pPr>
              <w:spacing w:after="0"/>
              <w:rPr>
                <w:sz w:val="1"/>
                <w:szCs w:val="1"/>
                <w:color w:val="auto"/>
              </w:rPr>
            </w:pPr>
          </w:p>
        </w:tc>
      </w:tr>
      <w:tr>
        <w:trPr>
          <w:trHeight w:val="213"/>
        </w:trPr>
        <w:tc>
          <w:tcPr>
            <w:tcW w:w="7780" w:type="dxa"/>
            <w:vAlign w:val="bottom"/>
            <w:tcBorders>
              <w:bottom w:val="single" w:sz="8" w:color="CFF0FC"/>
            </w:tcBorders>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250,516</w:t>
            </w:r>
          </w:p>
        </w:tc>
        <w:tc>
          <w:tcPr>
            <w:tcW w:w="10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171,077</w:t>
            </w:r>
          </w:p>
        </w:tc>
        <w:tc>
          <w:tcPr>
            <w:tcW w:w="0" w:type="dxa"/>
            <w:vAlign w:val="bottom"/>
          </w:tcPr>
          <w:p>
            <w:pPr>
              <w:spacing w:after="0"/>
              <w:rPr>
                <w:sz w:val="1"/>
                <w:szCs w:val="1"/>
                <w:color w:val="auto"/>
              </w:rPr>
            </w:pPr>
          </w:p>
        </w:tc>
      </w:tr>
      <w:tr>
        <w:trPr>
          <w:trHeight w:val="235"/>
        </w:trPr>
        <w:tc>
          <w:tcPr>
            <w:tcW w:w="7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1040" w:type="dxa"/>
            <w:vAlign w:val="bottom"/>
            <w:tcBorders>
              <w:bottom w:val="single" w:sz="8" w:color="auto"/>
            </w:tcBorders>
            <w:shd w:val="clear" w:color="auto" w:fill="CFF0FC"/>
          </w:tcPr>
          <w:p>
            <w:pPr>
              <w:jc w:val="right"/>
              <w:ind w:right="86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6"/>
              </w:rPr>
              <w:t>284,208</w:t>
            </w:r>
          </w:p>
        </w:tc>
        <w:tc>
          <w:tcPr>
            <w:tcW w:w="1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165,377</w:t>
            </w:r>
          </w:p>
        </w:tc>
        <w:tc>
          <w:tcPr>
            <w:tcW w:w="0" w:type="dxa"/>
            <w:vAlign w:val="bottom"/>
          </w:tcPr>
          <w:p>
            <w:pPr>
              <w:spacing w:after="0"/>
              <w:rPr>
                <w:sz w:val="1"/>
                <w:szCs w:val="1"/>
                <w:color w:val="auto"/>
              </w:rPr>
            </w:pPr>
          </w:p>
        </w:tc>
      </w:tr>
      <w:tr>
        <w:trPr>
          <w:trHeight w:val="20"/>
        </w:trPr>
        <w:tc>
          <w:tcPr>
            <w:tcW w:w="778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6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12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78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paid</w:t>
            </w:r>
          </w:p>
        </w:tc>
        <w:tc>
          <w:tcPr>
            <w:tcW w:w="1040" w:type="dxa"/>
            <w:vAlign w:val="bottom"/>
            <w:shd w:val="clear" w:color="auto" w:fill="CFF0FC"/>
          </w:tcPr>
          <w:p>
            <w:pPr>
              <w:jc w:val="right"/>
              <w:ind w:right="861"/>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Amounts accrued for property and equipment</w:t>
            </w:r>
          </w:p>
        </w:tc>
        <w:tc>
          <w:tcPr>
            <w:tcW w:w="1040" w:type="dxa"/>
            <w:vAlign w:val="bottom"/>
            <w:shd w:val="clear" w:color="auto" w:fill="CFF0FC"/>
          </w:tcPr>
          <w:p>
            <w:pPr>
              <w:jc w:val="right"/>
              <w:ind w:right="861"/>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 w:name="page9"/>
    <w:bookmarkEnd w:id="8"/>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21" w:lineRule="exact"/>
        <w:rPr>
          <w:sz w:val="20"/>
          <w:szCs w:val="20"/>
          <w:color w:val="auto"/>
        </w:rPr>
      </w:pPr>
    </w:p>
    <w:p>
      <w:pPr>
        <w:ind w:right="40" w:firstLine="567"/>
        <w:spacing w:after="0" w:line="255" w:lineRule="auto"/>
        <w:rPr>
          <w:sz w:val="20"/>
          <w:szCs w:val="20"/>
          <w:color w:val="auto"/>
        </w:rPr>
      </w:pPr>
      <w:r>
        <w:rPr>
          <w:rFonts w:ascii="Arial" w:cs="Arial" w:eastAsia="Arial" w:hAnsi="Arial"/>
          <w:sz w:val="18"/>
          <w:szCs w:val="18"/>
          <w:color w:val="auto"/>
        </w:rPr>
        <w:t xml:space="preserve">AnaptysBio, Inc. (“we,” “us,” “our,” or the “Company”) was incorporated in the state of Delaware in November 2005. We are a clinical-stage biotechnology company developing first-in-class immunology therapeutic product candidates focused on emerging immune control mechanisms applicable to inflammation and immuno-oncology indications. We develop our product candidates using our proprietary antibody discovery technology platform, which is based upon a breakthrough understanding of the natural process of antibody generation, known as somatic hypermutation, and replicates this natural process of antibody generation </w:t>
      </w:r>
      <w:r>
        <w:rPr>
          <w:rFonts w:ascii="Arial" w:cs="Arial" w:eastAsia="Arial" w:hAnsi="Arial"/>
          <w:sz w:val="18"/>
          <w:szCs w:val="18"/>
          <w:i w:val="1"/>
          <w:iCs w:val="1"/>
          <w:color w:val="auto"/>
        </w:rPr>
        <w:t>in vitro</w:t>
      </w:r>
      <w:r>
        <w:rPr>
          <w:rFonts w:ascii="Arial" w:cs="Arial" w:eastAsia="Arial" w:hAnsi="Arial"/>
          <w:sz w:val="18"/>
          <w:szCs w:val="18"/>
          <w:color w:val="auto"/>
        </w:rPr>
        <w:t>. We currently generate revenue from milestones achieved under our collaborative research and development arrangements.</w:t>
      </w:r>
    </w:p>
    <w:p>
      <w:pPr>
        <w:spacing w:after="0" w:line="84" w:lineRule="exact"/>
        <w:rPr>
          <w:sz w:val="20"/>
          <w:szCs w:val="20"/>
          <w:color w:val="auto"/>
        </w:rPr>
      </w:pPr>
    </w:p>
    <w:p>
      <w:pPr>
        <w:ind w:right="20" w:firstLine="180"/>
        <w:spacing w:after="0" w:line="271" w:lineRule="auto"/>
        <w:rPr>
          <w:sz w:val="20"/>
          <w:szCs w:val="20"/>
          <w:color w:val="auto"/>
        </w:rPr>
      </w:pPr>
      <w:r>
        <w:rPr>
          <w:rFonts w:ascii="Arial" w:cs="Arial" w:eastAsia="Arial" w:hAnsi="Arial"/>
          <w:sz w:val="17"/>
          <w:szCs w:val="17"/>
          <w:color w:val="auto"/>
        </w:rPr>
        <w:t>Since our inception, we have devoted our primary effort to research and development activities. Our financial support has been provided primarily from the sale of our common and preferred stock, as well as through funds received under our collaborative research and development agreements.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Our management believes our currently available resources will provide sufficient funds to enable us to meet our operating plans for at least the next twelve months. The accompanying consolidated financial statements do not include any adjustments that might be necessary if we are unable to continue as a going concern.</w:t>
      </w:r>
    </w:p>
    <w:p>
      <w:pPr>
        <w:spacing w:after="0" w:line="282" w:lineRule="exact"/>
        <w:rPr>
          <w:sz w:val="20"/>
          <w:szCs w:val="20"/>
          <w:color w:val="auto"/>
        </w:rPr>
      </w:pPr>
    </w:p>
    <w:p>
      <w:pPr>
        <w:ind w:left="260" w:right="7680" w:hanging="252"/>
        <w:spacing w:after="0" w:line="378" w:lineRule="auto"/>
        <w:tabs>
          <w:tab w:leader="none" w:pos="197"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firstLine="445"/>
        <w:spacing w:after="0" w:line="285" w:lineRule="auto"/>
        <w:rPr>
          <w:sz w:val="20"/>
          <w:szCs w:val="20"/>
          <w:color w:val="auto"/>
        </w:rPr>
      </w:pPr>
      <w:r>
        <w:rPr>
          <w:rFonts w:ascii="Arial" w:cs="Arial" w:eastAsia="Arial" w:hAnsi="Arial"/>
          <w:sz w:val="16"/>
          <w:szCs w:val="16"/>
          <w:color w:val="auto"/>
        </w:rPr>
        <w:t>The accompanying unaudited consolidated financial statements have been prepared pursuant to the rules and regulations of the Securities and Exchange Commission (the “SEC”). Certain information and note disclosures normally included in annual financial statements prepared in accordance with U.S. generally accepted accounting principles (“U.S. GAAP”) have been omitted. The accompanying unaudited consolidated financial statements include all known adjustments necessary for a fair presentation of the results of interim periods as required by U.S. GAAP. These adjustments consist primarily of normal recurring accruals and estimates that impact the carrying value of assets and liabilities. Operating results for the three months ended March 31, 2021 are not necessarily indicative of the results that may be expected for the year ending December 31, 2021. Interim results are not necessarily indicative of results for a full year, particularly in light of the novel coronavirus (“COVID-19”) pandemic, and its impact on domestic and global economies. To limit the spread of COVID-19, governments have taken various actions, including the issuance of stay-at-home orders and social distancing guidelines, which have resulted in some businesses suspending operations or experiencing a reduction in demand for many products from direct or ultimate customers. Accordingly, businesses have adjusted, reduced or suspended operating activities. The effects of the stay-at-home orders and our work-from-home policies may negatively impact productivity, disrupt our business, and delay our development programs and regulatory and commercialization timelines, the magnitude of which will depend, in part, on the length and severity of the restrictions and other limitations on our ability to conduct our business in the ordinary course. Our future research and development expenses and general and administrative expenses may vary significantly if we experience an increased impact from the COVID-19 pandemic on the costs and timing associated with the conduct of our clinical trials and other related business activities, to date there has not been any material delays in clinical operations. The financial statements should be read in conjunction with our audited financial statements for the year ended December 31, 2020 included in our Annual Form 10-K.</w:t>
      </w:r>
    </w:p>
    <w:p>
      <w:pPr>
        <w:spacing w:after="0" w:line="2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17" w:lineRule="exact"/>
        <w:rPr>
          <w:sz w:val="20"/>
          <w:szCs w:val="20"/>
          <w:color w:val="auto"/>
        </w:rPr>
      </w:pPr>
    </w:p>
    <w:p>
      <w:pPr>
        <w:ind w:right="400" w:firstLine="445"/>
        <w:spacing w:after="0" w:line="342" w:lineRule="auto"/>
        <w:rPr>
          <w:sz w:val="20"/>
          <w:szCs w:val="20"/>
          <w:color w:val="auto"/>
        </w:rPr>
      </w:pPr>
      <w:r>
        <w:rPr>
          <w:rFonts w:ascii="Arial" w:cs="Arial" w:eastAsia="Arial" w:hAnsi="Arial"/>
          <w:sz w:val="16"/>
          <w:szCs w:val="16"/>
          <w:color w:val="auto"/>
        </w:rPr>
        <w:t>The accompanying consolidated financial statements include us and our wholly-owned Australian subsidiary. All intercompany accounts and transactions have been eliminated in consolidation. We operate in one reportable segment, and our functional and reporting currency is the U.S.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60" w:firstLine="445"/>
        <w:spacing w:after="0" w:line="289" w:lineRule="auto"/>
        <w:rPr>
          <w:sz w:val="20"/>
          <w:szCs w:val="20"/>
          <w:color w:val="auto"/>
        </w:rPr>
      </w:pPr>
      <w:r>
        <w:rPr>
          <w:rFonts w:ascii="Arial" w:cs="Arial" w:eastAsia="Arial" w:hAnsi="Arial"/>
          <w:sz w:val="16"/>
          <w:szCs w:val="16"/>
          <w:color w:val="auto"/>
        </w:rPr>
        <w:t>The preparation of the accompanying consolidated financial statements in conformity with U.S. GAAP requires our management to make estimates and assumptions that affect the reported amounts of assets and liabilities, disclosure of contingent assets and liabilities at the date of the financial statements, and reported amounts of revenues and expenses during the reporting periods. Actual results could differ from those estimates. We base our estimates and assumptions on historical experience when available and on various factors that we believe to be reasonable under the circumstances. We evaluate our estimates and assumptions on an ongoing basis. The full extent to which the COVID-19 pandemic will directly or indirectly impact our business, results of operations, and financial condition, including expenses, reserves and allowances, manufacturing, clinical trials, research and development costs, and employee-related amounts, will depend on future developments that are highly uncertain, including as a result of new information that may emerge concerning COVID-19 and the actions taken to contain or treat it, as well as the economic impact on local, regional, national and international markets. Our actual results could differ from these estimates under different assumptions or conditions.</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Revenue is recognized in accordance with revenue recognition accounting guidance, which utilizes five basic steps to determine whether revenue can be recognized and to what extent: (i) identify the contract with a customer; (ii) identify the performance obligation; (iii) determine the transaction price; (iv) allocate the transaction price; and (v) determine the recognition period.</w:t>
      </w:r>
    </w:p>
    <w:p>
      <w:pPr>
        <w:spacing w:after="0" w:line="76"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i w:val="1"/>
          <w:iCs w:val="1"/>
          <w:color w:val="auto"/>
        </w:rPr>
        <w:t xml:space="preserve">Performance Obligations. </w:t>
      </w:r>
      <w:r>
        <w:rPr>
          <w:rFonts w:ascii="Arial" w:cs="Arial" w:eastAsia="Arial" w:hAnsi="Arial"/>
          <w:sz w:val="18"/>
          <w:szCs w:val="18"/>
          <w:color w:val="auto"/>
        </w:rPr>
        <w:t>We evaluate deliverables on a contract-by-contract basis to determine whether each deliverable represents a good or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that is distinct or has the same pattern of transfer as other deliverables. A deliverable is considered distinct if the customer can benefit from the good or service independently of other goods/services either in the contract or that can be obtained elsewhere, without regard to contract exclusivity, and the entity’s promise to transfer the good or service to the customer is separately identifiable from other promises in the contact. If the deliverable is not considered distinct, we combine such deliverables and account for them as a single performance obligation. We allocate the consideration to each deliverable at the inception of the arrangement based on the transaction price.</w:t>
      </w:r>
    </w:p>
    <w:p>
      <w:pPr>
        <w:spacing w:after="0" w:line="8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performance obligations may include the following:</w:t>
      </w:r>
    </w:p>
    <w:p>
      <w:pPr>
        <w:spacing w:after="0" w:line="225" w:lineRule="exact"/>
        <w:rPr>
          <w:sz w:val="20"/>
          <w:szCs w:val="20"/>
          <w:color w:val="auto"/>
        </w:rPr>
      </w:pPr>
    </w:p>
    <w:p>
      <w:pPr>
        <w:ind w:left="660" w:right="140" w:hanging="328"/>
        <w:spacing w:after="0" w:line="301"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License Arrangements. The performance obligations under our collaboration and license agreements generally include exclusive or nonexclusive licenses to one or more products generated using our technologies. Licenses for multiple antibodies within a single contract are generally combined as they have substantially the same pattern of transfer to the customer. Historically, our licenses have held no value to the customer, as the antibodies were in the discovery phase and required our expertise for further development. Accordingly, licenses are not considered distinct.</w:t>
      </w:r>
    </w:p>
    <w:p>
      <w:pPr>
        <w:spacing w:after="0" w:line="49" w:lineRule="exact"/>
        <w:rPr>
          <w:rFonts w:ascii="Arial" w:cs="Arial" w:eastAsia="Arial" w:hAnsi="Arial"/>
          <w:sz w:val="16"/>
          <w:szCs w:val="16"/>
          <w:color w:val="auto"/>
        </w:rPr>
      </w:pPr>
    </w:p>
    <w:p>
      <w:pPr>
        <w:ind w:left="660" w:right="100" w:hanging="328"/>
        <w:spacing w:after="0" w:line="25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Research and Development Services. The performance obligations under our collaboration and license agreements generally include research and development services we perform on behalf of or with our collaborators. As discussed within license arrangements above, our licenses have historically held no value without the research and development services we provide. As we generally only provide research and development services for internally generated antibodies that require a license to be utilized by a third party, our research and development services are not considered distinct.</w:t>
      </w:r>
    </w:p>
    <w:p>
      <w:pPr>
        <w:spacing w:after="0" w:line="79"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Steering Committee Meetings. The performance obligations under our collaboration and license agreements may also include our participation on steering committees, which allows us to direct the progression of our discovery programs. As these steering committees would not occur or benefit the customer without the use of our licenses, these are not considered distinct.</w:t>
      </w:r>
    </w:p>
    <w:p>
      <w:pPr>
        <w:spacing w:after="0" w:line="76" w:lineRule="exact"/>
        <w:rPr>
          <w:sz w:val="20"/>
          <w:szCs w:val="20"/>
          <w:color w:val="auto"/>
        </w:rPr>
      </w:pPr>
    </w:p>
    <w:p>
      <w:pPr>
        <w:jc w:val="both"/>
        <w:ind w:right="380" w:firstLine="405"/>
        <w:spacing w:after="0" w:line="263" w:lineRule="auto"/>
        <w:rPr>
          <w:sz w:val="20"/>
          <w:szCs w:val="20"/>
          <w:color w:val="auto"/>
        </w:rPr>
      </w:pPr>
      <w:r>
        <w:rPr>
          <w:rFonts w:ascii="Arial" w:cs="Arial" w:eastAsia="Arial" w:hAnsi="Arial"/>
          <w:sz w:val="18"/>
          <w:szCs w:val="18"/>
          <w:color w:val="auto"/>
        </w:rPr>
        <w:t>We recognize consideration allocated to a performance obligation as the performance obligation is satisfied, and the determination as to whether consideration is recognized over time or at a point in time is made upon contract inception. For our collaboration agreements, this is generally over the period in which research and development services have been performed.</w:t>
      </w:r>
    </w:p>
    <w:p>
      <w:pPr>
        <w:spacing w:after="0" w:line="76"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i w:val="1"/>
          <w:iCs w:val="1"/>
          <w:color w:val="auto"/>
        </w:rPr>
        <w:t xml:space="preserve">Transaction Price. </w:t>
      </w:r>
      <w:r>
        <w:rPr>
          <w:rFonts w:ascii="Arial" w:cs="Arial" w:eastAsia="Arial" w:hAnsi="Arial"/>
          <w:sz w:val="18"/>
          <w:szCs w:val="18"/>
          <w:color w:val="auto"/>
        </w:rPr>
        <w:t>Our collaboration and license agreements generally include both fixed and variable consideration. Fixed payments, such as those</w:t>
      </w:r>
      <w:r>
        <w:rPr>
          <w:rFonts w:ascii="Arial" w:cs="Arial" w:eastAsia="Arial" w:hAnsi="Arial"/>
          <w:sz w:val="18"/>
          <w:szCs w:val="18"/>
          <w:i w:val="1"/>
          <w:iCs w:val="1"/>
          <w:color w:val="auto"/>
        </w:rPr>
        <w:t xml:space="preserve"> </w:t>
      </w:r>
      <w:r>
        <w:rPr>
          <w:rFonts w:ascii="Arial" w:cs="Arial" w:eastAsia="Arial" w:hAnsi="Arial"/>
          <w:sz w:val="18"/>
          <w:szCs w:val="18"/>
          <w:color w:val="auto"/>
        </w:rPr>
        <w:t>for upfront fees are included in the transaction price at contract value, while variable consideration such as reimbursement for research and development services, milestone and royalty payments are estimated and then evaluated for constraints upon inception of the contract and evaluated on a quarterly basis thereafter. Research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9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development services are updated for actual invoices. Given the nature of our agreements, milestones are estimated using the most likely amount and are evaluated on a quarterly basis. Upon commercialization, royalty payments will be recognized in the period incurred.</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Royalty Revenue</w:t>
      </w:r>
    </w:p>
    <w:p>
      <w:pPr>
        <w:spacing w:after="0" w:line="117" w:lineRule="exact"/>
        <w:rPr>
          <w:sz w:val="20"/>
          <w:szCs w:val="20"/>
          <w:color w:val="auto"/>
        </w:rPr>
      </w:pPr>
    </w:p>
    <w:p>
      <w:pPr>
        <w:ind w:right="40" w:firstLine="486"/>
        <w:spacing w:after="0" w:line="254" w:lineRule="auto"/>
        <w:rPr>
          <w:sz w:val="20"/>
          <w:szCs w:val="20"/>
          <w:color w:val="auto"/>
        </w:rPr>
      </w:pPr>
      <w:r>
        <w:rPr>
          <w:rFonts w:ascii="Arial" w:cs="Arial" w:eastAsia="Arial" w:hAnsi="Arial"/>
          <w:sz w:val="17"/>
          <w:szCs w:val="17"/>
          <w:color w:val="auto"/>
        </w:rPr>
        <w:t>We receive royalty revenue on sales by our partners of products covered by patents or contract rights that we own and net sales of their approved drugs, where we have concluded the license is the predominant item to which the royalties relate. We do not have future performance obligations under these license arrangements. We generally satisfy our obligation to grant intellectual property rights on the effective date of the contract. However, we apply the royalty recognition constraint required under the guidance for sales-based royalties which requires a sales-based royalty to be recorded when the underlying sale occurs. Therefore, royalties on sales of products commercialized by our partners are recognized in the quarter the product is sold. Our partners generally report sales information to us on a one quarter lag. Thus, we estimate the expected royalty proceeds based on an analysis of our partners’ historical experience including their publicly announced sales. Differences between actual and estimated royalty revenues are adjusted for in the period in which they become known, typically the following quarter.</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17"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Basic net loss per common share is computed by dividing net loss by the weighted-average number of common shares outstanding during the period. Diluted net loss per share is computed by dividing net loss by the weighted-average number of common equivalent shares outstanding for the period, as well as any dilutive effect from outstanding stock options and warrants using the treasury stock method. For each period presented, there is no difference in the number of shares used to calculate basic and diluted net loss per share.</w:t>
      </w:r>
    </w:p>
    <w:p>
      <w:pPr>
        <w:spacing w:after="0" w:line="187" w:lineRule="exact"/>
        <w:rPr>
          <w:sz w:val="20"/>
          <w:szCs w:val="20"/>
          <w:color w:val="auto"/>
        </w:rPr>
      </w:pPr>
    </w:p>
    <w:p>
      <w:pPr>
        <w:ind w:right="240" w:firstLine="445"/>
        <w:spacing w:after="0" w:line="261" w:lineRule="auto"/>
        <w:rPr>
          <w:sz w:val="20"/>
          <w:szCs w:val="20"/>
          <w:color w:val="auto"/>
        </w:rPr>
      </w:pPr>
      <w:r>
        <w:rPr>
          <w:rFonts w:ascii="Arial" w:cs="Arial" w:eastAsia="Arial" w:hAnsi="Arial"/>
          <w:sz w:val="18"/>
          <w:szCs w:val="18"/>
          <w:color w:val="auto"/>
        </w:rPr>
        <w:t>The following table sets forth the weighted-average outstanding potentially dilutive securities that have been excluded in the calculation of diluted net loss per share because to do so would be anti-dilutive (in common stock equivalent shares):</w:t>
      </w:r>
    </w:p>
    <w:p>
      <w:pPr>
        <w:spacing w:after="0" w:line="125" w:lineRule="exact"/>
        <w:rPr>
          <w:sz w:val="20"/>
          <w:szCs w:val="20"/>
          <w:color w:val="auto"/>
        </w:rPr>
      </w:pPr>
    </w:p>
    <w:p>
      <w:pPr>
        <w:jc w:val="center"/>
        <w:ind w:left="8520"/>
        <w:spacing w:after="0"/>
        <w:rPr>
          <w:sz w:val="20"/>
          <w:szCs w:val="20"/>
          <w:color w:val="auto"/>
        </w:rPr>
      </w:pPr>
      <w:r>
        <w:rPr>
          <w:rFonts w:ascii="Arial" w:cs="Arial" w:eastAsia="Arial" w:hAnsi="Arial"/>
          <w:sz w:val="14"/>
          <w:szCs w:val="14"/>
          <w:b w:val="1"/>
          <w:bCs w:val="1"/>
          <w:color w:val="auto"/>
        </w:rPr>
        <w:t>Three Months Ended</w:t>
      </w:r>
    </w:p>
    <w:p>
      <w:pPr>
        <w:jc w:val="center"/>
        <w:ind w:left="852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r>
      <w:tr>
        <w:trPr>
          <w:trHeight w:val="223"/>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w:t>
            </w:r>
          </w:p>
        </w:tc>
      </w:tr>
    </w:tbl>
    <w:p>
      <w:pPr>
        <w:spacing w:after="0" w:line="306" w:lineRule="exact"/>
        <w:rPr>
          <w:sz w:val="20"/>
          <w:szCs w:val="20"/>
          <w:color w:val="auto"/>
        </w:rPr>
      </w:pPr>
    </w:p>
    <w:p>
      <w:pPr>
        <w:ind w:left="260" w:right="6880" w:hanging="252"/>
        <w:spacing w:after="0" w:line="378" w:lineRule="auto"/>
        <w:tabs>
          <w:tab w:leader="none" w:pos="197"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Balance Sheet Accounts and Supplemental Disclosures </w:t>
      </w:r>
      <w:r>
        <w:rPr>
          <w:rFonts w:ascii="Arial" w:cs="Arial" w:eastAsia="Arial" w:hAnsi="Arial"/>
          <w:sz w:val="18"/>
          <w:szCs w:val="18"/>
          <w:b w:val="1"/>
          <w:bCs w:val="1"/>
          <w:i w:val="1"/>
          <w:iCs w:val="1"/>
          <w:color w:val="auto"/>
        </w:rPr>
        <w:t>Property and Equipment, net</w:t>
      </w: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net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December 31, 2020</w:t>
            </w:r>
          </w:p>
        </w:tc>
      </w:tr>
      <w:tr>
        <w:trPr>
          <w:trHeight w:val="229"/>
        </w:trPr>
        <w:tc>
          <w:tcPr>
            <w:tcW w:w="798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Laboratory equipment</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5,226</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5,225</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Office furniture and equipment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976</w:t>
            </w:r>
          </w:p>
        </w:tc>
      </w:tr>
      <w:tr>
        <w:trPr>
          <w:trHeight w:val="230"/>
        </w:trPr>
        <w:tc>
          <w:tcPr>
            <w:tcW w:w="7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w:t>
            </w:r>
          </w:p>
        </w:tc>
      </w:tr>
      <w:tr>
        <w:trPr>
          <w:trHeight w:val="223"/>
        </w:trPr>
        <w:tc>
          <w:tcPr>
            <w:tcW w:w="7980" w:type="dxa"/>
            <w:vAlign w:val="bottom"/>
          </w:tcPr>
          <w:p>
            <w:pPr>
              <w:ind w:left="220"/>
              <w:spacing w:after="0"/>
              <w:rPr>
                <w:sz w:val="20"/>
                <w:szCs w:val="20"/>
                <w:color w:val="auto"/>
              </w:rPr>
            </w:pPr>
            <w:r>
              <w:rPr>
                <w:rFonts w:ascii="Arial" w:cs="Arial" w:eastAsia="Arial" w:hAnsi="Arial"/>
                <w:sz w:val="18"/>
                <w:szCs w:val="18"/>
                <w:color w:val="auto"/>
              </w:rPr>
              <w:t>Property and equipment, gross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6,728</w:t>
            </w:r>
          </w:p>
        </w:tc>
      </w:tr>
      <w:tr>
        <w:trPr>
          <w:trHeight w:val="229"/>
        </w:trPr>
        <w:tc>
          <w:tcPr>
            <w:tcW w:w="7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(5,068)</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(4,945)</w:t>
            </w:r>
          </w:p>
        </w:tc>
      </w:tr>
      <w:tr>
        <w:trPr>
          <w:trHeight w:val="223"/>
        </w:trPr>
        <w:tc>
          <w:tcPr>
            <w:tcW w:w="7980" w:type="dxa"/>
            <w:vAlign w:val="bottom"/>
          </w:tcPr>
          <w:p>
            <w:pPr>
              <w:ind w:left="220"/>
              <w:spacing w:after="0"/>
              <w:rPr>
                <w:sz w:val="20"/>
                <w:szCs w:val="20"/>
                <w:color w:val="auto"/>
              </w:rPr>
            </w:pPr>
            <w:r>
              <w:rPr>
                <w:rFonts w:ascii="Arial" w:cs="Arial" w:eastAsia="Arial" w:hAnsi="Arial"/>
                <w:sz w:val="18"/>
                <w:szCs w:val="18"/>
                <w:color w:val="auto"/>
              </w:rPr>
              <w:t>Total property and equipment, net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w:t>
            </w:r>
          </w:p>
        </w:tc>
      </w:tr>
      <w:tr>
        <w:trPr>
          <w:trHeight w:val="20"/>
        </w:trPr>
        <w:tc>
          <w:tcPr>
            <w:tcW w:w="7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Accrued expenses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December 31, 2020</w:t>
            </w:r>
          </w:p>
        </w:tc>
      </w:tr>
      <w:tr>
        <w:trPr>
          <w:trHeight w:val="229"/>
        </w:trPr>
        <w:tc>
          <w:tcPr>
            <w:tcW w:w="798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Accrued compensation and related expenses</w:t>
            </w: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2,019</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3,688</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Accrued professional fees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408</w:t>
            </w:r>
          </w:p>
        </w:tc>
      </w:tr>
      <w:tr>
        <w:trPr>
          <w:trHeight w:val="229"/>
        </w:trPr>
        <w:tc>
          <w:tcPr>
            <w:tcW w:w="7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research, development and manufacturing expenses</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10,936</w:t>
            </w:r>
          </w:p>
        </w:tc>
      </w:tr>
      <w:tr>
        <w:trPr>
          <w:trHeight w:val="230"/>
        </w:trPr>
        <w:tc>
          <w:tcPr>
            <w:tcW w:w="79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r>
      <w:tr>
        <w:trPr>
          <w:trHeight w:val="248"/>
        </w:trPr>
        <w:tc>
          <w:tcPr>
            <w:tcW w:w="79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accrued expenses</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11,826</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15,262</w:t>
            </w:r>
          </w:p>
        </w:tc>
      </w:tr>
      <w:tr>
        <w:trPr>
          <w:trHeight w:val="20"/>
        </w:trPr>
        <w:tc>
          <w:tcPr>
            <w:tcW w:w="79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420" w:type="dxa"/>
            <w:vAlign w:val="bottom"/>
            <w:tcBorders>
              <w:top w:val="single" w:sz="8" w:color="CFF0FC"/>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260" w:right="6900" w:hanging="252"/>
        <w:spacing w:after="0" w:line="378" w:lineRule="auto"/>
        <w:tabs>
          <w:tab w:leader="none" w:pos="197"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Collaborative Research and Development Agreements </w:t>
      </w:r>
      <w:r>
        <w:rPr>
          <w:rFonts w:ascii="Arial" w:cs="Arial" w:eastAsia="Arial" w:hAnsi="Arial"/>
          <w:sz w:val="18"/>
          <w:szCs w:val="18"/>
          <w:b w:val="1"/>
          <w:bCs w:val="1"/>
          <w:i w:val="1"/>
          <w:iCs w:val="1"/>
          <w:color w:val="auto"/>
        </w:rPr>
        <w:t>GlaxoSmithKline Collaboration</w:t>
      </w:r>
    </w:p>
    <w:p>
      <w:pPr>
        <w:ind w:right="100" w:firstLine="445"/>
        <w:spacing w:after="0" w:line="291" w:lineRule="auto"/>
        <w:rPr>
          <w:sz w:val="20"/>
          <w:szCs w:val="20"/>
          <w:color w:val="auto"/>
        </w:rPr>
      </w:pPr>
      <w:r>
        <w:rPr>
          <w:rFonts w:ascii="Arial" w:cs="Arial" w:eastAsia="Arial" w:hAnsi="Arial"/>
          <w:sz w:val="16"/>
          <w:szCs w:val="16"/>
          <w:color w:val="auto"/>
        </w:rPr>
        <w:t>In March 2014, we entered into a Collaboration and Exclusive License Agreement (the “GSK Agreement”) with TESARO, Inc. (“Tesaro”), an oncology-focused biopharmaceutical company now a part of GlaxoSmithKline (Tesaro and GlaxoSmithKline are hereinafter referred to, collectively, as “GSK”). Under the terms of the GSK Agreement, we agreed to perform certain discovery and early preclinical development of therapeutic antibodies with the goal of generating immunotherapy antibodies for subsequent preclinical, clinical, regulatory, and commercial development to be performed by GSK. Under the terms of the GSK Agreement, GSK paid an upfront license fee of $17.0 million in March 2014 and agreed to provide funding to us for research and development services related to antibody discovery programs for three specific targets. In November 2014, Amendment No. 1 to the GSK Agreement was agreed by both parties to add an antibody discovery program against an undisclosed fourth target for an upfront license fee of $2.0 million.</w:t>
      </w:r>
    </w:p>
    <w:p>
      <w:pPr>
        <w:spacing w:after="0" w:line="58"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 xml:space="preserve">For each development program, we are eligible to receive milestone payments of up to $18.0 million if certain preclinical and clinical trial events are achieved by GSK, up to an additional $90.0 million if certain U.S. and European regulatory submissions and approvals in multiple indications are achieved, and up to an additional $165.0 million upon the achievement of specified levels of annual worldwide net sales. We will also be eligible to receive tiered single-digit royalties related to worldwide net sales of products developed under the collaboration. Unless earlier terminated by either party upon specified circumstances, the GSK Agreement will terminate, with respect to each specific developed product, upon the later of the 12th anniversary of the first commercial sale of the product or the expiration of the last to expire of any patent. Prior to the adoption of ASC 606,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w:t>
      </w:r>
      <w:r>
        <w:rPr>
          <w:rFonts w:ascii="Arial" w:cs="Arial" w:eastAsia="Arial" w:hAnsi="Arial"/>
          <w:sz w:val="17"/>
          <w:szCs w:val="17"/>
          <w:color w:val="auto"/>
        </w:rPr>
        <w:t>, we determined that the upfront license fees and research funding under the GSK Agreement, as amended, should be accounted for as a single</w:t>
      </w:r>
      <w:r>
        <w:rPr>
          <w:rFonts w:ascii="Arial" w:cs="Arial" w:eastAsia="Arial" w:hAnsi="Arial"/>
          <w:sz w:val="17"/>
          <w:szCs w:val="17"/>
          <w:i w:val="1"/>
          <w:iCs w:val="1"/>
          <w:color w:val="auto"/>
        </w:rPr>
        <w:t xml:space="preserve"> </w:t>
      </w:r>
      <w:r>
        <w:rPr>
          <w:rFonts w:ascii="Arial" w:cs="Arial" w:eastAsia="Arial" w:hAnsi="Arial"/>
          <w:sz w:val="17"/>
          <w:szCs w:val="17"/>
          <w:color w:val="auto"/>
        </w:rPr>
        <w:t>unit of accounting and that the upfront license fees should be deferred and recognized as revenue over the same period that the research and development services are performed. In February 2016, Amendment No. 2 to the GSK Agreement was agreed by both parties to define the effective dates of the development programs of the GSK Agreement. We determined that the research and development services would be extended through December 31, 2016. As a result, the period over which the unrecognized license fees and discovery milestones were recognized was extended through December 31, 2016 and have since been recognized in full.</w:t>
      </w:r>
    </w:p>
    <w:p>
      <w:pPr>
        <w:spacing w:after="0" w:line="71"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We assessed these arrangements in accordance with ASC 606 and concluded that the contract counterparty, GSK, is a customer. We identified the following material promises under the GSK Agreement: (1) the licenses under certain patent rights relating to six discovery programs (four targets) and transfer of certain development and regulatory information, (2) research and development (“R&amp;D”) services, and (3) joint steering committee meetings. We considered the research and discovery capabilities of GSK for these specific programs, GSK’s inability to sub-license, and the fact that the discovery and optimization of these antibodies is proprietary and could not, at the time of contract inception, be provided by other vendors, to conclude that the license does not have stand-alone functionality and is therefore not distinct. Additionally, we determined that the joint steering committee participation would not have been provided without the R&amp;D services and license agreement. Based on these assessments, we identified all services to be interrelated and therefore concluded that the promises should be combined into a single performance obligation at the inception of the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306" w:lineRule="exact"/>
        <w:rPr>
          <w:sz w:val="20"/>
          <w:szCs w:val="20"/>
          <w:color w:val="auto"/>
        </w:rPr>
      </w:pPr>
    </w:p>
    <w:p>
      <w:pPr>
        <w:ind w:right="180" w:firstLine="567"/>
        <w:spacing w:after="0" w:line="299" w:lineRule="auto"/>
        <w:rPr>
          <w:sz w:val="20"/>
          <w:szCs w:val="20"/>
          <w:color w:val="auto"/>
        </w:rPr>
      </w:pPr>
      <w:r>
        <w:rPr>
          <w:rFonts w:ascii="Arial" w:cs="Arial" w:eastAsia="Arial" w:hAnsi="Arial"/>
          <w:sz w:val="16"/>
          <w:szCs w:val="16"/>
          <w:color w:val="auto"/>
        </w:rPr>
        <w:t>On October 23, 2020, Amendment No. 3 to the GSK Agreement (the “Amendment”) was agreed to by both parties to permit GSK to conduct development and commercialization of Zejula, an oral, once-daily poly (ADP-ribose) polymerase (PARP) inhibitor, which has received U.S. approval for the maintenance treatment of adult patients with advanced epithelial ovarian, fallopian tube, or primary peritoneal cancer who are in a complete or partial</w:t>
      </w:r>
    </w:p>
    <w:p>
      <w:pPr>
        <w:spacing w:after="0" w:line="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response to first-line platinum-based chemotherapy, and is under development for additional cancer indications. In addition, under the Amendment, we were granted increased royalties upon sales of JEMPERLI (dostarlimab), an anti-PD-1 antagonist antibody under development by GSK for multiple oncological disorders. The Amendment also provided for a one-time, non-refundable cash payment of $60.0 million that we received and recognized as revenue in the fourth quarter of 2020. GSK also agreed, starting January 1, 2021, to pay us a 1% royalty on all GSK net sales of Zejula. The $1.1 billion in</w:t>
      </w:r>
    </w:p>
    <w:p>
      <w:pPr>
        <w:spacing w:after="0" w:line="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cash milestone payments due under the GSK Agreement remain unchanged. Additionally, under the terms of the Amendment, GSK has agreed to certain diligence commitments with respect to the future development of JEMPERLI, and the parties have agreed to review such commitments under regular joint review committee meetings going forward.</w:t>
      </w:r>
    </w:p>
    <w:p>
      <w:pPr>
        <w:spacing w:after="0" w:line="184" w:lineRule="exact"/>
        <w:rPr>
          <w:sz w:val="20"/>
          <w:szCs w:val="20"/>
          <w:color w:val="auto"/>
        </w:rPr>
      </w:pPr>
    </w:p>
    <w:p>
      <w:pPr>
        <w:ind w:right="340" w:firstLine="567"/>
        <w:spacing w:after="0" w:line="286" w:lineRule="auto"/>
        <w:rPr>
          <w:sz w:val="20"/>
          <w:szCs w:val="20"/>
          <w:color w:val="auto"/>
        </w:rPr>
      </w:pPr>
      <w:r>
        <w:rPr>
          <w:rFonts w:ascii="Arial" w:cs="Arial" w:eastAsia="Arial" w:hAnsi="Arial"/>
          <w:sz w:val="17"/>
          <w:szCs w:val="17"/>
          <w:color w:val="auto"/>
        </w:rPr>
        <w:t>We assessed this Amendment in accordance with ASC 606 and concluded the Amendment was a contract modification to the GSK Agreement. Based on our assessment, we identified the terms of the Amendment to be interrelated to the GSK Agreement’s single performance obligation, noting completion and delivery of terms under the Amendment were satisfied by both parties with the execution of the Amendment.</w:t>
      </w:r>
    </w:p>
    <w:p>
      <w:pPr>
        <w:spacing w:after="0" w:line="57"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As of March 31, 2021, the transaction price for the GSK Agreement and Amendment includes the upfront payment, research reimbursement revenue, one-time payment associated with the Amendment, and milestones earned to date, which are allocated in their entirety to the single performance obligation.</w:t>
      </w:r>
    </w:p>
    <w:p>
      <w:pPr>
        <w:spacing w:after="0" w:line="76" w:lineRule="exact"/>
        <w:rPr>
          <w:sz w:val="20"/>
          <w:szCs w:val="20"/>
          <w:color w:val="auto"/>
        </w:rPr>
      </w:pPr>
    </w:p>
    <w:p>
      <w:pPr>
        <w:ind w:right="20" w:firstLine="486"/>
        <w:spacing w:after="0" w:line="248" w:lineRule="auto"/>
        <w:rPr>
          <w:sz w:val="20"/>
          <w:szCs w:val="20"/>
          <w:color w:val="auto"/>
        </w:rPr>
      </w:pPr>
      <w:r>
        <w:rPr>
          <w:rFonts w:ascii="Arial" w:cs="Arial" w:eastAsia="Arial" w:hAnsi="Arial"/>
          <w:sz w:val="18"/>
          <w:szCs w:val="18"/>
          <w:color w:val="auto"/>
        </w:rPr>
        <w:t>We earned and recognized $1.2 million in royalty revenue during the three months ended March 31, 2021 related to GSK net sales of Zejula during the period based on estimates of GSK’s sales historical experience. GSK reports sales information to us on a one quarter lag and differences between actual and estimated royalty revenues will be adjusted in the following quarter.</w:t>
      </w:r>
    </w:p>
    <w:p>
      <w:pPr>
        <w:spacing w:after="0" w:line="74"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We earned and recognized one clinical milestone for $10.0 million during the three months ended March 31, 2021. No other future clinical or regulatory milestones have been included in the transaction price, as all milestone amounts were subject to the revenue constraint. As part of the constraint evaluation, we considered numerous factors including the fact that the receipt of milestones is outside of our control and contingent upon success in future clinical trials, an outcome that is difficult to predict, and GSK’s efforts. Any consideration related to sales-based milestones, including royalties, will be recognized when the related sales occur as they were determined to relate predominantly to the intellectual property license granted to GSK and therefore have also been excluded from the transaction price. We will re-evaluate the variable transaction price in each reporting period and as uncertain events are resolved or other changes in circumstances occur.</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Milestones recognized through March 31, 2021 under the GSK Agreement are as follows:</w:t>
      </w:r>
    </w:p>
    <w:p>
      <w:pPr>
        <w:spacing w:after="0" w:line="35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0" w:type="dxa"/>
            <w:vAlign w:val="bottom"/>
            <w:gridSpan w:val="2"/>
          </w:tcPr>
          <w:p>
            <w:pPr>
              <w:spacing w:after="0"/>
              <w:rPr>
                <w:sz w:val="20"/>
                <w:szCs w:val="20"/>
                <w:color w:val="auto"/>
              </w:rPr>
            </w:pPr>
            <w:r>
              <w:rPr>
                <w:rFonts w:ascii="Arial" w:cs="Arial" w:eastAsia="Arial" w:hAnsi="Arial"/>
                <w:sz w:val="14"/>
                <w:szCs w:val="14"/>
                <w:b w:val="1"/>
                <w:bCs w:val="1"/>
                <w:color w:val="auto"/>
              </w:rPr>
              <w:t>Anti-PD-1</w:t>
            </w:r>
          </w:p>
        </w:tc>
        <w:tc>
          <w:tcPr>
            <w:tcW w:w="2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Anti-TIM-3</w:t>
            </w:r>
          </w:p>
        </w:tc>
        <w:tc>
          <w:tcPr>
            <w:tcW w:w="23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Anti-LAG-3</w:t>
            </w:r>
          </w:p>
        </w:tc>
        <w:tc>
          <w:tcPr>
            <w:tcW w:w="0" w:type="dxa"/>
            <w:vAlign w:val="bottom"/>
          </w:tcPr>
          <w:p>
            <w:pPr>
              <w:spacing w:after="0"/>
              <w:rPr>
                <w:sz w:val="1"/>
                <w:szCs w:val="1"/>
                <w:color w:val="auto"/>
              </w:rPr>
            </w:pPr>
          </w:p>
        </w:tc>
      </w:tr>
      <w:tr>
        <w:trPr>
          <w:trHeight w:val="186"/>
        </w:trPr>
        <w:tc>
          <w:tcPr>
            <w:tcW w:w="3940" w:type="dxa"/>
            <w:vAlign w:val="bottom"/>
          </w:tcPr>
          <w:p>
            <w:pPr>
              <w:spacing w:after="0"/>
              <w:rPr>
                <w:sz w:val="16"/>
                <w:szCs w:val="16"/>
                <w:color w:val="auto"/>
              </w:rPr>
            </w:pPr>
          </w:p>
        </w:tc>
        <w:tc>
          <w:tcPr>
            <w:tcW w:w="2460" w:type="dxa"/>
            <w:vAlign w:val="bottom"/>
            <w:gridSpan w:val="3"/>
          </w:tcPr>
          <w:p>
            <w:pPr>
              <w:ind w:left="360"/>
              <w:spacing w:after="0"/>
              <w:rPr>
                <w:sz w:val="20"/>
                <w:szCs w:val="20"/>
                <w:color w:val="auto"/>
              </w:rPr>
            </w:pPr>
            <w:r>
              <w:rPr>
                <w:rFonts w:ascii="Arial" w:cs="Arial" w:eastAsia="Arial" w:hAnsi="Arial"/>
                <w:sz w:val="14"/>
                <w:szCs w:val="14"/>
                <w:b w:val="1"/>
                <w:bCs w:val="1"/>
                <w:color w:val="auto"/>
              </w:rPr>
              <w:t>(JEMPERLI/Dostarlimab)</w:t>
            </w:r>
          </w:p>
        </w:tc>
        <w:tc>
          <w:tcPr>
            <w:tcW w:w="2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(GSK4069889A/Cobolimab)</w:t>
            </w:r>
          </w:p>
        </w:tc>
        <w:tc>
          <w:tcPr>
            <w:tcW w:w="2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(GSK40974386)</w:t>
            </w:r>
          </w:p>
        </w:tc>
        <w:tc>
          <w:tcPr>
            <w:tcW w:w="0" w:type="dxa"/>
            <w:vAlign w:val="bottom"/>
          </w:tcPr>
          <w:p>
            <w:pPr>
              <w:spacing w:after="0"/>
              <w:rPr>
                <w:sz w:val="1"/>
                <w:szCs w:val="1"/>
                <w:color w:val="auto"/>
              </w:rPr>
            </w:pPr>
          </w:p>
        </w:tc>
      </w:tr>
      <w:tr>
        <w:trPr>
          <w:trHeight w:val="25"/>
        </w:trPr>
        <w:tc>
          <w:tcPr>
            <w:tcW w:w="39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940" w:type="dxa"/>
            <w:vAlign w:val="bottom"/>
            <w:vMerge w:val="restart"/>
          </w:tcPr>
          <w:p>
            <w:pPr>
              <w:ind w:left="1480"/>
              <w:spacing w:after="0"/>
              <w:rPr>
                <w:sz w:val="20"/>
                <w:szCs w:val="20"/>
                <w:color w:val="auto"/>
              </w:rPr>
            </w:pPr>
            <w:r>
              <w:rPr>
                <w:rFonts w:ascii="Arial" w:cs="Arial" w:eastAsia="Arial" w:hAnsi="Arial"/>
                <w:sz w:val="14"/>
                <w:szCs w:val="14"/>
                <w:b w:val="1"/>
                <w:bCs w:val="1"/>
                <w:color w:val="auto"/>
              </w:rPr>
              <w:t>Milestone Event</w:t>
            </w:r>
          </w:p>
        </w:tc>
        <w:tc>
          <w:tcPr>
            <w:tcW w:w="860" w:type="dxa"/>
            <w:vAlign w:val="bottom"/>
            <w:vMerge w:val="restart"/>
          </w:tcPr>
          <w:p>
            <w:pPr>
              <w:ind w:left="340"/>
              <w:spacing w:after="0"/>
              <w:rPr>
                <w:sz w:val="20"/>
                <w:szCs w:val="20"/>
                <w:color w:val="auto"/>
              </w:rPr>
            </w:pPr>
            <w:r>
              <w:rPr>
                <w:rFonts w:ascii="Arial" w:cs="Arial" w:eastAsia="Arial" w:hAnsi="Arial"/>
                <w:sz w:val="14"/>
                <w:szCs w:val="14"/>
                <w:b w:val="1"/>
                <w:bCs w:val="1"/>
                <w:color w:val="auto"/>
                <w:w w:val="94"/>
              </w:rPr>
              <w:t>Amount</w:t>
            </w:r>
          </w:p>
        </w:tc>
        <w:tc>
          <w:tcPr>
            <w:tcW w:w="1500" w:type="dxa"/>
            <w:vAlign w:val="bottom"/>
          </w:tcPr>
          <w:p>
            <w:pPr>
              <w:jc w:val="center"/>
              <w:ind w:left="248"/>
              <w:spacing w:after="0" w:line="129" w:lineRule="exact"/>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1"/>
                <w:szCs w:val="11"/>
                <w:color w:val="auto"/>
              </w:rPr>
            </w:pPr>
          </w:p>
        </w:tc>
        <w:tc>
          <w:tcPr>
            <w:tcW w:w="11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Amount</w:t>
            </w:r>
          </w:p>
        </w:tc>
        <w:tc>
          <w:tcPr>
            <w:tcW w:w="1220" w:type="dxa"/>
            <w:vAlign w:val="bottom"/>
          </w:tcPr>
          <w:p>
            <w:pPr>
              <w:jc w:val="center"/>
              <w:ind w:left="8"/>
              <w:spacing w:after="0" w:line="129" w:lineRule="exact"/>
              <w:rPr>
                <w:sz w:val="20"/>
                <w:szCs w:val="20"/>
                <w:color w:val="auto"/>
              </w:rPr>
            </w:pPr>
            <w:r>
              <w:rPr>
                <w:rFonts w:ascii="Arial" w:cs="Arial" w:eastAsia="Arial" w:hAnsi="Arial"/>
                <w:sz w:val="14"/>
                <w:szCs w:val="14"/>
                <w:b w:val="1"/>
                <w:bCs w:val="1"/>
                <w:color w:val="auto"/>
                <w:w w:val="98"/>
              </w:rPr>
              <w:t>Quarter</w:t>
            </w:r>
          </w:p>
        </w:tc>
        <w:tc>
          <w:tcPr>
            <w:tcW w:w="120" w:type="dxa"/>
            <w:vAlign w:val="bottom"/>
          </w:tcPr>
          <w:p>
            <w:pPr>
              <w:spacing w:after="0"/>
              <w:rPr>
                <w:sz w:val="11"/>
                <w:szCs w:val="11"/>
                <w:color w:val="auto"/>
              </w:rPr>
            </w:pPr>
          </w:p>
        </w:tc>
        <w:tc>
          <w:tcPr>
            <w:tcW w:w="11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Amount</w:t>
            </w:r>
          </w:p>
        </w:tc>
        <w:tc>
          <w:tcPr>
            <w:tcW w:w="12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188"/>
        </w:trPr>
        <w:tc>
          <w:tcPr>
            <w:tcW w:w="39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60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auto"/>
                <w:w w:val="89"/>
              </w:rPr>
              <w:t>Recognized</w:t>
            </w:r>
          </w:p>
        </w:tc>
        <w:tc>
          <w:tcPr>
            <w:tcW w:w="1120" w:type="dxa"/>
            <w:vAlign w:val="bottom"/>
            <w:vMerge w:val="continue"/>
          </w:tcPr>
          <w:p>
            <w:pPr>
              <w:spacing w:after="0"/>
              <w:rPr>
                <w:sz w:val="16"/>
                <w:szCs w:val="16"/>
                <w:color w:val="auto"/>
              </w:rPr>
            </w:pPr>
          </w:p>
        </w:tc>
        <w:tc>
          <w:tcPr>
            <w:tcW w:w="13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Recognized</w:t>
            </w:r>
          </w:p>
        </w:tc>
        <w:tc>
          <w:tcPr>
            <w:tcW w:w="1120" w:type="dxa"/>
            <w:vAlign w:val="bottom"/>
            <w:vMerge w:val="continue"/>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Recognized</w:t>
            </w:r>
          </w:p>
        </w:tc>
        <w:tc>
          <w:tcPr>
            <w:tcW w:w="0" w:type="dxa"/>
            <w:vAlign w:val="bottom"/>
          </w:tcPr>
          <w:p>
            <w:pPr>
              <w:spacing w:after="0"/>
              <w:rPr>
                <w:sz w:val="1"/>
                <w:szCs w:val="1"/>
                <w:color w:val="auto"/>
              </w:rPr>
            </w:pPr>
          </w:p>
        </w:tc>
      </w:tr>
      <w:tr>
        <w:trPr>
          <w:trHeight w:val="352"/>
        </w:trPr>
        <w:tc>
          <w:tcPr>
            <w:tcW w:w="3940" w:type="dxa"/>
            <w:vAlign w:val="bottom"/>
            <w:shd w:val="clear" w:color="auto" w:fill="CFF0FC"/>
          </w:tcPr>
          <w:p>
            <w:pPr>
              <w:ind w:left="20"/>
              <w:spacing w:after="0"/>
              <w:rPr>
                <w:sz w:val="20"/>
                <w:szCs w:val="20"/>
                <w:color w:val="auto"/>
              </w:rPr>
            </w:pPr>
            <w:r>
              <w:rPr>
                <w:rFonts w:ascii="Arial" w:cs="Arial" w:eastAsia="Arial" w:hAnsi="Arial"/>
                <w:sz w:val="14"/>
                <w:szCs w:val="14"/>
                <w:color w:val="auto"/>
                <w:w w:val="96"/>
              </w:rPr>
              <w:t xml:space="preserve">Initiated </w:t>
            </w:r>
            <w:r>
              <w:rPr>
                <w:rFonts w:ascii="Arial" w:cs="Arial" w:eastAsia="Arial" w:hAnsi="Arial"/>
                <w:sz w:val="14"/>
                <w:szCs w:val="14"/>
                <w:i w:val="1"/>
                <w:iCs w:val="1"/>
                <w:color w:val="auto"/>
                <w:w w:val="96"/>
              </w:rPr>
              <w:t>in vivo</w:t>
            </w:r>
            <w:r>
              <w:rPr>
                <w:rFonts w:ascii="Arial" w:cs="Arial" w:eastAsia="Arial" w:hAnsi="Arial"/>
                <w:sz w:val="14"/>
                <w:szCs w:val="14"/>
                <w:color w:val="auto"/>
                <w:w w:val="96"/>
              </w:rPr>
              <w:t xml:space="preserve"> toxicology studies using good laboratory practices</w:t>
            </w:r>
          </w:p>
        </w:tc>
        <w:tc>
          <w:tcPr>
            <w:tcW w:w="860" w:type="dxa"/>
            <w:vAlign w:val="bottom"/>
            <w:vMerge w:val="restart"/>
            <w:shd w:val="clear" w:color="auto" w:fill="CFF0FC"/>
          </w:tcPr>
          <w:p>
            <w:pPr>
              <w:jc w:val="center"/>
              <w:ind w:left="248"/>
              <w:spacing w:after="0"/>
              <w:rPr>
                <w:sz w:val="20"/>
                <w:szCs w:val="20"/>
                <w:color w:val="auto"/>
              </w:rPr>
            </w:pPr>
            <w:r>
              <w:rPr>
                <w:rFonts w:ascii="Arial" w:cs="Arial" w:eastAsia="Arial" w:hAnsi="Arial"/>
                <w:sz w:val="14"/>
                <w:szCs w:val="14"/>
                <w:color w:val="auto"/>
                <w:w w:val="97"/>
              </w:rPr>
              <w:t>$1.0M</w:t>
            </w:r>
          </w:p>
        </w:tc>
        <w:tc>
          <w:tcPr>
            <w:tcW w:w="1600" w:type="dxa"/>
            <w:vAlign w:val="bottom"/>
            <w:gridSpan w:val="2"/>
            <w:vMerge w:val="restart"/>
            <w:shd w:val="clear" w:color="auto" w:fill="CFF0FC"/>
          </w:tcPr>
          <w:p>
            <w:pPr>
              <w:jc w:val="center"/>
              <w:ind w:left="148"/>
              <w:spacing w:after="0"/>
              <w:rPr>
                <w:sz w:val="20"/>
                <w:szCs w:val="20"/>
                <w:color w:val="auto"/>
              </w:rPr>
            </w:pPr>
            <w:r>
              <w:rPr>
                <w:rFonts w:ascii="Arial" w:cs="Arial" w:eastAsia="Arial" w:hAnsi="Arial"/>
                <w:sz w:val="14"/>
                <w:szCs w:val="14"/>
                <w:color w:val="auto"/>
                <w:w w:val="91"/>
              </w:rPr>
              <w:t>Q2'15</w:t>
            </w:r>
          </w:p>
        </w:tc>
        <w:tc>
          <w:tcPr>
            <w:tcW w:w="1120" w:type="dxa"/>
            <w:vAlign w:val="bottom"/>
            <w:vMerge w:val="restart"/>
            <w:shd w:val="clear" w:color="auto" w:fill="CFF0FC"/>
          </w:tcPr>
          <w:p>
            <w:pPr>
              <w:jc w:val="center"/>
              <w:spacing w:after="0"/>
              <w:rPr>
                <w:sz w:val="20"/>
                <w:szCs w:val="20"/>
                <w:color w:val="auto"/>
              </w:rPr>
            </w:pPr>
            <w:r>
              <w:rPr>
                <w:rFonts w:ascii="Arial" w:cs="Arial" w:eastAsia="Arial" w:hAnsi="Arial"/>
                <w:sz w:val="14"/>
                <w:szCs w:val="14"/>
                <w:color w:val="auto"/>
                <w:w w:val="97"/>
              </w:rPr>
              <w:t>$1.0M</w:t>
            </w:r>
          </w:p>
        </w:tc>
        <w:tc>
          <w:tcPr>
            <w:tcW w:w="1340" w:type="dxa"/>
            <w:vAlign w:val="bottom"/>
            <w:gridSpan w:val="2"/>
            <w:vMerge w:val="restart"/>
            <w:shd w:val="clear" w:color="auto" w:fill="CFF0FC"/>
          </w:tcPr>
          <w:p>
            <w:pPr>
              <w:jc w:val="center"/>
              <w:ind w:right="60"/>
              <w:spacing w:after="0"/>
              <w:rPr>
                <w:sz w:val="20"/>
                <w:szCs w:val="20"/>
                <w:color w:val="auto"/>
              </w:rPr>
            </w:pPr>
            <w:r>
              <w:rPr>
                <w:rFonts w:ascii="Arial" w:cs="Arial" w:eastAsia="Arial" w:hAnsi="Arial"/>
                <w:sz w:val="14"/>
                <w:szCs w:val="14"/>
                <w:color w:val="auto"/>
                <w:w w:val="97"/>
              </w:rPr>
              <w:t>Q4'15</w:t>
            </w:r>
          </w:p>
        </w:tc>
        <w:tc>
          <w:tcPr>
            <w:tcW w:w="1120" w:type="dxa"/>
            <w:vAlign w:val="bottom"/>
            <w:vMerge w:val="restart"/>
            <w:shd w:val="clear" w:color="auto" w:fill="CFF0FC"/>
          </w:tcPr>
          <w:p>
            <w:pPr>
              <w:jc w:val="center"/>
              <w:spacing w:after="0"/>
              <w:rPr>
                <w:sz w:val="20"/>
                <w:szCs w:val="20"/>
                <w:color w:val="auto"/>
              </w:rPr>
            </w:pPr>
            <w:r>
              <w:rPr>
                <w:rFonts w:ascii="Arial" w:cs="Arial" w:eastAsia="Arial" w:hAnsi="Arial"/>
                <w:sz w:val="14"/>
                <w:szCs w:val="14"/>
                <w:color w:val="auto"/>
                <w:w w:val="97"/>
              </w:rPr>
              <w:t>$1.0M</w:t>
            </w:r>
          </w:p>
        </w:tc>
        <w:tc>
          <w:tcPr>
            <w:tcW w:w="1220" w:type="dxa"/>
            <w:vAlign w:val="bottom"/>
            <w:vMerge w:val="restart"/>
            <w:shd w:val="clear" w:color="auto" w:fill="CFF0FC"/>
          </w:tcPr>
          <w:p>
            <w:pPr>
              <w:jc w:val="center"/>
              <w:spacing w:after="0"/>
              <w:rPr>
                <w:sz w:val="20"/>
                <w:szCs w:val="20"/>
                <w:color w:val="auto"/>
              </w:rPr>
            </w:pPr>
            <w:r>
              <w:rPr>
                <w:rFonts w:ascii="Arial" w:cs="Arial" w:eastAsia="Arial" w:hAnsi="Arial"/>
                <w:sz w:val="14"/>
                <w:szCs w:val="14"/>
                <w:color w:val="auto"/>
                <w:w w:val="97"/>
              </w:rPr>
              <w:t>Q3'16</w:t>
            </w:r>
          </w:p>
        </w:tc>
        <w:tc>
          <w:tcPr>
            <w:tcW w:w="0" w:type="dxa"/>
            <w:vAlign w:val="bottom"/>
          </w:tcPr>
          <w:p>
            <w:pPr>
              <w:spacing w:after="0"/>
              <w:rPr>
                <w:sz w:val="1"/>
                <w:szCs w:val="1"/>
                <w:color w:val="auto"/>
              </w:rPr>
            </w:pPr>
          </w:p>
        </w:tc>
      </w:tr>
      <w:tr>
        <w:trPr>
          <w:trHeight w:val="189"/>
        </w:trPr>
        <w:tc>
          <w:tcPr>
            <w:tcW w:w="3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(GLPs)</w:t>
            </w:r>
          </w:p>
        </w:tc>
        <w:tc>
          <w:tcPr>
            <w:tcW w:w="860" w:type="dxa"/>
            <w:vAlign w:val="bottom"/>
            <w:vMerge w:val="continue"/>
            <w:shd w:val="clear" w:color="auto" w:fill="CFF0FC"/>
          </w:tcPr>
          <w:p>
            <w:pPr>
              <w:spacing w:after="0"/>
              <w:rPr>
                <w:sz w:val="16"/>
                <w:szCs w:val="16"/>
                <w:color w:val="auto"/>
              </w:rPr>
            </w:pPr>
          </w:p>
        </w:tc>
        <w:tc>
          <w:tcPr>
            <w:tcW w:w="1600" w:type="dxa"/>
            <w:vAlign w:val="bottom"/>
            <w:gridSpan w:val="2"/>
            <w:vMerge w:val="continue"/>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340" w:type="dxa"/>
            <w:vAlign w:val="bottom"/>
            <w:gridSpan w:val="2"/>
            <w:vMerge w:val="continue"/>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22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40" w:type="dxa"/>
            <w:vAlign w:val="bottom"/>
          </w:tcPr>
          <w:p>
            <w:pPr>
              <w:ind w:left="20"/>
              <w:spacing w:after="0"/>
              <w:rPr>
                <w:sz w:val="20"/>
                <w:szCs w:val="20"/>
                <w:color w:val="auto"/>
              </w:rPr>
            </w:pPr>
            <w:r>
              <w:rPr>
                <w:rFonts w:ascii="Arial" w:cs="Arial" w:eastAsia="Arial" w:hAnsi="Arial"/>
                <w:sz w:val="14"/>
                <w:szCs w:val="14"/>
                <w:color w:val="auto"/>
              </w:rPr>
              <w:t>IND clearance from the FDA</w:t>
            </w:r>
          </w:p>
        </w:tc>
        <w:tc>
          <w:tcPr>
            <w:tcW w:w="860" w:type="dxa"/>
            <w:vAlign w:val="bottom"/>
          </w:tcPr>
          <w:p>
            <w:pPr>
              <w:jc w:val="center"/>
              <w:ind w:left="248"/>
              <w:spacing w:after="0"/>
              <w:rPr>
                <w:sz w:val="20"/>
                <w:szCs w:val="20"/>
                <w:color w:val="auto"/>
              </w:rPr>
            </w:pPr>
            <w:r>
              <w:rPr>
                <w:rFonts w:ascii="Arial" w:cs="Arial" w:eastAsia="Arial" w:hAnsi="Arial"/>
                <w:sz w:val="14"/>
                <w:szCs w:val="14"/>
                <w:color w:val="auto"/>
                <w:w w:val="97"/>
              </w:rPr>
              <w:t>$4.0M</w:t>
            </w:r>
          </w:p>
        </w:tc>
        <w:tc>
          <w:tcPr>
            <w:tcW w:w="1600" w:type="dxa"/>
            <w:vAlign w:val="bottom"/>
            <w:gridSpan w:val="2"/>
          </w:tcPr>
          <w:p>
            <w:pPr>
              <w:jc w:val="center"/>
              <w:ind w:left="148"/>
              <w:spacing w:after="0"/>
              <w:rPr>
                <w:sz w:val="20"/>
                <w:szCs w:val="20"/>
                <w:color w:val="auto"/>
              </w:rPr>
            </w:pPr>
            <w:r>
              <w:rPr>
                <w:rFonts w:ascii="Arial" w:cs="Arial" w:eastAsia="Arial" w:hAnsi="Arial"/>
                <w:sz w:val="14"/>
                <w:szCs w:val="14"/>
                <w:color w:val="auto"/>
                <w:w w:val="91"/>
              </w:rPr>
              <w:t>Q1'16</w:t>
            </w:r>
          </w:p>
        </w:tc>
        <w:tc>
          <w:tcPr>
            <w:tcW w:w="1120" w:type="dxa"/>
            <w:vAlign w:val="bottom"/>
          </w:tcPr>
          <w:p>
            <w:pPr>
              <w:jc w:val="center"/>
              <w:spacing w:after="0"/>
              <w:rPr>
                <w:sz w:val="20"/>
                <w:szCs w:val="20"/>
                <w:color w:val="auto"/>
              </w:rPr>
            </w:pPr>
            <w:r>
              <w:rPr>
                <w:rFonts w:ascii="Arial" w:cs="Arial" w:eastAsia="Arial" w:hAnsi="Arial"/>
                <w:sz w:val="14"/>
                <w:szCs w:val="14"/>
                <w:color w:val="auto"/>
                <w:w w:val="97"/>
              </w:rPr>
              <w:t>$4.0M</w:t>
            </w:r>
          </w:p>
        </w:tc>
        <w:tc>
          <w:tcPr>
            <w:tcW w:w="1340" w:type="dxa"/>
            <w:vAlign w:val="bottom"/>
            <w:gridSpan w:val="2"/>
          </w:tcPr>
          <w:p>
            <w:pPr>
              <w:jc w:val="center"/>
              <w:ind w:right="60"/>
              <w:spacing w:after="0"/>
              <w:rPr>
                <w:sz w:val="20"/>
                <w:szCs w:val="20"/>
                <w:color w:val="auto"/>
              </w:rPr>
            </w:pPr>
            <w:r>
              <w:rPr>
                <w:rFonts w:ascii="Arial" w:cs="Arial" w:eastAsia="Arial" w:hAnsi="Arial"/>
                <w:sz w:val="14"/>
                <w:szCs w:val="14"/>
                <w:color w:val="auto"/>
                <w:w w:val="97"/>
              </w:rPr>
              <w:t>Q2'16</w:t>
            </w:r>
          </w:p>
        </w:tc>
        <w:tc>
          <w:tcPr>
            <w:tcW w:w="1120" w:type="dxa"/>
            <w:vAlign w:val="bottom"/>
          </w:tcPr>
          <w:p>
            <w:pPr>
              <w:jc w:val="center"/>
              <w:spacing w:after="0"/>
              <w:rPr>
                <w:sz w:val="20"/>
                <w:szCs w:val="20"/>
                <w:color w:val="auto"/>
              </w:rPr>
            </w:pPr>
            <w:r>
              <w:rPr>
                <w:rFonts w:ascii="Arial" w:cs="Arial" w:eastAsia="Arial" w:hAnsi="Arial"/>
                <w:sz w:val="14"/>
                <w:szCs w:val="14"/>
                <w:color w:val="auto"/>
                <w:w w:val="97"/>
              </w:rPr>
              <w:t>$4.0M</w:t>
            </w:r>
          </w:p>
        </w:tc>
        <w:tc>
          <w:tcPr>
            <w:tcW w:w="1220" w:type="dxa"/>
            <w:vAlign w:val="bottom"/>
          </w:tcPr>
          <w:p>
            <w:pPr>
              <w:jc w:val="center"/>
              <w:spacing w:after="0"/>
              <w:rPr>
                <w:sz w:val="20"/>
                <w:szCs w:val="20"/>
                <w:color w:val="auto"/>
              </w:rPr>
            </w:pPr>
            <w:r>
              <w:rPr>
                <w:rFonts w:ascii="Arial" w:cs="Arial" w:eastAsia="Arial" w:hAnsi="Arial"/>
                <w:sz w:val="14"/>
                <w:szCs w:val="14"/>
                <w:color w:val="auto"/>
                <w:w w:val="97"/>
              </w:rPr>
              <w:t>Q2'17</w:t>
            </w:r>
          </w:p>
        </w:tc>
        <w:tc>
          <w:tcPr>
            <w:tcW w:w="0" w:type="dxa"/>
            <w:vAlign w:val="bottom"/>
          </w:tcPr>
          <w:p>
            <w:pPr>
              <w:spacing w:after="0"/>
              <w:rPr>
                <w:sz w:val="1"/>
                <w:szCs w:val="1"/>
                <w:color w:val="auto"/>
              </w:rPr>
            </w:pPr>
          </w:p>
        </w:tc>
      </w:tr>
      <w:tr>
        <w:trPr>
          <w:trHeight w:val="192"/>
        </w:trPr>
        <w:tc>
          <w:tcPr>
            <w:tcW w:w="3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Phase 2 clinical trial initiation</w:t>
            </w:r>
          </w:p>
        </w:tc>
        <w:tc>
          <w:tcPr>
            <w:tcW w:w="860" w:type="dxa"/>
            <w:vAlign w:val="bottom"/>
            <w:shd w:val="clear" w:color="auto" w:fill="CFF0FC"/>
          </w:tcPr>
          <w:p>
            <w:pPr>
              <w:jc w:val="center"/>
              <w:ind w:left="248"/>
              <w:spacing w:after="0"/>
              <w:rPr>
                <w:sz w:val="20"/>
                <w:szCs w:val="20"/>
                <w:color w:val="auto"/>
              </w:rPr>
            </w:pPr>
            <w:r>
              <w:rPr>
                <w:rFonts w:ascii="Arial" w:cs="Arial" w:eastAsia="Arial" w:hAnsi="Arial"/>
                <w:sz w:val="14"/>
                <w:szCs w:val="14"/>
                <w:color w:val="auto"/>
                <w:w w:val="97"/>
              </w:rPr>
              <w:t>$3.0M</w:t>
            </w:r>
          </w:p>
        </w:tc>
        <w:tc>
          <w:tcPr>
            <w:tcW w:w="1600" w:type="dxa"/>
            <w:vAlign w:val="bottom"/>
            <w:gridSpan w:val="2"/>
            <w:shd w:val="clear" w:color="auto" w:fill="CFF0FC"/>
          </w:tcPr>
          <w:p>
            <w:pPr>
              <w:jc w:val="center"/>
              <w:ind w:left="148"/>
              <w:spacing w:after="0"/>
              <w:rPr>
                <w:sz w:val="20"/>
                <w:szCs w:val="20"/>
                <w:color w:val="auto"/>
              </w:rPr>
            </w:pPr>
            <w:r>
              <w:rPr>
                <w:rFonts w:ascii="Arial" w:cs="Arial" w:eastAsia="Arial" w:hAnsi="Arial"/>
                <w:sz w:val="14"/>
                <w:szCs w:val="14"/>
                <w:color w:val="auto"/>
                <w:w w:val="91"/>
              </w:rPr>
              <w:t>Q2'17</w:t>
            </w:r>
          </w:p>
        </w:tc>
        <w:tc>
          <w:tcPr>
            <w:tcW w:w="11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7"/>
              </w:rPr>
              <w:t>$3.0M</w:t>
            </w:r>
          </w:p>
        </w:tc>
        <w:tc>
          <w:tcPr>
            <w:tcW w:w="1340" w:type="dxa"/>
            <w:vAlign w:val="bottom"/>
            <w:gridSpan w:val="2"/>
            <w:shd w:val="clear" w:color="auto" w:fill="CFF0FC"/>
          </w:tcPr>
          <w:p>
            <w:pPr>
              <w:jc w:val="center"/>
              <w:ind w:right="60"/>
              <w:spacing w:after="0"/>
              <w:rPr>
                <w:sz w:val="20"/>
                <w:szCs w:val="20"/>
                <w:color w:val="auto"/>
              </w:rPr>
            </w:pPr>
            <w:r>
              <w:rPr>
                <w:rFonts w:ascii="Arial" w:cs="Arial" w:eastAsia="Arial" w:hAnsi="Arial"/>
                <w:sz w:val="14"/>
                <w:szCs w:val="14"/>
                <w:color w:val="auto"/>
                <w:w w:val="97"/>
              </w:rPr>
              <w:t>Q4'17</w:t>
            </w:r>
          </w:p>
        </w:tc>
        <w:tc>
          <w:tcPr>
            <w:tcW w:w="11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7"/>
              </w:rPr>
              <w:t>$3.0M</w:t>
            </w:r>
          </w:p>
        </w:tc>
        <w:tc>
          <w:tcPr>
            <w:tcW w:w="12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7"/>
              </w:rPr>
              <w:t>Q4'19</w:t>
            </w:r>
          </w:p>
        </w:tc>
        <w:tc>
          <w:tcPr>
            <w:tcW w:w="0" w:type="dxa"/>
            <w:vAlign w:val="bottom"/>
          </w:tcPr>
          <w:p>
            <w:pPr>
              <w:spacing w:after="0"/>
              <w:rPr>
                <w:sz w:val="1"/>
                <w:szCs w:val="1"/>
                <w:color w:val="auto"/>
              </w:rPr>
            </w:pPr>
          </w:p>
        </w:tc>
      </w:tr>
      <w:tr>
        <w:trPr>
          <w:trHeight w:val="186"/>
        </w:trPr>
        <w:tc>
          <w:tcPr>
            <w:tcW w:w="3940" w:type="dxa"/>
            <w:vAlign w:val="bottom"/>
          </w:tcPr>
          <w:p>
            <w:pPr>
              <w:ind w:left="20"/>
              <w:spacing w:after="0"/>
              <w:rPr>
                <w:sz w:val="20"/>
                <w:szCs w:val="20"/>
                <w:color w:val="auto"/>
              </w:rPr>
            </w:pPr>
            <w:r>
              <w:rPr>
                <w:rFonts w:ascii="Arial" w:cs="Arial" w:eastAsia="Arial" w:hAnsi="Arial"/>
                <w:sz w:val="14"/>
                <w:szCs w:val="14"/>
                <w:color w:val="auto"/>
              </w:rPr>
              <w:t>Phase 3 clinical trial initiation - first indication</w:t>
            </w:r>
          </w:p>
        </w:tc>
        <w:tc>
          <w:tcPr>
            <w:tcW w:w="860" w:type="dxa"/>
            <w:vAlign w:val="bottom"/>
          </w:tcPr>
          <w:p>
            <w:pPr>
              <w:jc w:val="center"/>
              <w:ind w:left="248"/>
              <w:spacing w:after="0"/>
              <w:rPr>
                <w:sz w:val="20"/>
                <w:szCs w:val="20"/>
                <w:color w:val="auto"/>
              </w:rPr>
            </w:pPr>
            <w:r>
              <w:rPr>
                <w:rFonts w:ascii="Arial" w:cs="Arial" w:eastAsia="Arial" w:hAnsi="Arial"/>
                <w:sz w:val="14"/>
                <w:szCs w:val="14"/>
                <w:color w:val="auto"/>
                <w:w w:val="97"/>
              </w:rPr>
              <w:t>$5.0M</w:t>
            </w:r>
          </w:p>
        </w:tc>
        <w:tc>
          <w:tcPr>
            <w:tcW w:w="1600" w:type="dxa"/>
            <w:vAlign w:val="bottom"/>
            <w:gridSpan w:val="2"/>
          </w:tcPr>
          <w:p>
            <w:pPr>
              <w:jc w:val="center"/>
              <w:ind w:left="148"/>
              <w:spacing w:after="0"/>
              <w:rPr>
                <w:sz w:val="20"/>
                <w:szCs w:val="20"/>
                <w:color w:val="auto"/>
              </w:rPr>
            </w:pPr>
            <w:r>
              <w:rPr>
                <w:rFonts w:ascii="Arial" w:cs="Arial" w:eastAsia="Arial" w:hAnsi="Arial"/>
                <w:sz w:val="14"/>
                <w:szCs w:val="14"/>
                <w:color w:val="auto"/>
                <w:w w:val="91"/>
              </w:rPr>
              <w:t>Q3'18</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Phase 3 clinical trial initiation - second indication</w:t>
            </w:r>
          </w:p>
        </w:tc>
        <w:tc>
          <w:tcPr>
            <w:tcW w:w="860" w:type="dxa"/>
            <w:vAlign w:val="bottom"/>
            <w:shd w:val="clear" w:color="auto" w:fill="CFF0FC"/>
          </w:tcPr>
          <w:p>
            <w:pPr>
              <w:jc w:val="center"/>
              <w:ind w:left="248"/>
              <w:spacing w:after="0"/>
              <w:rPr>
                <w:sz w:val="20"/>
                <w:szCs w:val="20"/>
                <w:color w:val="auto"/>
              </w:rPr>
            </w:pPr>
            <w:r>
              <w:rPr>
                <w:rFonts w:ascii="Arial" w:cs="Arial" w:eastAsia="Arial" w:hAnsi="Arial"/>
                <w:sz w:val="14"/>
                <w:szCs w:val="14"/>
                <w:color w:val="auto"/>
                <w:w w:val="97"/>
              </w:rPr>
              <w:t>$5.0M</w:t>
            </w:r>
          </w:p>
        </w:tc>
        <w:tc>
          <w:tcPr>
            <w:tcW w:w="1600" w:type="dxa"/>
            <w:vAlign w:val="bottom"/>
            <w:gridSpan w:val="2"/>
            <w:shd w:val="clear" w:color="auto" w:fill="CFF0FC"/>
          </w:tcPr>
          <w:p>
            <w:pPr>
              <w:jc w:val="center"/>
              <w:ind w:left="148"/>
              <w:spacing w:after="0"/>
              <w:rPr>
                <w:sz w:val="20"/>
                <w:szCs w:val="20"/>
                <w:color w:val="auto"/>
              </w:rPr>
            </w:pPr>
            <w:r>
              <w:rPr>
                <w:rFonts w:ascii="Arial" w:cs="Arial" w:eastAsia="Arial" w:hAnsi="Arial"/>
                <w:sz w:val="14"/>
                <w:szCs w:val="14"/>
                <w:color w:val="auto"/>
                <w:w w:val="91"/>
              </w:rPr>
              <w:t>Q2'19</w:t>
            </w:r>
          </w:p>
        </w:tc>
        <w:tc>
          <w:tcPr>
            <w:tcW w:w="11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gridSpan w:val="2"/>
            <w:shd w:val="clear" w:color="auto" w:fill="CFF0FC"/>
          </w:tcPr>
          <w:p>
            <w:pPr>
              <w:jc w:val="center"/>
              <w:ind w:right="40"/>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940" w:type="dxa"/>
            <w:vAlign w:val="bottom"/>
          </w:tcPr>
          <w:p>
            <w:pPr>
              <w:ind w:left="20"/>
              <w:spacing w:after="0"/>
              <w:rPr>
                <w:sz w:val="20"/>
                <w:szCs w:val="20"/>
                <w:color w:val="auto"/>
              </w:rPr>
            </w:pPr>
            <w:r>
              <w:rPr>
                <w:rFonts w:ascii="Arial" w:cs="Arial" w:eastAsia="Arial" w:hAnsi="Arial"/>
                <w:sz w:val="14"/>
                <w:szCs w:val="14"/>
                <w:color w:val="auto"/>
              </w:rPr>
              <w:t>Filing of the first BLA - first indication</w:t>
            </w:r>
          </w:p>
        </w:tc>
        <w:tc>
          <w:tcPr>
            <w:tcW w:w="860" w:type="dxa"/>
            <w:vAlign w:val="bottom"/>
          </w:tcPr>
          <w:p>
            <w:pPr>
              <w:jc w:val="center"/>
              <w:ind w:left="248"/>
              <w:spacing w:after="0"/>
              <w:rPr>
                <w:sz w:val="20"/>
                <w:szCs w:val="20"/>
                <w:color w:val="auto"/>
              </w:rPr>
            </w:pPr>
            <w:r>
              <w:rPr>
                <w:rFonts w:ascii="Arial" w:cs="Arial" w:eastAsia="Arial" w:hAnsi="Arial"/>
                <w:sz w:val="14"/>
                <w:szCs w:val="14"/>
                <w:color w:val="auto"/>
                <w:w w:val="98"/>
              </w:rPr>
              <w:t>$10.0M</w:t>
            </w:r>
          </w:p>
        </w:tc>
        <w:tc>
          <w:tcPr>
            <w:tcW w:w="1600" w:type="dxa"/>
            <w:vAlign w:val="bottom"/>
            <w:gridSpan w:val="2"/>
          </w:tcPr>
          <w:p>
            <w:pPr>
              <w:jc w:val="center"/>
              <w:ind w:left="148"/>
              <w:spacing w:after="0"/>
              <w:rPr>
                <w:sz w:val="20"/>
                <w:szCs w:val="20"/>
                <w:color w:val="auto"/>
              </w:rPr>
            </w:pPr>
            <w:r>
              <w:rPr>
                <w:rFonts w:ascii="Arial" w:cs="Arial" w:eastAsia="Arial" w:hAnsi="Arial"/>
                <w:sz w:val="14"/>
                <w:szCs w:val="14"/>
                <w:color w:val="auto"/>
                <w:w w:val="91"/>
              </w:rPr>
              <w:t>Q1'20</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Filing of the first MAA - first indication</w:t>
            </w:r>
          </w:p>
        </w:tc>
        <w:tc>
          <w:tcPr>
            <w:tcW w:w="860" w:type="dxa"/>
            <w:vAlign w:val="bottom"/>
            <w:shd w:val="clear" w:color="auto" w:fill="CCEEFF"/>
          </w:tcPr>
          <w:p>
            <w:pPr>
              <w:jc w:val="center"/>
              <w:ind w:left="248"/>
              <w:spacing w:after="0"/>
              <w:rPr>
                <w:sz w:val="20"/>
                <w:szCs w:val="20"/>
                <w:color w:val="auto"/>
              </w:rPr>
            </w:pPr>
            <w:r>
              <w:rPr>
                <w:rFonts w:ascii="Arial" w:cs="Arial" w:eastAsia="Arial" w:hAnsi="Arial"/>
                <w:sz w:val="14"/>
                <w:szCs w:val="14"/>
                <w:color w:val="auto"/>
                <w:w w:val="97"/>
              </w:rPr>
              <w:t>$5.0M</w:t>
            </w:r>
          </w:p>
        </w:tc>
        <w:tc>
          <w:tcPr>
            <w:tcW w:w="16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1"/>
              </w:rPr>
              <w:t>Q1'20</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940" w:type="dxa"/>
            <w:vAlign w:val="bottom"/>
          </w:tcPr>
          <w:p>
            <w:pPr>
              <w:ind w:left="20"/>
              <w:spacing w:after="0"/>
              <w:rPr>
                <w:sz w:val="20"/>
                <w:szCs w:val="20"/>
                <w:color w:val="auto"/>
              </w:rPr>
            </w:pPr>
            <w:r>
              <w:rPr>
                <w:rFonts w:ascii="Arial" w:cs="Arial" w:eastAsia="Arial" w:hAnsi="Arial"/>
                <w:sz w:val="14"/>
                <w:szCs w:val="14"/>
                <w:color w:val="auto"/>
              </w:rPr>
              <w:t>Filing of the first BLA - second indication</w:t>
            </w:r>
          </w:p>
        </w:tc>
        <w:tc>
          <w:tcPr>
            <w:tcW w:w="860" w:type="dxa"/>
            <w:vAlign w:val="bottom"/>
          </w:tcPr>
          <w:p>
            <w:pPr>
              <w:jc w:val="center"/>
              <w:ind w:left="248"/>
              <w:spacing w:after="0"/>
              <w:rPr>
                <w:sz w:val="20"/>
                <w:szCs w:val="20"/>
                <w:color w:val="auto"/>
              </w:rPr>
            </w:pPr>
            <w:r>
              <w:rPr>
                <w:rFonts w:ascii="Arial" w:cs="Arial" w:eastAsia="Arial" w:hAnsi="Arial"/>
                <w:sz w:val="14"/>
                <w:szCs w:val="14"/>
                <w:color w:val="auto"/>
                <w:w w:val="98"/>
              </w:rPr>
              <w:t>$10.0M</w:t>
            </w:r>
          </w:p>
        </w:tc>
        <w:tc>
          <w:tcPr>
            <w:tcW w:w="1600" w:type="dxa"/>
            <w:vAlign w:val="bottom"/>
            <w:gridSpan w:val="2"/>
          </w:tcPr>
          <w:p>
            <w:pPr>
              <w:jc w:val="center"/>
              <w:ind w:left="148"/>
              <w:spacing w:after="0"/>
              <w:rPr>
                <w:sz w:val="20"/>
                <w:szCs w:val="20"/>
                <w:color w:val="auto"/>
              </w:rPr>
            </w:pPr>
            <w:r>
              <w:rPr>
                <w:rFonts w:ascii="Arial" w:cs="Arial" w:eastAsia="Arial" w:hAnsi="Arial"/>
                <w:sz w:val="14"/>
                <w:szCs w:val="14"/>
                <w:color w:val="auto"/>
                <w:w w:val="91"/>
              </w:rPr>
              <w:t>Q1'21</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340" w:firstLine="567"/>
        <w:spacing w:after="0" w:line="277" w:lineRule="auto"/>
        <w:rPr>
          <w:sz w:val="20"/>
          <w:szCs w:val="20"/>
          <w:color w:val="auto"/>
        </w:rPr>
      </w:pPr>
      <w:r>
        <w:rPr>
          <w:rFonts w:ascii="Arial" w:cs="Arial" w:eastAsia="Arial" w:hAnsi="Arial"/>
          <w:sz w:val="18"/>
          <w:szCs w:val="18"/>
          <w:color w:val="auto"/>
        </w:rPr>
        <w:t>Milestones achieved during the discovery period were recognized as revenue pro-rata through December 31, 2016. Milestones achieved during fiscal 2017 were recognized as revenue in the period earned, while milestones after December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 w:name="page14"/>
    <w:bookmarkEnd w:id="13"/>
    <w:p>
      <w:pPr>
        <w:spacing w:after="0" w:line="200" w:lineRule="exact"/>
        <w:rPr>
          <w:sz w:val="20"/>
          <w:szCs w:val="20"/>
          <w:color w:val="auto"/>
        </w:rPr>
      </w:pPr>
    </w:p>
    <w:p>
      <w:pPr>
        <w:spacing w:after="0" w:line="21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2017 are recognized upon determination that a significant reversal of revenue would not be probable. Cash is generally received within 30 days of milestone achievement.</w:t>
      </w:r>
    </w:p>
    <w:p>
      <w:pPr>
        <w:spacing w:after="0" w:line="62" w:lineRule="exact"/>
        <w:rPr>
          <w:sz w:val="20"/>
          <w:szCs w:val="20"/>
          <w:color w:val="auto"/>
        </w:rPr>
      </w:pPr>
    </w:p>
    <w:p>
      <w:pPr>
        <w:ind w:right="440" w:firstLine="445"/>
        <w:spacing w:after="0" w:line="261" w:lineRule="auto"/>
        <w:rPr>
          <w:sz w:val="20"/>
          <w:szCs w:val="20"/>
          <w:color w:val="auto"/>
        </w:rPr>
      </w:pPr>
      <w:r>
        <w:rPr>
          <w:rFonts w:ascii="Arial" w:cs="Arial" w:eastAsia="Arial" w:hAnsi="Arial"/>
          <w:sz w:val="18"/>
          <w:szCs w:val="18"/>
          <w:color w:val="auto"/>
        </w:rPr>
        <w:t>We recognized $11.2 million and $15.0 million in revenue under the GSK Agreement during the three months ended March 31, 2021 and 2020, respectively.</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Antibody Generation Agreement with Bristol-Myers Squibb</w:t>
      </w:r>
    </w:p>
    <w:p>
      <w:pPr>
        <w:spacing w:after="0" w:line="117" w:lineRule="exact"/>
        <w:rPr>
          <w:sz w:val="20"/>
          <w:szCs w:val="20"/>
          <w:color w:val="auto"/>
        </w:rPr>
      </w:pPr>
    </w:p>
    <w:p>
      <w:pPr>
        <w:ind w:right="180" w:firstLine="567"/>
        <w:spacing w:after="0" w:line="241" w:lineRule="auto"/>
        <w:rPr>
          <w:sz w:val="20"/>
          <w:szCs w:val="20"/>
          <w:color w:val="auto"/>
        </w:rPr>
      </w:pPr>
      <w:r>
        <w:rPr>
          <w:rFonts w:ascii="Arial" w:cs="Arial" w:eastAsia="Arial" w:hAnsi="Arial"/>
          <w:sz w:val="18"/>
          <w:szCs w:val="18"/>
          <w:color w:val="auto"/>
        </w:rPr>
        <w:t>In December 2011, we entered into a license and collaboration agreement (the “BMS Agreement”) with Celgene, now a part of Bristol-Myers Squibb (Celgene and Bristol-Myers Squibb are hereinafter referred to, collectively, as “BMS”), to develop therapeutic antibodies against multiple targets. We granted BMS the option to obtain worldwide commercial rights to antibodies generated against each of the targets under the agreement, which option was triggered on a target-by-target basis by our delivery of antibodies meeting certain pre-specified parameters pertaining to each target under the agreement.</w:t>
      </w:r>
    </w:p>
    <w:p>
      <w:pPr>
        <w:spacing w:after="0" w:line="81" w:lineRule="exact"/>
        <w:rPr>
          <w:sz w:val="20"/>
          <w:szCs w:val="20"/>
          <w:color w:val="auto"/>
        </w:rPr>
      </w:pPr>
    </w:p>
    <w:p>
      <w:pPr>
        <w:jc w:val="both"/>
        <w:ind w:right="660" w:firstLine="445"/>
        <w:spacing w:after="0" w:line="263" w:lineRule="auto"/>
        <w:rPr>
          <w:sz w:val="20"/>
          <w:szCs w:val="20"/>
          <w:color w:val="auto"/>
        </w:rPr>
      </w:pPr>
      <w:r>
        <w:rPr>
          <w:rFonts w:ascii="Arial" w:cs="Arial" w:eastAsia="Arial" w:hAnsi="Arial"/>
          <w:sz w:val="18"/>
          <w:szCs w:val="18"/>
          <w:color w:val="auto"/>
        </w:rPr>
        <w:t>The BMS Agreement provided for an upfront payment of $6.0 million from BMS, which we received in 2011 and recognized through 2014, milestone payments of up to $53.0 million per target, low single-digit royalties on net sales of antibodies against each target, and reimbursement of specified research and development costs.</w:t>
      </w:r>
    </w:p>
    <w:p>
      <w:pPr>
        <w:spacing w:after="0" w:line="76" w:lineRule="exact"/>
        <w:rPr>
          <w:sz w:val="20"/>
          <w:szCs w:val="20"/>
          <w:color w:val="auto"/>
        </w:rPr>
      </w:pPr>
    </w:p>
    <w:p>
      <w:pPr>
        <w:ind w:right="20" w:firstLine="445"/>
        <w:spacing w:after="0" w:line="290" w:lineRule="auto"/>
        <w:rPr>
          <w:sz w:val="20"/>
          <w:szCs w:val="20"/>
          <w:color w:val="auto"/>
        </w:rPr>
      </w:pPr>
      <w:r>
        <w:rPr>
          <w:rFonts w:ascii="Arial" w:cs="Arial" w:eastAsia="Arial" w:hAnsi="Arial"/>
          <w:sz w:val="16"/>
          <w:szCs w:val="16"/>
          <w:color w:val="auto"/>
        </w:rPr>
        <w:t>We assessed this arrangement in accordance with ASC Topic 606 and concluded that the contract counterparty, BMS, is a customer. We identified the following material promises under the BMS Agreement: (1) the licenses under certain patent rights relating to four targets and transfer of certain development and regulatory information, (2) R&amp;D services, (3) a written report documenting findings, and (4) steering committee meetings. We considered the research and discovery capabilities of BMS, BMS’s inability to sub-license the four targets, and the fact that the discovery and optimization of these antibodies is proprietary and could not, at the time of contract inception, be provided by other vendors, to conclude that the license does not have stand-alone functionality and is therefore not distinct. Additionally, we determined that the report of findings and steering committee participation would not have been provided without the R&amp;D services and license agreement. Based on these assessments, we identified all services to be interrelated, and therefore concluded that the promises should be combined into a single performance obligation at the inception the arrangement.</w:t>
      </w:r>
    </w:p>
    <w:p>
      <w:pPr>
        <w:spacing w:after="0" w:line="57" w:lineRule="exact"/>
        <w:rPr>
          <w:sz w:val="20"/>
          <w:szCs w:val="20"/>
          <w:color w:val="auto"/>
        </w:rPr>
      </w:pPr>
    </w:p>
    <w:p>
      <w:pPr>
        <w:ind w:right="180" w:firstLine="445"/>
        <w:spacing w:after="0" w:line="291" w:lineRule="auto"/>
        <w:rPr>
          <w:sz w:val="20"/>
          <w:szCs w:val="20"/>
          <w:color w:val="auto"/>
        </w:rPr>
      </w:pPr>
      <w:r>
        <w:rPr>
          <w:rFonts w:ascii="Arial" w:cs="Arial" w:eastAsia="Arial" w:hAnsi="Arial"/>
          <w:sz w:val="16"/>
          <w:szCs w:val="16"/>
          <w:color w:val="auto"/>
        </w:rPr>
        <w:t>As of March 31, 2021, the transaction price of the BMS Agreement includes the upfront payment, success fees, expense reimbursement, and milestones earned to date, which are allocated in their entirety to the single performance obligation. None of the future clinical or regulatory milestones have been included in the transaction price, as all milestone amounts were subject to the revenue constraint. As part of the constraint evaluation, we considered numerous factors, including the fact that the receipt of milestones is outside of our control and contingent upon success in future clinical trials and BMS’s efforts. Any consideration related to sales-based milestones, including royalties, will be recognized when the related sales occur as they were determined to relate predominantly to the intellectual property license granted to BMS and therefore have also been excluded from the transaction price. We will re-evaluate the transaction price in each reporting period and as uncertain events are resolved or other changes in circumstances occur.</w:t>
      </w:r>
    </w:p>
    <w:p>
      <w:pPr>
        <w:spacing w:after="0" w:line="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Milestones achieved through March 31, 2021 under the BMS Agreement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4900" w:type="dxa"/>
            <w:vAlign w:val="bottom"/>
            <w:gridSpan w:val="2"/>
          </w:tcPr>
          <w:p>
            <w:pPr>
              <w:jc w:val="center"/>
              <w:ind w:left="2548"/>
              <w:spacing w:after="0"/>
              <w:rPr>
                <w:sz w:val="20"/>
                <w:szCs w:val="20"/>
                <w:color w:val="auto"/>
              </w:rPr>
            </w:pPr>
            <w:r>
              <w:rPr>
                <w:rFonts w:ascii="Arial" w:cs="Arial" w:eastAsia="Arial" w:hAnsi="Arial"/>
                <w:sz w:val="14"/>
                <w:szCs w:val="14"/>
                <w:b w:val="1"/>
                <w:bCs w:val="1"/>
                <w:color w:val="auto"/>
              </w:rPr>
              <w:t>Anti-PD-1</w:t>
            </w:r>
          </w:p>
        </w:tc>
        <w:tc>
          <w:tcPr>
            <w:tcW w:w="0" w:type="dxa"/>
            <w:vAlign w:val="bottom"/>
          </w:tcPr>
          <w:p>
            <w:pPr>
              <w:spacing w:after="0"/>
              <w:rPr>
                <w:sz w:val="1"/>
                <w:szCs w:val="1"/>
                <w:color w:val="auto"/>
              </w:rPr>
            </w:pPr>
          </w:p>
        </w:tc>
      </w:tr>
      <w:tr>
        <w:trPr>
          <w:trHeight w:val="188"/>
        </w:trPr>
        <w:tc>
          <w:tcPr>
            <w:tcW w:w="6340" w:type="dxa"/>
            <w:vAlign w:val="bottom"/>
            <w:tcBorders>
              <w:bottom w:val="single" w:sz="8" w:color="auto"/>
            </w:tcBorders>
          </w:tcPr>
          <w:p>
            <w:pPr>
              <w:spacing w:after="0"/>
              <w:rPr>
                <w:sz w:val="16"/>
                <w:szCs w:val="16"/>
                <w:color w:val="auto"/>
              </w:rPr>
            </w:pPr>
          </w:p>
        </w:tc>
        <w:tc>
          <w:tcPr>
            <w:tcW w:w="4900" w:type="dxa"/>
            <w:vAlign w:val="bottom"/>
            <w:tcBorders>
              <w:bottom w:val="single" w:sz="8" w:color="auto"/>
            </w:tcBorders>
            <w:gridSpan w:val="2"/>
          </w:tcPr>
          <w:p>
            <w:pPr>
              <w:jc w:val="center"/>
              <w:ind w:left="2568"/>
              <w:spacing w:after="0"/>
              <w:rPr>
                <w:sz w:val="20"/>
                <w:szCs w:val="20"/>
                <w:color w:val="auto"/>
              </w:rPr>
            </w:pPr>
            <w:r>
              <w:rPr>
                <w:rFonts w:ascii="Arial" w:cs="Arial" w:eastAsia="Arial" w:hAnsi="Arial"/>
                <w:sz w:val="14"/>
                <w:szCs w:val="14"/>
                <w:b w:val="1"/>
                <w:bCs w:val="1"/>
                <w:color w:val="auto"/>
                <w:w w:val="95"/>
              </w:rPr>
              <w:t>(CC-90006)</w:t>
            </w:r>
          </w:p>
        </w:tc>
        <w:tc>
          <w:tcPr>
            <w:tcW w:w="0" w:type="dxa"/>
            <w:vAlign w:val="bottom"/>
          </w:tcPr>
          <w:p>
            <w:pPr>
              <w:spacing w:after="0"/>
              <w:rPr>
                <w:sz w:val="1"/>
                <w:szCs w:val="1"/>
                <w:color w:val="auto"/>
              </w:rPr>
            </w:pPr>
          </w:p>
        </w:tc>
      </w:tr>
      <w:tr>
        <w:trPr>
          <w:trHeight w:val="130"/>
        </w:trPr>
        <w:tc>
          <w:tcPr>
            <w:tcW w:w="6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Milestone Event</w:t>
            </w:r>
          </w:p>
        </w:tc>
        <w:tc>
          <w:tcPr>
            <w:tcW w:w="3760" w:type="dxa"/>
            <w:vAlign w:val="bottom"/>
            <w:vMerge w:val="restart"/>
          </w:tcPr>
          <w:p>
            <w:pPr>
              <w:jc w:val="center"/>
              <w:ind w:left="2668"/>
              <w:spacing w:after="0"/>
              <w:rPr>
                <w:sz w:val="20"/>
                <w:szCs w:val="20"/>
                <w:color w:val="auto"/>
              </w:rPr>
            </w:pPr>
            <w:r>
              <w:rPr>
                <w:rFonts w:ascii="Arial" w:cs="Arial" w:eastAsia="Arial" w:hAnsi="Arial"/>
                <w:sz w:val="14"/>
                <w:szCs w:val="14"/>
                <w:b w:val="1"/>
                <w:bCs w:val="1"/>
                <w:color w:val="auto"/>
                <w:w w:val="94"/>
              </w:rPr>
              <w:t>Amount</w:t>
            </w:r>
          </w:p>
        </w:tc>
        <w:tc>
          <w:tcPr>
            <w:tcW w:w="1140" w:type="dxa"/>
            <w:vAlign w:val="bottom"/>
          </w:tcPr>
          <w:p>
            <w:pPr>
              <w:jc w:val="center"/>
              <w:ind w:left="8"/>
              <w:spacing w:after="0" w:line="130" w:lineRule="exact"/>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188"/>
        </w:trPr>
        <w:tc>
          <w:tcPr>
            <w:tcW w:w="6340" w:type="dxa"/>
            <w:vAlign w:val="bottom"/>
            <w:vMerge w:val="continue"/>
          </w:tcPr>
          <w:p>
            <w:pPr>
              <w:spacing w:after="0"/>
              <w:rPr>
                <w:sz w:val="16"/>
                <w:szCs w:val="16"/>
                <w:color w:val="auto"/>
              </w:rPr>
            </w:pPr>
          </w:p>
        </w:tc>
        <w:tc>
          <w:tcPr>
            <w:tcW w:w="3760" w:type="dxa"/>
            <w:vAlign w:val="bottom"/>
            <w:vMerge w:val="continue"/>
          </w:tcPr>
          <w:p>
            <w:pPr>
              <w:spacing w:after="0"/>
              <w:rPr>
                <w:sz w:val="16"/>
                <w:szCs w:val="16"/>
                <w:color w:val="auto"/>
              </w:rPr>
            </w:pPr>
          </w:p>
        </w:tc>
        <w:tc>
          <w:tcPr>
            <w:tcW w:w="1140" w:type="dxa"/>
            <w:vAlign w:val="bottom"/>
          </w:tcPr>
          <w:p>
            <w:pPr>
              <w:jc w:val="center"/>
              <w:ind w:left="8"/>
              <w:spacing w:after="0"/>
              <w:rPr>
                <w:sz w:val="20"/>
                <w:szCs w:val="20"/>
                <w:color w:val="auto"/>
              </w:rPr>
            </w:pPr>
            <w:r>
              <w:rPr>
                <w:rFonts w:ascii="Arial" w:cs="Arial" w:eastAsia="Arial" w:hAnsi="Arial"/>
                <w:sz w:val="14"/>
                <w:szCs w:val="14"/>
                <w:b w:val="1"/>
                <w:bCs w:val="1"/>
                <w:color w:val="auto"/>
                <w:w w:val="89"/>
              </w:rPr>
              <w:t>Recognized</w:t>
            </w:r>
          </w:p>
        </w:tc>
        <w:tc>
          <w:tcPr>
            <w:tcW w:w="0" w:type="dxa"/>
            <w:vAlign w:val="bottom"/>
          </w:tcPr>
          <w:p>
            <w:pPr>
              <w:spacing w:after="0"/>
              <w:rPr>
                <w:sz w:val="1"/>
                <w:szCs w:val="1"/>
                <w:color w:val="auto"/>
              </w:rPr>
            </w:pPr>
          </w:p>
        </w:tc>
      </w:tr>
      <w:tr>
        <w:trPr>
          <w:trHeight w:val="406"/>
        </w:trPr>
        <w:tc>
          <w:tcPr>
            <w:tcW w:w="6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 xml:space="preserve">Completion of first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toxicology studies using GLPs</w:t>
            </w:r>
          </w:p>
        </w:tc>
        <w:tc>
          <w:tcPr>
            <w:tcW w:w="3760" w:type="dxa"/>
            <w:vAlign w:val="bottom"/>
            <w:shd w:val="clear" w:color="auto" w:fill="CFF0FC"/>
          </w:tcPr>
          <w:p>
            <w:pPr>
              <w:jc w:val="center"/>
              <w:ind w:left="2668"/>
              <w:spacing w:after="0"/>
              <w:rPr>
                <w:sz w:val="20"/>
                <w:szCs w:val="20"/>
                <w:color w:val="auto"/>
              </w:rPr>
            </w:pPr>
            <w:r>
              <w:rPr>
                <w:rFonts w:ascii="Arial" w:cs="Arial" w:eastAsia="Arial" w:hAnsi="Arial"/>
                <w:sz w:val="14"/>
                <w:szCs w:val="14"/>
                <w:color w:val="auto"/>
                <w:w w:val="97"/>
              </w:rPr>
              <w:t>$0.5M</w:t>
            </w:r>
          </w:p>
        </w:tc>
        <w:tc>
          <w:tcPr>
            <w:tcW w:w="1140" w:type="dxa"/>
            <w:vAlign w:val="bottom"/>
            <w:shd w:val="clear" w:color="auto" w:fill="CFF0FC"/>
          </w:tcPr>
          <w:p>
            <w:pPr>
              <w:jc w:val="center"/>
              <w:ind w:left="8"/>
              <w:spacing w:after="0"/>
              <w:rPr>
                <w:sz w:val="20"/>
                <w:szCs w:val="20"/>
                <w:color w:val="auto"/>
              </w:rPr>
            </w:pPr>
            <w:r>
              <w:rPr>
                <w:rFonts w:ascii="Arial" w:cs="Arial" w:eastAsia="Arial" w:hAnsi="Arial"/>
                <w:sz w:val="14"/>
                <w:szCs w:val="14"/>
                <w:color w:val="auto"/>
                <w:w w:val="91"/>
              </w:rPr>
              <w:t>Q2'16</w:t>
            </w:r>
          </w:p>
        </w:tc>
        <w:tc>
          <w:tcPr>
            <w:tcW w:w="0" w:type="dxa"/>
            <w:vAlign w:val="bottom"/>
          </w:tcPr>
          <w:p>
            <w:pPr>
              <w:spacing w:after="0"/>
              <w:rPr>
                <w:sz w:val="1"/>
                <w:szCs w:val="1"/>
                <w:color w:val="auto"/>
              </w:rPr>
            </w:pPr>
          </w:p>
        </w:tc>
      </w:tr>
      <w:tr>
        <w:trPr>
          <w:trHeight w:val="182"/>
        </w:trPr>
        <w:tc>
          <w:tcPr>
            <w:tcW w:w="6340" w:type="dxa"/>
            <w:vAlign w:val="bottom"/>
          </w:tcPr>
          <w:p>
            <w:pPr>
              <w:ind w:left="20"/>
              <w:spacing w:after="0"/>
              <w:rPr>
                <w:sz w:val="20"/>
                <w:szCs w:val="20"/>
                <w:color w:val="auto"/>
              </w:rPr>
            </w:pPr>
            <w:r>
              <w:rPr>
                <w:rFonts w:ascii="Arial" w:cs="Arial" w:eastAsia="Arial" w:hAnsi="Arial"/>
                <w:sz w:val="14"/>
                <w:szCs w:val="14"/>
                <w:color w:val="auto"/>
              </w:rPr>
              <w:t>Phase 1 clinical trial initiation</w:t>
            </w:r>
          </w:p>
        </w:tc>
        <w:tc>
          <w:tcPr>
            <w:tcW w:w="3760" w:type="dxa"/>
            <w:vAlign w:val="bottom"/>
          </w:tcPr>
          <w:p>
            <w:pPr>
              <w:jc w:val="center"/>
              <w:ind w:left="2668"/>
              <w:spacing w:after="0"/>
              <w:rPr>
                <w:sz w:val="20"/>
                <w:szCs w:val="20"/>
                <w:color w:val="auto"/>
              </w:rPr>
            </w:pPr>
            <w:r>
              <w:rPr>
                <w:rFonts w:ascii="Arial" w:cs="Arial" w:eastAsia="Arial" w:hAnsi="Arial"/>
                <w:sz w:val="14"/>
                <w:szCs w:val="14"/>
                <w:color w:val="auto"/>
                <w:w w:val="97"/>
              </w:rPr>
              <w:t>$1.0M</w:t>
            </w:r>
          </w:p>
        </w:tc>
        <w:tc>
          <w:tcPr>
            <w:tcW w:w="1140" w:type="dxa"/>
            <w:vAlign w:val="bottom"/>
          </w:tcPr>
          <w:p>
            <w:pPr>
              <w:jc w:val="center"/>
              <w:ind w:left="8"/>
              <w:spacing w:after="0"/>
              <w:rPr>
                <w:sz w:val="20"/>
                <w:szCs w:val="20"/>
                <w:color w:val="auto"/>
              </w:rPr>
            </w:pPr>
            <w:r>
              <w:rPr>
                <w:rFonts w:ascii="Arial" w:cs="Arial" w:eastAsia="Arial" w:hAnsi="Arial"/>
                <w:sz w:val="14"/>
                <w:szCs w:val="14"/>
                <w:color w:val="auto"/>
                <w:w w:val="91"/>
              </w:rPr>
              <w:t>Q4'16</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20" w:firstLine="567"/>
        <w:spacing w:after="0" w:line="277" w:lineRule="auto"/>
        <w:rPr>
          <w:sz w:val="20"/>
          <w:szCs w:val="20"/>
          <w:color w:val="auto"/>
        </w:rPr>
      </w:pPr>
      <w:r>
        <w:rPr>
          <w:rFonts w:ascii="Arial" w:cs="Arial" w:eastAsia="Arial" w:hAnsi="Arial"/>
          <w:sz w:val="18"/>
          <w:szCs w:val="18"/>
          <w:color w:val="auto"/>
        </w:rPr>
        <w:t>Revenue from future contingent milestone payments will be recognized when it is more likely than not that the revenue will not be reversed in future periods. Cash is generally received within 30 days of milestone achievement.</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was no revenue recognized under this agreement during the three months ended March 31, 2021 and 2020.</w:t>
      </w:r>
    </w:p>
    <w:p>
      <w:pPr>
        <w:spacing w:after="0" w:line="329" w:lineRule="exact"/>
        <w:rPr>
          <w:sz w:val="20"/>
          <w:szCs w:val="20"/>
          <w:color w:val="auto"/>
        </w:rPr>
      </w:pPr>
    </w:p>
    <w:p>
      <w:pPr>
        <w:ind w:left="260" w:right="6360" w:hanging="252"/>
        <w:spacing w:after="0" w:line="532" w:lineRule="auto"/>
        <w:tabs>
          <w:tab w:leader="none" w:pos="197"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Measurements and Available for Sale Investments </w:t>
      </w:r>
      <w:r>
        <w:rPr>
          <w:rFonts w:ascii="Arial" w:cs="Arial" w:eastAsia="Arial" w:hAnsi="Arial"/>
          <w:sz w:val="18"/>
          <w:szCs w:val="18"/>
          <w:b w:val="1"/>
          <w:bCs w:val="1"/>
          <w:i w:val="1"/>
          <w:iCs w:val="1"/>
          <w:color w:val="auto"/>
        </w:rPr>
        <w:t>Fair Value Measurements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4" w:name="page15"/>
    <w:bookmarkEnd w:id="14"/>
    <w:p>
      <w:pPr>
        <w:spacing w:after="0" w:line="198" w:lineRule="exact"/>
        <w:rPr>
          <w:sz w:val="20"/>
          <w:szCs w:val="20"/>
          <w:color w:val="auto"/>
        </w:rPr>
      </w:pPr>
    </w:p>
    <w:p>
      <w:pPr>
        <w:jc w:val="both"/>
        <w:ind w:right="120" w:firstLine="486"/>
        <w:spacing w:after="0" w:line="263" w:lineRule="auto"/>
        <w:rPr>
          <w:sz w:val="20"/>
          <w:szCs w:val="20"/>
          <w:color w:val="auto"/>
        </w:rPr>
      </w:pPr>
      <w:r>
        <w:rPr>
          <w:rFonts w:ascii="Arial" w:cs="Arial" w:eastAsia="Arial" w:hAnsi="Arial"/>
          <w:sz w:val="18"/>
          <w:szCs w:val="18"/>
          <w:color w:val="auto"/>
        </w:rPr>
        <w:t>Our financial instruments consist principally of cash, cash equivalents, restricted cash, short-term and long-term investments, receivables, accounts payable, and notes payable. Certain of our financial assets and liabilities have been recorded at fair value in the consolidated balance sheet in accordance with the accounting standards for fair value measurements.</w:t>
      </w:r>
    </w:p>
    <w:p>
      <w:pPr>
        <w:spacing w:after="0" w:line="76"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1 - Observable inputs that reflect quoted prices (unadjusted) for identical assets or liabilities in active markets.</w:t>
      </w:r>
    </w:p>
    <w:p>
      <w:pPr>
        <w:spacing w:after="0" w:line="117"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Level 3 - Unobservable inputs that are supported by little or no market activities, therefore requiring an entity to develop its own assumptions.</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17" w:lineRule="exact"/>
        <w:rPr>
          <w:sz w:val="20"/>
          <w:szCs w:val="20"/>
          <w:color w:val="auto"/>
        </w:rPr>
      </w:pPr>
    </w:p>
    <w:p>
      <w:pPr>
        <w:ind w:right="180" w:firstLine="445"/>
        <w:spacing w:after="0" w:line="277" w:lineRule="auto"/>
        <w:rPr>
          <w:sz w:val="20"/>
          <w:szCs w:val="20"/>
          <w:color w:val="auto"/>
        </w:rPr>
      </w:pPr>
      <w:r>
        <w:rPr>
          <w:rFonts w:ascii="Arial" w:cs="Arial" w:eastAsia="Arial" w:hAnsi="Arial"/>
          <w:sz w:val="18"/>
          <w:szCs w:val="18"/>
          <w:color w:val="auto"/>
        </w:rPr>
        <w:t>The following table summarizes our assets and liabilities that require fair value measurements on a recurring basis and their respective input levels based on the fair value hierarchy:</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7"/>
              </w:rPr>
              <w:t>Fair Value Measurements at End of Period Using:</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7"/>
              </w:rPr>
              <w:t>Quoted Market</w:t>
            </w:r>
          </w:p>
        </w:tc>
        <w:tc>
          <w:tcPr>
            <w:tcW w:w="160" w:type="dxa"/>
            <w:vAlign w:val="bottom"/>
          </w:tcPr>
          <w:p>
            <w:pPr>
              <w:spacing w:after="0"/>
              <w:rPr>
                <w:sz w:val="13"/>
                <w:szCs w:val="13"/>
                <w:color w:val="auto"/>
              </w:rPr>
            </w:pPr>
          </w:p>
        </w:tc>
        <w:tc>
          <w:tcPr>
            <w:tcW w:w="14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3"/>
                <w:szCs w:val="13"/>
                <w:color w:val="auto"/>
              </w:rPr>
            </w:pPr>
          </w:p>
        </w:tc>
        <w:tc>
          <w:tcPr>
            <w:tcW w:w="1280" w:type="dxa"/>
            <w:vAlign w:val="bottom"/>
          </w:tcPr>
          <w:p>
            <w:pPr>
              <w:jc w:val="center"/>
              <w:ind w:right="135"/>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Prices for</w:t>
            </w:r>
          </w:p>
        </w:tc>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Other Observable</w:t>
            </w:r>
          </w:p>
        </w:tc>
        <w:tc>
          <w:tcPr>
            <w:tcW w:w="220" w:type="dxa"/>
            <w:vAlign w:val="bottom"/>
          </w:tcPr>
          <w:p>
            <w:pPr>
              <w:spacing w:after="0"/>
              <w:rPr>
                <w:sz w:val="14"/>
                <w:szCs w:val="14"/>
                <w:color w:val="auto"/>
              </w:rPr>
            </w:pPr>
          </w:p>
        </w:tc>
        <w:tc>
          <w:tcPr>
            <w:tcW w:w="1280" w:type="dxa"/>
            <w:vAlign w:val="bottom"/>
          </w:tcPr>
          <w:p>
            <w:pPr>
              <w:jc w:val="center"/>
              <w:ind w:right="135"/>
              <w:spacing w:after="0"/>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0"/>
              </w:rPr>
              <w:t>Identical Assets</w:t>
            </w:r>
          </w:p>
        </w:tc>
        <w:tc>
          <w:tcPr>
            <w:tcW w:w="160" w:type="dxa"/>
            <w:vAlign w:val="bottom"/>
          </w:tcPr>
          <w:p>
            <w:pPr>
              <w:spacing w:after="0"/>
              <w:rPr>
                <w:sz w:val="12"/>
                <w:szCs w:val="12"/>
                <w:color w:val="auto"/>
              </w:rPr>
            </w:pPr>
          </w:p>
        </w:tc>
        <w:tc>
          <w:tcPr>
            <w:tcW w:w="146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280" w:type="dxa"/>
            <w:vAlign w:val="bottom"/>
          </w:tcPr>
          <w:p>
            <w:pPr>
              <w:jc w:val="center"/>
              <w:ind w:right="115"/>
              <w:spacing w:after="0" w:line="14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840" w:type="dxa"/>
            <w:vAlign w:val="bottom"/>
            <w:gridSpan w:val="3"/>
            <w:vMerge w:val="continue"/>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Value</w:t>
            </w:r>
          </w:p>
        </w:tc>
        <w:tc>
          <w:tcPr>
            <w:tcW w:w="1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7"/>
                <w:szCs w:val="17"/>
                <w:color w:val="auto"/>
              </w:rPr>
            </w:pPr>
          </w:p>
        </w:tc>
        <w:tc>
          <w:tcPr>
            <w:tcW w:w="1280" w:type="dxa"/>
            <w:vAlign w:val="bottom"/>
          </w:tcPr>
          <w:p>
            <w:pPr>
              <w:jc w:val="center"/>
              <w:ind w:right="135"/>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5"/>
        </w:trPr>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1440" w:type="dxa"/>
            <w:vAlign w:val="bottom"/>
            <w:tcBorders>
              <w:top w:val="single" w:sz="8" w:color="CFF0FC"/>
              <w:bottom w:val="single" w:sz="8" w:color="auto"/>
            </w:tcBorders>
            <w:shd w:val="clear" w:color="auto" w:fill="CFF0FC"/>
          </w:tcPr>
          <w:p>
            <w:pPr>
              <w:spacing w:after="0" w:line="175" w:lineRule="exact"/>
              <w:rPr>
                <w:sz w:val="20"/>
                <w:szCs w:val="20"/>
                <w:color w:val="auto"/>
              </w:rPr>
            </w:pPr>
            <w:r>
              <w:rPr>
                <w:rFonts w:ascii="Arial" w:cs="Arial" w:eastAsia="Arial" w:hAnsi="Arial"/>
                <w:sz w:val="18"/>
                <w:szCs w:val="18"/>
                <w:b w:val="1"/>
                <w:bCs w:val="1"/>
                <w:color w:val="auto"/>
                <w:w w:val="93"/>
              </w:rPr>
              <w:t>At March 31, 2021</w:t>
            </w:r>
          </w:p>
        </w:tc>
        <w:tc>
          <w:tcPr>
            <w:tcW w:w="340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360" w:type="dxa"/>
            <w:vAlign w:val="bottom"/>
            <w:tcBorders>
              <w:top w:val="single" w:sz="8" w:color="auto"/>
              <w:bottom w:val="single" w:sz="8" w:color="CFF0FC"/>
            </w:tcBorders>
            <w:shd w:val="clear" w:color="auto" w:fill="CFF0FC"/>
          </w:tcPr>
          <w:p>
            <w:pPr>
              <w:spacing w:after="0"/>
              <w:rPr>
                <w:sz w:val="17"/>
                <w:szCs w:val="17"/>
                <w:color w:val="auto"/>
              </w:rPr>
            </w:pPr>
          </w:p>
        </w:tc>
        <w:tc>
          <w:tcPr>
            <w:tcW w:w="114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CFF0FC"/>
            </w:tcBorders>
            <w:shd w:val="clear" w:color="auto" w:fill="CFF0FC"/>
          </w:tcPr>
          <w:p>
            <w:pPr>
              <w:spacing w:after="0"/>
              <w:rPr>
                <w:sz w:val="17"/>
                <w:szCs w:val="17"/>
                <w:color w:val="auto"/>
              </w:rPr>
            </w:pPr>
          </w:p>
        </w:tc>
        <w:tc>
          <w:tcPr>
            <w:tcW w:w="132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spacing w:after="0"/>
              <w:rPr>
                <w:sz w:val="17"/>
                <w:szCs w:val="17"/>
                <w:color w:val="auto"/>
              </w:rPr>
            </w:pPr>
          </w:p>
        </w:tc>
        <w:tc>
          <w:tcPr>
            <w:tcW w:w="136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CFF0FC"/>
            </w:tcBorders>
            <w:shd w:val="clear" w:color="auto" w:fill="CFF0FC"/>
          </w:tcPr>
          <w:p>
            <w:pPr>
              <w:spacing w:after="0"/>
              <w:rPr>
                <w:sz w:val="17"/>
                <w:szCs w:val="17"/>
                <w:color w:val="auto"/>
              </w:rPr>
            </w:pPr>
          </w:p>
        </w:tc>
        <w:tc>
          <w:tcPr>
            <w:tcW w:w="1280" w:type="dxa"/>
            <w:vAlign w:val="bottom"/>
            <w:tcBorders>
              <w:top w:val="single" w:sz="8" w:color="auto"/>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40" w:type="dxa"/>
            <w:vAlign w:val="bottom"/>
            <w:gridSpan w:val="3"/>
          </w:tcPr>
          <w:p>
            <w:pPr>
              <w:spacing w:after="0" w:line="243" w:lineRule="exact"/>
              <w:rPr>
                <w:sz w:val="20"/>
                <w:szCs w:val="20"/>
                <w:color w:val="auto"/>
              </w:rPr>
            </w:pPr>
            <w:r>
              <w:rPr>
                <w:rFonts w:ascii="Arial" w:cs="Arial" w:eastAsia="Arial" w:hAnsi="Arial"/>
                <w:sz w:val="18"/>
                <w:szCs w:val="18"/>
                <w:color w:val="auto"/>
              </w:rPr>
              <w:t>Money market funds</w:t>
            </w:r>
            <w:r>
              <w:rPr>
                <w:rFonts w:ascii="Arial" w:cs="Arial" w:eastAsia="Arial" w:hAnsi="Arial"/>
                <w:sz w:val="23"/>
                <w:szCs w:val="23"/>
                <w:color w:val="auto"/>
                <w:vertAlign w:val="superscript"/>
              </w:rPr>
              <w:t>(1)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267,463</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267,463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840" w:type="dxa"/>
            <w:vAlign w:val="bottom"/>
            <w:gridSpan w:val="3"/>
            <w:shd w:val="clear" w:color="auto" w:fill="CFF0FC"/>
          </w:tcPr>
          <w:p>
            <w:pPr>
              <w:spacing w:after="0" w:line="243" w:lineRule="exact"/>
              <w:rPr>
                <w:sz w:val="20"/>
                <w:szCs w:val="20"/>
                <w:color w:val="auto"/>
              </w:rPr>
            </w:pPr>
            <w:r>
              <w:rPr>
                <w:rFonts w:ascii="Arial" w:cs="Arial" w:eastAsia="Arial" w:hAnsi="Arial"/>
                <w:sz w:val="18"/>
                <w:szCs w:val="18"/>
                <w:color w:val="auto"/>
              </w:rPr>
              <w:t>Mutual funds</w:t>
            </w:r>
            <w:r>
              <w:rPr>
                <w:rFonts w:ascii="Arial" w:cs="Arial" w:eastAsia="Arial" w:hAnsi="Arial"/>
                <w:sz w:val="23"/>
                <w:szCs w:val="23"/>
                <w:color w:val="auto"/>
                <w:vertAlign w:val="superscript"/>
              </w:rPr>
              <w:t>(1)</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18,928</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18,928</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40" w:type="dxa"/>
            <w:vAlign w:val="bottom"/>
            <w:gridSpan w:val="3"/>
          </w:tcPr>
          <w:p>
            <w:pPr>
              <w:spacing w:after="0" w:line="243"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3"/>
                <w:szCs w:val="23"/>
                <w:color w:val="auto"/>
                <w:vertAlign w:val="superscript"/>
              </w:rPr>
              <w:t>(2)</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74,027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74,027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80" w:type="dxa"/>
            <w:vAlign w:val="bottom"/>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840" w:type="dxa"/>
            <w:vAlign w:val="bottom"/>
            <w:gridSpan w:val="3"/>
            <w:shd w:val="clear" w:color="auto" w:fill="CFF0FC"/>
          </w:tcPr>
          <w:p>
            <w:pPr>
              <w:spacing w:after="0" w:line="243" w:lineRule="exact"/>
              <w:rPr>
                <w:sz w:val="20"/>
                <w:szCs w:val="20"/>
                <w:color w:val="auto"/>
              </w:rPr>
            </w:pPr>
            <w:r>
              <w:rPr>
                <w:rFonts w:ascii="Arial" w:cs="Arial" w:eastAsia="Arial" w:hAnsi="Arial"/>
                <w:sz w:val="18"/>
                <w:szCs w:val="18"/>
                <w:color w:val="auto"/>
              </w:rPr>
              <w:t>Certificates of deposit</w:t>
            </w:r>
            <w:r>
              <w:rPr>
                <w:rFonts w:ascii="Arial" w:cs="Arial" w:eastAsia="Arial" w:hAnsi="Arial"/>
                <w:sz w:val="23"/>
                <w:szCs w:val="23"/>
                <w:color w:val="auto"/>
                <w:vertAlign w:val="superscript"/>
              </w:rPr>
              <w:t>(2)</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2,067</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2,067</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40" w:type="dxa"/>
            <w:vAlign w:val="bottom"/>
            <w:gridSpan w:val="3"/>
          </w:tcPr>
          <w:p>
            <w:pPr>
              <w:spacing w:after="0" w:line="243" w:lineRule="exact"/>
              <w:rPr>
                <w:sz w:val="20"/>
                <w:szCs w:val="20"/>
                <w:color w:val="auto"/>
              </w:rPr>
            </w:pPr>
            <w:r>
              <w:rPr>
                <w:rFonts w:ascii="Arial" w:cs="Arial" w:eastAsia="Arial" w:hAnsi="Arial"/>
                <w:sz w:val="18"/>
                <w:szCs w:val="18"/>
                <w:color w:val="auto"/>
              </w:rPr>
              <w:t>Agency securities</w:t>
            </w:r>
            <w:r>
              <w:rPr>
                <w:rFonts w:ascii="Arial" w:cs="Arial" w:eastAsia="Arial" w:hAnsi="Arial"/>
                <w:sz w:val="23"/>
                <w:szCs w:val="23"/>
                <w:color w:val="auto"/>
                <w:vertAlign w:val="superscript"/>
              </w:rPr>
              <w:t>(2)</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11,164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840" w:type="dxa"/>
            <w:vAlign w:val="bottom"/>
            <w:gridSpan w:val="3"/>
            <w:shd w:val="clear" w:color="auto" w:fill="CFF0FC"/>
          </w:tcPr>
          <w:p>
            <w:pPr>
              <w:spacing w:after="0" w:line="243" w:lineRule="exact"/>
              <w:rPr>
                <w:sz w:val="20"/>
                <w:szCs w:val="20"/>
                <w:color w:val="auto"/>
              </w:rPr>
            </w:pPr>
            <w:r>
              <w:rPr>
                <w:rFonts w:ascii="Arial" w:cs="Arial" w:eastAsia="Arial" w:hAnsi="Arial"/>
                <w:sz w:val="18"/>
                <w:szCs w:val="18"/>
                <w:color w:val="auto"/>
              </w:rPr>
              <w:t>Commercial and corporate obligations</w:t>
            </w:r>
            <w:r>
              <w:rPr>
                <w:rFonts w:ascii="Arial" w:cs="Arial" w:eastAsia="Arial" w:hAnsi="Arial"/>
                <w:sz w:val="23"/>
                <w:szCs w:val="23"/>
                <w:color w:val="auto"/>
                <w:vertAlign w:val="superscript"/>
              </w:rPr>
              <w:t>(2)</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16,010</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16,010</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4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At December 31, 2020</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840" w:type="dxa"/>
            <w:vAlign w:val="bottom"/>
            <w:gridSpan w:val="3"/>
            <w:shd w:val="clear" w:color="auto" w:fill="CFF0FC"/>
          </w:tcPr>
          <w:p>
            <w:pPr>
              <w:spacing w:after="0" w:line="243" w:lineRule="exact"/>
              <w:rPr>
                <w:sz w:val="20"/>
                <w:szCs w:val="20"/>
                <w:color w:val="auto"/>
              </w:rPr>
            </w:pPr>
            <w:r>
              <w:rPr>
                <w:rFonts w:ascii="Arial" w:cs="Arial" w:eastAsia="Arial" w:hAnsi="Arial"/>
                <w:sz w:val="18"/>
                <w:szCs w:val="18"/>
                <w:color w:val="auto"/>
              </w:rPr>
              <w:t>Money market funds</w:t>
            </w:r>
            <w:r>
              <w:rPr>
                <w:rFonts w:ascii="Arial" w:cs="Arial" w:eastAsia="Arial" w:hAnsi="Arial"/>
                <w:sz w:val="23"/>
                <w:szCs w:val="23"/>
                <w:color w:val="auto"/>
                <w:vertAlign w:val="superscript"/>
              </w:rPr>
              <w:t>(1)</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188,297</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188,297</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40" w:type="dxa"/>
            <w:vAlign w:val="bottom"/>
            <w:gridSpan w:val="3"/>
          </w:tcPr>
          <w:p>
            <w:pPr>
              <w:spacing w:after="0" w:line="243" w:lineRule="exact"/>
              <w:rPr>
                <w:sz w:val="20"/>
                <w:szCs w:val="20"/>
                <w:color w:val="auto"/>
              </w:rPr>
            </w:pPr>
            <w:r>
              <w:rPr>
                <w:rFonts w:ascii="Arial" w:cs="Arial" w:eastAsia="Arial" w:hAnsi="Arial"/>
                <w:sz w:val="18"/>
                <w:szCs w:val="18"/>
                <w:color w:val="auto"/>
              </w:rPr>
              <w:t>Mutual funds</w:t>
            </w:r>
            <w:r>
              <w:rPr>
                <w:rFonts w:ascii="Arial" w:cs="Arial" w:eastAsia="Arial" w:hAnsi="Arial"/>
                <w:sz w:val="23"/>
                <w:szCs w:val="23"/>
                <w:color w:val="auto"/>
                <w:vertAlign w:val="superscript"/>
              </w:rPr>
              <w:t>(1)</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57,153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57,153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80" w:type="dxa"/>
            <w:vAlign w:val="bottom"/>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840" w:type="dxa"/>
            <w:vAlign w:val="bottom"/>
            <w:gridSpan w:val="3"/>
            <w:shd w:val="clear" w:color="auto" w:fill="CFF0FC"/>
          </w:tcPr>
          <w:p>
            <w:pPr>
              <w:spacing w:after="0" w:line="243"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3"/>
                <w:szCs w:val="23"/>
                <w:color w:val="auto"/>
                <w:vertAlign w:val="superscript"/>
              </w:rPr>
              <w:t>(2)</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107,697</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107,697</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40" w:type="dxa"/>
            <w:vAlign w:val="bottom"/>
            <w:gridSpan w:val="3"/>
          </w:tcPr>
          <w:p>
            <w:pPr>
              <w:spacing w:after="0" w:line="243" w:lineRule="exact"/>
              <w:rPr>
                <w:sz w:val="20"/>
                <w:szCs w:val="20"/>
                <w:color w:val="auto"/>
              </w:rPr>
            </w:pPr>
            <w:r>
              <w:rPr>
                <w:rFonts w:ascii="Arial" w:cs="Arial" w:eastAsia="Arial" w:hAnsi="Arial"/>
                <w:sz w:val="18"/>
                <w:szCs w:val="18"/>
                <w:color w:val="auto"/>
              </w:rPr>
              <w:t>Certificates of deposit</w:t>
            </w:r>
            <w:r>
              <w:rPr>
                <w:rFonts w:ascii="Arial" w:cs="Arial" w:eastAsia="Arial" w:hAnsi="Arial"/>
                <w:sz w:val="23"/>
                <w:szCs w:val="23"/>
                <w:color w:val="auto"/>
                <w:vertAlign w:val="superscript"/>
              </w:rPr>
              <w:t>(2)</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4840" w:type="dxa"/>
            <w:vAlign w:val="bottom"/>
            <w:gridSpan w:val="3"/>
            <w:shd w:val="clear" w:color="auto" w:fill="CFF0FC"/>
          </w:tcPr>
          <w:p>
            <w:pPr>
              <w:ind w:left="40"/>
              <w:spacing w:after="0" w:line="230" w:lineRule="exact"/>
              <w:rPr>
                <w:sz w:val="20"/>
                <w:szCs w:val="20"/>
                <w:color w:val="auto"/>
              </w:rPr>
            </w:pPr>
            <w:r>
              <w:rPr>
                <w:rFonts w:ascii="Arial" w:cs="Arial" w:eastAsia="Arial" w:hAnsi="Arial"/>
                <w:sz w:val="18"/>
                <w:szCs w:val="18"/>
                <w:color w:val="auto"/>
              </w:rPr>
              <w:t>Agency securities</w:t>
            </w:r>
            <w:r>
              <w:rPr>
                <w:rFonts w:ascii="Arial" w:cs="Arial" w:eastAsia="Arial" w:hAnsi="Arial"/>
                <w:sz w:val="23"/>
                <w:szCs w:val="23"/>
                <w:color w:val="auto"/>
                <w:vertAlign w:val="superscript"/>
              </w:rPr>
              <w:t>(2)</w:t>
            </w: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21,169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21,169</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Commercial and corporate obligations</w:t>
            </w:r>
            <w:r>
              <w:rPr>
                <w:rFonts w:ascii="Arial" w:cs="Arial" w:eastAsia="Arial" w:hAnsi="Arial"/>
                <w:sz w:val="23"/>
                <w:szCs w:val="23"/>
                <w:color w:val="auto"/>
                <w:vertAlign w:val="superscript"/>
              </w:rPr>
              <w:t>(2)</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29,441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29,441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80" w:hanging="232"/>
        <w:spacing w:after="0"/>
        <w:tabs>
          <w:tab w:leader="none" w:pos="28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Included in cash and cash equivalents or restricted cash in the accompanying consolidated balance sheets.</w:t>
      </w:r>
    </w:p>
    <w:p>
      <w:pPr>
        <w:spacing w:after="0" w:line="28" w:lineRule="exact"/>
        <w:rPr>
          <w:rFonts w:ascii="Arial" w:cs="Arial" w:eastAsia="Arial" w:hAnsi="Arial"/>
          <w:sz w:val="23"/>
          <w:szCs w:val="23"/>
          <w:color w:val="auto"/>
          <w:vertAlign w:val="superscript"/>
        </w:rPr>
      </w:pPr>
    </w:p>
    <w:p>
      <w:pPr>
        <w:ind w:left="300" w:hanging="252"/>
        <w:spacing w:after="0" w:line="203" w:lineRule="auto"/>
        <w:tabs>
          <w:tab w:leader="none" w:pos="300" w:val="left"/>
        </w:tabs>
        <w:numPr>
          <w:ilvl w:val="0"/>
          <w:numId w:val="8"/>
        </w:numPr>
        <w:rPr>
          <w:rFonts w:ascii="Arial" w:cs="Arial" w:eastAsia="Arial" w:hAnsi="Arial"/>
          <w:sz w:val="22"/>
          <w:szCs w:val="22"/>
          <w:color w:val="auto"/>
          <w:vertAlign w:val="superscript"/>
        </w:rPr>
      </w:pPr>
      <w:r>
        <w:rPr>
          <w:rFonts w:ascii="Arial" w:cs="Arial" w:eastAsia="Arial" w:hAnsi="Arial"/>
          <w:sz w:val="17"/>
          <w:szCs w:val="17"/>
          <w:color w:val="auto"/>
        </w:rPr>
        <w:t>Included in short-term or long-term investments in the accompanying consolidated balance sheets depending on the respective maturity date.</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methods and assumptions were used to estimate the fair value of our financial instruments for which it is practicable to estimate that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value:</w:t>
      </w:r>
    </w:p>
    <w:p>
      <w:pPr>
        <w:spacing w:after="0" w:line="103" w:lineRule="exact"/>
        <w:rPr>
          <w:sz w:val="20"/>
          <w:szCs w:val="20"/>
          <w:color w:val="auto"/>
        </w:rPr>
      </w:pPr>
    </w:p>
    <w:p>
      <w:pPr>
        <w:jc w:val="both"/>
        <w:ind w:right="200" w:firstLine="445"/>
        <w:spacing w:after="0" w:line="263" w:lineRule="auto"/>
        <w:rPr>
          <w:sz w:val="20"/>
          <w:szCs w:val="20"/>
          <w:color w:val="auto"/>
        </w:rPr>
      </w:pPr>
      <w:r>
        <w:rPr>
          <w:rFonts w:ascii="Arial" w:cs="Arial" w:eastAsia="Arial" w:hAnsi="Arial"/>
          <w:sz w:val="18"/>
          <w:szCs w:val="18"/>
          <w:i w:val="1"/>
          <w:iCs w:val="1"/>
          <w:color w:val="auto"/>
        </w:rPr>
        <w:t xml:space="preserve">Marketable Securities. </w:t>
      </w:r>
      <w:r>
        <w:rPr>
          <w:rFonts w:ascii="Arial" w:cs="Arial" w:eastAsia="Arial" w:hAnsi="Arial"/>
          <w:sz w:val="18"/>
          <w:szCs w:val="18"/>
          <w:color w:val="auto"/>
        </w:rPr>
        <w:t>For fair values determined by Level 1 inputs, which utilize quoted prices in active markets for identical assets, the level of</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required to estimate fair value is relatively low. For fair values determined by Level 2 inputs, which utilize quoted prices in less active markets for similar assets, the level of judgment required to estimate fair value is also considered relatively 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5" w:name="page16"/>
    <w:bookmarkEnd w:id="15"/>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117" w:lineRule="exact"/>
        <w:rPr>
          <w:sz w:val="20"/>
          <w:szCs w:val="20"/>
          <w:color w:val="auto"/>
        </w:rPr>
      </w:pPr>
    </w:p>
    <w:p>
      <w:pPr>
        <w:ind w:right="720" w:firstLine="528"/>
        <w:spacing w:after="0" w:line="277" w:lineRule="auto"/>
        <w:rPr>
          <w:sz w:val="20"/>
          <w:szCs w:val="20"/>
          <w:color w:val="auto"/>
        </w:rPr>
      </w:pPr>
      <w:r>
        <w:rPr>
          <w:rFonts w:ascii="Arial" w:cs="Arial" w:eastAsia="Arial" w:hAnsi="Arial"/>
          <w:sz w:val="18"/>
          <w:szCs w:val="18"/>
          <w:color w:val="auto"/>
        </w:rPr>
        <w:t>The carrying amounts of certain of our financial instruments, including cash and cash equivalents, accounts payable, and accrued expenses approximate fair value due to their short-term nature.</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Available for Sale Investments</w:t>
      </w:r>
    </w:p>
    <w:p>
      <w:pPr>
        <w:spacing w:after="0" w:line="117" w:lineRule="exact"/>
        <w:rPr>
          <w:sz w:val="20"/>
          <w:szCs w:val="20"/>
          <w:color w:val="auto"/>
        </w:rPr>
      </w:pPr>
    </w:p>
    <w:p>
      <w:pPr>
        <w:ind w:right="300" w:firstLine="486"/>
        <w:spacing w:after="0" w:line="259" w:lineRule="auto"/>
        <w:rPr>
          <w:sz w:val="20"/>
          <w:szCs w:val="20"/>
          <w:color w:val="auto"/>
        </w:rPr>
      </w:pPr>
      <w:r>
        <w:rPr>
          <w:rFonts w:ascii="Arial" w:cs="Arial" w:eastAsia="Arial" w:hAnsi="Arial"/>
          <w:sz w:val="18"/>
          <w:szCs w:val="18"/>
          <w:color w:val="auto"/>
        </w:rPr>
        <w:t>We invest our excess cash in agency securities, debt instruments of financial institutions and corporations, commercial obligations, and U.S. Treasury securities, which we classify as available-for-sale investments. These investments are carried at fair value and are included in the tables above. The aggregate market value, cost basis, and gross unrealized gains and losses of available-for-sale investments by security type, classified in cash equivalents, short-term and long-term investments as of March 31, 2021 are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4"/>
                <w:szCs w:val="14"/>
                <w:color w:val="auto"/>
              </w:rPr>
            </w:pPr>
          </w:p>
        </w:tc>
        <w:tc>
          <w:tcPr>
            <w:tcW w:w="1400" w:type="dxa"/>
            <w:vAlign w:val="bottom"/>
            <w:gridSpan w:val="2"/>
          </w:tcPr>
          <w:p>
            <w:pPr>
              <w:ind w:left="400"/>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4"/>
                <w:szCs w:val="14"/>
                <w:color w:val="auto"/>
              </w:rPr>
            </w:pPr>
          </w:p>
        </w:tc>
        <w:tc>
          <w:tcPr>
            <w:tcW w:w="1180" w:type="dxa"/>
            <w:vAlign w:val="bottom"/>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2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Unrealized Gains</w:t>
            </w:r>
          </w:p>
        </w:tc>
        <w:tc>
          <w:tcPr>
            <w:tcW w:w="12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Losses</w:t>
            </w:r>
          </w:p>
        </w:tc>
        <w:tc>
          <w:tcPr>
            <w:tcW w:w="240" w:type="dxa"/>
            <w:vAlign w:val="bottom"/>
          </w:tcPr>
          <w:p>
            <w:pPr>
              <w:spacing w:after="0"/>
              <w:rPr>
                <w:sz w:val="16"/>
                <w:szCs w:val="16"/>
                <w:color w:val="auto"/>
              </w:rPr>
            </w:pPr>
          </w:p>
        </w:tc>
        <w:tc>
          <w:tcPr>
            <w:tcW w:w="1180" w:type="dxa"/>
            <w:vAlign w:val="bottom"/>
          </w:tcPr>
          <w:p>
            <w:pPr>
              <w:jc w:val="right"/>
              <w:ind w:right="29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4"/>
        </w:trPr>
        <w:tc>
          <w:tcPr>
            <w:tcW w:w="524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Agency securities</w:t>
            </w:r>
            <w:r>
              <w:rPr>
                <w:rFonts w:ascii="Arial" w:cs="Arial" w:eastAsia="Arial" w:hAnsi="Arial"/>
                <w:sz w:val="23"/>
                <w:szCs w:val="23"/>
                <w:color w:val="auto"/>
                <w:vertAlign w:val="superscript"/>
              </w:rPr>
              <w:t>(1)</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99"/>
              </w:rPr>
              <w:t>(3)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11,164</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line="230" w:lineRule="exact"/>
              <w:rPr>
                <w:sz w:val="20"/>
                <w:szCs w:val="20"/>
                <w:color w:val="auto"/>
              </w:rPr>
            </w:pPr>
            <w:r>
              <w:rPr>
                <w:rFonts w:ascii="Arial" w:cs="Arial" w:eastAsia="Arial" w:hAnsi="Arial"/>
                <w:sz w:val="18"/>
                <w:szCs w:val="18"/>
                <w:color w:val="auto"/>
              </w:rPr>
              <w:t>Certificates of deposit</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2,063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2,067</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Commercial and corporate obligations</w:t>
            </w:r>
            <w:r>
              <w:rPr>
                <w:rFonts w:ascii="Arial" w:cs="Arial" w:eastAsia="Arial" w:hAnsi="Arial"/>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16,010</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line="230"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3"/>
                <w:szCs w:val="23"/>
                <w:color w:val="auto"/>
                <w:vertAlign w:val="superscript"/>
              </w:rPr>
              <w:t>(4)</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73,935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74,027</w:t>
            </w:r>
          </w:p>
        </w:tc>
        <w:tc>
          <w:tcPr>
            <w:tcW w:w="0" w:type="dxa"/>
            <w:vAlign w:val="bottom"/>
          </w:tcPr>
          <w:p>
            <w:pPr>
              <w:spacing w:after="0"/>
              <w:rPr>
                <w:sz w:val="1"/>
                <w:szCs w:val="1"/>
                <w:color w:val="auto"/>
              </w:rPr>
            </w:pPr>
          </w:p>
        </w:tc>
      </w:tr>
      <w:tr>
        <w:trPr>
          <w:trHeight w:val="248"/>
        </w:trPr>
        <w:tc>
          <w:tcPr>
            <w:tcW w:w="52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available-for-sale investments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99"/>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103,268</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-33655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-33655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42945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29450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-187960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-187960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4294505"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294505" cy="15430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-779145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-779145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-779145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7" w:lineRule="exact"/>
        <w:rPr>
          <w:sz w:val="20"/>
          <w:szCs w:val="20"/>
          <w:color w:val="auto"/>
        </w:rPr>
      </w:pPr>
    </w:p>
    <w:p>
      <w:pPr>
        <w:ind w:left="460" w:right="300" w:hanging="412"/>
        <w:spacing w:after="0" w:line="227" w:lineRule="auto"/>
        <w:tabs>
          <w:tab w:leader="none" w:pos="291"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Of our outstanding agency securities, $5.0 million have maturity dates of less than one year and $6.2 million have a maturity date of between one to two years as of March 31, 2021.</w:t>
      </w:r>
    </w:p>
    <w:p>
      <w:pPr>
        <w:spacing w:after="0" w:line="40" w:lineRule="exact"/>
        <w:rPr>
          <w:rFonts w:ascii="Arial" w:cs="Arial" w:eastAsia="Arial" w:hAnsi="Arial"/>
          <w:sz w:val="23"/>
          <w:szCs w:val="23"/>
          <w:color w:val="auto"/>
          <w:vertAlign w:val="superscript"/>
        </w:rPr>
      </w:pPr>
    </w:p>
    <w:p>
      <w:pPr>
        <w:ind w:left="460" w:right="160" w:hanging="412"/>
        <w:spacing w:after="0" w:line="227" w:lineRule="auto"/>
        <w:tabs>
          <w:tab w:leader="none" w:pos="30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Of our outstanding certificates of deposit, $1.2 million have maturity dates of less than one year and $0.9 million have a maturity date of between one to two years as of March 31, 2021.</w:t>
      </w:r>
    </w:p>
    <w:p>
      <w:pPr>
        <w:spacing w:after="0" w:line="5" w:lineRule="exact"/>
        <w:rPr>
          <w:rFonts w:ascii="Arial" w:cs="Arial" w:eastAsia="Arial" w:hAnsi="Arial"/>
          <w:sz w:val="23"/>
          <w:szCs w:val="23"/>
          <w:color w:val="auto"/>
          <w:vertAlign w:val="superscript"/>
        </w:rPr>
      </w:pPr>
    </w:p>
    <w:p>
      <w:pPr>
        <w:ind w:left="300" w:hanging="252"/>
        <w:spacing w:after="0"/>
        <w:tabs>
          <w:tab w:leader="none" w:pos="30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All of our outstanding commercial and corporate obligations have maturity dates of less than one year as of March 31, 2021.</w:t>
      </w:r>
    </w:p>
    <w:p>
      <w:pPr>
        <w:spacing w:after="0" w:line="55" w:lineRule="exact"/>
        <w:rPr>
          <w:rFonts w:ascii="Arial" w:cs="Arial" w:eastAsia="Arial" w:hAnsi="Arial"/>
          <w:sz w:val="23"/>
          <w:szCs w:val="23"/>
          <w:color w:val="auto"/>
          <w:vertAlign w:val="superscript"/>
        </w:rPr>
      </w:pPr>
    </w:p>
    <w:p>
      <w:pPr>
        <w:ind w:left="280" w:hanging="232"/>
        <w:spacing w:after="0" w:line="194" w:lineRule="auto"/>
        <w:tabs>
          <w:tab w:leader="none" w:pos="28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All of our outstanding U.S. Treasury securities have maturity dates of less than one year as of March 31, 2021.</w:t>
      </w:r>
    </w:p>
    <w:p>
      <w:pPr>
        <w:spacing w:after="0" w:line="202" w:lineRule="exact"/>
        <w:rPr>
          <w:sz w:val="20"/>
          <w:szCs w:val="20"/>
          <w:color w:val="auto"/>
        </w:rPr>
      </w:pPr>
    </w:p>
    <w:p>
      <w:pPr>
        <w:ind w:right="200" w:firstLine="567"/>
        <w:spacing w:after="0" w:line="277" w:lineRule="auto"/>
        <w:rPr>
          <w:sz w:val="20"/>
          <w:szCs w:val="20"/>
          <w:color w:val="auto"/>
        </w:rPr>
      </w:pPr>
      <w:r>
        <w:rPr>
          <w:rFonts w:ascii="Arial" w:cs="Arial" w:eastAsia="Arial" w:hAnsi="Arial"/>
          <w:sz w:val="18"/>
          <w:szCs w:val="18"/>
          <w:color w:val="auto"/>
        </w:rPr>
        <w:t>The aggregate market value, cost basis, and gross unrealized gains and losses of available-for-sale investments by security type, classified in cash equivalents, short-term and long-term investments as of December 31, 2020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4"/>
                <w:szCs w:val="14"/>
                <w:color w:val="auto"/>
              </w:rPr>
            </w:pPr>
          </w:p>
        </w:tc>
        <w:tc>
          <w:tcPr>
            <w:tcW w:w="1400" w:type="dxa"/>
            <w:vAlign w:val="bottom"/>
            <w:gridSpan w:val="2"/>
          </w:tcPr>
          <w:p>
            <w:pPr>
              <w:ind w:left="400"/>
              <w:spacing w:after="0"/>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4"/>
                <w:szCs w:val="14"/>
                <w:color w:val="auto"/>
              </w:rPr>
            </w:pPr>
          </w:p>
        </w:tc>
        <w:tc>
          <w:tcPr>
            <w:tcW w:w="1180" w:type="dxa"/>
            <w:vAlign w:val="bottom"/>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1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Unrealized Gains</w:t>
            </w:r>
          </w:p>
        </w:tc>
        <w:tc>
          <w:tcPr>
            <w:tcW w:w="140" w:type="dxa"/>
            <w:vAlign w:val="bottom"/>
          </w:tcPr>
          <w:p>
            <w:pPr>
              <w:spacing w:after="0"/>
              <w:rPr>
                <w:sz w:val="16"/>
                <w:szCs w:val="16"/>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Losses</w:t>
            </w:r>
          </w:p>
        </w:tc>
        <w:tc>
          <w:tcPr>
            <w:tcW w:w="260" w:type="dxa"/>
            <w:vAlign w:val="bottom"/>
          </w:tcPr>
          <w:p>
            <w:pPr>
              <w:spacing w:after="0"/>
              <w:rPr>
                <w:sz w:val="16"/>
                <w:szCs w:val="16"/>
                <w:color w:val="auto"/>
              </w:rPr>
            </w:pPr>
          </w:p>
        </w:tc>
        <w:tc>
          <w:tcPr>
            <w:tcW w:w="1180" w:type="dxa"/>
            <w:vAlign w:val="bottom"/>
          </w:tcPr>
          <w:p>
            <w:pPr>
              <w:jc w:val="right"/>
              <w:ind w:right="31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4"/>
        </w:trPr>
        <w:tc>
          <w:tcPr>
            <w:tcW w:w="516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Agency securities</w:t>
            </w:r>
            <w:r>
              <w:rPr>
                <w:rFonts w:ascii="Arial" w:cs="Arial" w:eastAsia="Arial" w:hAnsi="Arial"/>
                <w:sz w:val="23"/>
                <w:szCs w:val="23"/>
                <w:color w:val="auto"/>
                <w:vertAlign w:val="superscript"/>
              </w:rPr>
              <w:t>(1)</w:t>
            </w: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21,169</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FF0FC"/>
          </w:tcPr>
          <w:p>
            <w:pPr>
              <w:ind w:left="1060"/>
              <w:spacing w:after="0"/>
              <w:rPr>
                <w:sz w:val="20"/>
                <w:szCs w:val="20"/>
                <w:color w:val="auto"/>
              </w:rPr>
            </w:pPr>
            <w:r>
              <w:rPr>
                <w:rFonts w:ascii="Arial" w:cs="Arial" w:eastAsia="Arial" w:hAnsi="Arial"/>
                <w:sz w:val="18"/>
                <w:szCs w:val="18"/>
                <w:color w:val="auto"/>
                <w:w w:val="99"/>
              </w:rPr>
              <w:t>(1)</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21,169</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line="230" w:lineRule="exact"/>
              <w:rPr>
                <w:sz w:val="20"/>
                <w:szCs w:val="20"/>
                <w:color w:val="auto"/>
              </w:rPr>
            </w:pPr>
            <w:r>
              <w:rPr>
                <w:rFonts w:ascii="Arial" w:cs="Arial" w:eastAsia="Arial" w:hAnsi="Arial"/>
                <w:sz w:val="18"/>
                <w:szCs w:val="18"/>
                <w:color w:val="auto"/>
              </w:rPr>
              <w:t>Certificates of deposit</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2,436</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Commercial and corporate obligations</w:t>
            </w:r>
            <w:r>
              <w:rPr>
                <w:rFonts w:ascii="Arial" w:cs="Arial" w:eastAsia="Arial" w:hAnsi="Arial"/>
                <w:sz w:val="23"/>
                <w:szCs w:val="23"/>
                <w:color w:val="auto"/>
                <w:vertAlign w:val="superscript"/>
              </w:rPr>
              <w:t>(3)</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29,414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ind w:left="106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29,441</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FF0FC"/>
            </w:tcBorders>
          </w:tcPr>
          <w:p>
            <w:pPr>
              <w:ind w:left="20"/>
              <w:spacing w:after="0" w:line="230"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3"/>
                <w:szCs w:val="23"/>
                <w:color w:val="auto"/>
                <w:vertAlign w:val="superscript"/>
              </w:rPr>
              <w:t>(4)</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107,530</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w w:val="99"/>
              </w:rPr>
              <w:t>(3)</w:t>
            </w: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107,697</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available-for-sale investments</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160,540</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ind w:left="1060"/>
              <w:spacing w:after="0"/>
              <w:rPr>
                <w:sz w:val="20"/>
                <w:szCs w:val="20"/>
                <w:color w:val="auto"/>
              </w:rPr>
            </w:pPr>
            <w:r>
              <w:rPr>
                <w:rFonts w:ascii="Arial" w:cs="Arial" w:eastAsia="Arial" w:hAnsi="Arial"/>
                <w:sz w:val="18"/>
                <w:szCs w:val="18"/>
                <w:color w:val="auto"/>
                <w:w w:val="99"/>
              </w:rPr>
              <w:t>(5)</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160,743</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-187960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-187960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-333375</wp:posOffset>
            </wp:positionV>
            <wp:extent cx="425196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251960" cy="15430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-779145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-779145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-779145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500" w:right="100" w:hanging="492"/>
        <w:spacing w:after="0" w:line="227" w:lineRule="auto"/>
        <w:tabs>
          <w:tab w:leader="none" w:pos="33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Of our outstanding agency securities, $10.0 million have maturity dates of less than one year and $11.2 million have a maturity date of between one to two years as of December 31, 2020.</w:t>
      </w:r>
    </w:p>
    <w:p>
      <w:pPr>
        <w:spacing w:after="0" w:line="26" w:lineRule="exact"/>
        <w:rPr>
          <w:rFonts w:ascii="Arial" w:cs="Arial" w:eastAsia="Arial" w:hAnsi="Arial"/>
          <w:sz w:val="23"/>
          <w:szCs w:val="23"/>
          <w:color w:val="auto"/>
          <w:vertAlign w:val="superscript"/>
        </w:rPr>
      </w:pPr>
    </w:p>
    <w:p>
      <w:pPr>
        <w:ind w:left="500" w:right="120" w:hanging="492"/>
        <w:spacing w:after="0" w:line="227" w:lineRule="auto"/>
        <w:tabs>
          <w:tab w:leader="none" w:pos="296"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Of our outstanding certificates of deposit, $1.1 million have a maturity date of less than one year and $1.3 million have a maturity date of between one to two years as of December 31, 2020.</w:t>
      </w:r>
    </w:p>
    <w:p>
      <w:pPr>
        <w:spacing w:after="0" w:line="26" w:lineRule="exact"/>
        <w:rPr>
          <w:rFonts w:ascii="Arial" w:cs="Arial" w:eastAsia="Arial" w:hAnsi="Arial"/>
          <w:sz w:val="23"/>
          <w:szCs w:val="23"/>
          <w:color w:val="auto"/>
          <w:vertAlign w:val="superscript"/>
        </w:rPr>
      </w:pPr>
    </w:p>
    <w:p>
      <w:pPr>
        <w:ind w:left="500" w:right="320" w:hanging="492"/>
        <w:spacing w:after="0" w:line="227" w:lineRule="auto"/>
        <w:tabs>
          <w:tab w:leader="none" w:pos="375"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Of our outstanding commercial and corporate obligations, $29.4 million have maturity dates of less than one year and $0.0 million have a maturity date of between one to two years as of December 31, 2020.</w:t>
      </w:r>
    </w:p>
    <w:p>
      <w:pPr>
        <w:spacing w:after="0" w:line="13" w:lineRule="exact"/>
        <w:rPr>
          <w:rFonts w:ascii="Arial" w:cs="Arial" w:eastAsia="Arial" w:hAnsi="Arial"/>
          <w:sz w:val="23"/>
          <w:szCs w:val="23"/>
          <w:color w:val="auto"/>
          <w:vertAlign w:val="superscript"/>
        </w:rPr>
      </w:pPr>
    </w:p>
    <w:p>
      <w:pPr>
        <w:ind w:left="500" w:right="40" w:hanging="492"/>
        <w:spacing w:after="0" w:line="227" w:lineRule="auto"/>
        <w:tabs>
          <w:tab w:leader="none" w:pos="375"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Of our outstanding U.S. Treasury securities, $102.7 million have maturity dates of less than one year and $5.0 million have a maturity date of between one to two years as of December 31, 2020.</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tables present gross unrealized losses and fair values for those investments that were in an unrealized loss position as of March 31,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2021 and December 31, 2020, aggregated by investment category and the length of time that individual securities have been in a continuous loss position: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6" w:name="page17"/>
    <w:bookmarkEnd w:id="16"/>
    <w:p>
      <w:pPr>
        <w:spacing w:after="0" w:line="200" w:lineRule="exact"/>
        <w:rPr>
          <w:sz w:val="20"/>
          <w:szCs w:val="20"/>
          <w:color w:val="auto"/>
        </w:rPr>
      </w:pP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4"/>
                <w:szCs w:val="14"/>
                <w:b w:val="1"/>
                <w:bCs w:val="1"/>
                <w:color w:val="auto"/>
              </w:rPr>
              <w:t>March 31, 2021</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rPr>
              <w:t>Less than 12 Months</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4"/>
                <w:szCs w:val="14"/>
                <w:b w:val="1"/>
                <w:bCs w:val="1"/>
                <w:color w:val="auto"/>
              </w:rPr>
              <w:t>12 Months or Greater</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4"/>
                <w:szCs w:val="14"/>
                <w:b w:val="1"/>
                <w:bCs w:val="1"/>
                <w:color w:val="auto"/>
              </w:rPr>
              <w:t>Total</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900" w:type="dxa"/>
            <w:vAlign w:val="bottom"/>
          </w:tcPr>
          <w:p>
            <w:pPr>
              <w:jc w:val="center"/>
              <w:ind w:left="259"/>
              <w:spacing w:after="0" w:line="143" w:lineRule="exact"/>
              <w:rPr>
                <w:sz w:val="20"/>
                <w:szCs w:val="20"/>
                <w:color w:val="auto"/>
              </w:rPr>
            </w:pPr>
            <w:r>
              <w:rPr>
                <w:rFonts w:ascii="Arial" w:cs="Arial" w:eastAsia="Arial" w:hAnsi="Arial"/>
                <w:sz w:val="14"/>
                <w:szCs w:val="14"/>
                <w:b w:val="1"/>
                <w:bCs w:val="1"/>
                <w:color w:val="auto"/>
                <w:w w:val="88"/>
              </w:rPr>
              <w:t>Gross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880" w:type="dxa"/>
            <w:vAlign w:val="bottom"/>
          </w:tcPr>
          <w:p>
            <w:pPr>
              <w:jc w:val="right"/>
              <w:ind w:right="19"/>
              <w:spacing w:after="0" w:line="143" w:lineRule="exact"/>
              <w:rPr>
                <w:sz w:val="20"/>
                <w:szCs w:val="20"/>
                <w:color w:val="auto"/>
              </w:rPr>
            </w:pPr>
            <w:r>
              <w:rPr>
                <w:rFonts w:ascii="Arial" w:cs="Arial" w:eastAsia="Arial" w:hAnsi="Arial"/>
                <w:sz w:val="14"/>
                <w:szCs w:val="14"/>
                <w:b w:val="1"/>
                <w:bCs w:val="1"/>
                <w:color w:val="auto"/>
              </w:rPr>
              <w:t>Gross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2"/>
                <w:szCs w:val="12"/>
                <w:color w:val="auto"/>
              </w:rPr>
            </w:pPr>
          </w:p>
        </w:tc>
        <w:tc>
          <w:tcPr>
            <w:tcW w:w="1000" w:type="dxa"/>
            <w:vAlign w:val="bottom"/>
          </w:tcPr>
          <w:p>
            <w:pPr>
              <w:jc w:val="center"/>
              <w:ind w:right="194"/>
              <w:spacing w:after="0" w:line="14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88"/>
        </w:trPr>
        <w:tc>
          <w:tcPr>
            <w:tcW w:w="30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Unrealized Losses</w:t>
            </w: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2"/>
              </w:rPr>
              <w:t>Unrealized Losses</w:t>
            </w: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Unrealized Losses</w:t>
            </w:r>
          </w:p>
        </w:tc>
        <w:tc>
          <w:tcPr>
            <w:tcW w:w="0" w:type="dxa"/>
            <w:vAlign w:val="bottom"/>
          </w:tcPr>
          <w:p>
            <w:pPr>
              <w:spacing w:after="0"/>
              <w:rPr>
                <w:sz w:val="1"/>
                <w:szCs w:val="1"/>
                <w:color w:val="auto"/>
              </w:rPr>
            </w:pPr>
          </w:p>
        </w:tc>
      </w:tr>
      <w:tr>
        <w:trPr>
          <w:trHeight w:val="224"/>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Agency securities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6,163</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color w:val="auto"/>
                <w:w w:val="97"/>
              </w:rPr>
              <w:t>Commercial and corporate obligations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4,777</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30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30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4"/>
                <w:szCs w:val="14"/>
                <w:b w:val="1"/>
                <w:bCs w:val="1"/>
                <w:color w:val="auto"/>
              </w:rPr>
              <w:t>December 31, 2020</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rPr>
              <w:t>Less than 12 Months</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4"/>
                <w:szCs w:val="14"/>
                <w:b w:val="1"/>
                <w:bCs w:val="1"/>
                <w:color w:val="auto"/>
              </w:rPr>
              <w:t>12 Months or Greater</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4"/>
                <w:szCs w:val="14"/>
                <w:b w:val="1"/>
                <w:bCs w:val="1"/>
                <w:color w:val="auto"/>
              </w:rPr>
              <w:t>Total</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3"/>
                <w:szCs w:val="13"/>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900" w:type="dxa"/>
            <w:vAlign w:val="bottom"/>
          </w:tcPr>
          <w:p>
            <w:pPr>
              <w:jc w:val="center"/>
              <w:ind w:left="259"/>
              <w:spacing w:after="0" w:line="157" w:lineRule="exact"/>
              <w:rPr>
                <w:sz w:val="20"/>
                <w:szCs w:val="20"/>
                <w:color w:val="auto"/>
              </w:rPr>
            </w:pPr>
            <w:r>
              <w:rPr>
                <w:rFonts w:ascii="Arial" w:cs="Arial" w:eastAsia="Arial" w:hAnsi="Arial"/>
                <w:sz w:val="14"/>
                <w:szCs w:val="14"/>
                <w:b w:val="1"/>
                <w:bCs w:val="1"/>
                <w:color w:val="auto"/>
                <w:w w:val="88"/>
              </w:rPr>
              <w:t>Gross</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880" w:type="dxa"/>
            <w:vAlign w:val="bottom"/>
          </w:tcPr>
          <w:p>
            <w:pPr>
              <w:jc w:val="right"/>
              <w:ind w:right="19"/>
              <w:spacing w:after="0" w:line="157" w:lineRule="exact"/>
              <w:rPr>
                <w:sz w:val="20"/>
                <w:szCs w:val="20"/>
                <w:color w:val="auto"/>
              </w:rPr>
            </w:pPr>
            <w:r>
              <w:rPr>
                <w:rFonts w:ascii="Arial" w:cs="Arial" w:eastAsia="Arial" w:hAnsi="Arial"/>
                <w:sz w:val="14"/>
                <w:szCs w:val="14"/>
                <w:b w:val="1"/>
                <w:bCs w:val="1"/>
                <w:color w:val="auto"/>
              </w:rPr>
              <w:t>Gross</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3"/>
                <w:szCs w:val="13"/>
                <w:color w:val="auto"/>
              </w:rPr>
            </w:pPr>
          </w:p>
        </w:tc>
        <w:tc>
          <w:tcPr>
            <w:tcW w:w="1000" w:type="dxa"/>
            <w:vAlign w:val="bottom"/>
          </w:tcPr>
          <w:p>
            <w:pPr>
              <w:jc w:val="center"/>
              <w:ind w:right="194"/>
              <w:spacing w:after="0" w:line="157"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75"/>
        </w:trPr>
        <w:tc>
          <w:tcPr>
            <w:tcW w:w="30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Unrealized Losses</w:t>
            </w:r>
          </w:p>
        </w:tc>
        <w:tc>
          <w:tcPr>
            <w:tcW w:w="2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2"/>
              </w:rPr>
              <w:t>Unrealized Losses</w:t>
            </w:r>
          </w:p>
        </w:tc>
        <w:tc>
          <w:tcPr>
            <w:tcW w:w="2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Unrealized Losses</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Agency securities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color w:val="auto"/>
                <w:w w:val="97"/>
              </w:rPr>
              <w:t>Commercial and corporate obligations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6,503</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2,399</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3000" w:type="dxa"/>
            <w:vAlign w:val="bottom"/>
          </w:tcPr>
          <w:p>
            <w:pPr>
              <w:ind w:left="3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46,713</w:t>
            </w: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2,399</w:t>
            </w: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49,112</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As of March 31, 2021 and 2020, unrealized losses on available-for-sale investments were not material, and accordingly, no allowance for credit losses were recorded.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 Equity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580" w:firstLine="405"/>
        <w:spacing w:after="0" w:line="342" w:lineRule="auto"/>
        <w:rPr>
          <w:sz w:val="20"/>
          <w:szCs w:val="20"/>
          <w:color w:val="auto"/>
        </w:rPr>
      </w:pPr>
      <w:r>
        <w:rPr>
          <w:rFonts w:ascii="Arial" w:cs="Arial" w:eastAsia="Arial" w:hAnsi="Arial"/>
          <w:sz w:val="16"/>
          <w:szCs w:val="16"/>
          <w:color w:val="auto"/>
        </w:rPr>
        <w:t>Of the 500,000,000 shares of common stock authorized, 27,367,355 shares were issued and outstanding as of March 31, 2021. Common stock reserved for future issuance upon the exercise, issuance or conversion of the respective equity instruments at March 31, 2021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Issued and Outstanding:</w:t>
            </w:r>
          </w:p>
        </w:tc>
        <w:tc>
          <w:tcPr>
            <w:tcW w:w="1580" w:type="dxa"/>
            <w:vAlign w:val="bottom"/>
            <w:shd w:val="clear" w:color="auto" w:fill="CCEEFF"/>
          </w:tcPr>
          <w:p>
            <w:pPr>
              <w:spacing w:after="0"/>
              <w:rPr>
                <w:sz w:val="19"/>
                <w:szCs w:val="19"/>
                <w:color w:val="auto"/>
              </w:rPr>
            </w:pPr>
          </w:p>
        </w:tc>
      </w:tr>
      <w:tr>
        <w:trPr>
          <w:trHeight w:val="229"/>
        </w:trPr>
        <w:tc>
          <w:tcPr>
            <w:tcW w:w="9640" w:type="dxa"/>
            <w:vAlign w:val="bottom"/>
            <w:gridSpan w:val="2"/>
          </w:tcPr>
          <w:p>
            <w:pPr>
              <w:ind w:left="260"/>
              <w:spacing w:after="0"/>
              <w:rPr>
                <w:sz w:val="20"/>
                <w:szCs w:val="20"/>
                <w:color w:val="auto"/>
              </w:rPr>
            </w:pPr>
            <w:r>
              <w:rPr>
                <w:rFonts w:ascii="Arial" w:cs="Arial" w:eastAsia="Arial" w:hAnsi="Arial"/>
                <w:sz w:val="18"/>
                <w:szCs w:val="18"/>
                <w:color w:val="auto"/>
              </w:rPr>
              <w:t>Stock options</w:t>
            </w:r>
          </w:p>
        </w:tc>
        <w:tc>
          <w:tcPr>
            <w:tcW w:w="1580" w:type="dxa"/>
            <w:vAlign w:val="bottom"/>
          </w:tcPr>
          <w:p>
            <w:pPr>
              <w:jc w:val="right"/>
              <w:spacing w:after="0"/>
              <w:rPr>
                <w:sz w:val="20"/>
                <w:szCs w:val="20"/>
                <w:color w:val="auto"/>
              </w:rPr>
            </w:pPr>
            <w:r>
              <w:rPr>
                <w:rFonts w:ascii="Arial" w:cs="Arial" w:eastAsia="Arial" w:hAnsi="Arial"/>
                <w:sz w:val="18"/>
                <w:szCs w:val="18"/>
                <w:color w:val="auto"/>
              </w:rPr>
              <w:t>3,824,494</w:t>
            </w:r>
          </w:p>
        </w:tc>
      </w:tr>
      <w:tr>
        <w:trPr>
          <w:trHeight w:val="230"/>
        </w:trPr>
        <w:tc>
          <w:tcPr>
            <w:tcW w:w="9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Shares Reserved For:</w:t>
            </w:r>
          </w:p>
        </w:tc>
        <w:tc>
          <w:tcPr>
            <w:tcW w:w="1580" w:type="dxa"/>
            <w:vAlign w:val="bottom"/>
            <w:shd w:val="clear" w:color="auto" w:fill="CCEEFF"/>
          </w:tcPr>
          <w:p>
            <w:pPr>
              <w:spacing w:after="0"/>
              <w:rPr>
                <w:sz w:val="19"/>
                <w:szCs w:val="19"/>
                <w:color w:val="auto"/>
              </w:rPr>
            </w:pPr>
          </w:p>
        </w:tc>
      </w:tr>
      <w:tr>
        <w:trPr>
          <w:trHeight w:val="243"/>
        </w:trPr>
        <w:tc>
          <w:tcPr>
            <w:tcW w:w="660" w:type="dxa"/>
            <w:vAlign w:val="bottom"/>
          </w:tcPr>
          <w:p>
            <w:pPr>
              <w:ind w:left="260"/>
              <w:spacing w:after="0"/>
              <w:rPr>
                <w:sz w:val="20"/>
                <w:szCs w:val="20"/>
                <w:color w:val="auto"/>
              </w:rPr>
            </w:pPr>
            <w:r>
              <w:rPr>
                <w:rFonts w:ascii="Arial" w:cs="Arial" w:eastAsia="Arial" w:hAnsi="Arial"/>
                <w:sz w:val="18"/>
                <w:szCs w:val="18"/>
                <w:color w:val="auto"/>
                <w:w w:val="94"/>
              </w:rPr>
              <w:t>2017</w:t>
            </w:r>
          </w:p>
        </w:tc>
        <w:tc>
          <w:tcPr>
            <w:tcW w:w="8980" w:type="dxa"/>
            <w:vAlign w:val="bottom"/>
          </w:tcPr>
          <w:p>
            <w:pPr>
              <w:ind w:left="20"/>
              <w:spacing w:after="0"/>
              <w:rPr>
                <w:sz w:val="20"/>
                <w:szCs w:val="20"/>
                <w:color w:val="auto"/>
              </w:rPr>
            </w:pPr>
            <w:r>
              <w:rPr>
                <w:rFonts w:ascii="Arial" w:cs="Arial" w:eastAsia="Arial" w:hAnsi="Arial"/>
                <w:sz w:val="18"/>
                <w:szCs w:val="18"/>
                <w:color w:val="auto"/>
              </w:rPr>
              <w:t>Equity Incentive Plan</w:t>
            </w:r>
          </w:p>
        </w:tc>
        <w:tc>
          <w:tcPr>
            <w:tcW w:w="1580" w:type="dxa"/>
            <w:vAlign w:val="bottom"/>
          </w:tcPr>
          <w:p>
            <w:pPr>
              <w:jc w:val="right"/>
              <w:spacing w:after="0"/>
              <w:rPr>
                <w:sz w:val="20"/>
                <w:szCs w:val="20"/>
                <w:color w:val="auto"/>
              </w:rPr>
            </w:pPr>
            <w:r>
              <w:rPr>
                <w:rFonts w:ascii="Arial" w:cs="Arial" w:eastAsia="Arial" w:hAnsi="Arial"/>
                <w:sz w:val="18"/>
                <w:szCs w:val="18"/>
                <w:color w:val="auto"/>
              </w:rPr>
              <w:t>3,164,750</w:t>
            </w:r>
          </w:p>
        </w:tc>
      </w:tr>
      <w:tr>
        <w:trPr>
          <w:trHeight w:val="230"/>
        </w:trPr>
        <w:tc>
          <w:tcPr>
            <w:tcW w:w="6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4"/>
              </w:rPr>
              <w:t>2017</w:t>
            </w:r>
          </w:p>
        </w:tc>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1,271,237</w:t>
            </w:r>
          </w:p>
        </w:tc>
      </w:tr>
      <w:tr>
        <w:trPr>
          <w:trHeight w:val="223"/>
        </w:trPr>
        <w:tc>
          <w:tcPr>
            <w:tcW w:w="660" w:type="dxa"/>
            <w:vAlign w:val="bottom"/>
          </w:tcPr>
          <w:p>
            <w:pPr>
              <w:ind w:left="20"/>
              <w:spacing w:after="0"/>
              <w:rPr>
                <w:sz w:val="20"/>
                <w:szCs w:val="20"/>
                <w:color w:val="auto"/>
              </w:rPr>
            </w:pPr>
            <w:r>
              <w:rPr>
                <w:rFonts w:ascii="Arial" w:cs="Arial" w:eastAsia="Arial" w:hAnsi="Arial"/>
                <w:sz w:val="18"/>
                <w:szCs w:val="18"/>
                <w:color w:val="auto"/>
              </w:rPr>
              <w:t>Total</w:t>
            </w:r>
          </w:p>
        </w:tc>
        <w:tc>
          <w:tcPr>
            <w:tcW w:w="898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8,260,481</w:t>
            </w:r>
          </w:p>
        </w:tc>
      </w:tr>
      <w:tr>
        <w:trPr>
          <w:trHeight w:val="20"/>
        </w:trPr>
        <w:tc>
          <w:tcPr>
            <w:tcW w:w="66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Equity Incentive Plans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2017 Equity Incentive Plan</w:t>
      </w:r>
    </w:p>
    <w:p>
      <w:pPr>
        <w:spacing w:after="0" w:line="117"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On January 12, 2017, our board of directors and stockholders approved and adopted the 2017 Equity Incentive Plan (the “2017 Plan”). The 2017 Plan became effective upon the execution and delivery of the underwriting agreement for our initial public offering on January 26, 2017 and replaced our existing 2006 Equity Incentive Plan. Under the 2017 Plan, we may grant stock options, stock appreciation rights, restricted stock, restricted stock units and other awards to individuals who are then our employees, officers, directors or consultants. In addition, the number of shares of stock available for issuance under the 2017 Plan will be automatically increased each January 1, beginning on January 1, 2018, by 4% of the aggregate number of outstanding shares of our common stock as of the immediately preceding December 31 or such lesser number as determined by our board of directors. The 2017 Plan automatically increased by 1,094,223 shares as of January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 w:name="page18"/>
    <w:bookmarkEnd w:id="17"/>
    <w:p>
      <w:pPr>
        <w:spacing w:after="0" w:line="30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firstLine="445"/>
        <w:spacing w:after="0" w:line="275" w:lineRule="auto"/>
        <w:rPr>
          <w:sz w:val="20"/>
          <w:szCs w:val="20"/>
          <w:color w:val="auto"/>
        </w:rPr>
      </w:pPr>
      <w:r>
        <w:rPr>
          <w:rFonts w:ascii="Arial" w:cs="Arial" w:eastAsia="Arial" w:hAnsi="Arial"/>
          <w:sz w:val="17"/>
          <w:szCs w:val="17"/>
          <w:color w:val="auto"/>
        </w:rPr>
        <w:t>On January 12, 2017, our board of directors and stockholders approved and adopted the 2017 Employee Stock Purchase Plan or the ESPP. The ESPP became effective upon the execution and delivery of the underwriting agreement for our initial public offering on January 26, 2017. In addition, the number shares of stock available for issuance under the ESPP will be automatically increased each January 1, beginning on January 1, 2018, by 1% of the aggregate number of outstanding shares of our common stock as of the immediately preceding December 31 or such lesser number as determined by our board of directors. The ESPP automatically increased by 273,555 shares as of January 1, 2021.</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300" w:firstLine="445"/>
        <w:spacing w:after="0" w:line="311" w:lineRule="auto"/>
        <w:rPr>
          <w:sz w:val="20"/>
          <w:szCs w:val="20"/>
          <w:color w:val="auto"/>
        </w:rPr>
      </w:pPr>
      <w:r>
        <w:rPr>
          <w:rFonts w:ascii="Arial" w:cs="Arial" w:eastAsia="Arial" w:hAnsi="Arial"/>
          <w:sz w:val="16"/>
          <w:szCs w:val="16"/>
          <w:color w:val="auto"/>
        </w:rPr>
        <w:t>Stock options granted to employees and non-employees generally vest over a four-year period while stock options granted to directors vest over a one year period. Each stock option award has a maximum term of 10 years from the date of grant, subject to earlier cancellation prior to vesting upon cessation of service to us. A summary of the activity related to stock option awards during the three months ended March 31, 2021 is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Weighted-Average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center"/>
              <w:ind w:right="182"/>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Exercise</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58"/>
        </w:trPr>
        <w:tc>
          <w:tcPr>
            <w:tcW w:w="4780" w:type="dxa"/>
            <w:vAlign w:val="bottom"/>
          </w:tcPr>
          <w:p>
            <w:pPr>
              <w:spacing w:after="0"/>
              <w:rPr>
                <w:sz w:val="13"/>
                <w:szCs w:val="13"/>
                <w:color w:val="auto"/>
              </w:rPr>
            </w:pPr>
          </w:p>
        </w:tc>
        <w:tc>
          <w:tcPr>
            <w:tcW w:w="1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Subject to</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6"/>
              </w:rPr>
              <w:t>Price per</w:t>
            </w:r>
          </w:p>
        </w:tc>
        <w:tc>
          <w:tcPr>
            <w:tcW w:w="1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Term</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ind w:right="182"/>
              <w:spacing w:after="0" w:line="158" w:lineRule="exact"/>
              <w:rPr>
                <w:sz w:val="20"/>
                <w:szCs w:val="20"/>
                <w:color w:val="auto"/>
              </w:rPr>
            </w:pPr>
            <w:r>
              <w:rPr>
                <w:rFonts w:ascii="Arial" w:cs="Arial" w:eastAsia="Arial" w:hAnsi="Arial"/>
                <w:sz w:val="14"/>
                <w:szCs w:val="14"/>
                <w:b w:val="1"/>
                <w:bCs w:val="1"/>
                <w:color w:val="auto"/>
                <w:w w:val="95"/>
              </w:rPr>
              <w:t>Value (in</w:t>
            </w:r>
          </w:p>
        </w:tc>
        <w:tc>
          <w:tcPr>
            <w:tcW w:w="0" w:type="dxa"/>
            <w:vAlign w:val="bottom"/>
          </w:tcPr>
          <w:p>
            <w:pPr>
              <w:spacing w:after="0"/>
              <w:rPr>
                <w:sz w:val="1"/>
                <w:szCs w:val="1"/>
                <w:color w:val="auto"/>
              </w:rPr>
            </w:pPr>
          </w:p>
        </w:tc>
      </w:tr>
      <w:tr>
        <w:trPr>
          <w:trHeight w:val="197"/>
        </w:trPr>
        <w:tc>
          <w:tcPr>
            <w:tcW w:w="478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Share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center"/>
              <w:ind w:right="182"/>
              <w:spacing w:after="0"/>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229"/>
        </w:trPr>
        <w:tc>
          <w:tcPr>
            <w:tcW w:w="478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January 1, 2021</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2,920,700</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26.67</w:t>
            </w:r>
          </w:p>
        </w:tc>
        <w:tc>
          <w:tcPr>
            <w:tcW w:w="10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1,011,724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29.63</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Exercises</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(11,780)</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14.20</w:t>
            </w: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Forfeitures and cancellations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(96,150)</w:t>
            </w:r>
          </w:p>
        </w:tc>
        <w:tc>
          <w:tcPr>
            <w:tcW w:w="26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27.24</w:t>
            </w:r>
          </w:p>
        </w:tc>
        <w:tc>
          <w:tcPr>
            <w:tcW w:w="100" w:type="dxa"/>
            <w:vAlign w:val="bottom"/>
            <w:tcBorders>
              <w:bottom w:val="single" w:sz="8" w:color="CFF0FC"/>
            </w:tcBorders>
          </w:tcPr>
          <w:p>
            <w:pPr>
              <w:spacing w:after="0"/>
              <w:rPr>
                <w:sz w:val="19"/>
                <w:szCs w:val="19"/>
                <w:color w:val="auto"/>
              </w:rPr>
            </w:pPr>
          </w:p>
        </w:tc>
        <w:tc>
          <w:tcPr>
            <w:tcW w:w="15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2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March 31, 2021</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3,824,494</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27.48</w:t>
            </w:r>
          </w:p>
        </w:tc>
        <w:tc>
          <w:tcPr>
            <w:tcW w:w="10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7.67</w:t>
            </w:r>
          </w:p>
        </w:tc>
        <w:tc>
          <w:tcPr>
            <w:tcW w:w="3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FF0FC"/>
            </w:tcBorders>
            <w:shd w:val="clear" w:color="auto" w:fill="CFF0FC"/>
          </w:tcPr>
          <w:p>
            <w:pPr>
              <w:jc w:val="right"/>
              <w:ind w:right="2"/>
              <w:spacing w:after="0"/>
              <w:rPr>
                <w:sz w:val="20"/>
                <w:szCs w:val="20"/>
                <w:color w:val="auto"/>
              </w:rPr>
            </w:pPr>
            <w:r>
              <w:rPr>
                <w:rFonts w:ascii="Arial" w:cs="Arial" w:eastAsia="Arial" w:hAnsi="Arial"/>
                <w:sz w:val="18"/>
                <w:szCs w:val="18"/>
                <w:color w:val="auto"/>
              </w:rPr>
              <w:t>17,205</w:t>
            </w: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8"/>
                <w:szCs w:val="18"/>
                <w:color w:val="auto"/>
              </w:rPr>
              <w:t>Exercisable at March 31, 2021</w:t>
            </w:r>
          </w:p>
        </w:tc>
        <w:tc>
          <w:tcPr>
            <w:tcW w:w="1520" w:type="dxa"/>
            <w:vAlign w:val="bottom"/>
            <w:tcBorders>
              <w:top w:val="single" w:sz="8" w:color="CFF0FC"/>
              <w:bottom w:val="single" w:sz="8" w:color="auto"/>
            </w:tcBorders>
          </w:tcPr>
          <w:p>
            <w:pPr>
              <w:spacing w:after="0" w:line="20" w:lineRule="exact"/>
              <w:rPr>
                <w:sz w:val="1"/>
                <w:szCs w:val="1"/>
                <w:color w:val="auto"/>
              </w:rPr>
            </w:pPr>
          </w:p>
        </w:tc>
        <w:tc>
          <w:tcPr>
            <w:tcW w:w="260" w:type="dxa"/>
            <w:vAlign w:val="bottom"/>
            <w:tcBorders>
              <w:top w:val="single" w:sz="8" w:color="CFF0FC"/>
              <w:bottom w:val="single" w:sz="8" w:color="CFF0FC"/>
            </w:tcBorders>
            <w:gridSpan w:val="2"/>
            <w:vMerge w:val="restart"/>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26.91</w:t>
            </w:r>
          </w:p>
        </w:tc>
        <w:tc>
          <w:tcPr>
            <w:tcW w:w="100" w:type="dxa"/>
            <w:vAlign w:val="bottom"/>
            <w:tcBorders>
              <w:top w:val="single" w:sz="8" w:color="CFF0FC"/>
            </w:tcBorders>
          </w:tcPr>
          <w:p>
            <w:pPr>
              <w:spacing w:after="0" w:line="20" w:lineRule="exact"/>
              <w:rPr>
                <w:sz w:val="1"/>
                <w:szCs w:val="1"/>
                <w:color w:val="auto"/>
              </w:rPr>
            </w:pPr>
          </w:p>
        </w:tc>
        <w:tc>
          <w:tcPr>
            <w:tcW w:w="152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5.70</w:t>
            </w:r>
          </w:p>
        </w:tc>
        <w:tc>
          <w:tcPr>
            <w:tcW w:w="380" w:type="dxa"/>
            <w:vAlign w:val="bottom"/>
            <w:tcBorders>
              <w:top w:val="single" w:sz="8" w:color="CFF0FC"/>
              <w:bottom w:val="single" w:sz="8" w:color="CFF0FC"/>
            </w:tcBorders>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FF0FC"/>
              <w:bottom w:val="single" w:sz="8" w:color="CFF0FC"/>
            </w:tcBorders>
            <w:vMerge w:val="restart"/>
          </w:tcPr>
          <w:p>
            <w:pPr>
              <w:jc w:val="right"/>
              <w:ind w:right="2"/>
              <w:spacing w:after="0"/>
              <w:rPr>
                <w:sz w:val="20"/>
                <w:szCs w:val="20"/>
                <w:color w:val="auto"/>
              </w:rPr>
            </w:pPr>
            <w:r>
              <w:rPr>
                <w:rFonts w:ascii="Arial" w:cs="Arial" w:eastAsia="Arial" w:hAnsi="Arial"/>
                <w:sz w:val="18"/>
                <w:szCs w:val="18"/>
                <w:color w:val="auto"/>
              </w:rPr>
              <w:t>12,760</w:t>
            </w:r>
          </w:p>
        </w:tc>
        <w:tc>
          <w:tcPr>
            <w:tcW w:w="0" w:type="dxa"/>
            <w:vAlign w:val="bottom"/>
          </w:tcPr>
          <w:p>
            <w:pPr>
              <w:spacing w:after="0" w:line="20" w:lineRule="exact"/>
              <w:rPr>
                <w:sz w:val="1"/>
                <w:szCs w:val="1"/>
                <w:color w:val="auto"/>
              </w:rPr>
            </w:pPr>
          </w:p>
        </w:tc>
      </w:tr>
      <w:tr>
        <w:trPr>
          <w:trHeight w:val="204"/>
        </w:trPr>
        <w:tc>
          <w:tcPr>
            <w:tcW w:w="4780" w:type="dxa"/>
            <w:vAlign w:val="bottom"/>
            <w:vMerge w:val="continue"/>
          </w:tcPr>
          <w:p>
            <w:pPr>
              <w:spacing w:after="0"/>
              <w:rPr>
                <w:sz w:val="17"/>
                <w:szCs w:val="17"/>
                <w:color w:val="auto"/>
              </w:rPr>
            </w:pPr>
          </w:p>
        </w:tc>
        <w:tc>
          <w:tcPr>
            <w:tcW w:w="1520" w:type="dxa"/>
            <w:vAlign w:val="bottom"/>
          </w:tcPr>
          <w:p>
            <w:pPr>
              <w:jc w:val="right"/>
              <w:spacing w:after="0" w:line="204" w:lineRule="exact"/>
              <w:rPr>
                <w:sz w:val="20"/>
                <w:szCs w:val="20"/>
                <w:color w:val="auto"/>
              </w:rPr>
            </w:pPr>
            <w:r>
              <w:rPr>
                <w:rFonts w:ascii="Arial" w:cs="Arial" w:eastAsia="Arial" w:hAnsi="Arial"/>
                <w:sz w:val="18"/>
                <w:szCs w:val="18"/>
                <w:color w:val="auto"/>
              </w:rPr>
              <w:t>1,715,491</w:t>
            </w:r>
          </w:p>
        </w:tc>
        <w:tc>
          <w:tcPr>
            <w:tcW w:w="260" w:type="dxa"/>
            <w:vAlign w:val="bottom"/>
            <w:gridSpan w:val="2"/>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200" w:firstLine="445"/>
        <w:spacing w:after="0" w:line="273" w:lineRule="auto"/>
        <w:rPr>
          <w:sz w:val="20"/>
          <w:szCs w:val="20"/>
          <w:color w:val="auto"/>
        </w:rPr>
      </w:pPr>
      <w:r>
        <w:rPr>
          <w:rFonts w:ascii="Arial" w:cs="Arial" w:eastAsia="Arial" w:hAnsi="Arial"/>
          <w:sz w:val="17"/>
          <w:szCs w:val="17"/>
          <w:color w:val="auto"/>
        </w:rPr>
        <w:t>We recognize stock-based compensation expense for awards issued to employees and non-employees over the requisite service period based on the estimated grant-date fair value of such awards. We record the expense for stock-based compensation awards subject to performance-based milestone vesting over the requisite service period when management determines that achievement of the milestone is probable. Management evaluates when the achievement of a performance-based milestone is probable based on the expected satisfaction of the performance conditions at each reporting date. The estimated fair values of stock option awards granted to employees were determined on the date of grant using the Black-Scholes option valuation model with the following weighted-average assumptions:</w:t>
      </w:r>
    </w:p>
    <w:p>
      <w:pPr>
        <w:spacing w:after="0" w:line="65"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Three Months Ended</w:t>
      </w:r>
    </w:p>
    <w:p>
      <w:pPr>
        <w:jc w:val="center"/>
        <w:ind w:left="69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980" w:type="dxa"/>
            <w:vAlign w:val="bottom"/>
            <w:tcBorders>
              <w:bottom w:val="single" w:sz="8" w:color="CFF0FC"/>
            </w:tcBorders>
          </w:tcPr>
          <w:p>
            <w:pPr>
              <w:spacing w:after="0"/>
              <w:rPr>
                <w:sz w:val="16"/>
                <w:szCs w:val="16"/>
                <w:color w:val="auto"/>
              </w:rPr>
            </w:pPr>
          </w:p>
        </w:tc>
        <w:tc>
          <w:tcPr>
            <w:tcW w:w="12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FF0FC"/>
            </w:tcBorders>
          </w:tcPr>
          <w:p>
            <w:pPr>
              <w:spacing w:after="0"/>
              <w:rPr>
                <w:sz w:val="16"/>
                <w:szCs w:val="16"/>
                <w:color w:val="auto"/>
              </w:rPr>
            </w:pPr>
          </w:p>
        </w:tc>
        <w:tc>
          <w:tcPr>
            <w:tcW w:w="54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auto"/>
            </w:tcBorders>
          </w:tcPr>
          <w:p>
            <w:pPr>
              <w:spacing w:after="0"/>
              <w:rPr>
                <w:sz w:val="16"/>
                <w:szCs w:val="16"/>
                <w:color w:val="auto"/>
              </w:rPr>
            </w:pPr>
          </w:p>
        </w:tc>
      </w:tr>
      <w:tr>
        <w:trPr>
          <w:trHeight w:val="224"/>
        </w:trPr>
        <w:tc>
          <w:tcPr>
            <w:tcW w:w="6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93.0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92.0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dividend yield</w:t>
            </w:r>
          </w:p>
        </w:tc>
        <w:tc>
          <w:tcPr>
            <w:tcW w:w="260" w:type="dxa"/>
            <w:vAlign w:val="bottom"/>
            <w:shd w:val="clear" w:color="auto" w:fill="CFF0FC"/>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6.18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6.25</w:t>
            </w:r>
          </w:p>
        </w:tc>
        <w:tc>
          <w:tcPr>
            <w:tcW w:w="260" w:type="dxa"/>
            <w:vAlign w:val="bottom"/>
          </w:tcPr>
          <w:p>
            <w:pPr>
              <w:spacing w:after="0"/>
              <w:rPr>
                <w:sz w:val="19"/>
                <w:szCs w:val="19"/>
                <w:color w:val="auto"/>
              </w:rPr>
            </w:pPr>
          </w:p>
        </w:tc>
      </w:tr>
      <w:tr>
        <w:trPr>
          <w:trHeight w:val="229"/>
        </w:trPr>
        <w:tc>
          <w:tcPr>
            <w:tcW w:w="6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grant date fair value per share</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7"/>
              </w:rPr>
              <w:t>22.47</w:t>
            </w:r>
          </w:p>
        </w:tc>
        <w:tc>
          <w:tcPr>
            <w:tcW w:w="920" w:type="dxa"/>
            <w:vAlign w:val="bottom"/>
            <w:gridSpan w:val="3"/>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11.25</w:t>
            </w:r>
          </w:p>
        </w:tc>
        <w:tc>
          <w:tcPr>
            <w:tcW w:w="260" w:type="dxa"/>
            <w:vAlign w:val="bottom"/>
            <w:shd w:val="clear" w:color="auto" w:fill="CFF0FC"/>
          </w:tcPr>
          <w:p>
            <w:pPr>
              <w:spacing w:after="0"/>
              <w:rPr>
                <w:sz w:val="19"/>
                <w:szCs w:val="19"/>
                <w:color w:val="auto"/>
              </w:rPr>
            </w:pPr>
          </w:p>
        </w:tc>
      </w:tr>
    </w:tbl>
    <w:p>
      <w:pPr>
        <w:spacing w:after="0" w:line="148" w:lineRule="exact"/>
        <w:rPr>
          <w:sz w:val="20"/>
          <w:szCs w:val="20"/>
          <w:color w:val="auto"/>
        </w:rPr>
      </w:pPr>
    </w:p>
    <w:p>
      <w:pPr>
        <w:ind w:right="80" w:firstLine="445"/>
        <w:spacing w:after="0" w:line="296" w:lineRule="auto"/>
        <w:rPr>
          <w:sz w:val="20"/>
          <w:szCs w:val="20"/>
          <w:color w:val="auto"/>
        </w:rPr>
      </w:pPr>
      <w:r>
        <w:rPr>
          <w:rFonts w:ascii="Arial" w:cs="Arial" w:eastAsia="Arial" w:hAnsi="Arial"/>
          <w:sz w:val="16"/>
          <w:szCs w:val="16"/>
          <w:color w:val="auto"/>
        </w:rPr>
        <w:t>We determine the appropriate risk-free interest rate, expected term for employee stock-based awards, contractual term for non-employee stock-based awards, and volatility assumptions. The weighted-average expected option term for employee and non-employee stock-based awards reflects the application of the simplified method, which defines the life as the average of the contractual term of the options and the weighted-average vesting period for all option tranches. Estimated volatility for 2021 incorporates the historical volatility of our stock price, and volatility for 2020 incorporates our stock price as well as similar entities whose share prices are publicly available. The risk-free interest rate is based upon U.S. Treasury securities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remaining terms similar to the expected or contractual term of the stock-based payment awards. The assumed dividend yield is based on our expectation of not paying dividends in the foreseeable future.</w:t>
      </w:r>
    </w:p>
    <w:p>
      <w:pPr>
        <w:spacing w:after="0" w:line="62" w:lineRule="exact"/>
        <w:rPr>
          <w:sz w:val="20"/>
          <w:szCs w:val="20"/>
          <w:color w:val="auto"/>
        </w:rPr>
      </w:pPr>
    </w:p>
    <w:p>
      <w:pPr>
        <w:ind w:right="720" w:firstLine="445"/>
        <w:spacing w:after="0" w:line="277" w:lineRule="auto"/>
        <w:rPr>
          <w:sz w:val="20"/>
          <w:szCs w:val="20"/>
          <w:color w:val="auto"/>
        </w:rPr>
      </w:pPr>
      <w:r>
        <w:rPr>
          <w:rFonts w:ascii="Arial" w:cs="Arial" w:eastAsia="Arial" w:hAnsi="Arial"/>
          <w:sz w:val="18"/>
          <w:szCs w:val="18"/>
          <w:color w:val="auto"/>
        </w:rPr>
        <w:t>Total non-cash stock-based compensation expense for all stock awards that was recognized in the consolidated statements of operations and comprehensive loss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4"/>
          </w:tcPr>
          <w:p>
            <w:pPr>
              <w:jc w:val="right"/>
              <w:ind w:right="615"/>
              <w:spacing w:after="0"/>
              <w:rPr>
                <w:sz w:val="20"/>
                <w:szCs w:val="20"/>
                <w:color w:val="auto"/>
              </w:rPr>
            </w:pPr>
            <w:r>
              <w:rPr>
                <w:rFonts w:ascii="Arial" w:cs="Arial" w:eastAsia="Arial" w:hAnsi="Arial"/>
                <w:sz w:val="14"/>
                <w:szCs w:val="14"/>
                <w:b w:val="1"/>
                <w:bCs w:val="1"/>
                <w:color w:val="auto"/>
              </w:rPr>
              <w:t>Three Months Ended</w:t>
            </w:r>
          </w:p>
        </w:tc>
      </w:tr>
      <w:tr>
        <w:trPr>
          <w:trHeight w:val="186"/>
        </w:trPr>
        <w:tc>
          <w:tcPr>
            <w:tcW w:w="8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r>
      <w:tr>
        <w:trPr>
          <w:trHeight w:val="184"/>
        </w:trPr>
        <w:tc>
          <w:tcPr>
            <w:tcW w:w="8540" w:type="dxa"/>
            <w:vAlign w:val="bottom"/>
            <w:tcBorders>
              <w:bottom w:val="single" w:sz="8" w:color="CFF0FC"/>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r>
      <w:tr>
        <w:trPr>
          <w:trHeight w:val="224"/>
        </w:trPr>
        <w:tc>
          <w:tcPr>
            <w:tcW w:w="8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1,194</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w:t>
            </w:r>
          </w:p>
        </w:tc>
      </w:tr>
      <w:tr>
        <w:trPr>
          <w:trHeight w:val="229"/>
        </w:trPr>
        <w:tc>
          <w:tcPr>
            <w:tcW w:w="85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w:t>
            </w:r>
          </w:p>
        </w:tc>
        <w:tc>
          <w:tcPr>
            <w:tcW w:w="1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w:t>
            </w:r>
          </w:p>
        </w:tc>
      </w:tr>
      <w:tr>
        <w:trPr>
          <w:trHeight w:val="248"/>
        </w:trPr>
        <w:tc>
          <w:tcPr>
            <w:tcW w:w="85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3,315</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2,975</w:t>
            </w:r>
          </w:p>
        </w:tc>
      </w:tr>
      <w:tr>
        <w:trPr>
          <w:trHeight w:val="20"/>
        </w:trPr>
        <w:tc>
          <w:tcPr>
            <w:tcW w:w="85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At March 31, 2021, there was $40.6 million of unrecognized compensation cost related to unvested stock option awards, which is expected to be recognized over a remaining weighted-average vesting period of 2.91 years.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160" w:firstLine="486"/>
        <w:spacing w:after="0"/>
        <w:rPr>
          <w:sz w:val="20"/>
          <w:szCs w:val="20"/>
          <w:color w:val="auto"/>
        </w:rPr>
      </w:pPr>
      <w:r>
        <w:rPr>
          <w:rFonts w:ascii="Arial" w:cs="Arial" w:eastAsia="Arial" w:hAnsi="Arial"/>
          <w:sz w:val="18"/>
          <w:szCs w:val="18"/>
          <w:color w:val="auto"/>
        </w:rPr>
        <w:t>On November 11, 2020, we entered into an agreement to terminate our sublease (the “Sublease Termination”) with Trex Enterprises Corporation, with respect to facilities in the building at 10455 Pacific Center Court in San Diego, California (the “10455 Building”). The terms of the original sublease with Trex provided for a November 12, 2021 lease expiration. Under the Sublease Termination, we agreed to terminate the sublease agreement on December 15, 2020 with no associated penalty. We recorded a non-cash gain of approximately $0.1 million as other income, in connection with the write-off of the lease liability and corresponding ROU asset. As of March 31, 2021, there was no lease liability and corresponding ROU asset related to the 10455 Building Lease.</w:t>
      </w:r>
    </w:p>
    <w:p>
      <w:pPr>
        <w:spacing w:after="0" w:line="189" w:lineRule="exact"/>
        <w:rPr>
          <w:sz w:val="20"/>
          <w:szCs w:val="20"/>
          <w:color w:val="auto"/>
        </w:rPr>
      </w:pPr>
    </w:p>
    <w:p>
      <w:pPr>
        <w:jc w:val="both"/>
        <w:ind w:right="60" w:firstLine="486"/>
        <w:spacing w:after="0" w:line="275" w:lineRule="auto"/>
        <w:rPr>
          <w:sz w:val="20"/>
          <w:szCs w:val="20"/>
          <w:color w:val="auto"/>
        </w:rPr>
      </w:pPr>
      <w:r>
        <w:rPr>
          <w:rFonts w:ascii="Arial" w:cs="Arial" w:eastAsia="Arial" w:hAnsi="Arial"/>
          <w:sz w:val="17"/>
          <w:szCs w:val="17"/>
          <w:color w:val="auto"/>
        </w:rPr>
        <w:t>As of March 31, 2021, we maintain the non-cancellable office lease for our facilities at 10421 Pacific Center Court in San Diego, California, which expires on August 31, 2021. Our lease payments are fixed, and we recognize lease expense for leases on a straight-line basis over the lease term. Operating lease ROU assets and lease liabilities are recorded based on the present value of the future minimum lease payments over the lease term at commencement date. As our leases do not provide an implicit rate, we used our incremental borrowing rate based on the information available at effective date of adoption in determining the present value of future payments. The weighted-average discount rate used was 8.59%.</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balance sheet includes our ROU assets and lease liabilities for the non-cancellable office lease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gridSpan w:val="2"/>
          </w:tcPr>
          <w:p>
            <w:pPr>
              <w:ind w:left="20"/>
              <w:spacing w:after="0"/>
              <w:rPr>
                <w:sz w:val="20"/>
                <w:szCs w:val="20"/>
                <w:color w:val="auto"/>
              </w:rPr>
            </w:pPr>
            <w:r>
              <w:rPr>
                <w:rFonts w:ascii="Arial" w:cs="Arial" w:eastAsia="Arial" w:hAnsi="Arial"/>
                <w:sz w:val="14"/>
                <w:szCs w:val="14"/>
                <w:b w:val="1"/>
                <w:bCs w:val="1"/>
                <w:color w:val="auto"/>
              </w:rPr>
              <w:t>Leases</w:t>
            </w:r>
          </w:p>
        </w:tc>
        <w:tc>
          <w:tcPr>
            <w:tcW w:w="362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Classification on the Balance Sheet</w:t>
            </w:r>
          </w:p>
        </w:tc>
        <w:tc>
          <w:tcPr>
            <w:tcW w:w="140" w:type="dxa"/>
            <w:vAlign w:val="bottom"/>
          </w:tcPr>
          <w:p>
            <w:pPr>
              <w:spacing w:after="0"/>
              <w:rPr>
                <w:sz w:val="16"/>
                <w:szCs w:val="16"/>
                <w:color w:val="auto"/>
              </w:rPr>
            </w:pPr>
          </w:p>
        </w:tc>
        <w:tc>
          <w:tcPr>
            <w:tcW w:w="1220" w:type="dxa"/>
            <w:vAlign w:val="bottom"/>
          </w:tcPr>
          <w:p>
            <w:pPr>
              <w:jc w:val="right"/>
              <w:ind w:right="136"/>
              <w:spacing w:after="0"/>
              <w:rPr>
                <w:sz w:val="20"/>
                <w:szCs w:val="20"/>
                <w:color w:val="auto"/>
              </w:rPr>
            </w:pPr>
            <w:r>
              <w:rPr>
                <w:rFonts w:ascii="Arial" w:cs="Arial" w:eastAsia="Arial" w:hAnsi="Arial"/>
                <w:sz w:val="14"/>
                <w:szCs w:val="14"/>
                <w:b w:val="1"/>
                <w:bCs w:val="1"/>
                <w:color w:val="auto"/>
                <w:w w:val="98"/>
              </w:rPr>
              <w:t>March 31, 2021</w:t>
            </w: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2020</w:t>
            </w:r>
          </w:p>
        </w:tc>
      </w:tr>
      <w:tr>
        <w:trPr>
          <w:trHeight w:val="229"/>
        </w:trPr>
        <w:tc>
          <w:tcPr>
            <w:tcW w:w="4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ROU assets</w:t>
            </w:r>
          </w:p>
        </w:tc>
        <w:tc>
          <w:tcPr>
            <w:tcW w:w="100" w:type="dxa"/>
            <w:vAlign w:val="bottom"/>
            <w:tcBorders>
              <w:top w:val="single" w:sz="8" w:color="CCEEFF"/>
            </w:tcBorders>
            <w:shd w:val="clear" w:color="auto" w:fill="CCEEFF"/>
          </w:tcPr>
          <w:p>
            <w:pPr>
              <w:spacing w:after="0"/>
              <w:rPr>
                <w:sz w:val="19"/>
                <w:szCs w:val="19"/>
                <w:color w:val="auto"/>
              </w:rPr>
            </w:pPr>
          </w:p>
        </w:tc>
        <w:tc>
          <w:tcPr>
            <w:tcW w:w="3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218</w:t>
            </w:r>
          </w:p>
        </w:tc>
        <w:tc>
          <w:tcPr>
            <w:tcW w:w="64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r>
      <w:tr>
        <w:trPr>
          <w:trHeight w:val="230"/>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w:t>
            </w:r>
          </w:p>
        </w:tc>
        <w:tc>
          <w:tcPr>
            <w:tcW w:w="362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4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197</w:t>
            </w:r>
          </w:p>
        </w:tc>
        <w:tc>
          <w:tcPr>
            <w:tcW w:w="6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342</w:t>
            </w:r>
          </w:p>
        </w:tc>
      </w:tr>
    </w:tbl>
    <w:p>
      <w:pPr>
        <w:spacing w:after="0" w:line="2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non-cancellable office lease costs are included in our consolidated statements of cash flow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60" w:type="dxa"/>
            <w:vAlign w:val="bottom"/>
            <w:gridSpan w:val="4"/>
          </w:tcPr>
          <w:p>
            <w:pPr>
              <w:jc w:val="center"/>
              <w:ind w:right="236"/>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88"/>
        </w:trPr>
        <w:tc>
          <w:tcPr>
            <w:tcW w:w="4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541"/>
              <w:spacing w:after="0"/>
              <w:rPr>
                <w:sz w:val="20"/>
                <w:szCs w:val="20"/>
                <w:color w:val="auto"/>
              </w:rPr>
            </w:pPr>
            <w:r>
              <w:rPr>
                <w:rFonts w:ascii="Arial" w:cs="Arial" w:eastAsia="Arial" w:hAnsi="Arial"/>
                <w:sz w:val="14"/>
                <w:szCs w:val="14"/>
                <w:b w:val="1"/>
                <w:bCs w:val="1"/>
                <w:color w:val="auto"/>
                <w:w w:val="95"/>
              </w:rPr>
              <w:t>March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Leases</w:t>
            </w:r>
          </w:p>
        </w:tc>
        <w:tc>
          <w:tcPr>
            <w:tcW w:w="100" w:type="dxa"/>
            <w:vAlign w:val="bottom"/>
            <w:tcBorders>
              <w:bottom w:val="single" w:sz="8" w:color="CCEEFF"/>
            </w:tcBorders>
          </w:tcPr>
          <w:p>
            <w:pPr>
              <w:spacing w:after="0"/>
              <w:rPr>
                <w:sz w:val="15"/>
                <w:szCs w:val="15"/>
                <w:color w:val="auto"/>
              </w:rPr>
            </w:pPr>
          </w:p>
        </w:tc>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Classification on the Cash Flow</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00" w:type="dxa"/>
            <w:vAlign w:val="bottom"/>
            <w:shd w:val="clear" w:color="auto" w:fill="CCEEFF"/>
          </w:tcPr>
          <w:p>
            <w:pPr>
              <w:spacing w:after="0"/>
              <w:rPr>
                <w:sz w:val="19"/>
                <w:szCs w:val="19"/>
                <w:color w:val="auto"/>
              </w:rPr>
            </w:pPr>
          </w:p>
        </w:tc>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176"/>
        </w:trPr>
        <w:tc>
          <w:tcPr>
            <w:tcW w:w="48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8"/>
              </w:rPr>
              <w:t>Cash paid for amounts included in the measurement of lease</w:t>
            </w:r>
          </w:p>
        </w:tc>
        <w:tc>
          <w:tcPr>
            <w:tcW w:w="3660" w:type="dxa"/>
            <w:vAlign w:val="bottom"/>
            <w:gridSpan w:val="2"/>
            <w:vMerge w:val="restart"/>
          </w:tcPr>
          <w:p>
            <w:pPr>
              <w:ind w:left="20"/>
              <w:spacing w:after="0"/>
              <w:rPr>
                <w:sz w:val="20"/>
                <w:szCs w:val="20"/>
                <w:color w:val="auto"/>
              </w:rPr>
            </w:pPr>
            <w:r>
              <w:rPr>
                <w:rFonts w:ascii="Arial" w:cs="Arial" w:eastAsia="Arial" w:hAnsi="Arial"/>
                <w:sz w:val="18"/>
                <w:szCs w:val="18"/>
                <w:color w:val="auto"/>
              </w:rPr>
              <w:t>Operating</w:t>
            </w:r>
          </w:p>
        </w:tc>
        <w:tc>
          <w:tcPr>
            <w:tcW w:w="320" w:type="dxa"/>
            <w:vAlign w:val="bottom"/>
          </w:tcPr>
          <w:p>
            <w:pPr>
              <w:spacing w:after="0"/>
              <w:rPr>
                <w:sz w:val="15"/>
                <w:szCs w:val="15"/>
                <w:color w:val="auto"/>
              </w:rPr>
            </w:pPr>
          </w:p>
        </w:tc>
        <w:tc>
          <w:tcPr>
            <w:tcW w:w="1020" w:type="dxa"/>
            <w:vAlign w:val="bottom"/>
            <w:vMerge w:val="restart"/>
          </w:tcPr>
          <w:p>
            <w:pPr>
              <w:jc w:val="right"/>
              <w:ind w:right="1"/>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30"/>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366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30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March 31, 2021, the future minimum annual obligations for the non-cancellable office lease are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20" w:type="dxa"/>
            <w:vAlign w:val="bottom"/>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7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6"/>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29"/>
        </w:trPr>
        <w:tc>
          <w:tcPr>
            <w:tcW w:w="9520" w:type="dxa"/>
            <w:vAlign w:val="bottom"/>
          </w:tcPr>
          <w:p>
            <w:pPr>
              <w:ind w:left="20"/>
              <w:spacing w:after="0"/>
              <w:rPr>
                <w:sz w:val="20"/>
                <w:szCs w:val="20"/>
                <w:color w:val="auto"/>
              </w:rPr>
            </w:pPr>
            <w:r>
              <w:rPr>
                <w:rFonts w:ascii="Arial" w:cs="Arial" w:eastAsia="Arial" w:hAnsi="Arial"/>
                <w:sz w:val="18"/>
                <w:szCs w:val="18"/>
                <w:color w:val="auto"/>
              </w:rPr>
              <w:t>2022</w:t>
            </w:r>
          </w:p>
        </w:tc>
        <w:tc>
          <w:tcPr>
            <w:tcW w:w="7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7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520" w:type="dxa"/>
            <w:vAlign w:val="bottom"/>
          </w:tcPr>
          <w:p>
            <w:pPr>
              <w:ind w:left="20"/>
              <w:spacing w:after="0"/>
              <w:rPr>
                <w:sz w:val="20"/>
                <w:szCs w:val="20"/>
                <w:color w:val="auto"/>
              </w:rPr>
            </w:pPr>
            <w:r>
              <w:rPr>
                <w:rFonts w:ascii="Arial" w:cs="Arial" w:eastAsia="Arial" w:hAnsi="Arial"/>
                <w:sz w:val="18"/>
                <w:szCs w:val="18"/>
                <w:color w:val="auto"/>
              </w:rPr>
              <w:t>2024</w:t>
            </w:r>
          </w:p>
        </w:tc>
        <w:tc>
          <w:tcPr>
            <w:tcW w:w="7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7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7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minimum payments required</w:t>
            </w:r>
          </w:p>
        </w:tc>
        <w:tc>
          <w:tcPr>
            <w:tcW w:w="7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29"/>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7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0" w:firstLine="283"/>
        <w:spacing w:after="0" w:line="272" w:lineRule="auto"/>
        <w:rPr>
          <w:sz w:val="20"/>
          <w:szCs w:val="20"/>
          <w:color w:val="auto"/>
        </w:rPr>
      </w:pPr>
      <w:r>
        <w:rPr>
          <w:rFonts w:ascii="Arial" w:cs="Arial" w:eastAsia="Arial" w:hAnsi="Arial"/>
          <w:sz w:val="17"/>
          <w:szCs w:val="17"/>
          <w:color w:val="auto"/>
        </w:rPr>
        <w:t>On May 4, 2020, we entered into a lease agreement with Wateridge Property Owner, LP, with respect to facilities in the building at 10770 Wateridge Circle, San Diego, California 92121 (the “Lease Agreement”). Under the Lease Agreement, we agreed to lease approximately 45,000 square feet of space for a term of 124 months, beginning on April 5, 2021. The terms of the Lease Agreement provide us with an option to extend the term of the lease for an additional five years, as well as a one-time option to terminate the lease after seven years with the payment of a termination fee. The monthly base rent will be $4.20 per rentable square foot and will be increased by 3% annually. Under the Lease Agreement, we are also responsible for our pro rata share of real estate taxes, building insurance, maintenance, direct expenses, and utilities. As of March 31, 2021, we have recorded $0.3 million in prepaid rent and $0.3 million as a security deposit in accordance with the terms of the Lease Agreement.</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At March 31, 2021, the future minimum annual obligations for the Lease Agreement in excess of one year are as follows (in thousands):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6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30"/>
        </w:trPr>
        <w:tc>
          <w:tcPr>
            <w:tcW w:w="9520" w:type="dxa"/>
            <w:vAlign w:val="bottom"/>
          </w:tcPr>
          <w:p>
            <w:pPr>
              <w:ind w:left="20"/>
              <w:spacing w:after="0"/>
              <w:rPr>
                <w:sz w:val="20"/>
                <w:szCs w:val="20"/>
                <w:color w:val="auto"/>
              </w:rPr>
            </w:pPr>
            <w:r>
              <w:rPr>
                <w:rFonts w:ascii="Arial" w:cs="Arial" w:eastAsia="Arial" w:hAnsi="Arial"/>
                <w:sz w:val="18"/>
                <w:szCs w:val="18"/>
                <w:color w:val="auto"/>
              </w:rPr>
              <w:t>2021</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568</w:t>
            </w:r>
          </w:p>
        </w:tc>
      </w:tr>
      <w:tr>
        <w:trPr>
          <w:trHeight w:val="229"/>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w:t>
            </w:r>
          </w:p>
        </w:tc>
      </w:tr>
      <w:tr>
        <w:trPr>
          <w:trHeight w:val="230"/>
        </w:trPr>
        <w:tc>
          <w:tcPr>
            <w:tcW w:w="9520" w:type="dxa"/>
            <w:vAlign w:val="bottom"/>
          </w:tcPr>
          <w:p>
            <w:pPr>
              <w:ind w:left="20"/>
              <w:spacing w:after="0"/>
              <w:rPr>
                <w:sz w:val="20"/>
                <w:szCs w:val="20"/>
                <w:color w:val="auto"/>
              </w:rPr>
            </w:pPr>
            <w:r>
              <w:rPr>
                <w:rFonts w:ascii="Arial" w:cs="Arial" w:eastAsia="Arial" w:hAnsi="Arial"/>
                <w:sz w:val="18"/>
                <w:szCs w:val="18"/>
                <w:color w:val="auto"/>
              </w:rPr>
              <w:t>2023</w:t>
            </w: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2,397</w:t>
            </w:r>
          </w:p>
        </w:tc>
      </w:tr>
      <w:tr>
        <w:trPr>
          <w:trHeight w:val="230"/>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r>
      <w:tr>
        <w:trPr>
          <w:trHeight w:val="230"/>
        </w:trPr>
        <w:tc>
          <w:tcPr>
            <w:tcW w:w="9520" w:type="dxa"/>
            <w:vAlign w:val="bottom"/>
          </w:tcPr>
          <w:p>
            <w:pPr>
              <w:ind w:left="20"/>
              <w:spacing w:after="0"/>
              <w:rPr>
                <w:sz w:val="20"/>
                <w:szCs w:val="20"/>
                <w:color w:val="auto"/>
              </w:rPr>
            </w:pPr>
            <w:r>
              <w:rPr>
                <w:rFonts w:ascii="Arial" w:cs="Arial" w:eastAsia="Arial" w:hAnsi="Arial"/>
                <w:sz w:val="18"/>
                <w:szCs w:val="18"/>
                <w:color w:val="auto"/>
              </w:rPr>
              <w:t>2025</w:t>
            </w: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2,543</w:t>
            </w:r>
          </w:p>
        </w:tc>
      </w:tr>
      <w:tr>
        <w:trPr>
          <w:trHeight w:val="229"/>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6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15,420</w:t>
            </w:r>
          </w:p>
        </w:tc>
      </w:tr>
      <w:tr>
        <w:trPr>
          <w:trHeight w:val="223"/>
        </w:trPr>
        <w:tc>
          <w:tcPr>
            <w:tcW w:w="9520" w:type="dxa"/>
            <w:vAlign w:val="bottom"/>
          </w:tcPr>
          <w:p>
            <w:pPr>
              <w:ind w:left="20"/>
              <w:spacing w:after="0"/>
              <w:rPr>
                <w:sz w:val="20"/>
                <w:szCs w:val="20"/>
                <w:color w:val="auto"/>
              </w:rPr>
            </w:pPr>
            <w:r>
              <w:rPr>
                <w:rFonts w:ascii="Arial" w:cs="Arial" w:eastAsia="Arial" w:hAnsi="Arial"/>
                <w:sz w:val="18"/>
                <w:szCs w:val="18"/>
                <w:color w:val="auto"/>
              </w:rPr>
              <w:t>Total minimum payments required</w:t>
            </w: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25,725</w:t>
            </w:r>
          </w:p>
        </w:tc>
      </w:tr>
      <w:tr>
        <w:trPr>
          <w:trHeight w:val="20"/>
        </w:trPr>
        <w:tc>
          <w:tcPr>
            <w:tcW w:w="95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Lawsuit</w:t>
      </w:r>
    </w:p>
    <w:p>
      <w:pPr>
        <w:spacing w:after="0" w:line="229" w:lineRule="exact"/>
        <w:rPr>
          <w:sz w:val="20"/>
          <w:szCs w:val="20"/>
          <w:color w:val="auto"/>
        </w:rPr>
      </w:pPr>
    </w:p>
    <w:p>
      <w:pPr>
        <w:ind w:firstLine="567"/>
        <w:spacing w:after="0" w:line="268" w:lineRule="auto"/>
        <w:rPr>
          <w:sz w:val="20"/>
          <w:szCs w:val="20"/>
          <w:color w:val="auto"/>
        </w:rPr>
      </w:pPr>
      <w:r>
        <w:rPr>
          <w:rFonts w:ascii="Arial" w:cs="Arial" w:eastAsia="Arial" w:hAnsi="Arial"/>
          <w:sz w:val="16"/>
          <w:szCs w:val="16"/>
          <w:color w:val="auto"/>
        </w:rPr>
        <w:t>On March 25, 2020, a putative securities class action was filed in the United States District Court for the Southern District of California naming the Company and certain of its current or former officers as defendants. The complaint purports to assert claims under Section 10(b) of the Securities Exchange Act of 1934, as amended (the “Exchange Act”), Exchange Act Rule 10b-5, and Section 20(a) of the Exchange Act, on behalf of persons and entities who acquired our common stock between October 10, 2017 and November 7, 2019 (the “Class Period”). An amended complaint was filed on September 30, 2020 alleging that, during the Class Period, the defendants made material misrepresentations or omissions regarding our etokimab product candidate that artificially inflated our stock price. The plaintiff seeks, among other things, damages in an unspecified amount, as well as costs and expenses. We believe that the plaintiff’s allegations are without merit and intend to vigorously defend against the claims. Because the Company is in the early stages of this litigation matter, we are unable to estimate a reasonably possible loss or range of loss, if any, that may result from these matters. On September 1, 2020, a related shareholder derivative complaint was filed in the same Court based on allegations substantially similar to those in the class action, and asserting claims against current or former officers and directors for contribution under Sections 10(b) and 21D of the Exchange Act, breach of fiduciary duty, unjust enrichment and corporate waste. On January 28, 2021, this derivative action was voluntarily dismissed without prejudice. On May 3, 2021, another shareholder derivative complaint was filed in the same Court based on allegations substantially similar to those in the class action, and purporting to assert claims on the Company’s behalf against current or former officers and directors for alleged violation of Sections 14(a) and 20(a) of the Exchange Act, breach of fiduciary duties, unjust enrichment, waste of corporate assets and insider selling.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Events</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Milestone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Biologics License Application (“BLA”) for our most advanced partnered program, which is an anti-PD-1 antagonist antibody called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JEMPERLI, was approved by the FDA in April 2021 for the treatment of advanced or recurrent deficient mismatch repair endometrial cancer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(“dMMREC”). This is the first AnaptysBio-generated antibody, of eight currently under clinical development, to obtain FDA approval. We earned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$20.0 million milestone payment as a result of this FDA approval. In addition, in April 2021 the European Medicines Agency (“EMA”) granted conditional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marketing authorization in the European Union (“EU”) for JEMPERLI for use in women with mismatch repair deficient (dMMR)/microsatellite instability-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high (MSI-H) recurrent or advanced endometrial cancer who have progressed on or following prior treatment with a platinum containing regimen, which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approval makes JEMPERLI the first anti-PD-1 therapy available for endometrial cancer in Europe. We earned a $10.0 million milestone payment as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result of this approval.</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April 5, 2021, the leasehold improvements were completed for the Lease Agreement and we took possession of the premises, see Note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 w:name="page22"/>
    <w:bookmarkEnd w:id="21"/>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567"/>
        <w:spacing w:after="0" w:line="279" w:lineRule="auto"/>
        <w:rPr>
          <w:sz w:val="20"/>
          <w:szCs w:val="20"/>
          <w:color w:val="auto"/>
        </w:rPr>
      </w:pPr>
      <w:r>
        <w:rPr>
          <w:rFonts w:ascii="Arial" w:cs="Arial" w:eastAsia="Arial" w:hAnsi="Arial"/>
          <w:sz w:val="17"/>
          <w:szCs w:val="17"/>
          <w:color w:val="auto"/>
        </w:rPr>
        <w:t>This Quarterly Report on Form 10-Q (“Quarterly Report”) contains forward-looking statements within the meaning of Section 21E of the Securities Exchange Act of 1934, as amended (the “Exchange Act”), and section 27A of the Securities Act of 1933, as amended (the “Securities Act”). The words “believe,” “may,” “will,” “potentially,” “estimate,” “continue,” “anticipate,” “intend,” “could,” “would,” “project,” “plan,” and “expect,” and similar expressions that convey uncertainty of future events or outcomes, are intended to identify forward-looking statements.</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forward-looking statements in this report include, among other things, statements about:</w:t>
      </w:r>
    </w:p>
    <w:p>
      <w:pPr>
        <w:spacing w:after="0" w:line="11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success, cost, and timing of our product candidate development activities and ongoing and planned clinical trials;</w:t>
      </w:r>
    </w:p>
    <w:p>
      <w:pPr>
        <w:spacing w:after="0" w:line="117" w:lineRule="exact"/>
        <w:rPr>
          <w:rFonts w:ascii="Arial" w:cs="Arial" w:eastAsia="Arial" w:hAnsi="Arial"/>
          <w:sz w:val="18"/>
          <w:szCs w:val="18"/>
          <w:color w:val="auto"/>
        </w:rPr>
      </w:pPr>
    </w:p>
    <w:p>
      <w:pPr>
        <w:ind w:left="660" w:right="18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plans to develop and commercialize antibodies, including our lead product candidate: imsidolimab for patients with generalized pustular psoriasis (“GPP”), skin toxicities associated with treatments with inhibitors of epidermal growth factor, ichthyosis, hidradenitis suppurativa, and acne;</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the coronavirus (“COVID-19”) pandemic on our business and the United States (“U.S.”) and global economies;</w:t>
      </w:r>
    </w:p>
    <w:p>
      <w:pPr>
        <w:spacing w:after="0" w:line="117" w:lineRule="exact"/>
        <w:rPr>
          <w:rFonts w:ascii="Arial" w:cs="Arial" w:eastAsia="Arial" w:hAnsi="Arial"/>
          <w:sz w:val="18"/>
          <w:szCs w:val="18"/>
          <w:color w:val="auto"/>
        </w:rPr>
      </w:pPr>
    </w:p>
    <w:p>
      <w:pPr>
        <w:jc w:val="both"/>
        <w:ind w:left="660" w:right="38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the likelihood that the clinical data generated in any study we performed, are performing, or plan to perform in a non-U.S. jurisdiction will be subsequently accepted by the </w:t>
      </w:r>
      <w:r>
        <w:rPr>
          <w:rFonts w:ascii="Arial" w:cs="Arial" w:eastAsia="Arial" w:hAnsi="Arial"/>
          <w:sz w:val="18"/>
          <w:szCs w:val="18"/>
          <w:color w:val="231F20"/>
        </w:rPr>
        <w:t>U.S. Food and Drug Administration (“FDA”)</w:t>
      </w:r>
      <w:r>
        <w:rPr>
          <w:rFonts w:ascii="Arial" w:cs="Arial" w:eastAsia="Arial" w:hAnsi="Arial"/>
          <w:sz w:val="18"/>
          <w:szCs w:val="18"/>
          <w:color w:val="auto"/>
        </w:rPr>
        <w:t xml:space="preserve"> and/or by foreign regulatory authorities outside of the jurisdiction where the study was being performed;</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and ability of our collaborators to develop and commercialize our partnered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benefits and advantages of our product candidates and approaches versus those of our competitors;</w:t>
      </w:r>
    </w:p>
    <w:p>
      <w:pPr>
        <w:spacing w:after="0" w:line="117" w:lineRule="exact"/>
        <w:rPr>
          <w:rFonts w:ascii="Arial" w:cs="Arial" w:eastAsia="Arial" w:hAnsi="Arial"/>
          <w:sz w:val="18"/>
          <w:szCs w:val="18"/>
          <w:color w:val="auto"/>
        </w:rPr>
      </w:pPr>
    </w:p>
    <w:p>
      <w:pPr>
        <w:ind w:left="660" w:right="420" w:hanging="328"/>
        <w:spacing w:after="0" w:line="342"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execute on our strategy, including advancing our lead product candidates, identifying emerging opportunities in key therapeutic areas, continuing to expand our wholly-owned pipeline, and retaining rights to strategic products in key commercial markets;</w:t>
      </w:r>
    </w:p>
    <w:p>
      <w:pPr>
        <w:spacing w:after="0" w:line="15" w:lineRule="exact"/>
        <w:rPr>
          <w:rFonts w:ascii="Arial" w:cs="Arial" w:eastAsia="Arial" w:hAnsi="Arial"/>
          <w:sz w:val="16"/>
          <w:szCs w:val="16"/>
          <w:color w:val="auto"/>
        </w:rPr>
      </w:pPr>
    </w:p>
    <w:p>
      <w:pPr>
        <w:ind w:left="660" w:right="52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complete further development and commercialization of our product candidates;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imsidolimab and our other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approved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size and growth potential of the markets for any approved product candidates, and our ability to serve those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developments in the U.S., the United Kingdom, Australia, and other foreign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use of the net proceeds from our public offerings;</w:t>
      </w:r>
    </w:p>
    <w:p>
      <w:pPr>
        <w:spacing w:after="0" w:line="117"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identify additional products or product candidates with significant commercial potential that are consistent with our commercial objectives;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225" w:lineRule="exact"/>
        <w:rPr>
          <w:sz w:val="20"/>
          <w:szCs w:val="20"/>
          <w:color w:val="auto"/>
        </w:rPr>
      </w:pPr>
    </w:p>
    <w:p>
      <w:pPr>
        <w:ind w:right="240" w:firstLine="567"/>
        <w:spacing w:after="0" w:line="277" w:lineRule="auto"/>
        <w:rPr>
          <w:sz w:val="20"/>
          <w:szCs w:val="20"/>
          <w:color w:val="auto"/>
        </w:rPr>
      </w:pPr>
      <w:r>
        <w:rPr>
          <w:rFonts w:ascii="Arial" w:cs="Arial" w:eastAsia="Arial" w:hAnsi="Arial"/>
          <w:sz w:val="18"/>
          <w:szCs w:val="18"/>
          <w:color w:val="auto"/>
        </w:rPr>
        <w:t>These forward-looking statements are subject to a number of risks, uncertainties, and assumptions, including those described in Part II, Item 1A, “Risk Factors,” and elsewhere in this Quarterly Report. Moreover, we operate in a competitive</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22" w:name="page23"/>
    <w:bookmarkEnd w:id="22"/>
    <w:p>
      <w:pPr>
        <w:spacing w:after="0" w:line="30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w:t>
      </w:r>
    </w:p>
    <w:p>
      <w:pPr>
        <w:spacing w:after="0" w:line="188" w:lineRule="exact"/>
        <w:rPr>
          <w:sz w:val="20"/>
          <w:szCs w:val="20"/>
          <w:color w:val="auto"/>
        </w:rPr>
      </w:pPr>
    </w:p>
    <w:p>
      <w:pPr>
        <w:ind w:right="280" w:firstLine="567"/>
        <w:spacing w:after="0" w:line="279"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to conform these statements to actual results or to changes in our expectations, except as required by law.</w:t>
      </w:r>
    </w:p>
    <w:p>
      <w:pPr>
        <w:spacing w:after="0" w:line="171" w:lineRule="exact"/>
        <w:rPr>
          <w:sz w:val="20"/>
          <w:szCs w:val="20"/>
          <w:color w:val="auto"/>
        </w:rPr>
      </w:pPr>
    </w:p>
    <w:p>
      <w:pPr>
        <w:ind w:right="680" w:firstLine="567"/>
        <w:spacing w:after="0" w:line="277" w:lineRule="auto"/>
        <w:rPr>
          <w:sz w:val="20"/>
          <w:szCs w:val="20"/>
          <w:color w:val="auto"/>
        </w:rPr>
      </w:pPr>
      <w:r>
        <w:rPr>
          <w:rFonts w:ascii="Arial" w:cs="Arial" w:eastAsia="Arial" w:hAnsi="Arial"/>
          <w:sz w:val="18"/>
          <w:szCs w:val="18"/>
          <w:color w:val="auto"/>
        </w:rPr>
        <w:t>You should read this Quarterly Report with the understanding that our actual future results, levels of activity, performance, and events and circumstances may be materially different from what we expect.</w:t>
      </w:r>
    </w:p>
    <w:p>
      <w:pPr>
        <w:spacing w:after="0" w:line="170"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Unless the context indicates otherwise, as used in this Quarterly Report, the terms “AnaptysBio,” “company,” “we,” “us” and “our” refer to AnaptysBio, Inc., a Delaware corporation, and its subsidiaries taken as a whole, unless otherwise noted. AnaptysBio is our common law trademark. This Quarterly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3" w:name="page24"/>
    <w:bookmarkEnd w:id="23"/>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unaudited consolidated financial statements and related notes for the three months ended March 31, 2021, included in Part I, Item 1 of this report and with our audited consolidated financial statements and related notes thereto for the year ended December 31, 2020 included in our Annual Report on Form 10-K. This discussion and other sections of this Quarterly Report contain forward-looking statements that involve risks and uncertainties, such as our plans, objectives, expectations, intentions, and beliefs. Our actual results could differ materially from those discussed in these forward-looking statements. Factors that could cause or contribute to such differences include, but are not limited to, those identified below and those discussed in the section entitled “Risk Factors” included in Part II, Item 1A of this Quarterly Report. You should also carefully read “Special Note Regarding Forward-Looking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firstLine="567"/>
        <w:spacing w:after="0" w:line="272" w:lineRule="auto"/>
        <w:rPr>
          <w:sz w:val="20"/>
          <w:szCs w:val="20"/>
          <w:color w:val="auto"/>
        </w:rPr>
      </w:pPr>
      <w:r>
        <w:rPr>
          <w:rFonts w:ascii="Arial" w:cs="Arial" w:eastAsia="Arial" w:hAnsi="Arial"/>
          <w:sz w:val="17"/>
          <w:szCs w:val="17"/>
          <w:color w:val="auto"/>
        </w:rPr>
        <w:t xml:space="preserve">We are a clinical stage biotechnology company developing first-in-class immunology therapeutic product candidates focused on emerging immune control mechanisms applicable to inflammation and immuno-oncology indications. We develop our product candidates using our proprietary antibody discovery technology platform, which is based upon a breakthrough understanding of the natural process of antibody generation, known as somatic hypermutation (“SHM”), and replicates this natural process of antibody generation </w:t>
      </w:r>
      <w:r>
        <w:rPr>
          <w:rFonts w:ascii="Arial" w:cs="Arial" w:eastAsia="Arial" w:hAnsi="Arial"/>
          <w:sz w:val="17"/>
          <w:szCs w:val="17"/>
          <w:i w:val="1"/>
          <w:iCs w:val="1"/>
          <w:color w:val="auto"/>
        </w:rPr>
        <w:t>in vitro</w:t>
      </w:r>
      <w:r>
        <w:rPr>
          <w:rFonts w:ascii="Arial" w:cs="Arial" w:eastAsia="Arial" w:hAnsi="Arial"/>
          <w:sz w:val="17"/>
          <w:szCs w:val="17"/>
          <w:color w:val="auto"/>
        </w:rPr>
        <w:t>. Our strategy is to advance the development of our proprietary product candidates, and where applicable, establish partnerships with leading biopharmaceutical companies where we retain certain development and commercialization rights. Our most advanced wholly-owned antibody programs, imsidolimab, ANB030 and ANB032, are designed to modulate therapeutic targets that are genetically associated with human inflammatory disorders.</w:t>
      </w:r>
    </w:p>
    <w:p>
      <w:pPr>
        <w:spacing w:after="0" w:line="177" w:lineRule="exact"/>
        <w:rPr>
          <w:sz w:val="20"/>
          <w:szCs w:val="20"/>
          <w:color w:val="auto"/>
        </w:rPr>
      </w:pPr>
    </w:p>
    <w:p>
      <w:pPr>
        <w:ind w:firstLine="567"/>
        <w:spacing w:after="0" w:line="266" w:lineRule="auto"/>
        <w:rPr>
          <w:sz w:val="20"/>
          <w:szCs w:val="20"/>
          <w:color w:val="auto"/>
        </w:rPr>
      </w:pPr>
      <w:r>
        <w:rPr>
          <w:rFonts w:ascii="Arial" w:cs="Arial" w:eastAsia="Arial" w:hAnsi="Arial"/>
          <w:sz w:val="16"/>
          <w:szCs w:val="16"/>
          <w:color w:val="auto"/>
        </w:rPr>
        <w:t>Imsidolimab, our IL-36R antibody previously referred to as ANB019, inhibits the interleukin-36 receptor (“IL-36R”), and is being developed for the treatment of multiple dermatological inflammatory diseases. We completed a Phase 1 clinical trial in healthy volunteers, which was presented at the European Academy of Allergy and Clinical Immunology in 2018, where imsidolimab was well-tolerated by all subjects, no dose-limiting toxicities were observed, and no serious adverse events were reported among any subjects in the clinical trial. In July 2020, the U.S. Food and Drug Administration (the “FDA”) granted Orphan Drug Designation for imsidolimab for the treatment of patients with GPP. We are conducting an open-label, multi-dose, single-arm Phase 2 clinical trial of imsidolimab in 8 GPP patients, also referred to as the GALLOP clinical trial, where we announced positive topline data in October 2020. Six of 8 (75%) patients treated with imsidolimab monotherapy achieved the primary endpoint of improvement in the clinical global impression scale (“CGI”) on Day 29. Two of 8 (25%) patients were considered to have not met the primary endpoint because they dropped out of the clinical trial prior to Day 29. The modified Japanese Dermatology Association Severity Index (“mJDA-SI”) score, which incorporates both dermatological and systemic aspects of GPP, decreased on average by 29% on Day 8 and 54% on Day 29. Erythema with skin pustules, which clinically defines GPP, decreased by 60% on Day 8 and 94% on Day 29. Serum c-reactive protein (“CRP”), which is an indicator of systemic inflammation, was normal (less than 5 mg/L) for 5 of the 6 patients achieving the primary endpoint on Day 29. Genotypic testing indicated homozygous wild-type IL-36RN, CARD14 and AP1S3 alleles for all tested patients. We believe this suggests that imsidolimab may be broadly applicable to pustular diseases irrespective of genetic drivers. Anti-drug antibodies were not detected as of Day 29 in any patient. Imsidolimab was generally well-tolerated, and most treatment-emergent adverse events were mild to moderate in severity and resolved without sequelae. No infusion or injection site reactions were observed. One patient dropped out of the clinical trial due to a diagnosis of Staphylococcal aureus bacteremia in the first week, which was a serious adverse event deemed to be possibly drug-related. Because the patient was symptomatic prior to dosing and had a prior medical history of bacteremia, a common comorbidity of GPP, we do not believe this event is likely attributable to imsidolimab. Another patient dropped out of the study on Day 22 due to investigator reported inadequate efficacy. One patient contracted COVID-19 during the course of the clinical trial, which was mild, unrelated to imsidolimab, and did not lead to study discontinuation. Data from the first two patients to have completed the Day 113 treatment period under this clinical trial, which we announced in September 2019, indicated sustained efficacy in these two patients through Day 113. We plan to report full data from the GALLOP clinical trial at a medical conference in 2021. While initial GPP epidemiology studies suggested at least 3,000 GPP patients in the United States, medical claims analyses conducted by IQVIA indicate approximately 37,000 unique patients were diagnosed with GPP at least once, and approximately 15,000 unique patients were diagnosed with GPP at least twice, by a physician between 2017 and 2019 using the International Classification of Diseases 10th Revision (ICD-10) billing code pertaining to GPP (L40.1). We have most recently met with the FDA during the second quarter of 2021 for an end-of-Phase 2 meeting to review an orphan disease registration plan for imsidolimab for the treatment of GPP and anticipate announcing key aspects of our Phase 3 trial design upon its initiation in mid-2021. We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30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initiated a global registry of GPP patients, also referred to as the RADIANCE study, which we anticipate will improve understanding of the patient journey and assist in enrollment of future GPP clinical trials.</w:t>
      </w:r>
    </w:p>
    <w:p>
      <w:pPr>
        <w:spacing w:after="0" w:line="171" w:lineRule="exact"/>
        <w:rPr>
          <w:sz w:val="20"/>
          <w:szCs w:val="20"/>
          <w:color w:val="auto"/>
        </w:rPr>
      </w:pPr>
    </w:p>
    <w:p>
      <w:pPr>
        <w:ind w:firstLine="567"/>
        <w:spacing w:after="0" w:line="269" w:lineRule="auto"/>
        <w:rPr>
          <w:sz w:val="20"/>
          <w:szCs w:val="20"/>
          <w:color w:val="auto"/>
        </w:rPr>
      </w:pPr>
      <w:r>
        <w:rPr>
          <w:rFonts w:ascii="Arial" w:cs="Arial" w:eastAsia="Arial" w:hAnsi="Arial"/>
          <w:sz w:val="16"/>
          <w:szCs w:val="16"/>
          <w:color w:val="auto"/>
        </w:rPr>
        <w:t>We have also conducted a randomized, double-blind, placebo-controlled 59-patient multi-dose clinical trial of imsidolimab in PPP, also referred to as the POPLAR clinical trial, where top-line data was announced in March 2021. This trial failed to meet the primary endpoint, as least-squares mean difference (LSMD) PPPASI improvement at week 16 (Day 113) was 6.1 for imsidolimab-treated patients and 6.3 for placebo-treated patients relative to their respective baselines, a p-value of 0.93 for the difference between the groups. Twenty-four patients completed the week 16 primary endpoint analysis in each arm of the trial. Imsidolimab-treated patients had a mean PPPASI change from baseline of 5.78 or 38% improvement, while placebo-treated patients improved by 6.78 or 33% improvement, each relative to baseline. Percent PPPASI improvement versus baseline was numerically greater for imsidolimab-treated patients relative to placebo-treated patients at each study time point (Days 3, 8, 15, 22, 29, 43, 57, 71, 85 and 113), ranging from approximately 3% to 19%. Nine (38%) patients achieved fifty percent PPPASI improvement (PPPASI50) and 4 (17%) patients achieved seventy five percent PPPASI improvement (PPPASI75) in the imsidolimab arm at week 16, while 12 (50%) and 3 (13%) achieved these responder thresholds in the placebo arm, respectively. Five (21%) imsidolimab-treated patients achieved a PPPIGA score of zero (clear) or 1 (almost clear) at week 16 relative to 3 (13%) placebo-dosed patients. While we continue to review secondary endpoints to further understand the activity of imsidolimab in various PPP patient subsets, we do not currently plan to pursue further clinical development of imsidolimab in PPP.</w:t>
      </w:r>
    </w:p>
    <w:p>
      <w:pPr>
        <w:spacing w:after="0" w:line="171" w:lineRule="exact"/>
        <w:rPr>
          <w:sz w:val="20"/>
          <w:szCs w:val="20"/>
          <w:color w:val="auto"/>
        </w:rPr>
      </w:pPr>
    </w:p>
    <w:p>
      <w:pPr>
        <w:ind w:right="60" w:firstLine="567"/>
        <w:spacing w:after="0" w:line="253" w:lineRule="auto"/>
        <w:rPr>
          <w:sz w:val="20"/>
          <w:szCs w:val="20"/>
          <w:color w:val="auto"/>
        </w:rPr>
      </w:pPr>
      <w:r>
        <w:rPr>
          <w:rFonts w:ascii="Arial" w:cs="Arial" w:eastAsia="Arial" w:hAnsi="Arial"/>
          <w:sz w:val="17"/>
          <w:szCs w:val="17"/>
          <w:color w:val="auto"/>
        </w:rPr>
        <w:t>We have initiated clinical development of imsidolimab for the treatment of skin toxicities associated with treatments with inhibitors of epidermal growth factor (“EGFRi”) and MAPK/ERK kinase (“MEKi”). Treatment of solid tumors with EGFRi and/or MEKi is frequently limited by the occurrence of skin toxicities, including acneiform or papulopustular rash. Recent translational data has suggested that these skin toxicities are mediated by excess IL-36 signaling, leading to IL-8-mediated cutaneous neutrophilia and acneiform rash. Based on existing claims data, approximately 60,000 patients are prescribed EGFRi and/or MEKi treatments annually, and the vast majority of these patients experience skin toxicity, which in some cases leads to dose reduction and/or discontinuation of treatment. Current standard-of-care treatments are generally ineffective in patients with the most severe grades of EGFRi and/or MEKi mediated skin toxicity. During the fourth quarter of 2020, we initiated a Phase 2 clinical trial, called EMERGE, of imsidolimab in combination with EGFRi inhibitors, for the treatment of patients diagnosed with a certain baseline severity of skin toxicity, where 45 patients are randomized 2:1 between imsidolimab and placebo arms, to assess the efficacy of imsidolimab in the treatment of this indication. We anticipate interim top-line data from this clinical trial at the end of 2021.</w:t>
      </w:r>
    </w:p>
    <w:p>
      <w:pPr>
        <w:spacing w:after="0" w:line="180" w:lineRule="exact"/>
        <w:rPr>
          <w:sz w:val="20"/>
          <w:szCs w:val="20"/>
          <w:color w:val="auto"/>
        </w:rPr>
      </w:pPr>
    </w:p>
    <w:p>
      <w:pPr>
        <w:ind w:firstLine="567"/>
        <w:spacing w:after="0" w:line="257" w:lineRule="auto"/>
        <w:rPr>
          <w:sz w:val="20"/>
          <w:szCs w:val="20"/>
          <w:color w:val="auto"/>
        </w:rPr>
      </w:pPr>
      <w:r>
        <w:rPr>
          <w:rFonts w:ascii="Arial" w:cs="Arial" w:eastAsia="Arial" w:hAnsi="Arial"/>
          <w:sz w:val="17"/>
          <w:szCs w:val="17"/>
          <w:color w:val="auto"/>
        </w:rPr>
        <w:t>We have also initiated clinical development of imsidolimab in ichthyosis, which is a family of rare, inherited, dermatological disorders characterized by dry, scaling and thickened skin. Recent human translational studies have suggested that the underlying skin inflammation responsible for ichthyosis is mediated by dysregulated IL-36 signaling, and we believe that imsidolimab treatment may be efficacious in treatment of this condition. Approximately 6,000 patients in the United States are affected with moderate-to-severe levels of ichthyosis, and no approved therapies are available for this disease. We have initiated a Phase 2 clinical trial, called INSPIRE, of imsidolimab in patients with certain baseline severity of ichthyosis, where 24 patients are randomized 2:1 between imsidolimab and placebo arms, and we anticipate interim top-line data in 2022.</w:t>
      </w:r>
    </w:p>
    <w:p>
      <w:pPr>
        <w:spacing w:after="0" w:line="175" w:lineRule="exact"/>
        <w:rPr>
          <w:sz w:val="20"/>
          <w:szCs w:val="20"/>
          <w:color w:val="auto"/>
        </w:rPr>
      </w:pPr>
    </w:p>
    <w:p>
      <w:pPr>
        <w:ind w:right="120" w:firstLine="567"/>
        <w:spacing w:after="0" w:line="272" w:lineRule="auto"/>
        <w:rPr>
          <w:sz w:val="20"/>
          <w:szCs w:val="20"/>
          <w:color w:val="auto"/>
        </w:rPr>
      </w:pPr>
      <w:r>
        <w:rPr>
          <w:rFonts w:ascii="Arial" w:cs="Arial" w:eastAsia="Arial" w:hAnsi="Arial"/>
          <w:sz w:val="16"/>
          <w:szCs w:val="16"/>
          <w:color w:val="auto"/>
        </w:rPr>
        <w:t>We have also initiated clinical development of imsidolimab in hidradenitis suppurativa, also known as acne inversa, which is a chronic inflammatory skin disease characterized by painful nodules in intertriginous areas that can progress to abscesses, sinus tracks and scarring. Current treatment options for hidradenitis suppurativa, including antibiotics, corticosteroids and anti-TNF therapy, have variable efficacy in moderate-to-severe patients, which often leads to surgery for removal of hidradenitis suppurativa nodules. Human translational studies have demonstrated elevated IL-36 cytokine expression in hidradenitis suppurativa skin biopsies, and we believe treatment of moderate-to-severe hidradenitis suppurativa with imsidolimab may lead to therapeutic benefit for this patient population. Moderate-to-severe hidradenitis suppurativa affects approximately 150,000 adults in the United States. We have initiated a Phase 2 clinical trial of imsidolimab in hidradenitis suppurativa, called HARP, where 120 patients will be randomized equally between two dose levels of imsidolimab and placebo, and we anticipate top-line data during the second half of 2022.</w:t>
      </w:r>
    </w:p>
    <w:p>
      <w:pPr>
        <w:spacing w:after="0" w:line="168" w:lineRule="exact"/>
        <w:rPr>
          <w:sz w:val="20"/>
          <w:szCs w:val="20"/>
          <w:color w:val="auto"/>
        </w:rPr>
      </w:pPr>
    </w:p>
    <w:p>
      <w:pPr>
        <w:ind w:right="100" w:firstLine="567"/>
        <w:spacing w:after="0" w:line="241" w:lineRule="auto"/>
        <w:rPr>
          <w:sz w:val="20"/>
          <w:szCs w:val="20"/>
          <w:color w:val="auto"/>
        </w:rPr>
      </w:pPr>
      <w:r>
        <w:rPr>
          <w:rFonts w:ascii="Arial" w:cs="Arial" w:eastAsia="Arial" w:hAnsi="Arial"/>
          <w:sz w:val="18"/>
          <w:szCs w:val="18"/>
          <w:color w:val="auto"/>
        </w:rPr>
        <w:t>We have also initiated clinical development of imsidolimab in acne, which is the most common skin disorder in the United States, with approximately 7 million patients diagnosed with moderate-to-severe disease. Moderate-to-severe acne typically presents with painful papules, pustules, nodules, cysts and scarring. A key contributing factor to the pathogenesis of acne is the immune response to p. acnes, which is associated with upregulated IL-36 cytokine activity, localized inflammation and neutrophil infiltration of the skin. Existing therapies, including isotretinoin and systemic antibiotics, provide variable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306"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auto"/>
        </w:rPr>
        <w:t>efficacy for moderate-to-severe acne patients and have practical limitations to their use given potential for clinically meaningful side effects. We have initiated a Phase 2 clinical trial of imsidolimab, called ACORN, where 120 patients will be randomized equally between two dose levels of imsidolimab and placebo, for the treatment of moderate-to-severe acne, and we anticipate top-line data during the first half of 2022.</w:t>
      </w:r>
    </w:p>
    <w:p>
      <w:pPr>
        <w:spacing w:after="0" w:line="164" w:lineRule="exact"/>
        <w:rPr>
          <w:sz w:val="20"/>
          <w:szCs w:val="20"/>
          <w:color w:val="auto"/>
        </w:rPr>
      </w:pPr>
    </w:p>
    <w:p>
      <w:pPr>
        <w:ind w:right="40" w:firstLine="567"/>
        <w:spacing w:after="0" w:line="254" w:lineRule="auto"/>
        <w:rPr>
          <w:sz w:val="20"/>
          <w:szCs w:val="20"/>
          <w:color w:val="auto"/>
        </w:rPr>
      </w:pPr>
      <w:r>
        <w:rPr>
          <w:rFonts w:ascii="Arial" w:cs="Arial" w:eastAsia="Arial" w:hAnsi="Arial"/>
          <w:sz w:val="17"/>
          <w:szCs w:val="17"/>
          <w:color w:val="auto"/>
        </w:rPr>
        <w:t xml:space="preserve">Our second wholly-owned program, ANB030, is an anti-PD-1 agonist antibody program designed to augment PD-1 signaling through ANB030 treatment to suppress T-cell driven human inflammatory diseases. Genetic mutations in the PD-1 pathway are known to be associated with increased susceptibility to human inflammatory diseases, and hence we believe that ANB030 is applicable to diseases where PD-1 checkpoint receptor function may be under-represented. We presented preclinical data for ANB030 at the Festival of Biologics Annual Meeting in March 2020, including translational data demonstrating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activity of ANB030 in alopecia areata patient samples. We initiated a Phase 1 healthy volunteer clinical trial in the first half of 2020, which is designed to assess the safety, pharmacokinetics and pharmacodynamics of ANB030 in single and multiple ascending dose cohorts. We anticipate top-line safety, pharmacokinetic and receptor occupancy data from this Phase 1 clinical trial during the second half of 2021. We plan to initiate Phase 2 clinical trials of ANB030 in alopecia areata and vitiligo in the fourth quarter of 2021.</w:t>
      </w:r>
    </w:p>
    <w:p>
      <w:pPr>
        <w:spacing w:after="0" w:line="181" w:lineRule="exact"/>
        <w:rPr>
          <w:sz w:val="20"/>
          <w:szCs w:val="20"/>
          <w:color w:val="auto"/>
        </w:rPr>
      </w:pPr>
    </w:p>
    <w:p>
      <w:pPr>
        <w:ind w:right="120" w:firstLine="567"/>
        <w:spacing w:after="0"/>
        <w:rPr>
          <w:sz w:val="20"/>
          <w:szCs w:val="20"/>
          <w:color w:val="auto"/>
        </w:rPr>
      </w:pPr>
      <w:r>
        <w:rPr>
          <w:rFonts w:ascii="Arial" w:cs="Arial" w:eastAsia="Arial" w:hAnsi="Arial"/>
          <w:sz w:val="18"/>
          <w:szCs w:val="18"/>
          <w:color w:val="auto"/>
        </w:rPr>
        <w:t>Our third wholly-owned program is an anti-BTLA modulator antibody, known as ANB032, which is broadly applicable to human inflammatory diseases associated with lymphoid and myeloid immune cell dysregulation. Mutations in the BTLA signaling pathway are associated with human inflammatory disease, and we believe ANB032 silences pro-inflammatory signaling by modulating BTLA binding to HVEM. We have initiated a healthy volunteer Phase 1 trial of ANB032 in the first quarter of 2021, under an Australian Clinical Trial Notification (“CTN”) and anticipate top-line data from this trial during the first half of 2022. We presented preclinical data regarding ANB032 at the 2020 Federation of Clinical Immunology Societies (FOCIS) Virtual Annual Meeting in October 2020.</w:t>
      </w:r>
    </w:p>
    <w:p>
      <w:pPr>
        <w:spacing w:after="0" w:line="189" w:lineRule="exact"/>
        <w:rPr>
          <w:sz w:val="20"/>
          <w:szCs w:val="20"/>
          <w:color w:val="auto"/>
        </w:rPr>
      </w:pPr>
    </w:p>
    <w:p>
      <w:pPr>
        <w:ind w:firstLine="567"/>
        <w:spacing w:after="0" w:line="267" w:lineRule="auto"/>
        <w:rPr>
          <w:sz w:val="20"/>
          <w:szCs w:val="20"/>
          <w:color w:val="auto"/>
        </w:rPr>
      </w:pPr>
      <w:r>
        <w:rPr>
          <w:rFonts w:ascii="Arial" w:cs="Arial" w:eastAsia="Arial" w:hAnsi="Arial"/>
          <w:sz w:val="16"/>
          <w:szCs w:val="16"/>
          <w:color w:val="auto"/>
        </w:rPr>
        <w:t>In addition to our wholly-owned antibody programs, multiple Company-developed antibody programs have been advanced to preclinical and clinical milestones under our collaborations. We have received to date approximately $174.6 million in cash receipts from collaborations. Our collaborations include an immuno-oncology-focused collaboration with GlaxoSmithKline, Inc. (“GSK”) and an inflammation-focused collaboration with Bristol-Myers Squibb (“BMS”). A Biologics License Application (“BLA”) for our most advanced partnered program, which is an anti-PD-1 antagonist antibody called JEMPERLI (dostarlimab), was approved by the FDA in April 2021 for the treatment of advanced or recurrent deficient mismatch repair endometrial cancer (“dMMREC”). This is the first AnaptysBio-generated antibody, of eight currently under clinical development, to obtain FDA approval. We earned a $20.0 million milestone payment as a result of this FDA approval. In addition, in April 2021 the European Medicines Agency (“EMA”) granted conditional marketing authorization in the European Union (“EU”) for JEMPERLI for use in women with mismatch repair deficient (dMMR)/microsatellite instability-high (MSI-H) recurrent or advanced endometrial cancer who have progressed on or following prior treatment with a platinum containing regimen, which approval makes JEMPERLI the first anti-PD-1 therapy available for endometrial cancer in Europe. We earned a $10.0 million milestone payment as a result of this approval. A second BLA submitted by GSK was accepted by the FDA during the first quarter of 2021 for JEMPERLI in pan-deficient mismatch repair tumors (“PdMMRT”). We received a $10.0 million cash milestone payment upon the FDA acceptance of GSK’s second FDA BLA for JEMPERLI and anticipate an additional $20.0 million cash milestone payment upon FDA approval of this second FDA BLA of JEMPERLI during the second half of 2021. We anticipate an additional $15.0 million and $165.0 million in milestone payments upon achievement of certain JEMPERLI regulatory and commercial milestones, respectively. JEMPERLI is currently in clinical development for various solid tumor indications, including dMMREC, PdMMRT, colorectal cancer, ovarian cancer, non-small cell lung cancer, cervical cancer, rectal cancer, clear cell sarcoma and head-and-neck squamous cell carcinoma. In October 2020, we amended our GSK collaboration to increase royalties on global net sales of JEMPERLI to 8-25%, add a 1% royalty rate on GSK’s global net sales of Zejula and received a one-time cash payment of $60.0 million. For more information about these collaborations, see Note 4 — Collaborative Research and Development Agreements in the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 w:name="page27"/>
    <w:bookmarkEnd w:id="26"/>
    <w:p>
      <w:pPr>
        <w:spacing w:after="0" w:line="30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certain key information about our wholly-owned and partnered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83185</wp:posOffset>
            </wp:positionV>
            <wp:extent cx="5863590" cy="4852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63590" cy="4852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21" w:lineRule="exact"/>
        <w:rPr>
          <w:sz w:val="20"/>
          <w:szCs w:val="20"/>
          <w:color w:val="auto"/>
        </w:rPr>
      </w:pPr>
    </w:p>
    <w:p>
      <w:pPr>
        <w:ind w:firstLine="567"/>
        <w:spacing w:after="0" w:line="270" w:lineRule="auto"/>
        <w:rPr>
          <w:sz w:val="20"/>
          <w:szCs w:val="20"/>
          <w:color w:val="auto"/>
        </w:rPr>
      </w:pPr>
      <w:r>
        <w:rPr>
          <w:rFonts w:ascii="Arial" w:cs="Arial" w:eastAsia="Arial" w:hAnsi="Arial"/>
          <w:sz w:val="17"/>
          <w:szCs w:val="17"/>
          <w:color w:val="auto"/>
        </w:rPr>
        <w:t>In March 2020, the World Health Organization declared the coronavirus (“COVID-19”) to be a global pandemic. The full impact of the COVID-19 pandemic is inherently uncertain at the time of this Quarterly Report. The COVID-19 pandemic has resulted in travel restrictions and, in some cases, prohibitions of non-essential activities, disruption and shutdown of businesses, and greater uncertainty in global financial markets. As COVID-19 has spread, it has significantly impacted the health and economic environment around the world, and many governments have closed most public establishments, including restaurants, workplaces, and schools. Our ongoing clinical trials have been, and may continue to be, affected by the closure of offices, or country borders, among other measures being put in place around the world. The inability to travel and conduct face-to-face meetings can also make it more difficult to enroll new patients in ongoing or planned clinical trials, and for the FDA and other regulatory agencies to complete in-person inspections required prior to granting approval of product candidates. Any of these circumstances will potentially have a negative impact on our financial results, the timing of our clinical trials and the timing of any regulatory approvals.</w:t>
      </w:r>
    </w:p>
    <w:p>
      <w:pPr>
        <w:sectPr>
          <w:pgSz w:w="11900" w:h="16838" w:orient="portrait"/>
          <w:cols w:equalWidth="0" w:num="1">
            <w:col w:w="11180"/>
          </w:cols>
          <w:pgMar w:left="32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type w:val="continuous"/>
        </w:sectPr>
      </w:pPr>
    </w:p>
    <w:bookmarkStart w:id="27" w:name="page28"/>
    <w:bookmarkEnd w:id="27"/>
    <w:p>
      <w:pPr>
        <w:spacing w:after="0" w:line="306" w:lineRule="exact"/>
        <w:rPr>
          <w:sz w:val="20"/>
          <w:szCs w:val="20"/>
          <w:color w:val="auto"/>
        </w:rPr>
      </w:pPr>
    </w:p>
    <w:p>
      <w:pPr>
        <w:ind w:right="340" w:firstLine="567"/>
        <w:spacing w:after="0" w:line="286" w:lineRule="auto"/>
        <w:rPr>
          <w:sz w:val="20"/>
          <w:szCs w:val="20"/>
          <w:color w:val="auto"/>
        </w:rPr>
      </w:pPr>
      <w:r>
        <w:rPr>
          <w:rFonts w:ascii="Arial" w:cs="Arial" w:eastAsia="Arial" w:hAnsi="Arial"/>
          <w:sz w:val="17"/>
          <w:szCs w:val="17"/>
          <w:color w:val="auto"/>
        </w:rPr>
        <w:t>The COVID-19 pandemic has caused us to modify our business practices (including but not limited to curtailing or modifying employee travel, moving to full remote work, and cancelling physical participation in meetings, events, and conferences), and we may take further actions as may be required by government authorities or that we determine are in the best interests of our employees, patients, and business partners.</w:t>
      </w:r>
    </w:p>
    <w:p>
      <w:pPr>
        <w:spacing w:after="0" w:line="165" w:lineRule="exact"/>
        <w:rPr>
          <w:sz w:val="20"/>
          <w:szCs w:val="20"/>
          <w:color w:val="auto"/>
        </w:rPr>
      </w:pPr>
    </w:p>
    <w:p>
      <w:pPr>
        <w:ind w:right="60" w:firstLine="567"/>
        <w:spacing w:after="0" w:line="263" w:lineRule="auto"/>
        <w:rPr>
          <w:sz w:val="20"/>
          <w:szCs w:val="20"/>
          <w:color w:val="auto"/>
        </w:rPr>
      </w:pPr>
      <w:r>
        <w:rPr>
          <w:rFonts w:ascii="Arial" w:cs="Arial" w:eastAsia="Arial" w:hAnsi="Arial"/>
          <w:sz w:val="18"/>
          <w:szCs w:val="18"/>
          <w:color w:val="auto"/>
        </w:rPr>
        <w:t>The extent of the impact of the COVID-19 pandemic on our future liquidity and operational performance will depend on certain developments, including the duration and spread of the outbreak, the availability and effectiveness of vaccines, the impact on our clinical trials, patients, and collaboration partners, and the effect on our suppliers.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3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220" w:firstLine="445"/>
        <w:spacing w:after="0" w:line="286" w:lineRule="auto"/>
        <w:rPr>
          <w:sz w:val="20"/>
          <w:szCs w:val="20"/>
          <w:color w:val="auto"/>
        </w:rPr>
      </w:pPr>
      <w:r>
        <w:rPr>
          <w:rFonts w:ascii="Arial" w:cs="Arial" w:eastAsia="Arial" w:hAnsi="Arial"/>
          <w:sz w:val="17"/>
          <w:szCs w:val="17"/>
          <w:color w:val="auto"/>
        </w:rPr>
        <w:t>We have not generated any revenue from product sales. Our revenue has been derived from amortization of upfront license payments, research and development funding, milestone and royalty payments under collaboration and license agreements with our collaborators. From inception through March 31, 2021, we have received $174.6 million in cash in non-dilutive funding from our collaborators.</w:t>
      </w:r>
    </w:p>
    <w:p>
      <w:pPr>
        <w:spacing w:after="0" w:line="2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520" w:firstLine="445"/>
        <w:spacing w:after="0" w:line="308" w:lineRule="auto"/>
        <w:rPr>
          <w:sz w:val="20"/>
          <w:szCs w:val="20"/>
          <w:color w:val="auto"/>
        </w:rPr>
      </w:pPr>
      <w:r>
        <w:rPr>
          <w:rFonts w:ascii="Arial" w:cs="Arial" w:eastAsia="Arial" w:hAnsi="Arial"/>
          <w:sz w:val="17"/>
          <w:szCs w:val="17"/>
          <w:color w:val="auto"/>
        </w:rPr>
        <w:t>Research and development expenses consist of costs associated with our research and development activities, including drug discovery efforts, preclinical and clinical development of our programs, and manufacturing. Our research and development expenses include:</w:t>
      </w:r>
    </w:p>
    <w:p>
      <w:pPr>
        <w:spacing w:after="0" w:line="38" w:lineRule="exact"/>
        <w:rPr>
          <w:sz w:val="20"/>
          <w:szCs w:val="20"/>
          <w:color w:val="auto"/>
        </w:rPr>
      </w:pPr>
    </w:p>
    <w:p>
      <w:pPr>
        <w:ind w:left="900" w:right="20" w:hanging="406"/>
        <w:spacing w:after="0" w:line="308" w:lineRule="auto"/>
        <w:tabs>
          <w:tab w:leader="none" w:pos="895"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External research and development expenses incurred under arrangements with third parties, such as contract research organizations (“CROs”), consultants, members of our scientific and therapeutic advisory boards, and contract manufacturing organizations (“CMOs”);</w:t>
      </w:r>
    </w:p>
    <w:p>
      <w:pPr>
        <w:spacing w:after="0" w:line="38" w:lineRule="exact"/>
        <w:rPr>
          <w:rFonts w:ascii="Arial" w:cs="Arial" w:eastAsia="Arial" w:hAnsi="Arial"/>
          <w:sz w:val="17"/>
          <w:szCs w:val="17"/>
          <w:color w:val="auto"/>
        </w:rPr>
      </w:pPr>
    </w:p>
    <w:p>
      <w:pPr>
        <w:ind w:left="900" w:hanging="40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travel, and stock-based compensation;</w:t>
      </w:r>
    </w:p>
    <w:p>
      <w:pPr>
        <w:spacing w:after="0" w:line="117" w:lineRule="exact"/>
        <w:rPr>
          <w:rFonts w:ascii="Arial" w:cs="Arial" w:eastAsia="Arial" w:hAnsi="Arial"/>
          <w:sz w:val="18"/>
          <w:szCs w:val="18"/>
          <w:color w:val="auto"/>
        </w:rPr>
      </w:pPr>
    </w:p>
    <w:p>
      <w:pPr>
        <w:ind w:left="900" w:right="600" w:hanging="406"/>
        <w:spacing w:after="0" w:line="277" w:lineRule="auto"/>
        <w:tabs>
          <w:tab w:leader="none" w:pos="8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and maintenance of facilities, depreciation of leasehold improvements and equipment, and laboratory supplies; and</w:t>
      </w:r>
    </w:p>
    <w:p>
      <w:pPr>
        <w:spacing w:after="0" w:line="62" w:lineRule="exact"/>
        <w:rPr>
          <w:rFonts w:ascii="Arial" w:cs="Arial" w:eastAsia="Arial" w:hAnsi="Arial"/>
          <w:sz w:val="18"/>
          <w:szCs w:val="18"/>
          <w:color w:val="auto"/>
        </w:rPr>
      </w:pPr>
    </w:p>
    <w:p>
      <w:pPr>
        <w:ind w:left="900" w:hanging="40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License and sub-license fees.</w:t>
      </w:r>
    </w:p>
    <w:p>
      <w:pPr>
        <w:spacing w:after="0" w:line="225" w:lineRule="exact"/>
        <w:rPr>
          <w:sz w:val="20"/>
          <w:szCs w:val="20"/>
          <w:color w:val="auto"/>
        </w:rPr>
      </w:pPr>
    </w:p>
    <w:p>
      <w:pPr>
        <w:ind w:right="40" w:firstLine="445"/>
        <w:spacing w:after="0" w:line="308" w:lineRule="auto"/>
        <w:rPr>
          <w:sz w:val="20"/>
          <w:szCs w:val="20"/>
          <w:color w:val="auto"/>
        </w:rPr>
      </w:pPr>
      <w:r>
        <w:rPr>
          <w:rFonts w:ascii="Arial" w:cs="Arial" w:eastAsia="Arial" w:hAnsi="Arial"/>
          <w:sz w:val="17"/>
          <w:szCs w:val="17"/>
          <w:color w:val="auto"/>
        </w:rPr>
        <w:t>We expense research and development costs as incurred. We account for nonrefundable advance payments for goods and services that will be used in future research and development activities as expense when the service has been performed or when the goods have been received.</w:t>
      </w:r>
    </w:p>
    <w:p>
      <w:pPr>
        <w:spacing w:after="0" w:line="38" w:lineRule="exact"/>
        <w:rPr>
          <w:sz w:val="20"/>
          <w:szCs w:val="20"/>
          <w:color w:val="auto"/>
        </w:rPr>
      </w:pPr>
    </w:p>
    <w:p>
      <w:pPr>
        <w:ind w:right="240" w:firstLine="445"/>
        <w:spacing w:after="0" w:line="301" w:lineRule="auto"/>
        <w:rPr>
          <w:sz w:val="20"/>
          <w:szCs w:val="20"/>
          <w:color w:val="auto"/>
        </w:rPr>
      </w:pPr>
      <w:r>
        <w:rPr>
          <w:rFonts w:ascii="Arial" w:cs="Arial" w:eastAsia="Arial" w:hAnsi="Arial"/>
          <w:sz w:val="16"/>
          <w:szCs w:val="16"/>
          <w:color w:val="auto"/>
        </w:rPr>
        <w:t xml:space="preserve">We are conducting research and development activities primarily on inflammation programs. We have a research and development team that conducts antibody discovery, characterization, translational studies, IND-enabling preclinical studies, and clinical development. We conduct some of our early research and preclinical activities internally and plan to rely on third parties, such as CROs and CMOs, for the execution of certain of our research and development activities, such as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toxicology and pharmacology studies, drug product manufacturing, and clinical trials.</w:t>
      </w:r>
    </w:p>
    <w:p>
      <w:pPr>
        <w:spacing w:after="0" w:line="157" w:lineRule="exact"/>
        <w:rPr>
          <w:sz w:val="20"/>
          <w:szCs w:val="20"/>
          <w:color w:val="auto"/>
        </w:rPr>
      </w:pPr>
    </w:p>
    <w:p>
      <w:pPr>
        <w:ind w:right="140" w:firstLine="567"/>
        <w:spacing w:after="0" w:line="263" w:lineRule="auto"/>
        <w:rPr>
          <w:sz w:val="20"/>
          <w:szCs w:val="20"/>
          <w:color w:val="auto"/>
        </w:rPr>
      </w:pPr>
      <w:r>
        <w:rPr>
          <w:rFonts w:ascii="Arial" w:cs="Arial" w:eastAsia="Arial" w:hAnsi="Arial"/>
          <w:sz w:val="18"/>
          <w:szCs w:val="18"/>
          <w:color w:val="auto"/>
        </w:rPr>
        <w:t>We have completed Phase 1 clinical trials and have ongoing Phase 2 clinical trials for imsidolimab and an ongoing Phase 1 clinical trial for ANB030. We expect our research and development expenses to be higher for the foreseeable future as we continue to advance our product candidates into larger clinical trials.</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firstLine="445"/>
        <w:spacing w:after="0" w:line="311" w:lineRule="auto"/>
        <w:rPr>
          <w:sz w:val="20"/>
          <w:szCs w:val="20"/>
          <w:color w:val="auto"/>
        </w:rPr>
      </w:pPr>
      <w:r>
        <w:rPr>
          <w:rFonts w:ascii="Arial" w:cs="Arial" w:eastAsia="Arial" w:hAnsi="Arial"/>
          <w:sz w:val="16"/>
          <w:szCs w:val="16"/>
          <w:color w:val="auto"/>
        </w:rPr>
        <w:t>General and administrative expenses consist primarily of salaries and related benefits, including stock-based compensation for our executive, finance, legal, business development, human resource, and support functions. Other general and administrative expenses include allocated facility-related costs not otherwise included in research and development expenses, travel expenses, and professional fees for auditing, tax, and legal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income consists primarily of interest earned on our short-term and long-term investments and is recognized when earned.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firstLine="445"/>
        <w:spacing w:after="0" w:line="291"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financial statements, which have been prepared in accordance with U.S. generally accepted accounting principles (“U.S. GAAP”).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We believe there have been no significant changes in our critical accounting policies as discussed in our Annual Report on Form 10-K filed with the SEC on February 25, 2021.</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Comparison of the Three Months Ended March 31, 2021 and 2020</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Collaboration revenue consists of both milestone payments under the collaborations, and royalty payments. We recognized $10.0 million and $15.0 million in milestone revenue for the three months ended March 31, 2021 and 2020, respectively, related to milestone payments associated with JEMPERLI, the anti-PD-1 antagonist antibody partnered with GSK. For the first quarter of 2021, milestone revenue reflects $10.0 million for successful filing of the first BLA in a second indication for JEMPERLI. For the first quarter of 2020, milestone revenue reflects $10.0 million for successful filing of the first BLA in a first indication and $5.0 million for successful filing of the first MAA in a first indication. We expect that any collaboration revenue we generate will continue to fluctuate from period to period as a result of the timing and amount of milestones from our existing collaborations.</w:t>
      </w:r>
    </w:p>
    <w:p>
      <w:pPr>
        <w:spacing w:after="0" w:line="56" w:lineRule="exact"/>
        <w:rPr>
          <w:sz w:val="20"/>
          <w:szCs w:val="20"/>
          <w:color w:val="auto"/>
        </w:rPr>
      </w:pPr>
    </w:p>
    <w:p>
      <w:pPr>
        <w:ind w:right="800" w:firstLine="486"/>
        <w:spacing w:after="0" w:line="277" w:lineRule="auto"/>
        <w:rPr>
          <w:sz w:val="20"/>
          <w:szCs w:val="20"/>
          <w:color w:val="auto"/>
        </w:rPr>
      </w:pPr>
      <w:r>
        <w:rPr>
          <w:rFonts w:ascii="Arial" w:cs="Arial" w:eastAsia="Arial" w:hAnsi="Arial"/>
          <w:sz w:val="18"/>
          <w:szCs w:val="18"/>
          <w:color w:val="auto"/>
        </w:rPr>
        <w:t>Royalty revenue is a function of our partners' product sales and the applicable royalty rate. During the first quarter of 2021, we recognized $1.2 million related to the sale of GSK’s Zejula, which we estimated based on GSK’s historical sales.</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Research and development expenses were $24.2 million during the three months ended March 31, 2021 compared to $21.0 million during the three months ended March 31, 2020 for an increase of $3.2 million, primarily due to a $2.4 million increase in clinical expenses, $1.2 million increase in salaries and related expenses, including stock compensation expense, and a $0.2 million increase in other research and development expenses, offset by a $0.6 million decrease in outside services for manufacturing expenses.</w:t>
      </w:r>
    </w:p>
    <w:p>
      <w:pPr>
        <w:spacing w:after="0" w:line="79"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We do not track fully burdened research and development costs separately for each of our product candidates. We review our research and development expenses by focusing on external development and internal development costs. External development expenses consist of costs associated with our external preclinical and clinical trials, including pharmaceutical development and manufacturing. Included in preclinical and other unallocated costs are external corporate overhead costs that are not specific to any one program. Internal costs consist of salaries and wages, share-based compensation and benefits, which are not tracked by product candidate as several of our departments support multiple product candidate research and development programs. The following table summarizes the external costs attributable to each program and internal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6"/>
        </w:trPr>
        <w:tc>
          <w:tcPr>
            <w:tcW w:w="7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4"/>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Increase/(Decrease)</w:t>
            </w:r>
          </w:p>
        </w:tc>
      </w:tr>
      <w:tr>
        <w:trPr>
          <w:trHeight w:val="211"/>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External Costs</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0"/>
        </w:trPr>
        <w:tc>
          <w:tcPr>
            <w:tcW w:w="7640" w:type="dxa"/>
            <w:vAlign w:val="bottom"/>
          </w:tcPr>
          <w:p>
            <w:pPr>
              <w:ind w:left="140"/>
              <w:spacing w:after="0"/>
              <w:rPr>
                <w:sz w:val="20"/>
                <w:szCs w:val="20"/>
                <w:color w:val="auto"/>
              </w:rPr>
            </w:pPr>
            <w:r>
              <w:rPr>
                <w:rFonts w:ascii="Arial" w:cs="Arial" w:eastAsia="Arial" w:hAnsi="Arial"/>
                <w:sz w:val="18"/>
                <w:szCs w:val="18"/>
                <w:color w:val="auto"/>
              </w:rPr>
              <w:t>Imsidolimab</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12,266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5,191</w:t>
            </w:r>
          </w:p>
        </w:tc>
        <w:tc>
          <w:tcPr>
            <w:tcW w:w="12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center"/>
              <w:ind w:left="190"/>
              <w:spacing w:after="0"/>
              <w:rPr>
                <w:sz w:val="20"/>
                <w:szCs w:val="20"/>
                <w:color w:val="auto"/>
              </w:rPr>
            </w:pPr>
            <w:r>
              <w:rPr>
                <w:rFonts w:ascii="Arial" w:cs="Arial" w:eastAsia="Arial" w:hAnsi="Arial"/>
                <w:sz w:val="18"/>
                <w:szCs w:val="18"/>
                <w:color w:val="auto"/>
                <w:w w:val="88"/>
              </w:rPr>
              <w:t>7,075</w:t>
            </w:r>
          </w:p>
        </w:tc>
      </w:tr>
      <w:tr>
        <w:trPr>
          <w:trHeight w:val="229"/>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ANB030</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84"/>
              </w:rPr>
              <w:t>1,112</w:t>
            </w:r>
          </w:p>
        </w:tc>
      </w:tr>
      <w:tr>
        <w:trPr>
          <w:trHeight w:val="229"/>
        </w:trPr>
        <w:tc>
          <w:tcPr>
            <w:tcW w:w="7640" w:type="dxa"/>
            <w:vAlign w:val="bottom"/>
          </w:tcPr>
          <w:p>
            <w:pPr>
              <w:ind w:left="140"/>
              <w:spacing w:after="0"/>
              <w:rPr>
                <w:sz w:val="20"/>
                <w:szCs w:val="20"/>
                <w:color w:val="auto"/>
              </w:rPr>
            </w:pPr>
            <w:r>
              <w:rPr>
                <w:rFonts w:ascii="Arial" w:cs="Arial" w:eastAsia="Arial" w:hAnsi="Arial"/>
                <w:sz w:val="18"/>
                <w:szCs w:val="18"/>
                <w:color w:val="auto"/>
              </w:rPr>
              <w:t>ANB032</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1,841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center"/>
              <w:ind w:left="170"/>
              <w:spacing w:after="0"/>
              <w:rPr>
                <w:sz w:val="20"/>
                <w:szCs w:val="20"/>
                <w:color w:val="auto"/>
              </w:rPr>
            </w:pPr>
            <w:r>
              <w:rPr>
                <w:rFonts w:ascii="Arial" w:cs="Arial" w:eastAsia="Arial" w:hAnsi="Arial"/>
                <w:sz w:val="18"/>
                <w:szCs w:val="18"/>
                <w:color w:val="auto"/>
                <w:w w:val="94"/>
              </w:rPr>
              <w:t>(1,086)</w:t>
            </w:r>
          </w:p>
        </w:tc>
      </w:tr>
      <w:tr>
        <w:trPr>
          <w:trHeight w:val="230"/>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Etokimab</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4"/>
              </w:rPr>
              <w:t>(7,356)</w:t>
            </w:r>
          </w:p>
        </w:tc>
      </w:tr>
      <w:tr>
        <w:trPr>
          <w:trHeight w:val="229"/>
        </w:trPr>
        <w:tc>
          <w:tcPr>
            <w:tcW w:w="76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Preclinical and other unallocated costs</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88"/>
              </w:rPr>
              <w:t>2,188</w:t>
            </w:r>
          </w:p>
        </w:tc>
      </w:tr>
      <w:tr>
        <w:trPr>
          <w:trHeight w:val="22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External Costs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88"/>
              </w:rPr>
              <w:t>1,933</w:t>
            </w:r>
          </w:p>
        </w:tc>
      </w:tr>
      <w:tr>
        <w:trPr>
          <w:trHeight w:val="229"/>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Internal Costs</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88"/>
              </w:rPr>
              <w:t>1,284</w:t>
            </w: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Costs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center"/>
              <w:ind w:left="190"/>
              <w:spacing w:after="0"/>
              <w:rPr>
                <w:sz w:val="20"/>
                <w:szCs w:val="20"/>
                <w:color w:val="auto"/>
              </w:rPr>
            </w:pPr>
            <w:r>
              <w:rPr>
                <w:rFonts w:ascii="Arial" w:cs="Arial" w:eastAsia="Arial" w:hAnsi="Arial"/>
                <w:sz w:val="18"/>
                <w:szCs w:val="18"/>
                <w:color w:val="auto"/>
                <w:w w:val="88"/>
              </w:rPr>
              <w:t>3,217</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40" w:firstLine="567"/>
        <w:spacing w:after="0" w:line="263" w:lineRule="auto"/>
        <w:rPr>
          <w:sz w:val="20"/>
          <w:szCs w:val="20"/>
          <w:color w:val="auto"/>
        </w:rPr>
      </w:pPr>
      <w:r>
        <w:rPr>
          <w:rFonts w:ascii="Arial" w:cs="Arial" w:eastAsia="Arial" w:hAnsi="Arial"/>
          <w:sz w:val="18"/>
          <w:szCs w:val="18"/>
          <w:color w:val="auto"/>
        </w:rPr>
        <w:t>General and administrative expenses were $5.4 million during the three months ended March 31, 2021 compared to $4.3 million during the three months ended March 31, 2020 for an increase of $1.1 million, primarily due to a $0.7 million increase in personnel costs including stock compensation expense, $0.2 million increase in legal expenses and $0.2 million increase in insurance expense.</w:t>
      </w:r>
    </w:p>
    <w:p>
      <w:pPr>
        <w:spacing w:after="0" w:line="76" w:lineRule="exact"/>
        <w:rPr>
          <w:sz w:val="20"/>
          <w:szCs w:val="20"/>
          <w:color w:val="auto"/>
        </w:rPr>
      </w:pPr>
    </w:p>
    <w:p>
      <w:pPr>
        <w:ind w:right="100" w:firstLine="567"/>
        <w:spacing w:after="0" w:line="259" w:lineRule="auto"/>
        <w:rPr>
          <w:sz w:val="20"/>
          <w:szCs w:val="20"/>
          <w:color w:val="auto"/>
        </w:rPr>
      </w:pPr>
      <w:r>
        <w:rPr>
          <w:rFonts w:ascii="Arial" w:cs="Arial" w:eastAsia="Arial" w:hAnsi="Arial"/>
          <w:sz w:val="18"/>
          <w:szCs w:val="18"/>
          <w:color w:val="auto"/>
        </w:rPr>
        <w:t>We expect that our general and administrative expenses will increase for the foreseeable future as we incur additional costs associated with being a publicly traded company, including legal, auditing and filing fees, additional insurance premiums, investor relations expenses and general compliance and consulting expenses. We also expect our intellectual property related legal expenses, including those related to preparing, filing, prosecuting and maintaining patent applications, to increase as our intellectual property portfolio expands.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Interest income was $0.2 million and $1.9 million during the three months ended March 31, 2021 and 2020, respectively, which primarily related to our short-term and long-term investments, the balance of which decreased during the periods as a result of funding our clinical trial programs. The decrease in interest income is also attributable to lower interest rates during the three months ended March 31, 2021 and a decrease in investment balances as of March 31, 2021.</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ind w:right="840" w:firstLine="486"/>
        <w:spacing w:after="0" w:line="342" w:lineRule="auto"/>
        <w:rPr>
          <w:sz w:val="20"/>
          <w:szCs w:val="20"/>
          <w:color w:val="auto"/>
        </w:rPr>
      </w:pPr>
      <w:r>
        <w:rPr>
          <w:rFonts w:ascii="Arial" w:cs="Arial" w:eastAsia="Arial" w:hAnsi="Arial"/>
          <w:sz w:val="16"/>
          <w:szCs w:val="16"/>
          <w:color w:val="auto"/>
        </w:rPr>
        <w:t>Other income, net was income of less than $0.1 million and income of $0.1 million for the three months ended March 31, 2021 and 2020, respectively, primarily related to foreign exchange transactions through our Australian subsidiary and with our foreign CROs and CMOs.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445"/>
        <w:spacing w:after="0" w:line="263" w:lineRule="auto"/>
        <w:rPr>
          <w:sz w:val="20"/>
          <w:szCs w:val="20"/>
          <w:color w:val="auto"/>
        </w:rPr>
      </w:pPr>
      <w:r>
        <w:rPr>
          <w:rFonts w:ascii="Arial" w:cs="Arial" w:eastAsia="Arial" w:hAnsi="Arial"/>
          <w:sz w:val="18"/>
          <w:szCs w:val="18"/>
          <w:color w:val="auto"/>
        </w:rPr>
        <w:t>From our inception through March 31, 2021, we have received an aggregate of $814.2 million to fund our operations, which included $620.5 million from the sale of equity securities, $174.6 million from our collaboration agreements and $19.1 million from venture debt. As of March 31, 2021, we had $387.4 million in cash, cash equivalents and investments.</w:t>
      </w:r>
    </w:p>
    <w:p>
      <w:pPr>
        <w:spacing w:after="0" w:line="184" w:lineRule="exact"/>
        <w:rPr>
          <w:sz w:val="20"/>
          <w:szCs w:val="20"/>
          <w:color w:val="auto"/>
        </w:rPr>
      </w:pPr>
    </w:p>
    <w:p>
      <w:pPr>
        <w:ind w:right="80" w:firstLine="567"/>
        <w:spacing w:after="0" w:line="257" w:lineRule="auto"/>
        <w:rPr>
          <w:sz w:val="20"/>
          <w:szCs w:val="20"/>
          <w:color w:val="auto"/>
        </w:rPr>
      </w:pPr>
      <w:r>
        <w:rPr>
          <w:rFonts w:ascii="Arial" w:cs="Arial" w:eastAsia="Arial" w:hAnsi="Arial"/>
          <w:sz w:val="18"/>
          <w:szCs w:val="18"/>
          <w:color w:val="auto"/>
        </w:rPr>
        <w:t>In addition to our existing cash, cash equivalents and investments, we are eligible to earn milestone and other contingent payments for the achievement of defined collaboration objectives and certain nonclinical, clinical, regulatory and sales-based events, and royalty payments under our collaboration agreements. Our ability to earn these milestone and contingent payments and the timing of achieving these milestones is primarily dependent upon the outcome of our collaborators’ research and development activities. Our rights to payments under our collaboration agreements are our only committed external source of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306"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Specific to our collaboration agreement with GSK, JEMPERLI is currently in clinical development for various solid tumor indications. In April 2021, we became eligible to receive additional milestones from GSK, as outlined above, following the acceptance and approval of BLA and EMA filings of JEMPERLI for the PdMMRT indication. We anticipate an additional $15.0 million and $165.0 million in milestone payments upon achievement of certain JEMPERLI regulatory and commercial milestones, respectively. Our amended GSK Agreement also includes a 1% royalty on GSK’s global net sales of Zejula that began in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21" w:lineRule="exact"/>
        <w:rPr>
          <w:sz w:val="20"/>
          <w:szCs w:val="20"/>
          <w:color w:val="auto"/>
        </w:rPr>
      </w:pPr>
    </w:p>
    <w:p>
      <w:pPr>
        <w:ind w:right="280" w:firstLine="445"/>
        <w:spacing w:after="0" w:line="263" w:lineRule="auto"/>
        <w:rPr>
          <w:sz w:val="20"/>
          <w:szCs w:val="20"/>
          <w:color w:val="auto"/>
        </w:rPr>
      </w:pPr>
      <w:r>
        <w:rPr>
          <w:rFonts w:ascii="Arial" w:cs="Arial" w:eastAsia="Arial" w:hAnsi="Arial"/>
          <w:sz w:val="18"/>
          <w:szCs w:val="18"/>
          <w:color w:val="auto"/>
        </w:rPr>
        <w:t>We may seek to obtain additional financing in the future through equity or debt financings or through collaborations or partnerships with other companies. If we are unable to obtain additional financing on commercially reasonable terms, our business, financial condition and results of operations will be materially adversely affected.</w:t>
      </w:r>
    </w:p>
    <w:p>
      <w:pPr>
        <w:spacing w:after="0" w:line="76"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Our primary uses of capital are, and we expect will continue to be, third-party clinical and preclinical research and development services, including manufacturing, laboratory and related supplies, compensation and related expenses, legal, patent and other regulatory expenses, and general overhead costs. We have entered into agreements with certain vendors for the provision of services, including services related to commercial manufacturing, that we are unable to terminate for convenience. Under such agreements, we are contractually obligated to make certain minimum payments to the vendors with the amounts to be based on the timing of the termination and the specific terms of the agreement.</w:t>
      </w:r>
    </w:p>
    <w:p>
      <w:pPr>
        <w:spacing w:after="0" w:line="68" w:lineRule="exact"/>
        <w:rPr>
          <w:sz w:val="20"/>
          <w:szCs w:val="20"/>
          <w:color w:val="auto"/>
        </w:rPr>
      </w:pPr>
    </w:p>
    <w:p>
      <w:pPr>
        <w:ind w:right="420" w:firstLine="445"/>
        <w:spacing w:after="0" w:line="284" w:lineRule="auto"/>
        <w:rPr>
          <w:sz w:val="20"/>
          <w:szCs w:val="20"/>
          <w:color w:val="auto"/>
        </w:rPr>
      </w:pPr>
      <w:r>
        <w:rPr>
          <w:rFonts w:ascii="Arial" w:cs="Arial" w:eastAsia="Arial" w:hAnsi="Arial"/>
          <w:sz w:val="16"/>
          <w:szCs w:val="16"/>
          <w:color w:val="auto"/>
        </w:rPr>
        <w:t>Cash, cash equivalents and investments totaled $387.4 million as of March 31, 2021, compared to $411.2 million as of December 31, 2020. We believe that our existing cash, cash equivalents and investments will fund our current operating plan at least into 2024. We have based this estimate on assumptions that may prove to be wrong, and we could use our capital resources sooner than we expect. Additionally, the process of testing product candidates in clinical trials and seeking regulatory approval is costly, and the timing of progress and expenses in these trials is uncertain.</w:t>
      </w:r>
    </w:p>
    <w:p>
      <w:pPr>
        <w:spacing w:after="0" w:line="1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cash flows for the three months ended March 31, 2021 and 2020:</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Pr>
          <w:p>
            <w:pPr>
              <w:spacing w:after="0"/>
              <w:rPr>
                <w:sz w:val="14"/>
                <w:szCs w:val="14"/>
                <w:color w:val="auto"/>
              </w:rPr>
            </w:pPr>
          </w:p>
        </w:tc>
      </w:tr>
      <w:tr>
        <w:trPr>
          <w:trHeight w:val="186"/>
        </w:trPr>
        <w:tc>
          <w:tcPr>
            <w:tcW w:w="7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r>
      <w:tr>
        <w:trPr>
          <w:trHeight w:val="184"/>
        </w:trPr>
        <w:tc>
          <w:tcPr>
            <w:tcW w:w="7980" w:type="dxa"/>
            <w:vAlign w:val="bottom"/>
            <w:tcBorders>
              <w:bottom w:val="single" w:sz="8" w:color="CFF0FC"/>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w w:val="96"/>
              </w:rPr>
              <w:t>2020</w:t>
            </w:r>
          </w:p>
        </w:tc>
      </w:tr>
      <w:tr>
        <w:trPr>
          <w:trHeight w:val="211"/>
        </w:trPr>
        <w:tc>
          <w:tcPr>
            <w:tcW w:w="7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provided by:</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(23,204)</w:t>
            </w:r>
          </w:p>
        </w:tc>
        <w:tc>
          <w:tcPr>
            <w:tcW w:w="1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(15,112)</w:t>
            </w:r>
          </w:p>
        </w:tc>
      </w:tr>
      <w:tr>
        <w:trPr>
          <w:trHeight w:val="230"/>
        </w:trPr>
        <w:tc>
          <w:tcPr>
            <w:tcW w:w="7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Investing activities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56,729</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10,751</w:t>
            </w:r>
          </w:p>
        </w:tc>
      </w:tr>
      <w:tr>
        <w:trPr>
          <w:trHeight w:val="229"/>
        </w:trPr>
        <w:tc>
          <w:tcPr>
            <w:tcW w:w="79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Financing activities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w:t>
            </w:r>
          </w:p>
        </w:tc>
      </w:tr>
      <w:tr>
        <w:trPr>
          <w:trHeight w:val="248"/>
        </w:trPr>
        <w:tc>
          <w:tcPr>
            <w:tcW w:w="79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33,692</w:t>
            </w:r>
          </w:p>
        </w:tc>
        <w:tc>
          <w:tcPr>
            <w:tcW w:w="10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(5,700)</w:t>
            </w:r>
          </w:p>
        </w:tc>
      </w:tr>
      <w:tr>
        <w:trPr>
          <w:trHeight w:val="20"/>
        </w:trPr>
        <w:tc>
          <w:tcPr>
            <w:tcW w:w="79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bottom w:val="single" w:sz="8" w:color="auto"/>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Net cash used in operating activities during the three months ended March 31, 2021 of $23.2 million was primarily due to our net loss of $18.2</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million, adjusted for addbacks for non-cash expenses of $3.6 million, which includes stock-based compensation, and net decreases in working capital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$8.6 million. Net cash used in operating activities during the three months ended March 31, 2020 of $15.1 million was primarily due to our net loss of $8.3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adjusted for non-cash expenses of $3.1 million, which includes stock-based compensation, and net decreases in working capital of $10.0 million.</w:t>
      </w:r>
    </w:p>
    <w:p>
      <w:pPr>
        <w:spacing w:after="0" w:line="2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200" w:firstLine="445"/>
        <w:spacing w:after="0" w:line="277" w:lineRule="auto"/>
        <w:rPr>
          <w:sz w:val="20"/>
          <w:szCs w:val="20"/>
          <w:color w:val="auto"/>
        </w:rPr>
      </w:pPr>
      <w:r>
        <w:rPr>
          <w:rFonts w:ascii="Arial" w:cs="Arial" w:eastAsia="Arial" w:hAnsi="Arial"/>
          <w:sz w:val="18"/>
          <w:szCs w:val="18"/>
          <w:color w:val="auto"/>
        </w:rPr>
        <w:t>Net cash provided by investing activities during the three months ended March 31, 2021 and 2020 of $56.7 million and $10.8 million, respectively, primarily relates to the timing of our investment maturity, which was used to fund our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30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color w:val="auto"/>
        </w:rPr>
        <w:t>The net cash provided by financing activities during the three months ended March 31, 2021 of $0.2 million primarily related to the issuance of common stock upon the exercise of stock options. The net cash used in financing activities during the three months ended March 31, 2020 of $1.3 million primarily related to principal and final payments of $1.4 million made on our Term Loans, offset by $0.04 million in proceeds from the issuance of common stock upon the exercise of stock options.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We have entered into agreements with certain vendors for the provision of goods and services, which includes manufacturing services with contract manufacturing organizations and development services with contract research organizations.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 and therefore are cancellable contracts.</w:t>
      </w:r>
    </w:p>
    <w:p>
      <w:pPr>
        <w:spacing w:after="0" w:line="80"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For further information related to our operating leases and future minimum annual obligations, see Note 8 — Commitments and Contingencies in the accompanying notes to the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700" w:firstLine="445"/>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2" w:name="page33"/>
    <w:bookmarkEnd w:id="32"/>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60" w:firstLine="486"/>
        <w:spacing w:after="0" w:line="248" w:lineRule="auto"/>
        <w:rPr>
          <w:sz w:val="20"/>
          <w:szCs w:val="20"/>
          <w:color w:val="auto"/>
        </w:rPr>
      </w:pPr>
      <w:r>
        <w:rPr>
          <w:rFonts w:ascii="Arial" w:cs="Arial" w:eastAsia="Arial" w:hAnsi="Arial"/>
          <w:sz w:val="18"/>
          <w:szCs w:val="18"/>
          <w:color w:val="auto"/>
        </w:rPr>
        <w:t>As of March 31, 2021, there have been no material changes surrounding our market risk, including interest rate risk, inflation risk, and foreign currency exchange risk from the discussion provided in Item 7A. Quantitative and Qualitative Disclosures About Market Risk of our Annual Report on Form 10-K filed with the SEC on February 25, 2021.</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Our disclosure controls and procedures are designed to ensure that information required to be disclosed in the reports we file or submit under the Securities Exchange Act of 1934, as amended (the “Exchange Act”) is recorded, processed, summarized, and reported within the time periods specified in the Securities and Exchange Commission’s rules and forms and that such information is accumulated and communicated to our management, including the Chief Executive Officer and the Chief Financial Officer, to allow timely decisions regarding required disclosures. As of March 31, 2021, our management, with the participation of our Chief Executive Officer and Chief Financial Officer, performed an evaluation of the effectiveness of the design and operation of our disclosure controls and procedures as defined in Rules 13a-15(e) and 15d-15(e) of the Exchange Act. Based on this evaluation, our Chief Executive Officer and Chief Financial Officer concluded that the design and operation of our disclosure controls and procedures were effective at a reasonable assurance level.</w:t>
      </w:r>
    </w:p>
    <w:p>
      <w:pPr>
        <w:spacing w:after="0" w:line="192" w:lineRule="exact"/>
        <w:rPr>
          <w:sz w:val="20"/>
          <w:szCs w:val="20"/>
          <w:color w:val="auto"/>
        </w:rPr>
      </w:pPr>
    </w:p>
    <w:p>
      <w:pPr>
        <w:ind w:right="320" w:firstLine="445"/>
        <w:spacing w:after="0" w:line="342" w:lineRule="auto"/>
        <w:rPr>
          <w:sz w:val="20"/>
          <w:szCs w:val="20"/>
          <w:color w:val="auto"/>
        </w:rPr>
      </w:pPr>
      <w:r>
        <w:rPr>
          <w:rFonts w:ascii="Arial" w:cs="Arial" w:eastAsia="Arial" w:hAnsi="Arial"/>
          <w:sz w:val="16"/>
          <w:szCs w:val="16"/>
          <w:color w:val="auto"/>
        </w:rPr>
        <w:t>Any controls and procedures, no matter how well designed and operated, can provide only reasonable assurance of achieving the desired control objective, and our management necessarily applies its judgment in evaluating the cost-benefit relationship of possible controls and procedures.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120" w:firstLine="445"/>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Rules 13a-15(f) and 15d-15(f) of the Exchange Act that occurred during the quarter ended March 31,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3" w:name="page34"/>
    <w:bookmarkEnd w:id="33"/>
    <w:p>
      <w:pPr>
        <w:spacing w:after="0" w:line="8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right="40" w:firstLine="486"/>
        <w:spacing w:after="0" w:line="311" w:lineRule="auto"/>
        <w:rPr>
          <w:sz w:val="20"/>
          <w:szCs w:val="20"/>
          <w:color w:val="auto"/>
        </w:rPr>
      </w:pPr>
      <w:r>
        <w:rPr>
          <w:rFonts w:ascii="Arial" w:cs="Arial" w:eastAsia="Arial" w:hAnsi="Arial"/>
          <w:sz w:val="16"/>
          <w:szCs w:val="16"/>
          <w:color w:val="auto"/>
        </w:rPr>
        <w:t>From time to time, we may be involved in legal proceedings arising in the ordinary course of our business. We investigate these claims as they arise and accrue estimates for resolution of legal and other contingencies when losses are probable and estimable. Regardless of outcome, litigation can have an adverse impact on us due to defense and settlement costs, diversion of management resources, negative publicity and reputational harm, and other factors.</w:t>
      </w:r>
    </w:p>
    <w:p>
      <w:pPr>
        <w:spacing w:after="0" w:line="41" w:lineRule="exact"/>
        <w:rPr>
          <w:sz w:val="20"/>
          <w:szCs w:val="20"/>
          <w:color w:val="auto"/>
        </w:rPr>
      </w:pPr>
    </w:p>
    <w:p>
      <w:pPr>
        <w:ind w:right="800" w:firstLine="445"/>
        <w:spacing w:after="0" w:line="277" w:lineRule="auto"/>
        <w:rPr>
          <w:sz w:val="20"/>
          <w:szCs w:val="20"/>
          <w:color w:val="auto"/>
        </w:rPr>
      </w:pPr>
      <w:r>
        <w:rPr>
          <w:rFonts w:ascii="Arial" w:cs="Arial" w:eastAsia="Arial" w:hAnsi="Arial"/>
          <w:sz w:val="18"/>
          <w:szCs w:val="18"/>
          <w:color w:val="auto"/>
        </w:rPr>
        <w:t>For further information related to our legal proceedings, see Note 8 — Commitments and Contingencies in the accompanying notes to the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report,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8"/>
          <w:szCs w:val="18"/>
          <w:b w:val="1"/>
          <w:bCs w:val="1"/>
          <w:u w:val="single" w:color="auto"/>
          <w:color w:val="auto"/>
        </w:rPr>
        <w:t>Summary of Risk Factors</w:t>
      </w:r>
    </w:p>
    <w:p>
      <w:pPr>
        <w:spacing w:after="0" w:line="121" w:lineRule="exact"/>
        <w:rPr>
          <w:sz w:val="20"/>
          <w:szCs w:val="20"/>
          <w:color w:val="auto"/>
        </w:rPr>
      </w:pPr>
    </w:p>
    <w:p>
      <w:pPr>
        <w:ind w:right="180" w:firstLine="567"/>
        <w:spacing w:after="0" w:line="308" w:lineRule="auto"/>
        <w:rPr>
          <w:sz w:val="20"/>
          <w:szCs w:val="20"/>
          <w:color w:val="auto"/>
        </w:rPr>
      </w:pPr>
      <w:r>
        <w:rPr>
          <w:rFonts w:ascii="Arial" w:cs="Arial" w:eastAsia="Arial" w:hAnsi="Arial"/>
          <w:sz w:val="17"/>
          <w:szCs w:val="17"/>
          <w:color w:val="auto"/>
        </w:rPr>
        <w:t>An investment in our common stock involves various risks, and prospective investors are urged to carefully consider the matters discussed in the section titled “Risk Factors” prior to making an investment in our common stock. These risks include, but are not limited to, the following:</w:t>
      </w:r>
    </w:p>
    <w:p>
      <w:pPr>
        <w:spacing w:after="0" w:line="281" w:lineRule="exact"/>
        <w:rPr>
          <w:sz w:val="20"/>
          <w:szCs w:val="20"/>
          <w:color w:val="auto"/>
        </w:rPr>
      </w:pPr>
    </w:p>
    <w:p>
      <w:pPr>
        <w:ind w:left="900" w:hanging="406"/>
        <w:spacing w:after="0" w:line="259" w:lineRule="auto"/>
        <w:tabs>
          <w:tab w:leader="none" w:pos="8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product candidates are in early stages of development and may fail in development or suffer delays that adversely affect their commercial viability. Results from our initial clinical trials may not be representative of the results we will experience in later clinical trials. If we or our collaborators are unable to complete development of or commercialize our product candidates or experience significant delays in doing so, our business will be materially harmed.</w:t>
      </w:r>
    </w:p>
    <w:p>
      <w:pPr>
        <w:spacing w:after="0" w:line="78" w:lineRule="exact"/>
        <w:rPr>
          <w:rFonts w:ascii="Arial" w:cs="Arial" w:eastAsia="Arial" w:hAnsi="Arial"/>
          <w:sz w:val="18"/>
          <w:szCs w:val="18"/>
          <w:color w:val="auto"/>
        </w:rPr>
      </w:pPr>
    </w:p>
    <w:p>
      <w:pPr>
        <w:ind w:left="900" w:right="60" w:hanging="406"/>
        <w:spacing w:after="0" w:line="342" w:lineRule="auto"/>
        <w:tabs>
          <w:tab w:leader="none" w:pos="89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COVID-19 pandemic has had a material impact on the U.S. and global economies and could have a material adverse impact on our employees, contractors, and patients, which could adversely and materially impact our business, financial condition, and results of operations.</w:t>
      </w:r>
    </w:p>
    <w:p>
      <w:pPr>
        <w:spacing w:after="0" w:line="15" w:lineRule="exact"/>
        <w:rPr>
          <w:rFonts w:ascii="Arial" w:cs="Arial" w:eastAsia="Arial" w:hAnsi="Arial"/>
          <w:sz w:val="16"/>
          <w:szCs w:val="16"/>
          <w:color w:val="auto"/>
        </w:rPr>
      </w:pPr>
    </w:p>
    <w:p>
      <w:pPr>
        <w:ind w:left="900" w:right="280" w:hanging="406"/>
        <w:spacing w:after="0" w:line="286" w:lineRule="auto"/>
        <w:tabs>
          <w:tab w:leader="none" w:pos="895"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have only limited data regarding the safety profile of our wholly-owned product candidates when dosed in humans. 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57" w:lineRule="exact"/>
        <w:rPr>
          <w:rFonts w:ascii="Arial" w:cs="Arial" w:eastAsia="Arial" w:hAnsi="Arial"/>
          <w:sz w:val="17"/>
          <w:szCs w:val="17"/>
          <w:color w:val="auto"/>
        </w:rPr>
      </w:pPr>
    </w:p>
    <w:p>
      <w:pPr>
        <w:ind w:left="900" w:right="120" w:hanging="406"/>
        <w:spacing w:after="0" w:line="342" w:lineRule="auto"/>
        <w:tabs>
          <w:tab w:leader="none" w:pos="895"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15" w:lineRule="exact"/>
        <w:rPr>
          <w:rFonts w:ascii="Arial" w:cs="Arial" w:eastAsia="Arial" w:hAnsi="Arial"/>
          <w:sz w:val="16"/>
          <w:szCs w:val="16"/>
          <w:color w:val="auto"/>
        </w:rPr>
      </w:pPr>
    </w:p>
    <w:p>
      <w:pPr>
        <w:ind w:left="900" w:right="160" w:hanging="406"/>
        <w:spacing w:after="0" w:line="277" w:lineRule="auto"/>
        <w:tabs>
          <w:tab w:leader="none" w:pos="8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be successful in our efforts to use our technology platform to expand our pipeline of product candidates and develop marketable products.</w:t>
      </w:r>
    </w:p>
    <w:p>
      <w:pPr>
        <w:spacing w:after="0" w:line="62" w:lineRule="exact"/>
        <w:rPr>
          <w:rFonts w:ascii="Arial" w:cs="Arial" w:eastAsia="Arial" w:hAnsi="Arial"/>
          <w:sz w:val="18"/>
          <w:szCs w:val="18"/>
          <w:color w:val="auto"/>
        </w:rPr>
      </w:pPr>
    </w:p>
    <w:p>
      <w:pPr>
        <w:ind w:left="900" w:right="60" w:hanging="406"/>
        <w:spacing w:after="0" w:line="342" w:lineRule="auto"/>
        <w:tabs>
          <w:tab w:leader="none" w:pos="895"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have recently commenced clinical development of imsidolimab, ANB030 and ANB032 and have a limited history of conducting clinical trials and no history of commercializing biotechnology products, which may make it difficult to evaluate the prospects for our future viability.</w:t>
      </w:r>
    </w:p>
    <w:p>
      <w:pPr>
        <w:spacing w:after="0" w:line="15" w:lineRule="exact"/>
        <w:rPr>
          <w:rFonts w:ascii="Arial" w:cs="Arial" w:eastAsia="Arial" w:hAnsi="Arial"/>
          <w:sz w:val="16"/>
          <w:szCs w:val="16"/>
          <w:color w:val="auto"/>
        </w:rPr>
      </w:pPr>
    </w:p>
    <w:p>
      <w:pPr>
        <w:ind w:left="900" w:right="160" w:hanging="406"/>
        <w:spacing w:after="0" w:line="277" w:lineRule="auto"/>
        <w:tabs>
          <w:tab w:leader="none" w:pos="8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and market products that are more effective, safer or less expensive than our product candidates, our commercial opportunities will be negatively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4" w:name="page35"/>
    <w:bookmarkEnd w:id="34"/>
    <w:p>
      <w:pPr>
        <w:spacing w:after="0" w:line="198" w:lineRule="exact"/>
        <w:rPr>
          <w:sz w:val="20"/>
          <w:szCs w:val="20"/>
          <w:color w:val="auto"/>
        </w:rPr>
      </w:pPr>
    </w:p>
    <w:p>
      <w:pPr>
        <w:ind w:left="900" w:right="120" w:hanging="406"/>
        <w:spacing w:after="0" w:line="277" w:lineRule="auto"/>
        <w:tabs>
          <w:tab w:leader="none" w:pos="8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product candidates may not achieve adequate market acceptance among physicians, patients, health care payors and others in the medical community necessary for commercial success.</w:t>
      </w:r>
    </w:p>
    <w:p>
      <w:pPr>
        <w:spacing w:after="0" w:line="62" w:lineRule="exact"/>
        <w:rPr>
          <w:rFonts w:ascii="Arial" w:cs="Arial" w:eastAsia="Arial" w:hAnsi="Arial"/>
          <w:sz w:val="18"/>
          <w:szCs w:val="18"/>
          <w:color w:val="auto"/>
        </w:rPr>
      </w:pPr>
    </w:p>
    <w:p>
      <w:pPr>
        <w:ind w:left="900" w:right="180" w:hanging="406"/>
        <w:spacing w:after="0" w:line="342" w:lineRule="auto"/>
        <w:tabs>
          <w:tab w:leader="none" w:pos="895"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companion diagnostics for our product candidates, for which such diagnostics are required, are not successfully, and in a timely manner, validated, developed or approved, we may not achieve marketing approval or realize the full commercial potential of our product candidates.</w:t>
      </w:r>
    </w:p>
    <w:p>
      <w:pPr>
        <w:spacing w:after="0" w:line="15" w:lineRule="exact"/>
        <w:rPr>
          <w:rFonts w:ascii="Arial" w:cs="Arial" w:eastAsia="Arial" w:hAnsi="Arial"/>
          <w:sz w:val="16"/>
          <w:szCs w:val="16"/>
          <w:color w:val="auto"/>
        </w:rPr>
      </w:pPr>
    </w:p>
    <w:p>
      <w:pPr>
        <w:ind w:left="900" w:right="100" w:hanging="406"/>
        <w:spacing w:after="0" w:line="286" w:lineRule="auto"/>
        <w:tabs>
          <w:tab w:leader="none" w:pos="89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spacing w:after="0" w:line="57" w:lineRule="exact"/>
        <w:rPr>
          <w:rFonts w:ascii="Arial" w:cs="Arial" w:eastAsia="Arial" w:hAnsi="Arial"/>
          <w:sz w:val="17"/>
          <w:szCs w:val="17"/>
          <w:color w:val="auto"/>
        </w:rPr>
      </w:pPr>
    </w:p>
    <w:p>
      <w:pPr>
        <w:ind w:left="900" w:hanging="40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limited operating revenue and a history of operational losses and may not achieve or sustain profitability.</w:t>
      </w:r>
    </w:p>
    <w:p>
      <w:pPr>
        <w:spacing w:after="0" w:line="117" w:lineRule="exact"/>
        <w:rPr>
          <w:rFonts w:ascii="Arial" w:cs="Arial" w:eastAsia="Arial" w:hAnsi="Arial"/>
          <w:sz w:val="18"/>
          <w:szCs w:val="18"/>
          <w:color w:val="auto"/>
        </w:rPr>
      </w:pPr>
    </w:p>
    <w:p>
      <w:pPr>
        <w:ind w:left="900" w:right="660" w:hanging="406"/>
        <w:spacing w:after="0" w:line="277" w:lineRule="auto"/>
        <w:tabs>
          <w:tab w:leader="none" w:pos="8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no products approved for commercial sale, and to date we have not generated any revenue or profit from sales of our product candidates.</w:t>
      </w:r>
    </w:p>
    <w:p>
      <w:pPr>
        <w:spacing w:after="0" w:line="62" w:lineRule="exact"/>
        <w:rPr>
          <w:rFonts w:ascii="Arial" w:cs="Arial" w:eastAsia="Arial" w:hAnsi="Arial"/>
          <w:sz w:val="18"/>
          <w:szCs w:val="18"/>
          <w:color w:val="auto"/>
        </w:rPr>
      </w:pPr>
    </w:p>
    <w:p>
      <w:pPr>
        <w:ind w:left="900" w:hanging="406"/>
        <w:spacing w:after="0" w:line="308" w:lineRule="auto"/>
        <w:tabs>
          <w:tab w:leader="none" w:pos="895"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38" w:lineRule="exact"/>
        <w:rPr>
          <w:rFonts w:ascii="Arial" w:cs="Arial" w:eastAsia="Arial" w:hAnsi="Arial"/>
          <w:sz w:val="17"/>
          <w:szCs w:val="17"/>
          <w:color w:val="auto"/>
        </w:rPr>
      </w:pPr>
    </w:p>
    <w:p>
      <w:pPr>
        <w:ind w:left="900" w:hanging="40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must attract and retain highly skilled employees in order to succeed.</w:t>
      </w:r>
    </w:p>
    <w:p>
      <w:pPr>
        <w:spacing w:after="0" w:line="117" w:lineRule="exact"/>
        <w:rPr>
          <w:rFonts w:ascii="Arial" w:cs="Arial" w:eastAsia="Arial" w:hAnsi="Arial"/>
          <w:sz w:val="18"/>
          <w:szCs w:val="18"/>
          <w:color w:val="auto"/>
        </w:rPr>
      </w:pPr>
    </w:p>
    <w:p>
      <w:pPr>
        <w:ind w:left="900" w:right="20" w:hanging="406"/>
        <w:spacing w:after="0" w:line="259" w:lineRule="auto"/>
        <w:tabs>
          <w:tab w:leader="none" w:pos="8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manufacture of biotechnology products is complex, and manufacturers often encounter difficulties in production. If we or any of our third-party manufacturers encounter any loss of our master cell banks or if any of our third-party manufacturers encounter other difficulties, or otherwise fail to comply with their contractual obligations, our ability to provide product candidates for clinical trials or our products to patients, once approved, could be delayed or stopped.</w:t>
      </w:r>
    </w:p>
    <w:p>
      <w:pPr>
        <w:spacing w:after="0" w:line="78" w:lineRule="exact"/>
        <w:rPr>
          <w:rFonts w:ascii="Arial" w:cs="Arial" w:eastAsia="Arial" w:hAnsi="Arial"/>
          <w:sz w:val="18"/>
          <w:szCs w:val="18"/>
          <w:color w:val="auto"/>
        </w:rPr>
      </w:pPr>
    </w:p>
    <w:p>
      <w:pPr>
        <w:ind w:left="900" w:right="20" w:hanging="406"/>
        <w:spacing w:after="0" w:line="263" w:lineRule="auto"/>
        <w:tabs>
          <w:tab w:leader="none" w:pos="8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75" w:lineRule="exact"/>
        <w:rPr>
          <w:rFonts w:ascii="Arial" w:cs="Arial" w:eastAsia="Arial" w:hAnsi="Arial"/>
          <w:sz w:val="18"/>
          <w:szCs w:val="18"/>
          <w:color w:val="auto"/>
        </w:rPr>
      </w:pPr>
    </w:p>
    <w:p>
      <w:pPr>
        <w:ind w:left="900" w:right="300" w:hanging="406"/>
        <w:spacing w:after="0" w:line="263" w:lineRule="auto"/>
        <w:tabs>
          <w:tab w:leader="none" w:pos="8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existing collaborations, including those with GSK and BMS, are important to our business, and future collaborations may also be important to us. If we are unable to maintain any of these collaborations, or if these collaborations are not successful, our business could be adversely affected.</w:t>
      </w:r>
    </w:p>
    <w:p>
      <w:pPr>
        <w:spacing w:after="0" w:line="75" w:lineRule="exact"/>
        <w:rPr>
          <w:rFonts w:ascii="Arial" w:cs="Arial" w:eastAsia="Arial" w:hAnsi="Arial"/>
          <w:sz w:val="18"/>
          <w:szCs w:val="18"/>
          <w:color w:val="auto"/>
        </w:rPr>
      </w:pPr>
    </w:p>
    <w:p>
      <w:pPr>
        <w:ind w:left="900" w:right="340" w:hanging="406"/>
        <w:spacing w:after="0" w:line="277" w:lineRule="auto"/>
        <w:tabs>
          <w:tab w:leader="none" w:pos="8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succeed in establishing and maintaining additional development and commercialization collaborations, which could adversely affect our ability to develop and commercialize product candidates.</w:t>
      </w:r>
    </w:p>
    <w:p>
      <w:pPr>
        <w:spacing w:after="0" w:line="62" w:lineRule="exact"/>
        <w:rPr>
          <w:rFonts w:ascii="Arial" w:cs="Arial" w:eastAsia="Arial" w:hAnsi="Arial"/>
          <w:sz w:val="18"/>
          <w:szCs w:val="18"/>
          <w:color w:val="auto"/>
        </w:rPr>
      </w:pPr>
    </w:p>
    <w:p>
      <w:pPr>
        <w:ind w:left="900" w:hanging="406"/>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Even if our product candidates receive regulatory approval, they will be subject to significant post-marketing regulatory requirements.</w:t>
      </w:r>
    </w:p>
    <w:p>
      <w:pPr>
        <w:spacing w:after="0" w:line="128" w:lineRule="exact"/>
        <w:rPr>
          <w:rFonts w:ascii="Arial" w:cs="Arial" w:eastAsia="Arial" w:hAnsi="Arial"/>
          <w:sz w:val="17"/>
          <w:szCs w:val="17"/>
          <w:color w:val="auto"/>
        </w:rPr>
      </w:pPr>
    </w:p>
    <w:p>
      <w:pPr>
        <w:ind w:left="900" w:hanging="40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are unable to obtain or protect intellectual property rights, we may not be able to compete effectively in our market.</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rights throughout the world.</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market price of our stock has been and may continue to be volatile, and you could lose all or part of your investment.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Discovery and Development of Our Product Candidates</w:t>
      </w:r>
    </w:p>
    <w:p>
      <w:pPr>
        <w:spacing w:after="0" w:line="11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color w:val="auto"/>
        </w:rPr>
        <w:t>Our product candidates are in early stages of development and may fail in development or suffer delays that adversely affect their commercial viability. Results from our initial clinical trials may not be representative of the results we will experience in later clinical trials. If we or our collaborators are unable to complete development of or commercialize our product candidates or experience significant delays in doing so, our business will be materially harmed.</w:t>
      </w:r>
    </w:p>
    <w:p>
      <w:pPr>
        <w:spacing w:after="0" w:line="76" w:lineRule="exact"/>
        <w:rPr>
          <w:sz w:val="20"/>
          <w:szCs w:val="20"/>
          <w:color w:val="auto"/>
        </w:rPr>
      </w:pPr>
    </w:p>
    <w:p>
      <w:pPr>
        <w:ind w:right="320" w:firstLine="567"/>
        <w:spacing w:after="0" w:line="277" w:lineRule="auto"/>
        <w:rPr>
          <w:sz w:val="20"/>
          <w:szCs w:val="20"/>
          <w:color w:val="auto"/>
        </w:rPr>
      </w:pPr>
      <w:r>
        <w:rPr>
          <w:rFonts w:ascii="Arial" w:cs="Arial" w:eastAsia="Arial" w:hAnsi="Arial"/>
          <w:sz w:val="18"/>
          <w:szCs w:val="18"/>
          <w:color w:val="auto"/>
        </w:rPr>
        <w:t>We are using our proprietary technology platform to develop therapeutic antibodies, including our wholly-owned product candidates, as well as other programs that are being developed by our collaborators. However, all of our wholly-owned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spacing w:after="0" w:line="198"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and most of partnered product candidates are in the early stages of development, and, for a wide variety of reasons discussed below, may fail in development or suffer delays that adversely affect their commercial viability.</w:t>
      </w:r>
    </w:p>
    <w:p>
      <w:pPr>
        <w:spacing w:after="0" w:line="170" w:lineRule="exact"/>
        <w:rPr>
          <w:sz w:val="20"/>
          <w:szCs w:val="20"/>
          <w:color w:val="auto"/>
        </w:rPr>
      </w:pPr>
    </w:p>
    <w:p>
      <w:pPr>
        <w:ind w:firstLine="567"/>
        <w:spacing w:after="0"/>
        <w:rPr>
          <w:sz w:val="20"/>
          <w:szCs w:val="20"/>
          <w:color w:val="auto"/>
        </w:rPr>
      </w:pPr>
      <w:r>
        <w:rPr>
          <w:rFonts w:ascii="Arial" w:cs="Arial" w:eastAsia="Arial" w:hAnsi="Arial"/>
          <w:sz w:val="18"/>
          <w:szCs w:val="18"/>
          <w:color w:val="auto"/>
        </w:rPr>
        <w:t>A product candidate can unexpectedly fail at any stage of preclinical and clinical development. The historical failure rate for product candidates is high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 For example, results from our initial Phase 2a clinical trial of etokimab in moderate-to-severe atopic dermatitis patients were not representative of the results we experienced in our later etokimab moderate-to-severe atopic dermatitis Phase 2b clinical trial called “ATLAS” and we ultimately discontinued development of etokimab.</w:t>
      </w:r>
    </w:p>
    <w:p>
      <w:pPr>
        <w:spacing w:after="0" w:line="189" w:lineRule="exact"/>
        <w:rPr>
          <w:sz w:val="20"/>
          <w:szCs w:val="20"/>
          <w:color w:val="auto"/>
        </w:rPr>
      </w:pPr>
    </w:p>
    <w:p>
      <w:pPr>
        <w:ind w:right="20" w:firstLine="567"/>
        <w:spacing w:after="0" w:line="254" w:lineRule="auto"/>
        <w:rPr>
          <w:sz w:val="20"/>
          <w:szCs w:val="20"/>
          <w:color w:val="auto"/>
        </w:rPr>
      </w:pPr>
      <w:r>
        <w:rPr>
          <w:rFonts w:ascii="Arial" w:cs="Arial" w:eastAsia="Arial" w:hAnsi="Arial"/>
          <w:sz w:val="18"/>
          <w:szCs w:val="18"/>
          <w:color w:val="auto"/>
        </w:rPr>
        <w:t>Furthermore, our rationale for conducting clinical trials of imsidolimab in multiple indications is that we believe imsidolimab’s mechanism of action, the inhibition of IL-36R, has the potential be effective for treatment of a range of dermatological inflammatory diseases. However, it is possible that our assumptions regarding the effectiveness of imsidolimab’s mechanism of action may be incorrect and that imsidolimab may be ineffective in certain dermatological inflammatory diseases or in treating inflammatory disorders generally. If this were the case, then the results from any clinical trials of imsidolimab that we conduct are less likely to be positive. For example, top-line data from our POPLAR clinical trial of imsidolimab in PPP failed to meet the primary endpoint of the clinical trial of least-squares mean difference PPPASI improvement at week 16 (Day 113) and we do not currently plan to conduct further development of imsidolimab in PPP.</w:t>
      </w:r>
    </w:p>
    <w:p>
      <w:pPr>
        <w:spacing w:after="0" w:line="195" w:lineRule="exact"/>
        <w:rPr>
          <w:sz w:val="20"/>
          <w:szCs w:val="20"/>
          <w:color w:val="auto"/>
        </w:rPr>
      </w:pPr>
    </w:p>
    <w:p>
      <w:pPr>
        <w:ind w:right="640" w:firstLine="567"/>
        <w:spacing w:after="0" w:line="308" w:lineRule="auto"/>
        <w:rPr>
          <w:sz w:val="20"/>
          <w:szCs w:val="20"/>
          <w:color w:val="auto"/>
        </w:rPr>
      </w:pPr>
      <w:r>
        <w:rPr>
          <w:rFonts w:ascii="Arial" w:cs="Arial" w:eastAsia="Arial" w:hAnsi="Arial"/>
          <w:sz w:val="17"/>
          <w:szCs w:val="17"/>
          <w:color w:val="auto"/>
        </w:rPr>
        <w:t>If our other ongoing or future clinical trials of imsidolimab are unsuccessful, whether for one of the reasons mentioned above or otherwise, imsidolimab may be delayed in development or fail entirely, which would have a material adverse impact on our business.</w:t>
      </w:r>
    </w:p>
    <w:p>
      <w:pPr>
        <w:spacing w:after="0" w:line="146" w:lineRule="exact"/>
        <w:rPr>
          <w:sz w:val="20"/>
          <w:szCs w:val="20"/>
          <w:color w:val="auto"/>
        </w:rPr>
      </w:pPr>
    </w:p>
    <w:p>
      <w:pPr>
        <w:ind w:right="540" w:firstLine="567"/>
        <w:spacing w:after="0" w:line="277" w:lineRule="auto"/>
        <w:rPr>
          <w:sz w:val="20"/>
          <w:szCs w:val="20"/>
          <w:color w:val="auto"/>
        </w:rPr>
      </w:pPr>
      <w:r>
        <w:rPr>
          <w:rFonts w:ascii="Arial" w:cs="Arial" w:eastAsia="Arial" w:hAnsi="Arial"/>
          <w:sz w:val="18"/>
          <w:szCs w:val="18"/>
          <w:color w:val="auto"/>
        </w:rPr>
        <w:t>The success of our current product candidates, and any other product candidates we may develop in the future, will depend on many factors, including the following:</w:t>
      </w:r>
    </w:p>
    <w:p>
      <w:pPr>
        <w:spacing w:after="0" w:line="62" w:lineRule="exact"/>
        <w:rPr>
          <w:sz w:val="20"/>
          <w:szCs w:val="20"/>
          <w:color w:val="auto"/>
        </w:rPr>
      </w:pPr>
    </w:p>
    <w:p>
      <w:pPr>
        <w:ind w:left="900" w:hanging="40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regulatory permission to initiate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 enrollment of patients in, and the completion of, our planned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receiving marketing approvals from applicable regulatory authorities;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and/or making arrangements with third-party manufacturers;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obtaining and maintaining patent and trade secret protection and non-patent exclusivity for our product candidates and their components;</w:t>
      </w:r>
    </w:p>
    <w:p>
      <w:pPr>
        <w:spacing w:after="0" w:line="128" w:lineRule="exact"/>
        <w:rPr>
          <w:rFonts w:ascii="Arial" w:cs="Arial" w:eastAsia="Arial" w:hAnsi="Arial"/>
          <w:sz w:val="17"/>
          <w:szCs w:val="17"/>
          <w:color w:val="auto"/>
        </w:rPr>
      </w:pPr>
    </w:p>
    <w:p>
      <w:pPr>
        <w:ind w:left="900" w:hanging="40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achieving desirable therapeutic properties for our product candidates’ intended indications;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third parties;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acceptance of our product candidates, if and when approved, by patients, the medical community and third-party payors;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effectively competing with other therapies; and</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maintaining an acceptable safety profile of our product candidates through clinical trials and following regulatory approval.</w:t>
      </w:r>
    </w:p>
    <w:p>
      <w:pPr>
        <w:spacing w:after="0" w:line="225" w:lineRule="exact"/>
        <w:rPr>
          <w:sz w:val="20"/>
          <w:szCs w:val="20"/>
          <w:color w:val="auto"/>
        </w:rPr>
      </w:pPr>
    </w:p>
    <w:p>
      <w:pPr>
        <w:ind w:right="80" w:firstLine="567"/>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our product candidates, which would harm our business.</w:t>
      </w:r>
    </w:p>
    <w:p>
      <w:pPr>
        <w:spacing w:after="0" w:line="170" w:lineRule="exact"/>
        <w:rPr>
          <w:sz w:val="20"/>
          <w:szCs w:val="20"/>
          <w:color w:val="auto"/>
        </w:rPr>
      </w:pPr>
    </w:p>
    <w:p>
      <w:pPr>
        <w:ind w:right="320" w:firstLine="567"/>
        <w:spacing w:after="0" w:line="243" w:lineRule="auto"/>
        <w:rPr>
          <w:sz w:val="20"/>
          <w:szCs w:val="20"/>
          <w:color w:val="auto"/>
        </w:rPr>
      </w:pPr>
      <w:r>
        <w:rPr>
          <w:rFonts w:ascii="Arial" w:cs="Arial" w:eastAsia="Arial" w:hAnsi="Arial"/>
          <w:sz w:val="18"/>
          <w:szCs w:val="18"/>
          <w:color w:val="auto"/>
        </w:rPr>
        <w:t>Furthermore,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6" w:name="page37"/>
    <w:bookmarkEnd w:id="36"/>
    <w:p>
      <w:pPr>
        <w:spacing w:after="0" w:line="306"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 We may not be able to initiate our planned clinical trials if we are unable to locate and enroll a sufficient number of eligible patients to participate in these trials as required by the FDA or foreign regulatory authorities. More specifically, some of our product candidates, including imsidolimab, initially target indications that are very rare, which can prolong the clinical trial timeline for the regulatory process if sufficient patients cannot be enrolled in a timely manner.</w:t>
      </w:r>
    </w:p>
    <w:p>
      <w:pPr>
        <w:spacing w:after="0" w:line="263" w:lineRule="exact"/>
        <w:rPr>
          <w:sz w:val="20"/>
          <w:szCs w:val="20"/>
          <w:color w:val="auto"/>
        </w:rPr>
      </w:pPr>
    </w:p>
    <w:p>
      <w:pPr>
        <w:ind w:right="280" w:firstLine="567"/>
        <w:spacing w:after="0" w:line="329" w:lineRule="auto"/>
        <w:rPr>
          <w:sz w:val="20"/>
          <w:szCs w:val="20"/>
          <w:color w:val="auto"/>
        </w:rPr>
      </w:pPr>
      <w:r>
        <w:rPr>
          <w:rFonts w:ascii="Arial" w:cs="Arial" w:eastAsia="Arial" w:hAnsi="Arial"/>
          <w:sz w:val="16"/>
          <w:szCs w:val="16"/>
          <w:b w:val="1"/>
          <w:bCs w:val="1"/>
          <w:color w:val="212529"/>
        </w:rPr>
        <w:t>The COVID-19 pandemic has had a material impact on the U.S. and global economies and could have a material adverse impact on our employees, contractors and patients, which could adversely and materially impact our business, financial condition and results of operations.</w:t>
      </w:r>
    </w:p>
    <w:p>
      <w:pPr>
        <w:spacing w:after="0" w:line="13" w:lineRule="exact"/>
        <w:rPr>
          <w:sz w:val="20"/>
          <w:szCs w:val="20"/>
          <w:color w:val="auto"/>
        </w:rPr>
      </w:pPr>
    </w:p>
    <w:p>
      <w:pPr>
        <w:jc w:val="both"/>
        <w:ind w:right="80" w:firstLine="567"/>
        <w:spacing w:after="0" w:line="262" w:lineRule="auto"/>
        <w:rPr>
          <w:sz w:val="20"/>
          <w:szCs w:val="20"/>
          <w:color w:val="auto"/>
        </w:rPr>
      </w:pPr>
      <w:r>
        <w:rPr>
          <w:rFonts w:ascii="Arial" w:cs="Arial" w:eastAsia="Arial" w:hAnsi="Arial"/>
          <w:sz w:val="17"/>
          <w:szCs w:val="17"/>
          <w:color w:val="auto"/>
        </w:rPr>
        <w:t>The COVID-19 pandemic and mitigation measures have had, and may continue to have, an adverse impact on global economic conditions, which could have an adverse effect on our business and financial condition, including impairing our ability to raise capital when needed. The extent to which the COVID-19 pandemic impacts our business and operations will depend on future developments that are highly uncertain and cannot be predicted, including new information that may emerge concerning the severity of the virus and the actions to contain its impact.</w:t>
      </w:r>
    </w:p>
    <w:p>
      <w:pPr>
        <w:spacing w:after="0" w:line="172" w:lineRule="exact"/>
        <w:rPr>
          <w:sz w:val="20"/>
          <w:szCs w:val="20"/>
          <w:color w:val="auto"/>
        </w:rPr>
      </w:pPr>
    </w:p>
    <w:p>
      <w:pPr>
        <w:ind w:right="20" w:firstLine="567"/>
        <w:spacing w:after="0" w:line="268" w:lineRule="auto"/>
        <w:rPr>
          <w:sz w:val="20"/>
          <w:szCs w:val="20"/>
          <w:color w:val="auto"/>
        </w:rPr>
      </w:pPr>
      <w:r>
        <w:rPr>
          <w:rFonts w:ascii="Arial" w:cs="Arial" w:eastAsia="Arial" w:hAnsi="Arial"/>
          <w:sz w:val="16"/>
          <w:szCs w:val="16"/>
          <w:color w:val="auto"/>
        </w:rPr>
        <w:t>The COVID-19 pandemic has caused us to modify our business practices (including but not limited to curtailing or modifying employee travel, moving to full remote work, and cancelling physical participation in meetings, events and conferences), and we may take further actions as may be required by government authorities or that we determine are in the best interests of our employees and patients. In response to the COVID-19 pandemic, we limited our office to only those employees completing laboratory-based tasks essential to our development efforts, and are starting to allow other employees to work in our office with certain precautions in place that we believe will ensure our employees’ safety and wellbeing. “Essential” employees that are unable to telework continue to work at our facilities, and we have implemented appropriate safety measures, including social distancing, face covering and increased sanitation standards. We are following guidance from the Center for Disease Control and the Occupational Safety and Health Administration regarding suspension of nonessential travel, self-isolation recommendations for employees returning from certain geographic areas, confirmed reports of any COVID-19 diagnosis among our employees and the return of such employees to our workplace. Pursuant to updated guidance from the Equal Employment Opportunity Commission, we are engaging in limited and appropriate inquiries of employees regarding potential COVID-19 exposure based on the direct threat that such exposure may present to our workforce. We continue to address other unique situations that arise among our workforce due to the COVID-19 pandemic on a case-by-case basis. While we believe that we have taken appropriate measures to ensure the health and well-being of our “essential” employees, there can be no assurances that our measures will be sufficient to protect our employees in our workplace, and they may be exposed to COVID-19 outside of our workplace. If a number of our essential employees become ill, incapacitated or are otherwise unable to continue working during the current or any future epidemic, our operations may be adversely impacted.</w:t>
      </w:r>
    </w:p>
    <w:p>
      <w:pPr>
        <w:spacing w:after="0" w:line="172" w:lineRule="exact"/>
        <w:rPr>
          <w:sz w:val="20"/>
          <w:szCs w:val="20"/>
          <w:color w:val="auto"/>
        </w:rPr>
      </w:pPr>
    </w:p>
    <w:p>
      <w:pPr>
        <w:ind w:firstLine="567"/>
        <w:spacing w:after="0" w:line="253" w:lineRule="auto"/>
        <w:rPr>
          <w:sz w:val="20"/>
          <w:szCs w:val="20"/>
          <w:color w:val="auto"/>
        </w:rPr>
      </w:pPr>
      <w:r>
        <w:rPr>
          <w:rFonts w:ascii="Arial" w:cs="Arial" w:eastAsia="Arial" w:hAnsi="Arial"/>
          <w:sz w:val="17"/>
          <w:szCs w:val="17"/>
          <w:color w:val="auto"/>
        </w:rPr>
        <w:t>A prolonged disruption or any further unforeseen delay in our operations or within any of our business activities could continue to result in reduced participation in ongoing clinical trials or delays in enrolling our planned clinical trials because we rely on contract research organizations (for non-clinical and clinical activities) (“CROs”) and contract manufacturing organizations (“CMOs”) to conduct our clinical trials and to manufacture our product candidates. If our CROs are unable to continue ongoing clinical trials or to enroll new patients for new clinical trials, or if our CMOs are unable to obtain sufficient quantities of reagents or manufacture adequate drug quantities, our clinical trials could be materially delayed or disrupted. We may also encounter delays from the FDA, EMA or other health authorities in our clinical development efforts. Any elongation or de-prioritization of our preclinical or clinical studies or delay in regulatory review resulting from such disruptions could materially affect the development and study of our product candidates. Further, in reaction to the spread of COVID-19 in the United States and internationally, many patients and medical facilities are delaying or canceling elective procedures, adding further strain to health care budgets globally.</w:t>
      </w:r>
    </w:p>
    <w:p>
      <w:pPr>
        <w:spacing w:after="0" w:line="184" w:lineRule="exact"/>
        <w:rPr>
          <w:sz w:val="20"/>
          <w:szCs w:val="20"/>
          <w:color w:val="auto"/>
        </w:rPr>
      </w:pPr>
    </w:p>
    <w:p>
      <w:pPr>
        <w:ind w:right="60" w:firstLine="567"/>
        <w:spacing w:after="0" w:line="241" w:lineRule="auto"/>
        <w:rPr>
          <w:sz w:val="20"/>
          <w:szCs w:val="20"/>
          <w:color w:val="auto"/>
        </w:rPr>
      </w:pPr>
      <w:r>
        <w:rPr>
          <w:rFonts w:ascii="Arial" w:cs="Arial" w:eastAsia="Arial" w:hAnsi="Arial"/>
          <w:sz w:val="18"/>
          <w:szCs w:val="18"/>
          <w:color w:val="auto"/>
        </w:rPr>
        <w:t>The COVID-19 pandemic may result in the inability of our suppliers to deliver supplies to us on a timely basis. We currently utilize third parties to, among other things, manufacture components of our product candidates and, in the future, intend to utilize third parties to conduct our preclinical and clinical studies. If either we or any third-party parties in the supply chain for materials used in the production of our product candidates are adversely impacted by restrictions resulting from the COVID-19 pandemic, our supply chain may be disrupted, limiting our ability to manufacture our product candidates for our preclinical or clinical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306" w:lineRule="exact"/>
        <w:rPr>
          <w:sz w:val="20"/>
          <w:szCs w:val="20"/>
          <w:color w:val="auto"/>
        </w:rPr>
      </w:pPr>
    </w:p>
    <w:p>
      <w:pPr>
        <w:ind w:right="80" w:firstLine="567"/>
        <w:spacing w:after="0" w:line="243" w:lineRule="auto"/>
        <w:rPr>
          <w:sz w:val="20"/>
          <w:szCs w:val="20"/>
          <w:color w:val="auto"/>
        </w:rPr>
      </w:pPr>
      <w:r>
        <w:rPr>
          <w:rFonts w:ascii="Arial" w:cs="Arial" w:eastAsia="Arial" w:hAnsi="Arial"/>
          <w:sz w:val="18"/>
          <w:szCs w:val="18"/>
          <w:color w:val="auto"/>
        </w:rPr>
        <w:t>Both the health and economic aspects of the COVID-19 virus are highly fluid, and the future course of each is uncertain. For these reasons and other reasons that may come to light if the COVID-19 pandemic and associated protective or preventative measures expand, we may experience a material adverse effect, either directly or indirectly through our CROs, CMOs, collaboration partners or patients, on our business operations, revenues and financial condition; however, its ultimate impact is highly uncertain and subject to change.</w:t>
      </w:r>
    </w:p>
    <w:p>
      <w:pPr>
        <w:spacing w:after="0" w:line="29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b w:val="1"/>
          <w:bCs w:val="1"/>
          <w:color w:val="auto"/>
        </w:rPr>
        <w:t>We have only limited data regarding the safety profile of our wholly-owned product candidates when dosed in humans. 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55" w:lineRule="exact"/>
        <w:rPr>
          <w:sz w:val="20"/>
          <w:szCs w:val="20"/>
          <w:color w:val="auto"/>
        </w:rPr>
      </w:pPr>
    </w:p>
    <w:p>
      <w:pPr>
        <w:ind w:right="200" w:firstLine="567"/>
        <w:spacing w:after="0" w:line="259" w:lineRule="auto"/>
        <w:rPr>
          <w:sz w:val="20"/>
          <w:szCs w:val="20"/>
          <w:color w:val="auto"/>
        </w:rPr>
      </w:pPr>
      <w:r>
        <w:rPr>
          <w:rFonts w:ascii="Arial" w:cs="Arial" w:eastAsia="Arial" w:hAnsi="Arial"/>
          <w:sz w:val="17"/>
          <w:szCs w:val="17"/>
          <w:color w:val="auto"/>
        </w:rPr>
        <w:t>In order to obtain marketing approval for any of our product candidates, we must demonstrate the safety and efficacy of the product candidate for the relevant clinical indication or indications through preclinical studies and clinical trials as well as additional supporting data. If our product candidates are associated with undesirable side effects in preclinical studies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spacing w:after="0" w:line="174" w:lineRule="exact"/>
        <w:rPr>
          <w:sz w:val="20"/>
          <w:szCs w:val="20"/>
          <w:color w:val="auto"/>
        </w:rPr>
      </w:pPr>
    </w:p>
    <w:p>
      <w:pPr>
        <w:ind w:firstLine="567"/>
        <w:spacing w:after="0" w:line="253" w:lineRule="auto"/>
        <w:rPr>
          <w:sz w:val="20"/>
          <w:szCs w:val="20"/>
          <w:color w:val="auto"/>
        </w:rPr>
      </w:pPr>
      <w:r>
        <w:rPr>
          <w:rFonts w:ascii="Arial" w:cs="Arial" w:eastAsia="Arial" w:hAnsi="Arial"/>
          <w:sz w:val="17"/>
          <w:szCs w:val="17"/>
          <w:color w:val="auto"/>
        </w:rPr>
        <w:t>We have conducted various preclinical studies of our product candidates, but we do not know the predictive value of these studies for humans, and we cannot guarantee that any positive results in preclinical studies will successfully translate to human patients. We have only completed Phase 1 and Phase 2 clinical trials with imsidolimab, and subsequent clinical trials with imsidolimab are currently ongoing. It is not uncommon to observe results in human clinical trials that are unexpected based on preclinical testing, or to observe results in later stage clinical trials that are unexpected based on early clinical trials. Many product candidates fail in clinical trials despite promising preclinical and early clinical results. In addition, top-line results of a clinical trial, which generally reflect preliminary reviews of primary efficacy and/or safety results, do not necessarily predict final results, and any top-line findings or assessments are subject to change pending the completion of final data review procedures. Moreover, preclinical and clinical data are often susceptible to varying interpretations and analyses, and many companies that believed their product candidates performed satisfactorily in preclinical studies and clinical trials have nonetheless failed to obtain marketing approval for their products.</w:t>
      </w:r>
    </w:p>
    <w:p>
      <w:pPr>
        <w:spacing w:after="0" w:line="184" w:lineRule="exact"/>
        <w:rPr>
          <w:sz w:val="20"/>
          <w:szCs w:val="20"/>
          <w:color w:val="auto"/>
        </w:rPr>
      </w:pPr>
    </w:p>
    <w:p>
      <w:pPr>
        <w:ind w:right="40" w:firstLine="567"/>
        <w:spacing w:after="0" w:line="252" w:lineRule="auto"/>
        <w:rPr>
          <w:sz w:val="20"/>
          <w:szCs w:val="20"/>
          <w:color w:val="auto"/>
        </w:rPr>
      </w:pPr>
      <w:r>
        <w:rPr>
          <w:rFonts w:ascii="Arial" w:cs="Arial" w:eastAsia="Arial" w:hAnsi="Arial"/>
          <w:sz w:val="17"/>
          <w:szCs w:val="17"/>
          <w:color w:val="auto"/>
        </w:rPr>
        <w:t>Some patients in our clinical trials have experienced adverse events, including serious adverse events. We reported that one patient dropped out of the GALLOP Phase 2 clinical trial for imsidolimab due to diagnosis with Staphylococcal aureus bacteremia on Day 3 post-imsidolimab administration, which was a serious adverse event deemed to be possibly drug-related. Subjects in our ongoing and planned clinical trials may in the future suffer significant adverse events or other side effects not observed in our preclinical studies or in our Phase 1 or Phase 2 clinical trials. The observed potency and kinetics of our product candidates in preclinical studies may not be observed in human clinical trials. We have tested the dosing frequency and route of administration of our product candidates in preclinical studies, which will inform our dosing strategy for future clinical trials, however such dose and route of administration may not result in sufficient exposure or pharmacological effect in humans and may lead to unforeseen toxicity not previously observed in preclinical testing. If preclinical studies of our product candidates fail to provide preliminary evidence of safety to the satisfaction of regulatory authorities or do not otherwise produce satisfactory results, we may incur additional costs or experience delays in initiating and/or advancing the development and commercialization of our product candidates. Further, if clinical trials of our product candidates fail to demonstrate safety and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183" w:lineRule="exact"/>
        <w:rPr>
          <w:sz w:val="20"/>
          <w:szCs w:val="20"/>
          <w:color w:val="auto"/>
        </w:rPr>
      </w:pPr>
    </w:p>
    <w:p>
      <w:pPr>
        <w:ind w:right="20" w:firstLine="567"/>
        <w:spacing w:after="0" w:line="272" w:lineRule="auto"/>
        <w:rPr>
          <w:sz w:val="20"/>
          <w:szCs w:val="20"/>
          <w:color w:val="auto"/>
        </w:rPr>
      </w:pPr>
      <w:r>
        <w:rPr>
          <w:rFonts w:ascii="Arial" w:cs="Arial" w:eastAsia="Arial" w:hAnsi="Arial"/>
          <w:sz w:val="16"/>
          <w:szCs w:val="16"/>
          <w:color w:val="auto"/>
        </w:rPr>
        <w:t>If further significant adverse events or other side effects are observed in any of our current or future clinical trials, we may have difficulty recruiting patients to the clinical trial, patients may drop out of our trial, or we may be required to abandon the trial or our development efforts of that product candidate altogether. We, the FDA, or other applicable regulatory authorities, or an institutional review board or ethics committee, may suspend clinical trials of a product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a product candidate from obtaining or maintaining marketing approval, undesirable side effects may inhibit market acceptance of the approved product due to its tolerability versus other therapies. Any of these developments could materially harm our business,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306" w:lineRule="exact"/>
        <w:rPr>
          <w:sz w:val="20"/>
          <w:szCs w:val="20"/>
          <w:color w:val="auto"/>
        </w:rPr>
      </w:pPr>
    </w:p>
    <w:p>
      <w:pPr>
        <w:ind w:right="20" w:firstLine="567"/>
        <w:spacing w:after="0" w:line="262" w:lineRule="auto"/>
        <w:rPr>
          <w:sz w:val="20"/>
          <w:szCs w:val="20"/>
          <w:color w:val="auto"/>
        </w:rPr>
      </w:pPr>
      <w:r>
        <w:rPr>
          <w:rFonts w:ascii="Arial" w:cs="Arial" w:eastAsia="Arial" w:hAnsi="Arial"/>
          <w:sz w:val="17"/>
          <w:szCs w:val="17"/>
          <w:color w:val="auto"/>
        </w:rPr>
        <w:t>Further, if any of our product candidates obtain marketing approval, toxicities associated with our product candidates may also develop after such approval and lead to a requirement to conduct additional clinical safety trials, additional warnings being added to the labeling,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testing.</w:t>
      </w:r>
    </w:p>
    <w:p>
      <w:pPr>
        <w:spacing w:after="0" w:line="276" w:lineRule="exact"/>
        <w:rPr>
          <w:sz w:val="20"/>
          <w:szCs w:val="20"/>
          <w:color w:val="auto"/>
        </w:rPr>
      </w:pPr>
    </w:p>
    <w:p>
      <w:pPr>
        <w:ind w:right="320"/>
        <w:spacing w:after="0" w:line="347" w:lineRule="auto"/>
        <w:rPr>
          <w:sz w:val="20"/>
          <w:szCs w:val="20"/>
          <w:color w:val="auto"/>
        </w:rPr>
      </w:pPr>
      <w:r>
        <w:rPr>
          <w:rFonts w:ascii="Arial" w:cs="Arial" w:eastAsia="Arial" w:hAnsi="Arial"/>
          <w:sz w:val="16"/>
          <w:szCs w:val="16"/>
          <w:b w:val="1"/>
          <w:bCs w:val="1"/>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120" w:lineRule="exact"/>
        <w:rPr>
          <w:sz w:val="20"/>
          <w:szCs w:val="20"/>
          <w:color w:val="auto"/>
        </w:rPr>
      </w:pPr>
    </w:p>
    <w:p>
      <w:pPr>
        <w:ind w:firstLine="567"/>
        <w:spacing w:after="0" w:line="252" w:lineRule="auto"/>
        <w:rPr>
          <w:sz w:val="20"/>
          <w:szCs w:val="20"/>
          <w:color w:val="auto"/>
        </w:rPr>
      </w:pPr>
      <w:r>
        <w:rPr>
          <w:rFonts w:ascii="Arial" w:cs="Arial" w:eastAsia="Arial" w:hAnsi="Arial"/>
          <w:sz w:val="17"/>
          <w:szCs w:val="17"/>
          <w:color w:val="auto"/>
        </w:rPr>
        <w:t>Our ability to continue to develop our product candidates, and to have the potential to achieve and sustain profitability, depends on the FDA and foreign regulatory authorities permitting us to conduct human clinical trials and, if our product candidates are safe and effective, obtaining approval from the FDA and foreign regulatory authorities to market them and subsequently successfully commercializing them, either alone or with our collaborators. The research, testing, manufacturing, labeling, approval, selling, marketing and distribution of drug and biologic products are subject to extensive regulation by the FDA and foreign regulatory authorities. Though we have cleared an IND and clinical trial application (“CTA”) to conduct clinical trials for imsidolimab in the United States and certain foreign jurisdictions and we have cleared an IND to conduct a clinical trial for ANB030 in the United States, before commencing clinical trials in the United States for any other product candidate, we must submit an IND to the FDA; foreign regulatory authorities enforce similar requirements for initiation of clinical trials in other countries. An IND or foreign equivalent requires extensive preclinical studies, and there is no guarantee that the FDA or foreign regulatory authorities will allow clinical trials to proceed based on the IND or equivalent submission. For example, although we have initiated toxicology studies for our product candidates, the FDA in the United States, or other foreign regulatory authorities, as applicable, may not allow our clinical trials to proceed in the regulatory authority’s jurisdiction if we are unable to show safety margins acceptable to the particular regulatory authority in appropriate animal species in our preclinical toxicology studies.</w:t>
      </w:r>
    </w:p>
    <w:p>
      <w:pPr>
        <w:spacing w:after="0" w:line="183" w:lineRule="exact"/>
        <w:rPr>
          <w:sz w:val="20"/>
          <w:szCs w:val="20"/>
          <w:color w:val="auto"/>
        </w:rPr>
      </w:pPr>
    </w:p>
    <w:p>
      <w:pPr>
        <w:ind w:firstLine="567"/>
        <w:spacing w:after="0" w:line="252" w:lineRule="auto"/>
        <w:rPr>
          <w:sz w:val="20"/>
          <w:szCs w:val="20"/>
          <w:color w:val="auto"/>
        </w:rPr>
      </w:pPr>
      <w:r>
        <w:rPr>
          <w:rFonts w:ascii="Arial" w:cs="Arial" w:eastAsia="Arial" w:hAnsi="Arial"/>
          <w:sz w:val="17"/>
          <w:szCs w:val="17"/>
          <w:color w:val="auto"/>
        </w:rPr>
        <w:t>Even if we or our collaborators initiate and complete clinical trials for our product candidates, these product candidates will not be permitted to be marketed in the United States until approval of a BLA from the FDA is received, and will not be permitted to be marketed in other countries without marketing approval from foreign regulatory authorities. Obtaining approval of a BLA or other marketing approvals is often a lengthy, expensive and uncertain process over which the FDA and foreign regulatory authorities have substantial discretion. Other than submitting and receiving acceptance for initiation of our previous and current clinical trials in the United States and certain foreign jurisdictions, we have had only limited discussions with the FDA and no discussions with foreign regulatory authorities regarding the development plans for any of our product candidates or the designs of any of our later-stage clinical studies. We thus may not have the full benefit of the FDA’s or foreign regulatory authorities’ current thinking on clinical trial designs or product development for our target indications. For example, we believe a small pivotal clinical trial, potentially with less than 100 patients, may be sufficient to demonstrate substantial evidence of efficacy and safety of imsidolimab in GPP patients and obtain BLA approval, and we have discussed these plans with the FDA. However, the FDA may determine, based on future clinical efficacy and safety data from our GPP studies, that we will need to conduct additional clinical trials in order to obtain approval of a BLA. We held an end-of-Phase 2 meeting with the FDA during the second quarter of 2021 to review an orphan disease registration plan for imsidolimab for the treatment of GPP and anticipate announcing key aspects of our Phase 3 trial design upon its initiation in mid-2021.</w:t>
      </w:r>
    </w:p>
    <w:p>
      <w:pPr>
        <w:spacing w:after="0" w:line="180" w:lineRule="exact"/>
        <w:rPr>
          <w:sz w:val="20"/>
          <w:szCs w:val="20"/>
          <w:color w:val="auto"/>
        </w:rPr>
      </w:pPr>
    </w:p>
    <w:p>
      <w:pPr>
        <w:ind w:right="40" w:firstLine="567"/>
        <w:spacing w:after="0" w:line="263" w:lineRule="auto"/>
        <w:rPr>
          <w:sz w:val="20"/>
          <w:szCs w:val="20"/>
          <w:color w:val="auto"/>
        </w:rPr>
      </w:pPr>
      <w:r>
        <w:rPr>
          <w:rFonts w:ascii="Arial" w:cs="Arial" w:eastAsia="Arial" w:hAnsi="Arial"/>
          <w:sz w:val="18"/>
          <w:szCs w:val="18"/>
          <w:color w:val="auto"/>
        </w:rPr>
        <w:t>Preclinical studies and clinical trials are expensive, difficult to design and implement, can take many years to complete, and are uncertain as to outcome. Product candidates, on average, take 10 to 15 years to be developed from the time they are discovered to the time they are approved and available for treating patients. The start or end of a clinical trial is often delayed or halted for many reasons, including:</w:t>
      </w:r>
    </w:p>
    <w:p>
      <w:pPr>
        <w:spacing w:after="0" w:line="76" w:lineRule="exact"/>
        <w:rPr>
          <w:sz w:val="20"/>
          <w:szCs w:val="20"/>
          <w:color w:val="auto"/>
        </w:rPr>
      </w:pPr>
    </w:p>
    <w:p>
      <w:pPr>
        <w:ind w:left="900" w:right="380" w:hanging="406"/>
        <w:spacing w:after="0" w:line="277" w:lineRule="auto"/>
        <w:tabs>
          <w:tab w:leader="none" w:pos="8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imposition of a clinical hold for safety reasons or following an inspection of clinical trial operations or site by the FDA or other regulatory authorities;</w:t>
      </w:r>
    </w:p>
    <w:p>
      <w:pPr>
        <w:spacing w:after="0" w:line="62" w:lineRule="exact"/>
        <w:rPr>
          <w:rFonts w:ascii="Arial" w:cs="Arial" w:eastAsia="Arial" w:hAnsi="Arial"/>
          <w:sz w:val="18"/>
          <w:szCs w:val="18"/>
          <w:color w:val="auto"/>
        </w:rPr>
      </w:pPr>
    </w:p>
    <w:p>
      <w:pPr>
        <w:ind w:left="900" w:hanging="40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manufacturing challenges;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insufficient supply or quality of product candidates or other materials necessary to conduct clinical trials;</w:t>
      </w:r>
    </w:p>
    <w:p>
      <w:pPr>
        <w:spacing w:after="0" w:line="117" w:lineRule="exact"/>
        <w:rPr>
          <w:rFonts w:ascii="Arial" w:cs="Arial" w:eastAsia="Arial" w:hAnsi="Arial"/>
          <w:sz w:val="18"/>
          <w:szCs w:val="18"/>
          <w:color w:val="auto"/>
        </w:rPr>
      </w:pPr>
    </w:p>
    <w:p>
      <w:pPr>
        <w:ind w:left="900" w:right="220" w:hanging="406"/>
        <w:spacing w:after="0" w:line="308" w:lineRule="auto"/>
        <w:tabs>
          <w:tab w:leader="none" w:pos="895"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delays in reaching or failure to reach agreement on acceptable clinical trial contracts or clinical trial protocols with prospective trial sites and CROs or failure by such CROs or trials sites to carry out the clinical trial in accordance with our agreed-upon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98" w:lineRule="exact"/>
        <w:rPr>
          <w:sz w:val="20"/>
          <w:szCs w:val="20"/>
          <w:color w:val="auto"/>
        </w:rPr>
      </w:pPr>
    </w:p>
    <w:p>
      <w:pPr>
        <w:ind w:left="900" w:hanging="406"/>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non-clinical or clinical sites becoming unavailable due to political, economic, or public health events, such as the COVID-19 pandemic;</w:t>
      </w:r>
    </w:p>
    <w:p>
      <w:pPr>
        <w:spacing w:after="0" w:line="128" w:lineRule="exact"/>
        <w:rPr>
          <w:rFonts w:ascii="Arial" w:cs="Arial" w:eastAsia="Arial" w:hAnsi="Arial"/>
          <w:sz w:val="17"/>
          <w:szCs w:val="17"/>
          <w:color w:val="auto"/>
        </w:rPr>
      </w:pPr>
    </w:p>
    <w:p>
      <w:pPr>
        <w:ind w:left="900" w:hanging="40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clinical sites electing to terminate their participation in one of our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or unwillingness of patients or medical investigators to follow clinical trial protocols;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required clinical trial administrative actions;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slower than anticipated patient enrollment;</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changing standards of care;</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safety concerns;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availability or prevalence of use of a comparative drug or required prior therapy; or</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clinical outcomes or financial constraints.</w:t>
      </w:r>
    </w:p>
    <w:p>
      <w:pPr>
        <w:spacing w:after="0" w:line="225" w:lineRule="exact"/>
        <w:rPr>
          <w:sz w:val="20"/>
          <w:szCs w:val="20"/>
          <w:color w:val="auto"/>
        </w:rPr>
      </w:pPr>
    </w:p>
    <w:p>
      <w:pPr>
        <w:ind w:firstLine="567"/>
        <w:spacing w:after="0" w:line="291" w:lineRule="auto"/>
        <w:rPr>
          <w:sz w:val="20"/>
          <w:szCs w:val="20"/>
          <w:color w:val="auto"/>
        </w:rPr>
      </w:pPr>
      <w:r>
        <w:rPr>
          <w:rFonts w:ascii="Arial" w:cs="Arial" w:eastAsia="Arial" w:hAnsi="Arial"/>
          <w:sz w:val="16"/>
          <w:szCs w:val="16"/>
          <w:color w:val="auto"/>
        </w:rPr>
        <w:t>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may refuse to accept any application or may decide that our data are insufficient for approval and require additional preclinical or other studies or clinical trials. In addition, varying interpretations of the data obtained from preclinical and clinical testing could delay, limit or prevent marketing approval of a product candidate. Moreover, regulatory authorities may determine that the clinical and other benefits of a product candidate do not outweigh the safety or other risks.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experience any of the issues described above, or other similar or related issues, we may:</w:t>
      </w:r>
    </w:p>
    <w:p>
      <w:pPr>
        <w:spacing w:after="0" w:line="117" w:lineRule="exact"/>
        <w:rPr>
          <w:sz w:val="20"/>
          <w:szCs w:val="20"/>
          <w:color w:val="auto"/>
        </w:rPr>
      </w:pPr>
    </w:p>
    <w:p>
      <w:pPr>
        <w:ind w:left="900" w:hanging="40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0" w:name="page41"/>
    <w:bookmarkEnd w:id="40"/>
    <w:p>
      <w:pPr>
        <w:spacing w:after="0" w:line="200" w:lineRule="exact"/>
        <w:rPr>
          <w:sz w:val="20"/>
          <w:szCs w:val="20"/>
          <w:color w:val="auto"/>
        </w:rPr>
      </w:pPr>
    </w:p>
    <w:p>
      <w:pPr>
        <w:spacing w:after="0" w:line="210"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b w:val="1"/>
          <w:bCs w:val="1"/>
          <w:color w:val="auto"/>
        </w:rPr>
        <w:t>We may not be successful in our efforts to use our technology platform to expand our pipeline of product candidates and develop marketable products.</w:t>
      </w:r>
    </w:p>
    <w:p>
      <w:pPr>
        <w:spacing w:after="0" w:line="58" w:lineRule="exact"/>
        <w:rPr>
          <w:sz w:val="20"/>
          <w:szCs w:val="20"/>
          <w:color w:val="auto"/>
        </w:rPr>
      </w:pPr>
    </w:p>
    <w:p>
      <w:pPr>
        <w:ind w:right="140" w:firstLine="567"/>
        <w:spacing w:after="0" w:line="253" w:lineRule="auto"/>
        <w:rPr>
          <w:sz w:val="20"/>
          <w:szCs w:val="20"/>
          <w:color w:val="auto"/>
        </w:rPr>
      </w:pPr>
      <w:r>
        <w:rPr>
          <w:rFonts w:ascii="Arial" w:cs="Arial" w:eastAsia="Arial" w:hAnsi="Arial"/>
          <w:sz w:val="17"/>
          <w:szCs w:val="17"/>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have in preclinical and early-stage 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validate our technology platform by successfully developing and commercializing product candidates based upon our technological approach, we may not be able to obtain product or partnership revenue in future periods, which would adversely affect our business, prospects, financial condition and results of operations.</w:t>
      </w:r>
    </w:p>
    <w:p>
      <w:pPr>
        <w:spacing w:after="0" w:line="180" w:lineRule="exact"/>
        <w:rPr>
          <w:sz w:val="20"/>
          <w:szCs w:val="20"/>
          <w:color w:val="auto"/>
        </w:rPr>
      </w:pPr>
    </w:p>
    <w:p>
      <w:pPr>
        <w:ind w:firstLine="567"/>
        <w:spacing w:after="0" w:line="238" w:lineRule="auto"/>
        <w:rPr>
          <w:sz w:val="20"/>
          <w:szCs w:val="20"/>
          <w:color w:val="auto"/>
        </w:rPr>
      </w:pPr>
      <w:r>
        <w:rPr>
          <w:rFonts w:ascii="Arial" w:cs="Arial" w:eastAsia="Arial" w:hAnsi="Arial"/>
          <w:sz w:val="18"/>
          <w:szCs w:val="18"/>
          <w:color w:val="auto"/>
        </w:rPr>
        <w:t>As a result of our current focus on our lead product candidates,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98" w:lineRule="exact"/>
        <w:rPr>
          <w:sz w:val="20"/>
          <w:szCs w:val="20"/>
          <w:color w:val="auto"/>
        </w:rPr>
      </w:pPr>
    </w:p>
    <w:p>
      <w:pPr>
        <w:ind w:right="180"/>
        <w:spacing w:after="0" w:line="329" w:lineRule="auto"/>
        <w:rPr>
          <w:sz w:val="20"/>
          <w:szCs w:val="20"/>
          <w:color w:val="auto"/>
        </w:rPr>
      </w:pPr>
      <w:r>
        <w:rPr>
          <w:rFonts w:ascii="Arial" w:cs="Arial" w:eastAsia="Arial" w:hAnsi="Arial"/>
          <w:sz w:val="16"/>
          <w:szCs w:val="16"/>
          <w:b w:val="1"/>
          <w:bCs w:val="1"/>
          <w:color w:val="auto"/>
        </w:rPr>
        <w:t>We have recently commenced clinical development of imsidolimab, ANB030 and ANB032 and have a limited history of conducting clinical trials and no history of commercializing biotechnology products, which may make it difficult to evaluate the prospects for our future viability.</w:t>
      </w:r>
    </w:p>
    <w:p>
      <w:pPr>
        <w:spacing w:after="0" w:line="13" w:lineRule="exact"/>
        <w:rPr>
          <w:sz w:val="20"/>
          <w:szCs w:val="20"/>
          <w:color w:val="auto"/>
        </w:rPr>
      </w:pPr>
    </w:p>
    <w:p>
      <w:pPr>
        <w:ind w:right="140" w:firstLine="567"/>
        <w:spacing w:after="0" w:line="254" w:lineRule="auto"/>
        <w:rPr>
          <w:sz w:val="20"/>
          <w:szCs w:val="20"/>
          <w:color w:val="auto"/>
        </w:rPr>
      </w:pPr>
      <w:r>
        <w:rPr>
          <w:rFonts w:ascii="Arial" w:cs="Arial" w:eastAsia="Arial" w:hAnsi="Arial"/>
          <w:sz w:val="17"/>
          <w:szCs w:val="17"/>
          <w:color w:val="auto"/>
        </w:rPr>
        <w:t>Our operations to date have been largely limited to financing and staffing our company, developing our technology, and developing our wholly-owned product candidates and other product candidates in partnerships with our collaborators. As a company, we have only very limited experience conducting clinical trials and have not had previous experience commercializing product candidates, including submitting a BLA to the FDA. In part because of this lack of experience, we cannot be certain that planned clinical trials will begin or be completed on time, if at all, that our planned development programs would be acceptable to the FDA or other regulatory authorities, or that, if approval is obtained, such product candidates can be successfully commercialized. Clinical trials and commercializing our wholly-owned product candidates will require significant additional financial and management resources, and reliance on third-party clinical investigators, CROs, consultants or collaborators. Relying on third-party clinical investigators, CROs or collaborators may result in delays that are outside of our control.</w:t>
      </w:r>
    </w:p>
    <w:p>
      <w:pPr>
        <w:spacing w:after="0" w:line="181" w:lineRule="exact"/>
        <w:rPr>
          <w:sz w:val="20"/>
          <w:szCs w:val="20"/>
          <w:color w:val="auto"/>
        </w:rPr>
      </w:pPr>
    </w:p>
    <w:p>
      <w:pPr>
        <w:ind w:right="380" w:firstLine="567"/>
        <w:spacing w:after="0" w:line="248" w:lineRule="auto"/>
        <w:rPr>
          <w:sz w:val="20"/>
          <w:szCs w:val="20"/>
          <w:color w:val="auto"/>
        </w:rPr>
      </w:pPr>
      <w:r>
        <w:rPr>
          <w:rFonts w:ascii="Arial" w:cs="Arial" w:eastAsia="Arial" w:hAnsi="Arial"/>
          <w:sz w:val="18"/>
          <w:szCs w:val="18"/>
          <w:color w:val="auto"/>
        </w:rPr>
        <w:t>Furthermore,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spacing w:after="0" w:line="74" w:lineRule="exact"/>
        <w:rPr>
          <w:sz w:val="20"/>
          <w:szCs w:val="20"/>
          <w:color w:val="auto"/>
        </w:rPr>
      </w:pPr>
    </w:p>
    <w:p>
      <w:pPr>
        <w:ind w:left="900" w:right="600" w:hanging="406"/>
        <w:spacing w:after="0" w:line="261" w:lineRule="auto"/>
        <w:tabs>
          <w:tab w:leader="none" w:pos="8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or the clinical trials of others for product candidates similar to ours, leading to a decision or requirement to conduct additional preclinical testing or clinical trials or abandon a program;</w:t>
      </w:r>
    </w:p>
    <w:p>
      <w:pPr>
        <w:spacing w:after="0" w:line="62" w:lineRule="exact"/>
        <w:rPr>
          <w:rFonts w:ascii="Arial" w:cs="Arial" w:eastAsia="Arial" w:hAnsi="Arial"/>
          <w:sz w:val="18"/>
          <w:szCs w:val="18"/>
          <w:color w:val="auto"/>
        </w:rPr>
      </w:pPr>
    </w:p>
    <w:p>
      <w:pPr>
        <w:ind w:left="900" w:right="460" w:hanging="406"/>
        <w:spacing w:after="0" w:line="261" w:lineRule="auto"/>
        <w:tabs>
          <w:tab w:leader="none" w:pos="8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62" w:lineRule="exact"/>
        <w:rPr>
          <w:rFonts w:ascii="Arial" w:cs="Arial" w:eastAsia="Arial" w:hAnsi="Arial"/>
          <w:sz w:val="18"/>
          <w:szCs w:val="18"/>
          <w:color w:val="auto"/>
        </w:rPr>
      </w:pPr>
    </w:p>
    <w:p>
      <w:pPr>
        <w:ind w:left="900" w:hanging="40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conditions imposed by the FDA or foreign regulatory authorities regarding the number, scope or design of our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enrolling research subjects in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1" w:name="page42"/>
    <w:bookmarkEnd w:id="41"/>
    <w:p>
      <w:pPr>
        <w:spacing w:after="0" w:line="198" w:lineRule="exact"/>
        <w:rPr>
          <w:sz w:val="20"/>
          <w:szCs w:val="20"/>
          <w:color w:val="auto"/>
        </w:rPr>
      </w:pPr>
    </w:p>
    <w:p>
      <w:pPr>
        <w:ind w:left="900" w:hanging="40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 drop-out rates of research subjects;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inadequate supply or quality of clinical trial materials or other supplies necessary for the conduct of our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than anticipated clinical trial costs;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poor effectiveness or unacceptable side effects of our product candidates during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a clinical trial site;</w:t>
      </w:r>
    </w:p>
    <w:p>
      <w:pPr>
        <w:spacing w:after="0" w:line="117" w:lineRule="exact"/>
        <w:rPr>
          <w:rFonts w:ascii="Arial" w:cs="Arial" w:eastAsia="Arial" w:hAnsi="Arial"/>
          <w:sz w:val="18"/>
          <w:szCs w:val="18"/>
          <w:color w:val="auto"/>
        </w:rPr>
      </w:pPr>
    </w:p>
    <w:p>
      <w:pPr>
        <w:ind w:left="900" w:right="80" w:hanging="406"/>
        <w:spacing w:after="0" w:line="277" w:lineRule="auto"/>
        <w:tabs>
          <w:tab w:leader="none" w:pos="8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of our third-party contractors or investigators to comply with regulatory requirements or otherwise meet their contractual obligations in a timely manner, or at all;</w:t>
      </w:r>
    </w:p>
    <w:p>
      <w:pPr>
        <w:spacing w:after="0" w:line="62" w:lineRule="exact"/>
        <w:rPr>
          <w:rFonts w:ascii="Arial" w:cs="Arial" w:eastAsia="Arial" w:hAnsi="Arial"/>
          <w:sz w:val="18"/>
          <w:szCs w:val="18"/>
          <w:color w:val="auto"/>
        </w:rPr>
      </w:pPr>
    </w:p>
    <w:p>
      <w:pPr>
        <w:ind w:left="900" w:right="100" w:hanging="406"/>
        <w:spacing w:after="0" w:line="277" w:lineRule="auto"/>
        <w:tabs>
          <w:tab w:leader="none" w:pos="8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serious and unexpected drug-related side effects experienced by participants in our planned clinical trials or by individuals using drugs similar to our product candidates;</w:t>
      </w:r>
    </w:p>
    <w:p>
      <w:pPr>
        <w:spacing w:after="0" w:line="62" w:lineRule="exact"/>
        <w:rPr>
          <w:rFonts w:ascii="Arial" w:cs="Arial" w:eastAsia="Arial" w:hAnsi="Arial"/>
          <w:sz w:val="18"/>
          <w:szCs w:val="18"/>
          <w:color w:val="auto"/>
        </w:rPr>
      </w:pPr>
    </w:p>
    <w:p>
      <w:pPr>
        <w:ind w:left="900" w:right="500" w:hanging="406"/>
        <w:spacing w:after="0" w:line="277" w:lineRule="auto"/>
        <w:tabs>
          <w:tab w:leader="none" w:pos="8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62" w:lineRule="exact"/>
        <w:rPr>
          <w:rFonts w:ascii="Arial" w:cs="Arial" w:eastAsia="Arial" w:hAnsi="Arial"/>
          <w:sz w:val="18"/>
          <w:szCs w:val="18"/>
          <w:color w:val="auto"/>
        </w:rPr>
      </w:pPr>
    </w:p>
    <w:p>
      <w:pPr>
        <w:ind w:left="900" w:hanging="40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varying interpretations of data by the FDA and foreign regulatory authorities.</w:t>
      </w:r>
    </w:p>
    <w:p>
      <w:pPr>
        <w:spacing w:after="0" w:line="225" w:lineRule="exact"/>
        <w:rPr>
          <w:sz w:val="20"/>
          <w:szCs w:val="20"/>
          <w:color w:val="auto"/>
        </w:rPr>
      </w:pPr>
    </w:p>
    <w:p>
      <w:pPr>
        <w:ind w:right="220" w:firstLine="567"/>
        <w:spacing w:after="0" w:line="308" w:lineRule="auto"/>
        <w:rPr>
          <w:sz w:val="20"/>
          <w:szCs w:val="20"/>
          <w:color w:val="auto"/>
        </w:rPr>
      </w:pPr>
      <w:r>
        <w:rPr>
          <w:rFonts w:ascii="Arial" w:cs="Arial" w:eastAsia="Arial" w:hAnsi="Arial"/>
          <w:sz w:val="17"/>
          <w:szCs w:val="17"/>
          <w:color w:val="auto"/>
        </w:rPr>
        <w:t>Consequently, any predictions you make about our future success or viability based on our short operating history may not be as accurate as they could be if we had a longer operating history or an established track record in conducting clinical trials or commercializing products.</w:t>
      </w:r>
    </w:p>
    <w:p>
      <w:pPr>
        <w:spacing w:after="0" w:line="146" w:lineRule="exact"/>
        <w:rPr>
          <w:sz w:val="20"/>
          <w:szCs w:val="20"/>
          <w:color w:val="auto"/>
        </w:rPr>
      </w:pPr>
    </w:p>
    <w:p>
      <w:pPr>
        <w:ind w:right="340" w:firstLine="567"/>
        <w:spacing w:after="0" w:line="263" w:lineRule="auto"/>
        <w:rPr>
          <w:sz w:val="20"/>
          <w:szCs w:val="20"/>
          <w:color w:val="auto"/>
        </w:rPr>
      </w:pPr>
      <w:r>
        <w:rPr>
          <w:rFonts w:ascii="Arial" w:cs="Arial" w:eastAsia="Arial" w:hAnsi="Arial"/>
          <w:sz w:val="18"/>
          <w:szCs w:val="18"/>
          <w:color w:val="auto"/>
        </w:rPr>
        <w:t>Further, as a clinical stage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288"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We face significant competition, and if our competitors develop and market products that are more effective, safer or less expensive than our product candidates, our commercial opportunities will be negatively impacted.</w:t>
      </w:r>
    </w:p>
    <w:p>
      <w:pPr>
        <w:spacing w:after="0" w:line="58"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The biotechnology industry is highly competitive and subject to rapid and significant technological change. Products we may develop in the future are also likely to face competition from other drugs and therapies, some of which we may not currently be aware. We have competitors both in the United States and internationally, including major multinational pharmaceutical and biotechnology companies, established biotechnology companies, specialty biotechnology companies, emerging and start-up companies, universities and other research institutions. Many of our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As a result of all of these factors, our competitors may succeed in obtaining patent protection and/or approval from the FDA or foreign regulatory authorities or discovering, developing and commercializing products in our field before we do.</w:t>
      </w:r>
    </w:p>
    <w:p>
      <w:pPr>
        <w:spacing w:after="0" w:line="179" w:lineRule="exact"/>
        <w:rPr>
          <w:sz w:val="20"/>
          <w:szCs w:val="20"/>
          <w:color w:val="auto"/>
        </w:rPr>
      </w:pPr>
    </w:p>
    <w:p>
      <w:pPr>
        <w:ind w:right="80" w:firstLine="567"/>
        <w:spacing w:after="0" w:line="301" w:lineRule="auto"/>
        <w:rPr>
          <w:sz w:val="20"/>
          <w:szCs w:val="20"/>
          <w:color w:val="auto"/>
        </w:rPr>
      </w:pPr>
      <w:r>
        <w:rPr>
          <w:rFonts w:ascii="Arial" w:cs="Arial" w:eastAsia="Arial" w:hAnsi="Arial"/>
          <w:sz w:val="16"/>
          <w:szCs w:val="16"/>
          <w:color w:val="auto"/>
        </w:rPr>
        <w:t>For GPP our competitors include marketed therapies such as secukinumab (Cosentyx; Novartis), which binds IL-17A; ustekinumab (Stelara; Janssen), which blocks IL-12 and 23 cytokine function; and acitretin (Soriatane; GSK), as well as therapies in development such as guselkumab (Janssen), which blocks IL-23 cytokine function, gevokizumab (Xoma 052) and canakinumab (Ilaris, Novartis), which binds IL-1 beta, anakinra (Kineret; Swedish Orphan Biovitrum AB), a recombinant form of the IL-1 receptor antagonist and an anti-IL-36 receptor antibody called BI-655130 (Boehringer Ingelheim).</w:t>
      </w:r>
    </w:p>
    <w:p>
      <w:pPr>
        <w:spacing w:after="0" w:line="144" w:lineRule="exact"/>
        <w:rPr>
          <w:sz w:val="20"/>
          <w:szCs w:val="20"/>
          <w:color w:val="auto"/>
        </w:rPr>
      </w:pPr>
    </w:p>
    <w:p>
      <w:pPr>
        <w:ind w:firstLine="567"/>
        <w:spacing w:after="0" w:line="289" w:lineRule="auto"/>
        <w:rPr>
          <w:sz w:val="20"/>
          <w:szCs w:val="20"/>
          <w:color w:val="auto"/>
        </w:rPr>
      </w:pPr>
      <w:r>
        <w:rPr>
          <w:rFonts w:ascii="Arial" w:cs="Arial" w:eastAsia="Arial" w:hAnsi="Arial"/>
          <w:sz w:val="16"/>
          <w:szCs w:val="16"/>
          <w:color w:val="auto"/>
        </w:rPr>
        <w:t>For ichthyosis, systemically administered competitors include secukinumab (Cosentyx; Novartis), liarozole (GSK), dupilumab (Dupixent; Regeneron/Sanofi), and adalimumab (Humira; Abbvie). Various topical treatments may also be used off-label for treatment of ichthyosis related symptoms.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spacing w:after="0" w:line="292" w:lineRule="exact"/>
        <w:rPr>
          <w:sz w:val="20"/>
          <w:szCs w:val="20"/>
          <w:color w:val="auto"/>
        </w:rPr>
      </w:pPr>
    </w:p>
    <w:p>
      <w:pPr>
        <w:ind w:right="320" w:firstLine="567"/>
        <w:spacing w:after="0" w:line="235" w:lineRule="auto"/>
        <w:rPr>
          <w:sz w:val="20"/>
          <w:szCs w:val="20"/>
          <w:color w:val="auto"/>
        </w:rPr>
      </w:pPr>
      <w:r>
        <w:rPr>
          <w:rFonts w:ascii="Arial" w:cs="Arial" w:eastAsia="Arial" w:hAnsi="Arial"/>
          <w:sz w:val="18"/>
          <w:szCs w:val="18"/>
          <w:color w:val="auto"/>
        </w:rPr>
        <w:t>For hidradenitis suppurativa, our competitors include adalimumab (Humira; Abbvie) which is approved for the treatment of moderate to severe hidradenitis suppurativa for patients 12 years of age or older.</w:t>
      </w:r>
    </w:p>
    <w:p>
      <w:pPr>
        <w:spacing w:after="0" w:line="162" w:lineRule="exact"/>
        <w:rPr>
          <w:sz w:val="20"/>
          <w:szCs w:val="20"/>
          <w:color w:val="auto"/>
        </w:rPr>
      </w:pPr>
    </w:p>
    <w:p>
      <w:pPr>
        <w:ind w:right="80" w:firstLine="567"/>
        <w:spacing w:after="0" w:line="224" w:lineRule="auto"/>
        <w:rPr>
          <w:sz w:val="20"/>
          <w:szCs w:val="20"/>
          <w:color w:val="auto"/>
        </w:rPr>
      </w:pPr>
      <w:r>
        <w:rPr>
          <w:rFonts w:ascii="Arial" w:cs="Arial" w:eastAsia="Arial" w:hAnsi="Arial"/>
          <w:sz w:val="18"/>
          <w:szCs w:val="18"/>
          <w:color w:val="auto"/>
        </w:rPr>
        <w:t>For acne, our competitors include retinoids and retinoid-like drugs, including tretinoin (Avita, Retin-A, adapalene (Differin) and tazarotene (Tazorac, Avage), antibiotics including clindamycin (Benzaclin, Duac) and erythromycin (Benzamycin) and isotretinoin (Amnesteem, Claravis, Accutane) and oral antibiotics including sarecycline (Seysara).</w:t>
      </w:r>
    </w:p>
    <w:p>
      <w:pPr>
        <w:spacing w:after="0" w:line="163" w:lineRule="exact"/>
        <w:rPr>
          <w:sz w:val="20"/>
          <w:szCs w:val="20"/>
          <w:color w:val="auto"/>
        </w:rPr>
      </w:pPr>
    </w:p>
    <w:p>
      <w:pPr>
        <w:ind w:right="100" w:firstLine="567"/>
        <w:spacing w:after="0" w:line="226" w:lineRule="auto"/>
        <w:rPr>
          <w:sz w:val="20"/>
          <w:szCs w:val="20"/>
          <w:color w:val="auto"/>
        </w:rPr>
      </w:pPr>
      <w:r>
        <w:rPr>
          <w:rFonts w:ascii="Arial" w:cs="Arial" w:eastAsia="Arial" w:hAnsi="Arial"/>
          <w:sz w:val="17"/>
          <w:szCs w:val="17"/>
          <w:color w:val="auto"/>
        </w:rPr>
        <w:t>For our anti-inflammatory checkpoint modulator antibody programs, our competitors include CC-90006 (BMS), which is an anti-PD-1 agonist antibody developed under our partnership with BMS, a BTLA modulator antibody called LY3361237 being developed by Eli Lilly, a PD-1 agonist antibody called LY3462817 also being developed by Eli Lilly and two PD-1 agonist antibodies called PT627 and PT001 being developed by Pandion Therapeutics who is being acquired by Merck. Our competitors in moderate-to-severe alopecia areata and vitiligo include topical and oral corticosteroids, topical immunotherapy (diphencyprone, dinitrochlorobenzene, squaric acid dibutyl ester), calcineurin inhibitors (tacrolimus, pimecrolimus), light therapy, prostaglandins and janus kinase inhibitors (tofacitinib, rixolitinib) currently in development.</w:t>
      </w:r>
    </w:p>
    <w:p>
      <w:pPr>
        <w:spacing w:after="0" w:line="178" w:lineRule="exact"/>
        <w:rPr>
          <w:sz w:val="20"/>
          <w:szCs w:val="20"/>
          <w:color w:val="auto"/>
        </w:rPr>
      </w:pPr>
    </w:p>
    <w:p>
      <w:pPr>
        <w:ind w:right="20" w:firstLine="567"/>
        <w:spacing w:after="0" w:line="271" w:lineRule="auto"/>
        <w:rPr>
          <w:sz w:val="20"/>
          <w:szCs w:val="20"/>
          <w:color w:val="auto"/>
        </w:rPr>
      </w:pPr>
      <w:r>
        <w:rPr>
          <w:rFonts w:ascii="Arial" w:cs="Arial" w:eastAsia="Arial" w:hAnsi="Arial"/>
          <w:sz w:val="17"/>
          <w:szCs w:val="17"/>
          <w:color w:val="auto"/>
        </w:rPr>
        <w:t>With the enactment of the Biologics Price Competition and Innovation Act of 2009 (“BPCIA”), an abbreviated pathway for the approval of biosimilar and interchangeable biological products was created. The abbreviated regulatory pathway establishes legal authority for the FDA to review and approve biosimilar biologics, including the possible designation of a biosimilar as interchangeable based on its similarity to an existing reference product. Under the BPCIA, an application for a biosimilar product cannot be approved by the FDA until 12 years after the original branded product is approved under a BLA. To date, several biosimilar products have been approved under the BPCIA, but no interchangeable biological products have been approved.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 material adverse effect on the future commercial prospects for our biological products.</w:t>
      </w:r>
    </w:p>
    <w:p>
      <w:pPr>
        <w:spacing w:after="0" w:line="178" w:lineRule="exact"/>
        <w:rPr>
          <w:sz w:val="20"/>
          <w:szCs w:val="20"/>
          <w:color w:val="auto"/>
        </w:rPr>
      </w:pPr>
    </w:p>
    <w:p>
      <w:pPr>
        <w:ind w:firstLine="567"/>
        <w:spacing w:after="0" w:line="273" w:lineRule="auto"/>
        <w:rPr>
          <w:sz w:val="20"/>
          <w:szCs w:val="20"/>
          <w:color w:val="auto"/>
        </w:rPr>
      </w:pPr>
      <w:r>
        <w:rPr>
          <w:rFonts w:ascii="Arial" w:cs="Arial" w:eastAsia="Arial" w:hAnsi="Arial"/>
          <w:sz w:val="17"/>
          <w:szCs w:val="17"/>
          <w:color w:val="auto"/>
        </w:rPr>
        <w:t>We believe that if any of our product candidates are approved as a biological product under a BLA it should qualify for the 12-year period of exclusivity. However, there is a risk that the FDA will not consider any of our product candidates to be reference products for competing products, potentially creating the opportunity for biosimilar competition sooner than anticipated. Additionally, this period of regulatory exclusivity does not apply to companies pursuing regulatory approval via their own traditional BLA, rather than via the abbreviated pathway.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78" w:lineRule="exact"/>
        <w:rPr>
          <w:sz w:val="20"/>
          <w:szCs w:val="20"/>
          <w:color w:val="auto"/>
        </w:rPr>
      </w:pPr>
    </w:p>
    <w:p>
      <w:pPr>
        <w:ind w:right="40" w:firstLine="567"/>
        <w:spacing w:after="0" w:line="293"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or less severe effects, are more convenient, are less expensive or capture significant market share prior to or during our commercialization.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 party payors seeking to encourage the use of biosimilar products. Even if our product candidates achieve marketing approval, they may be priced at a significant premium over competitive biosimilar products if any have been approved by then.</w:t>
      </w:r>
    </w:p>
    <w:p>
      <w:pPr>
        <w:spacing w:after="0" w:line="164" w:lineRule="exact"/>
        <w:rPr>
          <w:sz w:val="20"/>
          <w:szCs w:val="20"/>
          <w:color w:val="auto"/>
        </w:rPr>
      </w:pPr>
    </w:p>
    <w:p>
      <w:pPr>
        <w:ind w:right="160" w:firstLine="567"/>
        <w:spacing w:after="0" w:line="255" w:lineRule="auto"/>
        <w:rPr>
          <w:sz w:val="20"/>
          <w:szCs w:val="20"/>
          <w:color w:val="auto"/>
        </w:rPr>
      </w:pPr>
      <w:r>
        <w:rPr>
          <w:rFonts w:ascii="Arial" w:cs="Arial" w:eastAsia="Arial" w:hAnsi="Arial"/>
          <w:sz w:val="18"/>
          <w:szCs w:val="18"/>
          <w:color w:val="auto"/>
        </w:rPr>
        <w:t>Smaller and other early-stage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planned clinical trials and acquiring technologies complementary to, or necessary for, our programs. In addition, the biotechnology industry is characterized by rapid technological change. If we fail to stay at the forefront of technological change, we may be unable to compete effectively. Technological advances or products developed by our competitors may render our technologies or product candidates obsolete, less competitive or not economical.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3" w:name="page44"/>
    <w:bookmarkEnd w:id="43"/>
    <w:p>
      <w:pPr>
        <w:spacing w:after="0" w:line="200" w:lineRule="exact"/>
        <w:rPr>
          <w:sz w:val="20"/>
          <w:szCs w:val="20"/>
          <w:color w:val="auto"/>
        </w:rPr>
      </w:pPr>
    </w:p>
    <w:p>
      <w:pPr>
        <w:spacing w:after="0" w:line="210"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Our product candidates may not achieve adequate market acceptance among physicians, patients, health care payors and others in the medical community necessary for commercial success.</w:t>
      </w:r>
    </w:p>
    <w:p>
      <w:pPr>
        <w:spacing w:after="0" w:line="58" w:lineRule="exact"/>
        <w:rPr>
          <w:sz w:val="20"/>
          <w:szCs w:val="20"/>
          <w:color w:val="auto"/>
        </w:rPr>
      </w:pPr>
    </w:p>
    <w:p>
      <w:pPr>
        <w:ind w:right="120" w:firstLine="567"/>
        <w:spacing w:after="0" w:line="263"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 care payors and others in the medical community. The degree of market acceptance of any of our approved product candidates will depend on a number of factors, including:</w:t>
      </w:r>
    </w:p>
    <w:p>
      <w:pPr>
        <w:spacing w:after="0" w:line="76" w:lineRule="exact"/>
        <w:rPr>
          <w:sz w:val="20"/>
          <w:szCs w:val="20"/>
          <w:color w:val="auto"/>
        </w:rPr>
      </w:pPr>
    </w:p>
    <w:p>
      <w:pPr>
        <w:ind w:left="900" w:hanging="40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planned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17" w:lineRule="exact"/>
        <w:rPr>
          <w:rFonts w:ascii="Arial" w:cs="Arial" w:eastAsia="Arial" w:hAnsi="Arial"/>
          <w:sz w:val="18"/>
          <w:szCs w:val="18"/>
          <w:color w:val="auto"/>
        </w:rPr>
      </w:pPr>
    </w:p>
    <w:p>
      <w:pPr>
        <w:ind w:left="900" w:right="100" w:hanging="406"/>
        <w:spacing w:after="0" w:line="277" w:lineRule="auto"/>
        <w:tabs>
          <w:tab w:leader="none" w:pos="8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the use of our products, if approved, such as boxed warnings or contraindications in labeling or a risk evaluation and mitigation strategy (“REMS”), if any, which may not be required of alternative treatments and competitor products;</w:t>
      </w:r>
    </w:p>
    <w:p>
      <w:pPr>
        <w:spacing w:after="0" w:line="62" w:lineRule="exact"/>
        <w:rPr>
          <w:rFonts w:ascii="Arial" w:cs="Arial" w:eastAsia="Arial" w:hAnsi="Arial"/>
          <w:sz w:val="18"/>
          <w:szCs w:val="18"/>
          <w:color w:val="auto"/>
        </w:rPr>
      </w:pPr>
    </w:p>
    <w:p>
      <w:pPr>
        <w:ind w:left="900" w:hanging="40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physicians, clinics and patients;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potential and perceived advantages of product candidates over alternative treatments, including any similar generic treatments;</w:t>
      </w:r>
    </w:p>
    <w:p>
      <w:pPr>
        <w:spacing w:after="0" w:line="128" w:lineRule="exact"/>
        <w:rPr>
          <w:rFonts w:ascii="Arial" w:cs="Arial" w:eastAsia="Arial" w:hAnsi="Arial"/>
          <w:sz w:val="17"/>
          <w:szCs w:val="17"/>
          <w:color w:val="auto"/>
        </w:rPr>
      </w:pPr>
    </w:p>
    <w:p>
      <w:pPr>
        <w:ind w:left="900" w:hanging="40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unfavorable publicity relating to the product candidate.</w:t>
      </w:r>
    </w:p>
    <w:p>
      <w:pPr>
        <w:spacing w:after="0" w:line="225" w:lineRule="exact"/>
        <w:rPr>
          <w:sz w:val="20"/>
          <w:szCs w:val="20"/>
          <w:color w:val="auto"/>
        </w:rPr>
      </w:pPr>
    </w:p>
    <w:p>
      <w:pPr>
        <w:ind w:right="80" w:firstLine="567"/>
        <w:spacing w:after="0" w:line="308" w:lineRule="auto"/>
        <w:rPr>
          <w:sz w:val="20"/>
          <w:szCs w:val="20"/>
          <w:color w:val="auto"/>
        </w:rPr>
      </w:pPr>
      <w:r>
        <w:rPr>
          <w:rFonts w:ascii="Arial" w:cs="Arial" w:eastAsia="Arial" w:hAnsi="Arial"/>
          <w:sz w:val="17"/>
          <w:szCs w:val="17"/>
          <w:color w:val="auto"/>
        </w:rPr>
        <w:t>If any product candidate is approved but does not achieve an adequate level of acceptance by physicians, hospitals, health care payors and patients, we may not generate or derive sufficient revenue from that product candidate and may not become or remain profitable.</w:t>
      </w:r>
    </w:p>
    <w:p>
      <w:pPr>
        <w:spacing w:after="0" w:line="250" w:lineRule="exact"/>
        <w:rPr>
          <w:sz w:val="20"/>
          <w:szCs w:val="20"/>
          <w:color w:val="auto"/>
        </w:rPr>
      </w:pPr>
    </w:p>
    <w:p>
      <w:pPr>
        <w:ind w:right="420"/>
        <w:spacing w:after="0" w:line="347" w:lineRule="auto"/>
        <w:rPr>
          <w:sz w:val="20"/>
          <w:szCs w:val="20"/>
          <w:color w:val="auto"/>
        </w:rPr>
      </w:pPr>
      <w:r>
        <w:rPr>
          <w:rFonts w:ascii="Arial" w:cs="Arial" w:eastAsia="Arial" w:hAnsi="Arial"/>
          <w:sz w:val="16"/>
          <w:szCs w:val="16"/>
          <w:b w:val="1"/>
          <w:bCs w:val="1"/>
          <w:color w:val="auto"/>
        </w:rPr>
        <w:t>If companion diagnostics for our product candidates, for which such diagnostics are required, are not successfully, and in a timely manner, validated, developed or approved, we may not achieve marketing approval or realize the full commercial potential of our product candidates.</w:t>
      </w:r>
    </w:p>
    <w:p>
      <w:pPr>
        <w:spacing w:after="0" w:line="12" w:lineRule="exact"/>
        <w:rPr>
          <w:sz w:val="20"/>
          <w:szCs w:val="20"/>
          <w:color w:val="auto"/>
        </w:rPr>
      </w:pPr>
    </w:p>
    <w:p>
      <w:pPr>
        <w:ind w:firstLine="567"/>
        <w:spacing w:after="0" w:line="288" w:lineRule="auto"/>
        <w:rPr>
          <w:sz w:val="20"/>
          <w:szCs w:val="20"/>
          <w:color w:val="auto"/>
        </w:rPr>
      </w:pPr>
      <w:r>
        <w:rPr>
          <w:rFonts w:ascii="Arial" w:cs="Arial" w:eastAsia="Arial" w:hAnsi="Arial"/>
          <w:sz w:val="16"/>
          <w:szCs w:val="16"/>
          <w:color w:val="auto"/>
        </w:rPr>
        <w:t>If companion diagnostics are developed in conjunction with clinical programs, the FDA may require regulatory approval of a companion diagnostic as a condition to approval of the product candidate. For example, if we use a genetic test to determine which patients are most likely to benefit from imsidolimab for the treatment of GPP or PPP by designing our pivotal clinical trial or clinical trials of imsidolimab in that indication to require that subjects test positive for specific genetic mutations as a criterion for enrollment, then we will likely be required to obtain FDA approval or clearance of a companion diagnostic, concurrent with approval of imsidolimab, to test for those genetic mutations; we may also be required to demonstrate to the FDA the predictive utility of the companion diagnostic—namely, that the diagnostic selects for patients in whom the biologic therapy will be effective or more effective compared to patients not selected for by the diagnostic. We do not have experience or capabilities in developing or commercializing diagnostics and plan to rely in large part on third parties to perform these functions. We do not currently have any agreement in place with any third party to develop or commercialize companion diagnostics for any of our product candidates. Companion diagnostics are subject to regulation by the FDA and foreign regulatory authorities as medical devices and require separate regulatory approval or clearance prior to commercialization.</w:t>
      </w:r>
    </w:p>
    <w:p>
      <w:pPr>
        <w:spacing w:after="0" w:line="168" w:lineRule="exact"/>
        <w:rPr>
          <w:sz w:val="20"/>
          <w:szCs w:val="20"/>
          <w:color w:val="auto"/>
        </w:rPr>
      </w:pPr>
    </w:p>
    <w:p>
      <w:pPr>
        <w:ind w:right="80" w:firstLine="567"/>
        <w:spacing w:after="0" w:line="277" w:lineRule="auto"/>
        <w:rPr>
          <w:sz w:val="20"/>
          <w:szCs w:val="20"/>
          <w:color w:val="auto"/>
        </w:rPr>
      </w:pPr>
      <w:r>
        <w:rPr>
          <w:rFonts w:ascii="Arial" w:cs="Arial" w:eastAsia="Arial" w:hAnsi="Arial"/>
          <w:sz w:val="18"/>
          <w:szCs w:val="18"/>
          <w:color w:val="auto"/>
        </w:rPr>
        <w:t>If we or our partners, or any third party, are unable to successfully develop companion diagnostics for our product candidates, or experience delays in doing so:</w:t>
      </w:r>
    </w:p>
    <w:p>
      <w:pPr>
        <w:spacing w:after="0" w:line="62" w:lineRule="exact"/>
        <w:rPr>
          <w:sz w:val="20"/>
          <w:szCs w:val="20"/>
          <w:color w:val="auto"/>
        </w:rPr>
      </w:pPr>
    </w:p>
    <w:p>
      <w:pPr>
        <w:ind w:left="900" w:right="360" w:hanging="406"/>
        <w:spacing w:after="0" w:line="277" w:lineRule="auto"/>
        <w:tabs>
          <w:tab w:leader="none" w:pos="8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development of our product candidates may be adversely affected if we are unable to appropriately select patients for enrollment in our planned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98" w:lineRule="exact"/>
        <w:rPr>
          <w:sz w:val="20"/>
          <w:szCs w:val="20"/>
          <w:color w:val="auto"/>
        </w:rPr>
      </w:pPr>
    </w:p>
    <w:p>
      <w:pPr>
        <w:ind w:left="900" w:hanging="406"/>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product candidates may not receive marketing approval if their safe and effective use depends on a companion diagnostic; and</w:t>
      </w:r>
    </w:p>
    <w:p>
      <w:pPr>
        <w:spacing w:after="0" w:line="128" w:lineRule="exact"/>
        <w:rPr>
          <w:rFonts w:ascii="Arial" w:cs="Arial" w:eastAsia="Arial" w:hAnsi="Arial"/>
          <w:sz w:val="17"/>
          <w:szCs w:val="17"/>
          <w:color w:val="auto"/>
        </w:rPr>
      </w:pPr>
    </w:p>
    <w:p>
      <w:pPr>
        <w:ind w:left="900" w:right="320" w:hanging="406"/>
        <w:spacing w:after="0" w:line="308" w:lineRule="auto"/>
        <w:tabs>
          <w:tab w:leader="none" w:pos="895"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may not realize the full commercial potential of any product candidates that receive marketing approval if, among other reasons, we are unable to appropriately identify patients with the specific genetic alterations targeted by our product candidates.</w:t>
      </w:r>
    </w:p>
    <w:p>
      <w:pPr>
        <w:spacing w:after="0" w:line="146" w:lineRule="exact"/>
        <w:rPr>
          <w:sz w:val="20"/>
          <w:szCs w:val="20"/>
          <w:color w:val="auto"/>
        </w:rPr>
      </w:pPr>
    </w:p>
    <w:p>
      <w:pPr>
        <w:ind w:right="160" w:firstLine="567"/>
        <w:spacing w:after="0" w:line="259" w:lineRule="auto"/>
        <w:rPr>
          <w:sz w:val="20"/>
          <w:szCs w:val="20"/>
          <w:color w:val="auto"/>
        </w:rPr>
      </w:pPr>
      <w:r>
        <w:rPr>
          <w:rFonts w:ascii="Arial" w:cs="Arial" w:eastAsia="Arial" w:hAnsi="Arial"/>
          <w:sz w:val="18"/>
          <w:szCs w:val="18"/>
          <w:color w:val="auto"/>
        </w:rPr>
        <w:t>In addition, although we believe genetic testing is becoming more prevalent in the diagnosis and treatment of various diseases and conditions, our product candidates may be perceived negatively compared to alternative treatments that do not require the use of companion diagnostics, either due to the additional cost of the companion diagnostic or the need to complete additional procedures to identify genetic markers prior to administering our product candidates.</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any of these events were to occur, our business would be harmed, possibly materially.</w:t>
      </w:r>
    </w:p>
    <w:p>
      <w:pPr>
        <w:spacing w:after="0" w:line="329" w:lineRule="exact"/>
        <w:rPr>
          <w:sz w:val="20"/>
          <w:szCs w:val="20"/>
          <w:color w:val="auto"/>
        </w:rPr>
      </w:pPr>
    </w:p>
    <w:p>
      <w:pPr>
        <w:ind w:right="260"/>
        <w:spacing w:after="0" w:line="289" w:lineRule="auto"/>
        <w:rPr>
          <w:sz w:val="20"/>
          <w:szCs w:val="20"/>
          <w:color w:val="auto"/>
        </w:rPr>
      </w:pPr>
      <w:r>
        <w:rPr>
          <w:rFonts w:ascii="Arial" w:cs="Arial" w:eastAsia="Arial" w:hAnsi="Arial"/>
          <w:sz w:val="17"/>
          <w:szCs w:val="17"/>
          <w:b w:val="1"/>
          <w:bCs w:val="1"/>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spacing w:after="0" w:line="54" w:lineRule="exact"/>
        <w:rPr>
          <w:sz w:val="20"/>
          <w:szCs w:val="20"/>
          <w:color w:val="auto"/>
        </w:rPr>
      </w:pPr>
    </w:p>
    <w:p>
      <w:pPr>
        <w:ind w:right="60" w:firstLine="567"/>
        <w:spacing w:after="0" w:line="290" w:lineRule="auto"/>
        <w:rPr>
          <w:sz w:val="20"/>
          <w:szCs w:val="20"/>
          <w:color w:val="auto"/>
        </w:rPr>
      </w:pPr>
      <w:r>
        <w:rPr>
          <w:rFonts w:ascii="Arial" w:cs="Arial" w:eastAsia="Arial" w:hAnsi="Arial"/>
          <w:sz w:val="16"/>
          <w:szCs w:val="16"/>
          <w:color w:val="auto"/>
        </w:rPr>
        <w:t>The process of manufacturing biologics is complex, highly-regulated and subject to multiple risks.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at the facilities of our manufacturer, such facilities may need to be closed for an extended period of time to investigate and remedy the contamination, which could delay clinical trials and adversely harm our business. Moreover, if the FDA determines that our manufacturer is not in compliance with FDA laws and regulations, including those governing current good manufacturing practices (“cGMPs”), the FDA may deny BLA approval until the deficiencies are corrected or we replace the manufacturer in our BLA with a manufacturer that is in compliance.</w:t>
      </w:r>
    </w:p>
    <w:p>
      <w:pPr>
        <w:spacing w:after="0" w:line="165" w:lineRule="exact"/>
        <w:rPr>
          <w:sz w:val="20"/>
          <w:szCs w:val="20"/>
          <w:color w:val="auto"/>
        </w:rPr>
      </w:pPr>
    </w:p>
    <w:p>
      <w:pPr>
        <w:ind w:right="80" w:firstLine="567"/>
        <w:spacing w:after="0" w:line="270" w:lineRule="auto"/>
        <w:rPr>
          <w:sz w:val="20"/>
          <w:szCs w:val="20"/>
          <w:color w:val="auto"/>
        </w:rPr>
      </w:pPr>
      <w:r>
        <w:rPr>
          <w:rFonts w:ascii="Arial" w:cs="Arial" w:eastAsia="Arial" w:hAnsi="Arial"/>
          <w:sz w:val="17"/>
          <w:szCs w:val="17"/>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Moreover, we source certain of the raw materials needed for our product candidates from outside the U.S. Although we have not experienced any material supply interruptions to date, it is possible that the COVID-19 pandemic could cause such interruptions in the future. If our manufacturers are unable to produce sufficient quantities for clinical trials or for commercialization, commercialization efforts would be impaired, which would have an adverse effect on our business, financial condition, results of operations and growth prospects.</w:t>
      </w:r>
    </w:p>
    <w:p>
      <w:pPr>
        <w:spacing w:after="0" w:line="181"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color w:val="auto"/>
        </w:rPr>
        <w:t>Scaling up a biologic manufacturing process is a difficult and uncertain task, and we may not be successful in transferring our production system or the manufacturer may not have the necessary capabilities to complete the implementation and development process. If we are unable to adequately validate or scale-up the manufacturing process with our current manufacturers, we will need to transfer to other manufacturers and complete the manufacturing validation process, which can be lengthy and costly. If we are able to adequately validate and scale-up the manufacturing process for our product candidates with contract manufacturers, we will still need to negotiate with such contract manufacturers agreements for commercial supply, and it is not certain we will be able to come to agreement on terms acceptable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17" w:lineRule="exact"/>
        <w:rPr>
          <w:sz w:val="20"/>
          <w:szCs w:val="20"/>
          <w:color w:val="auto"/>
        </w:rPr>
      </w:pPr>
    </w:p>
    <w:p>
      <w:pPr>
        <w:ind w:right="20"/>
        <w:spacing w:after="0" w:line="312" w:lineRule="auto"/>
        <w:rPr>
          <w:sz w:val="20"/>
          <w:szCs w:val="20"/>
          <w:color w:val="auto"/>
        </w:rPr>
      </w:pPr>
      <w:r>
        <w:rPr>
          <w:rFonts w:ascii="Arial" w:cs="Arial" w:eastAsia="Arial" w:hAnsi="Arial"/>
          <w:sz w:val="17"/>
          <w:szCs w:val="17"/>
          <w:b w:val="1"/>
          <w:bCs w:val="1"/>
          <w:color w:val="auto"/>
        </w:rPr>
        <w:t>We have limited operating revenue and a history of operational losses and may not achieve or sustain profitability. We have no products approved for commercial sale, and to date we have not generated any revenue or profit from sales of our product candidates.</w:t>
      </w:r>
    </w:p>
    <w:p>
      <w:pPr>
        <w:spacing w:after="0" w:line="36" w:lineRule="exact"/>
        <w:rPr>
          <w:sz w:val="20"/>
          <w:szCs w:val="20"/>
          <w:color w:val="auto"/>
        </w:rPr>
      </w:pPr>
    </w:p>
    <w:p>
      <w:pPr>
        <w:ind w:right="60" w:firstLine="567"/>
        <w:spacing w:after="0" w:line="257" w:lineRule="auto"/>
        <w:rPr>
          <w:sz w:val="20"/>
          <w:szCs w:val="20"/>
          <w:color w:val="auto"/>
        </w:rPr>
      </w:pPr>
      <w:r>
        <w:rPr>
          <w:rFonts w:ascii="Arial" w:cs="Arial" w:eastAsia="Arial" w:hAnsi="Arial"/>
          <w:sz w:val="18"/>
          <w:szCs w:val="18"/>
          <w:color w:val="auto"/>
        </w:rPr>
        <w:t>We are an early-stage biotechnology company with a limited operating history. We have no approved products. To date, our revenue has been primarily derived from our GSK and BMS research collaboration and license agreements, and we are significantly dependent on such collaborators for the successful development of product candidates in these collaborations. Our ability to generate revenue and become profitable depends upon our ability, alone or with our collaborators, to successfully complete the development of our product candidates for our target indications and to obtain necessary regulatory approvals.</w:t>
      </w:r>
    </w:p>
    <w:p>
      <w:pPr>
        <w:spacing w:after="0" w:line="188" w:lineRule="exact"/>
        <w:rPr>
          <w:sz w:val="20"/>
          <w:szCs w:val="20"/>
          <w:color w:val="auto"/>
        </w:rPr>
      </w:pPr>
    </w:p>
    <w:p>
      <w:pPr>
        <w:ind w:right="40" w:firstLine="445"/>
        <w:spacing w:after="0" w:line="286" w:lineRule="auto"/>
        <w:rPr>
          <w:sz w:val="20"/>
          <w:szCs w:val="20"/>
          <w:color w:val="auto"/>
        </w:rPr>
      </w:pPr>
      <w:r>
        <w:rPr>
          <w:rFonts w:ascii="Arial" w:cs="Arial" w:eastAsia="Arial" w:hAnsi="Arial"/>
          <w:sz w:val="17"/>
          <w:szCs w:val="17"/>
          <w:color w:val="auto"/>
        </w:rPr>
        <w:t>Since our inception, we have incurred significant operating losses in every year except fiscal year 2014. We had $11.2 million in collaboration revenue and our net loss was $18.2 million for the three months ended March 31, 2021 and a net loss of $8.3 million for the three months ended March 31, 2020, with $15.0 million in collaboration revenue. As of March 31, 2021, we had an accumulated deficit of $282.1 million.</w:t>
      </w:r>
    </w:p>
    <w:p>
      <w:pPr>
        <w:spacing w:after="0" w:line="165" w:lineRule="exact"/>
        <w:rPr>
          <w:sz w:val="20"/>
          <w:szCs w:val="20"/>
          <w:color w:val="auto"/>
        </w:rPr>
      </w:pPr>
    </w:p>
    <w:p>
      <w:pPr>
        <w:ind w:firstLine="567"/>
        <w:spacing w:after="0" w:line="271" w:lineRule="auto"/>
        <w:rPr>
          <w:sz w:val="20"/>
          <w:szCs w:val="20"/>
          <w:color w:val="auto"/>
        </w:rPr>
      </w:pPr>
      <w:r>
        <w:rPr>
          <w:rFonts w:ascii="Arial" w:cs="Arial" w:eastAsia="Arial" w:hAnsi="Arial"/>
          <w:sz w:val="17"/>
          <w:szCs w:val="17"/>
          <w:color w:val="auto"/>
        </w:rPr>
        <w:t>We have financed our operations primarily through our initial public offering of common stock in January 2017, our follow-on public offerings of common stock in October 2017 and September 2018, private placements of our preferred stock and the issuance of debt. We have devoted substantially all of our efforts to research and development. We have only recently initiated clinical development for three of our product candidates and expect that it will be many years, if ever, before we have a product candidate ready for commercialization. We expect to continue to incur significant expenses and increasing operating losses for the foreseeable future, and the net losses we incur may fluctuate significantly from quarter to quarter. Our revenue has been historically derived from amortization of upfront payments, research and development funding, milestone and royalty payments under collaboration and license agreements with our collaborators. Our ability to generate future product revenue from our current or future product candidates depends on a number of additional factors, including our ability (or as applicable our collaborators’ ability) to:</w:t>
      </w:r>
    </w:p>
    <w:p>
      <w:pPr>
        <w:spacing w:after="0" w:line="7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continue research and preclinical development of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identify additional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 existing and enter into new collaboration agreements;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conduct additional preclinical studies and initiate clinical trials for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approvals for the product candidates we develop or developed under our collaboration arrangements;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 candidates for which we may obtain marketing approval;</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hire additional executive, clinical, quality control and scientific personnel;</w:t>
      </w:r>
    </w:p>
    <w:p>
      <w:pPr>
        <w:spacing w:after="0" w:line="117" w:lineRule="exact"/>
        <w:rPr>
          <w:rFonts w:ascii="Arial" w:cs="Arial" w:eastAsia="Arial" w:hAnsi="Arial"/>
          <w:sz w:val="18"/>
          <w:szCs w:val="18"/>
          <w:color w:val="auto"/>
        </w:rPr>
      </w:pPr>
    </w:p>
    <w:p>
      <w:pPr>
        <w:ind w:left="660" w:right="44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commercialization efforts;</w:t>
      </w:r>
    </w:p>
    <w:p>
      <w:pPr>
        <w:spacing w:after="0" w:line="62"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and ensure adequate and legally compliant manufacturing of our product candidates;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achieve market acceptance for our or our collaborators’ products, if any.</w:t>
      </w:r>
    </w:p>
    <w:p>
      <w:pPr>
        <w:spacing w:after="0" w:line="225"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color w:val="auto"/>
        </w:rPr>
        <w:t>We are unable to predict the timing or amount of increased expenses, or when, or if, we will be able to achieve or maintain profitability because of the numerous risks and uncertainties associated with product development. In addition, our expenses could increase significantly beyond expectations if we are required by the FDA or other regulatory authorities to perform studies or clinical trials in addition to those that we currently anticipate. Even if imsidolimab, or any of our other</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46" w:name="page47"/>
    <w:bookmarkEnd w:id="46"/>
    <w:p>
      <w:pPr>
        <w:spacing w:after="0" w:line="30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product candidates, is approved for commercial sale, we anticipate incurring significant costs associated with the commercial launch of any product candidate.</w:t>
      </w:r>
    </w:p>
    <w:p>
      <w:pPr>
        <w:spacing w:after="0" w:line="170" w:lineRule="exact"/>
        <w:rPr>
          <w:sz w:val="20"/>
          <w:szCs w:val="20"/>
          <w:color w:val="auto"/>
        </w:rPr>
      </w:pPr>
    </w:p>
    <w:p>
      <w:pPr>
        <w:ind w:firstLine="567"/>
        <w:spacing w:after="0" w:line="253" w:lineRule="auto"/>
        <w:rPr>
          <w:sz w:val="20"/>
          <w:szCs w:val="20"/>
          <w:color w:val="auto"/>
        </w:rPr>
      </w:pPr>
      <w:r>
        <w:rPr>
          <w:rFonts w:ascii="Arial" w:cs="Arial" w:eastAsia="Arial" w:hAnsi="Arial"/>
          <w:sz w:val="18"/>
          <w:szCs w:val="18"/>
          <w:color w:val="auto"/>
        </w:rPr>
        <w:t>We are currently only in the clinical development stages for our most advanced product candidates. In order to become and remain profitable we must, alone or with our collaborators, develop and eventually commercialize a product or products with significant market potential. This may require us to be successful in a range of challenging activities, including completing clinical trials of our product candidates, successfully developing companion diagnostics, obtaining marketing approval for these product candidates and manufacturing, marketing and selling those products for which we may obtain marketing approval. We may never succeed in these activities and, even if we do,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or expand our research and development efforts, expand our business or continue our operations. A decline in the value of our company would also cause you to lose part or even all of your investment.</w:t>
      </w:r>
    </w:p>
    <w:p>
      <w:pPr>
        <w:spacing w:after="0" w:line="300" w:lineRule="exact"/>
        <w:rPr>
          <w:sz w:val="20"/>
          <w:szCs w:val="20"/>
          <w:color w:val="auto"/>
        </w:rPr>
      </w:pPr>
    </w:p>
    <w:p>
      <w:pPr>
        <w:ind w:right="240"/>
        <w:spacing w:after="0" w:line="312" w:lineRule="auto"/>
        <w:rPr>
          <w:sz w:val="20"/>
          <w:szCs w:val="20"/>
          <w:color w:val="auto"/>
        </w:rPr>
      </w:pPr>
      <w:r>
        <w:rPr>
          <w:rFonts w:ascii="Arial" w:cs="Arial" w:eastAsia="Arial" w:hAnsi="Arial"/>
          <w:sz w:val="17"/>
          <w:szCs w:val="17"/>
          <w:b w:val="1"/>
          <w:b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36" w:lineRule="exact"/>
        <w:rPr>
          <w:sz w:val="20"/>
          <w:szCs w:val="20"/>
          <w:color w:val="auto"/>
        </w:rPr>
      </w:pPr>
    </w:p>
    <w:p>
      <w:pPr>
        <w:ind w:right="100" w:firstLine="567"/>
        <w:spacing w:after="0" w:line="288" w:lineRule="auto"/>
        <w:rPr>
          <w:sz w:val="20"/>
          <w:szCs w:val="20"/>
          <w:color w:val="auto"/>
        </w:rPr>
      </w:pPr>
      <w:r>
        <w:rPr>
          <w:rFonts w:ascii="Arial" w:cs="Arial" w:eastAsia="Arial" w:hAnsi="Arial"/>
          <w:sz w:val="16"/>
          <w:szCs w:val="16"/>
          <w:color w:val="auto"/>
        </w:rPr>
        <w:t>As a research and development company, our operations have consumed substantial amounts of cash since our inception. We expect our research and development expenses to increase substantially in connection with our ongoing activities, particularly as we continue our discovery and preclinical development to identify new clinical candidates, and we and our collaborators conduct clinical trials of, and seek marketing approval for, our product candidates. In addition, if we obtain marketing approval for any of our product candidates, we expect to incur significant commercialization expenses related to product sales, marketing, manufacturing and distribution. Furthermore, we incur additional costs associated with operating as a public company. We believe that our existing cash, cash equivalents and investments will fund our current operating plan at least into 2024. However, circumstances may cause us to consume capital more rapidly than we currently anticipate. For example, as we continue to move our product candidates through preclinical studies, submit INDs or foreign equivalents and conduct clinical development, we may have adverse results requiring us to find new product candidates. Any of these events may increase our development costs more than we expect. We may need to raise additional funds or otherwise obtain funding through collaboration agreements to continue development of our product candidates.</w:t>
      </w:r>
    </w:p>
    <w:p>
      <w:pPr>
        <w:spacing w:after="0" w:line="168" w:lineRule="exact"/>
        <w:rPr>
          <w:sz w:val="20"/>
          <w:szCs w:val="20"/>
          <w:color w:val="auto"/>
        </w:rPr>
      </w:pPr>
    </w:p>
    <w:p>
      <w:pPr>
        <w:jc w:val="both"/>
        <w:ind w:firstLine="567"/>
        <w:spacing w:after="0" w:line="311" w:lineRule="auto"/>
        <w:rPr>
          <w:sz w:val="20"/>
          <w:szCs w:val="20"/>
          <w:color w:val="auto"/>
        </w:rPr>
      </w:pPr>
      <w:r>
        <w:rPr>
          <w:rFonts w:ascii="Arial" w:cs="Arial" w:eastAsia="Arial" w:hAnsi="Arial"/>
          <w:sz w:val="16"/>
          <w:szCs w:val="16"/>
          <w:color w:val="auto"/>
        </w:rPr>
        <w:t>If we need to secure additional financing, such additional fundraising efforts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do not raise additional capital when required or on acceptable terms, we may need to:</w:t>
      </w:r>
    </w:p>
    <w:p>
      <w:pPr>
        <w:spacing w:after="0" w:line="4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significantly delay, scale back or discontinue the development or commercialization of our product candidates or cease operations altogether;</w:t>
      </w:r>
    </w:p>
    <w:p>
      <w:pPr>
        <w:spacing w:after="0" w:line="140" w:lineRule="exact"/>
        <w:rPr>
          <w:rFonts w:ascii="Arial" w:cs="Arial" w:eastAsia="Arial" w:hAnsi="Arial"/>
          <w:sz w:val="16"/>
          <w:szCs w:val="16"/>
          <w:color w:val="auto"/>
        </w:rPr>
      </w:pPr>
    </w:p>
    <w:p>
      <w:pPr>
        <w:ind w:left="660" w:right="12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seek strategic alliances for research and development programs at an earlier stage than we would otherwise desire or on terms less favorable than might otherwise be available;</w:t>
      </w:r>
    </w:p>
    <w:p>
      <w:pPr>
        <w:spacing w:after="0" w:line="62"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future product candidates that we otherwise would seek to develop or commercialize ourselves; or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eliminate staff to conserve resources.</w:t>
      </w:r>
    </w:p>
    <w:p>
      <w:pPr>
        <w:spacing w:after="0" w:line="225" w:lineRule="exact"/>
        <w:rPr>
          <w:sz w:val="20"/>
          <w:szCs w:val="20"/>
          <w:color w:val="auto"/>
        </w:rPr>
      </w:pPr>
    </w:p>
    <w:p>
      <w:pPr>
        <w:ind w:right="100" w:firstLine="567"/>
        <w:spacing w:after="0" w:line="293" w:lineRule="auto"/>
        <w:rPr>
          <w:sz w:val="20"/>
          <w:szCs w:val="20"/>
          <w:color w:val="auto"/>
        </w:rPr>
      </w:pPr>
      <w:r>
        <w:rPr>
          <w:rFonts w:ascii="Arial" w:cs="Arial" w:eastAsia="Arial" w:hAnsi="Arial"/>
          <w:sz w:val="16"/>
          <w:szCs w:val="16"/>
          <w:color w:val="auto"/>
        </w:rPr>
        <w:t>If we need to conduct additional fundraising activities and we do not raise additional capital in sufficient amounts or on terms acceptable to us, we may be prevented from pursuing development and commercialization efforts, which will have a material adverse effect on our business, operating results and prospects. 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use our available capital resources sooner than we currently expect. Our future funding requirements, both short and long-term, will depend on many factors,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198" w:lineRule="exact"/>
        <w:rPr>
          <w:sz w:val="20"/>
          <w:szCs w:val="20"/>
          <w:color w:val="auto"/>
        </w:rPr>
      </w:pPr>
    </w:p>
    <w:p>
      <w:pPr>
        <w:ind w:left="660" w:right="18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 and future product candidates we may develop;</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number and size of clinical trials needed to show safety, efficacy and an acceptable risk/benefit profile for any of our product candidates;</w:t>
      </w:r>
    </w:p>
    <w:p>
      <w:pPr>
        <w:spacing w:after="0" w:line="128" w:lineRule="exact"/>
        <w:rPr>
          <w:rFonts w:ascii="Arial" w:cs="Arial" w:eastAsia="Arial" w:hAnsi="Arial"/>
          <w:sz w:val="17"/>
          <w:szCs w:val="17"/>
          <w:color w:val="auto"/>
        </w:rPr>
      </w:pPr>
    </w:p>
    <w:p>
      <w:pPr>
        <w:ind w:left="660" w:right="580" w:hanging="328"/>
        <w:spacing w:after="0" w:line="308" w:lineRule="auto"/>
        <w:tabs>
          <w:tab w:leader="none" w:pos="6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foreign regulatory authorities, including the potential for such authorities to require that we perform more studies or trials than those that we currently expect;</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commercial success or failure of products sold by our collaborators, such as JEMPERLI and Zejula by GSK, and the timing thereof;</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maintain existing and enter into new collaboration agreements;</w:t>
      </w:r>
    </w:p>
    <w:p>
      <w:pPr>
        <w:spacing w:after="0" w:line="117" w:lineRule="exact"/>
        <w:rPr>
          <w:rFonts w:ascii="Arial" w:cs="Arial" w:eastAsia="Arial" w:hAnsi="Arial"/>
          <w:sz w:val="18"/>
          <w:szCs w:val="18"/>
          <w:color w:val="auto"/>
        </w:rPr>
      </w:pPr>
    </w:p>
    <w:p>
      <w:pPr>
        <w:jc w:val="both"/>
        <w:ind w:left="660" w:right="640" w:hanging="328"/>
        <w:spacing w:after="0" w:line="263"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of any patents or other intellectual property rights;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recruiting and retaining key employees;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and fees associated with any delays or cancellations of forecasted manufacturing batches;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and timing of selecting, auditing and potentially validating manufacturing sites for commercial-scale manufacturing; and</w:t>
      </w:r>
    </w:p>
    <w:p>
      <w:pPr>
        <w:spacing w:after="0" w:line="117"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our collaborators.</w:t>
      </w:r>
    </w:p>
    <w:p>
      <w:pPr>
        <w:spacing w:after="0" w:line="170" w:lineRule="exact"/>
        <w:rPr>
          <w:sz w:val="20"/>
          <w:szCs w:val="20"/>
          <w:color w:val="auto"/>
        </w:rPr>
      </w:pPr>
    </w:p>
    <w:p>
      <w:pPr>
        <w:ind w:right="160" w:firstLine="567"/>
        <w:spacing w:after="0" w:line="277" w:lineRule="auto"/>
        <w:rPr>
          <w:sz w:val="20"/>
          <w:szCs w:val="20"/>
          <w:color w:val="auto"/>
        </w:rPr>
      </w:pPr>
      <w:r>
        <w:rPr>
          <w:rFonts w:ascii="Arial" w:cs="Arial" w:eastAsia="Arial" w:hAnsi="Arial"/>
          <w:sz w:val="18"/>
          <w:szCs w:val="18"/>
          <w:color w:val="auto"/>
        </w:rPr>
        <w:t>If we cannot expand our operations or otherwise capitalize on our business opportunities due to a lack of capital, our business, financial condition and results of operations could be adversely affected.</w:t>
      </w:r>
    </w:p>
    <w:p>
      <w:pPr>
        <w:spacing w:after="0" w:line="274"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Raising additional capital may cause dilution to our existing stockholders, restrict our operations or require us to relinquish rights to our product candidates on unfavorable terms to us.</w:t>
      </w:r>
    </w:p>
    <w:p>
      <w:pPr>
        <w:spacing w:after="0" w:line="58"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We may seek additional capital through a variety of means, including through public or private equity, debt financings or other sources, including up-front payments and milestone payments from strategic collaborations. To the extent that we raise additional capital through the sale of equity or convertible debt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296" w:lineRule="exact"/>
        <w:rPr>
          <w:sz w:val="20"/>
          <w:szCs w:val="20"/>
          <w:color w:val="auto"/>
        </w:rPr>
      </w:pPr>
    </w:p>
    <w:p>
      <w:pPr>
        <w:ind w:right="5060"/>
        <w:spacing w:after="0" w:line="488" w:lineRule="auto"/>
        <w:rPr>
          <w:sz w:val="20"/>
          <w:szCs w:val="20"/>
          <w:color w:val="auto"/>
        </w:rPr>
      </w:pPr>
      <w:r>
        <w:rPr>
          <w:rFonts w:ascii="Arial" w:cs="Arial" w:eastAsia="Arial" w:hAnsi="Arial"/>
          <w:sz w:val="16"/>
          <w:szCs w:val="16"/>
          <w:b w:val="1"/>
          <w:bCs w:val="1"/>
          <w:color w:val="auto"/>
        </w:rPr>
        <w:t>Risks Related to Managing Growth, Operations and Macroeconomic Conditions We must attract and retain highly skilled employees in order to succeed.</w:t>
      </w:r>
    </w:p>
    <w:p>
      <w:pPr>
        <w:spacing w:after="0" w:line="12" w:lineRule="exact"/>
        <w:rPr>
          <w:sz w:val="20"/>
          <w:szCs w:val="20"/>
          <w:color w:val="auto"/>
        </w:rPr>
      </w:pPr>
    </w:p>
    <w:p>
      <w:pPr>
        <w:ind w:firstLine="567"/>
        <w:spacing w:after="0" w:line="248"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This is especially critical as we ramp up our hiring needs entering into later-stage product development of our product candidates. If we do not succeed in attracting and retaining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8" w:name="page49"/>
    <w:bookmarkEnd w:id="48"/>
    <w:p>
      <w:pPr>
        <w:spacing w:after="0" w:line="30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qualified personnel, particularly at the management level, it could adversely affect our ability to execute our business plan, harm our operating results and adversely affect our ability to successfully commercialize our product candidates. In particular, we believe that our future success is highly dependent upon the contributions of our senior management, particularly our President and Chief Executive Officer, as well as our senior scientists. The loss of services of any of these individuals, who all have at-will employment arrangements with us, could delay or prevent the successful development of our product pipeline, completion of our planned clinical trials or the commercialization of our product candidates, if approved. The competition for qualified personnel in the biotechnology field is intense and, as a result, we may be unable to continue to attract and retain qualified personnel necessary for the development of our business or to recruit suitable replacement personnel. In addition, certain members of our senior management team have worked together for only a relatively short period of time, and it may be difficult to evaluate their effectiveness, on an individual or collective basis, and ability to address future challenges to our business.</w:t>
      </w:r>
    </w:p>
    <w:p>
      <w:pPr>
        <w:spacing w:after="0" w:line="191" w:lineRule="exact"/>
        <w:rPr>
          <w:sz w:val="20"/>
          <w:szCs w:val="20"/>
          <w:color w:val="auto"/>
        </w:rPr>
      </w:pPr>
    </w:p>
    <w:p>
      <w:pPr>
        <w:ind w:right="100" w:firstLine="567"/>
        <w:spacing w:after="0" w:line="301" w:lineRule="auto"/>
        <w:rPr>
          <w:sz w:val="20"/>
          <w:szCs w:val="20"/>
          <w:color w:val="auto"/>
        </w:rPr>
      </w:pPr>
      <w:r>
        <w:rPr>
          <w:rFonts w:ascii="Arial" w:cs="Arial" w:eastAsia="Arial" w:hAnsi="Arial"/>
          <w:sz w:val="16"/>
          <w:szCs w:val="16"/>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15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The manufacture of biotechnology products is complex, and manufacturers often encounter difficulties in production. If we or any of our third-party manufacturers encounter any loss of our master cell banks or if any of our third-party manufacturers encounter other difficulties, or otherwise fail to comply with their contractual obligations, our ability to provide product candidates for clinical trials or our products to patients, once approved, could be delayed or stopped.</w:t>
      </w:r>
    </w:p>
    <w:p>
      <w:pPr>
        <w:spacing w:after="0" w:line="184" w:lineRule="exact"/>
        <w:rPr>
          <w:sz w:val="20"/>
          <w:szCs w:val="20"/>
          <w:color w:val="auto"/>
        </w:rPr>
      </w:pPr>
    </w:p>
    <w:p>
      <w:pPr>
        <w:ind w:right="40" w:firstLine="567"/>
        <w:spacing w:after="0" w:line="254" w:lineRule="auto"/>
        <w:rPr>
          <w:sz w:val="20"/>
          <w:szCs w:val="20"/>
          <w:color w:val="auto"/>
        </w:rPr>
      </w:pPr>
      <w:r>
        <w:rPr>
          <w:rFonts w:ascii="Arial" w:cs="Arial" w:eastAsia="Arial" w:hAnsi="Arial"/>
          <w:sz w:val="18"/>
          <w:szCs w:val="18"/>
          <w:color w:val="auto"/>
        </w:rPr>
        <w:t>The manufacture of biotechnology products is complex and requires significant expertise and capital investment, including the development of advanced manufacturing techniques and process controls. We and our contract manufacturers must comply with cGMP regulations and guidelines for the manufacturing of biologics used in clinical trials and, if approved, marketed products. Manufacturers of biotechnology products often encounter difficulties in production, particularly in scaling up and validating initial production. Furthermore,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the period of time required to develop our products.</w:t>
      </w:r>
    </w:p>
    <w:p>
      <w:pPr>
        <w:spacing w:after="0" w:line="195" w:lineRule="exact"/>
        <w:rPr>
          <w:sz w:val="20"/>
          <w:szCs w:val="20"/>
          <w:color w:val="auto"/>
        </w:rPr>
      </w:pPr>
    </w:p>
    <w:p>
      <w:pPr>
        <w:jc w:val="both"/>
        <w:ind w:right="280" w:firstLine="567"/>
        <w:spacing w:after="0" w:line="259" w:lineRule="auto"/>
        <w:rPr>
          <w:sz w:val="20"/>
          <w:szCs w:val="20"/>
          <w:color w:val="auto"/>
        </w:rPr>
      </w:pPr>
      <w:r>
        <w:rPr>
          <w:rFonts w:ascii="Arial" w:cs="Arial" w:eastAsia="Arial" w:hAnsi="Arial"/>
          <w:sz w:val="18"/>
          <w:szCs w:val="18"/>
          <w:color w:val="auto"/>
        </w:rPr>
        <w:t>All of our therapeutic antibodies are manufactured by starting with cells which are stored in a cell bank. We have one master cell bank for each antibody manufactured in accordance with cGMP and multiple working cell banks and believe we would have adequate backup should any cell bank be lost in a catastrophic event. However, it is possible that we could lose multiple cell banks and have our manufacturing severely impacted by the need to replace the cell banks.</w:t>
      </w:r>
    </w:p>
    <w:p>
      <w:pPr>
        <w:spacing w:after="0" w:line="187" w:lineRule="exact"/>
        <w:rPr>
          <w:sz w:val="20"/>
          <w:szCs w:val="20"/>
          <w:color w:val="auto"/>
        </w:rPr>
      </w:pPr>
    </w:p>
    <w:p>
      <w:pPr>
        <w:ind w:right="40" w:firstLine="567"/>
        <w:spacing w:after="0" w:line="269" w:lineRule="auto"/>
        <w:rPr>
          <w:sz w:val="20"/>
          <w:szCs w:val="20"/>
          <w:color w:val="auto"/>
        </w:rPr>
      </w:pPr>
      <w:r>
        <w:rPr>
          <w:rFonts w:ascii="Arial" w:cs="Arial" w:eastAsia="Arial" w:hAnsi="Arial"/>
          <w:sz w:val="17"/>
          <w:szCs w:val="17"/>
          <w:color w:val="auto"/>
        </w:rPr>
        <w:t>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product candidates to patients in planned clinical trials and products to patients, once approved, would be jeopardized.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our product candidates or products and could have an adverse effect on our business, prospects,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302"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72" w:lineRule="exact"/>
        <w:rPr>
          <w:sz w:val="20"/>
          <w:szCs w:val="20"/>
          <w:color w:val="auto"/>
        </w:rPr>
      </w:pPr>
    </w:p>
    <w:p>
      <w:pPr>
        <w:ind w:right="40" w:firstLine="567"/>
        <w:spacing w:after="0" w:line="268" w:lineRule="auto"/>
        <w:rPr>
          <w:sz w:val="20"/>
          <w:szCs w:val="20"/>
          <w:color w:val="auto"/>
        </w:rPr>
      </w:pPr>
      <w:r>
        <w:rPr>
          <w:rFonts w:ascii="Arial" w:cs="Arial" w:eastAsia="Arial" w:hAnsi="Arial"/>
          <w:sz w:val="17"/>
          <w:szCs w:val="17"/>
          <w:color w:val="auto"/>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may decide to establish an internal sales or marketing team with technical expertise and supporting distribution capabilities to commercialize our product candidates, which will be expensive and time-consuming and will require significant attention of our executive officers to manage. Any failure or delay in the development of our internal sales, marketing and distribution capabilities would adversely impact the commercialization of any of our product candidates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spacing w:after="0" w:line="290"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We expect to expand our development and regulatory capabilities, and as a result, we may encounter difficulties in managing our growth, which could disrupt our operations.</w:t>
      </w:r>
    </w:p>
    <w:p>
      <w:pPr>
        <w:spacing w:after="0" w:line="58" w:lineRule="exact"/>
        <w:rPr>
          <w:sz w:val="20"/>
          <w:szCs w:val="20"/>
          <w:color w:val="auto"/>
        </w:rPr>
      </w:pPr>
    </w:p>
    <w:p>
      <w:pPr>
        <w:ind w:right="140" w:firstLine="567"/>
        <w:spacing w:after="0" w:line="254" w:lineRule="auto"/>
        <w:rPr>
          <w:sz w:val="20"/>
          <w:szCs w:val="20"/>
          <w:color w:val="auto"/>
        </w:rPr>
      </w:pPr>
      <w:r>
        <w:rPr>
          <w:rFonts w:ascii="Arial" w:cs="Arial" w:eastAsia="Arial" w:hAnsi="Arial"/>
          <w:sz w:val="18"/>
          <w:szCs w:val="18"/>
          <w:color w:val="auto"/>
        </w:rPr>
        <w:t>We expect to experience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vulnerable to disruption, damage and financial obligation as a result of system failures.</w:t>
      </w:r>
    </w:p>
    <w:p>
      <w:pPr>
        <w:spacing w:after="0" w:line="121" w:lineRule="exact"/>
        <w:rPr>
          <w:sz w:val="20"/>
          <w:szCs w:val="20"/>
          <w:color w:val="auto"/>
        </w:rPr>
      </w:pPr>
    </w:p>
    <w:p>
      <w:pPr>
        <w:ind w:right="100" w:firstLine="567"/>
        <w:spacing w:after="0" w:line="270" w:lineRule="auto"/>
        <w:rPr>
          <w:sz w:val="20"/>
          <w:szCs w:val="20"/>
          <w:color w:val="auto"/>
        </w:rPr>
      </w:pPr>
      <w:r>
        <w:rPr>
          <w:rFonts w:ascii="Arial" w:cs="Arial" w:eastAsia="Arial" w:hAnsi="Arial"/>
          <w:sz w:val="17"/>
          <w:szCs w:val="17"/>
          <w:color w:val="auto"/>
        </w:rPr>
        <w:t>Despite the implementation of security measures, any of the internal computer systems belonging to us, our collaborators or our third-party service providers are vulnerable to damage from computer viruses, unauthorized access, natural disasters, terrorism, war and telecommunication and electrical failure. Any system failure, accident or security breach that causes interruptions in our own, in collaborators’ or in third-party service vendors’ operations could result in a material disruption of our drug discovery and development programs. For example, the loss of clinical trial data from completed or future clinical trials could result in delays in our or our collaborators’ regulatory approval efforts and significantly increase our costs in order to recover or reproduce the lost data. To the extent that any disruption or security breach results in a loss or damage to our data or applications, or inappropriate disclosure of confidential or proprietary information, we may incur liability as a result, our drug discovery programs and competitive position may be adversely affected, and the further development of our product candidates may be delayed. Furthermore, we may incur additional costs to remedy the damages caused by these disruptions or security breaches.</w:t>
      </w:r>
    </w:p>
    <w:p>
      <w:pPr>
        <w:spacing w:after="0" w:line="285" w:lineRule="exact"/>
        <w:rPr>
          <w:sz w:val="20"/>
          <w:szCs w:val="20"/>
          <w:color w:val="auto"/>
        </w:rPr>
      </w:pPr>
    </w:p>
    <w:p>
      <w:pPr>
        <w:ind w:right="280"/>
        <w:spacing w:after="0" w:line="347" w:lineRule="auto"/>
        <w:rPr>
          <w:sz w:val="20"/>
          <w:szCs w:val="20"/>
          <w:color w:val="auto"/>
        </w:rPr>
      </w:pPr>
      <w:r>
        <w:rPr>
          <w:rFonts w:ascii="Arial" w:cs="Arial" w:eastAsia="Arial" w:hAnsi="Arial"/>
          <w:sz w:val="16"/>
          <w:szCs w:val="16"/>
          <w:b w:val="1"/>
          <w:bCs w:val="1"/>
          <w:color w:val="auto"/>
        </w:rPr>
        <w:t>Our operations, or the third parties upon whom we depend, are vulnerable to interruption by fire, earthquake, power loss, telecommunications failure, terrorist activity, health epidemics or pandemics and other events beyond our control, which could harm our business.</w:t>
      </w:r>
    </w:p>
    <w:p>
      <w:pPr>
        <w:spacing w:after="0" w:line="12" w:lineRule="exact"/>
        <w:rPr>
          <w:sz w:val="20"/>
          <w:szCs w:val="20"/>
          <w:color w:val="auto"/>
        </w:rPr>
      </w:pPr>
    </w:p>
    <w:p>
      <w:pPr>
        <w:ind w:firstLine="445"/>
        <w:spacing w:after="0" w:line="248" w:lineRule="auto"/>
        <w:rPr>
          <w:sz w:val="20"/>
          <w:szCs w:val="20"/>
          <w:color w:val="auto"/>
        </w:rPr>
      </w:pPr>
      <w:r>
        <w:rPr>
          <w:rFonts w:ascii="Arial" w:cs="Arial" w:eastAsia="Arial" w:hAnsi="Arial"/>
          <w:sz w:val="18"/>
          <w:szCs w:val="18"/>
          <w:color w:val="auto"/>
        </w:rPr>
        <w:t>Our facilities are located in San Diego, California, which is a seismically active region, and has also historically been subject to wildfires and electrical blackouts as a result of a shortage of available electrical power. We have not undertaken a systematic analysis of the potential consequences to our business and financial results from a major earthquake, fire,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loss, terrorist activity, health epidemics or pandemics such as the COVID-19 pandemic or other disasters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If our facility was impacted by a seismic or wildfire event, we could lose some of our antibody sequences, which would have an adverse effect on our ability to perform our obligations under our collaborations and discover new targets.</w:t>
      </w:r>
    </w:p>
    <w:p>
      <w:pPr>
        <w:spacing w:after="0" w:line="174" w:lineRule="exact"/>
        <w:rPr>
          <w:sz w:val="20"/>
          <w:szCs w:val="20"/>
          <w:color w:val="auto"/>
        </w:rPr>
      </w:pPr>
    </w:p>
    <w:p>
      <w:pPr>
        <w:ind w:right="280" w:firstLine="486"/>
        <w:spacing w:after="0" w:line="263" w:lineRule="auto"/>
        <w:rPr>
          <w:sz w:val="20"/>
          <w:szCs w:val="20"/>
          <w:color w:val="auto"/>
        </w:rPr>
      </w:pPr>
      <w:r>
        <w:rPr>
          <w:rFonts w:ascii="Arial" w:cs="Arial" w:eastAsia="Arial" w:hAnsi="Arial"/>
          <w:sz w:val="18"/>
          <w:szCs w:val="18"/>
          <w:color w:val="auto"/>
        </w:rPr>
        <w:t>Furthermore, integral parties in our supply chain are geographically concentrated and operating from single sites, increasing their vulnerability to natural disasters or other sudden, unforeseen and severe and/or serious adverse events. If such an event were to affect our supply chain, it could have a material adverse effect on our business.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17"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Our existing collaborations, including those with GSK and BMS, are important to our business, and future collaborations may also be important to us. If we are unable to maintain any of these collaborations, or if these collaborations are not successful, our business could be adversely affected.</w:t>
      </w:r>
    </w:p>
    <w:p>
      <w:pPr>
        <w:spacing w:after="0" w:line="72" w:lineRule="exact"/>
        <w:rPr>
          <w:sz w:val="20"/>
          <w:szCs w:val="20"/>
          <w:color w:val="auto"/>
        </w:rPr>
      </w:pPr>
    </w:p>
    <w:p>
      <w:pPr>
        <w:ind w:right="180" w:firstLine="567"/>
        <w:spacing w:after="0" w:line="255" w:lineRule="auto"/>
        <w:rPr>
          <w:sz w:val="20"/>
          <w:szCs w:val="20"/>
          <w:color w:val="auto"/>
        </w:rPr>
      </w:pPr>
      <w:r>
        <w:rPr>
          <w:rFonts w:ascii="Arial" w:cs="Arial" w:eastAsia="Arial" w:hAnsi="Arial"/>
          <w:sz w:val="18"/>
          <w:szCs w:val="18"/>
          <w:color w:val="auto"/>
        </w:rPr>
        <w:t>We have entered into collaborations with GSK and BMS to develop several of our product candidates. We have also entered into antibody generation and/or development collaborations with various collaborators, including GSK and BMS, under which we have generated therapeutic quality antibodies using our technology platform and conducted certain preclinical studies in collaboration. We are currently aware that GSK and BMS have advanced multiple antibodies generated through our collaboration into clinical trials. If our collaborators terminate any of our collaborations, we may not receive all or any of this funding, which would adversely affect our business or financial condition. Our operational obligations under each of our collaborations has ended.</w:t>
      </w:r>
    </w:p>
    <w:p>
      <w:pPr>
        <w:spacing w:after="0" w:line="192" w:lineRule="exact"/>
        <w:rPr>
          <w:sz w:val="20"/>
          <w:szCs w:val="20"/>
          <w:color w:val="auto"/>
        </w:rPr>
      </w:pPr>
    </w:p>
    <w:p>
      <w:pPr>
        <w:ind w:firstLine="567"/>
        <w:spacing w:after="0" w:line="265" w:lineRule="auto"/>
        <w:rPr>
          <w:sz w:val="20"/>
          <w:szCs w:val="20"/>
          <w:color w:val="auto"/>
        </w:rPr>
      </w:pPr>
      <w:r>
        <w:rPr>
          <w:rFonts w:ascii="Arial" w:cs="Arial" w:eastAsia="Arial" w:hAnsi="Arial"/>
          <w:sz w:val="16"/>
          <w:szCs w:val="16"/>
          <w:color w:val="auto"/>
        </w:rPr>
        <w:t>We are unable to predict the success of our collaborations. Our collaborators have discretion in determining and directing the efforts and resources, including the ability to discontinue all efforts and resources, they apply to the development and, if approval is obtained, commercialization and marketing of the product candidates covered by such collaborations. As a result, our collaborators may elect to de-prioritize our programs, change their strategic focus or pursue alternative technologies in a manner that results in reduced, delayed or no revenue to us. Our collaborators may have other marketed products and product candidates under collaboration with other companies, including some of our competitors, and their corporate objectives may not be consistent with our best interests. Our collaborators may also be unsuccessful in developing or commercializing our products. If our collaborations are unsuccessful, our business, financial condition, results of operations and prospects could be adversely affected. In addition, any dispute or litigation proceedings we may have with our collaborators in the future could delay development programs, create uncertainty as to ownership of intellectual property rights, distract management from other business activities and generate substantial expense. For example, in August 2020, we served notice on GSK related to an alleged breach of our collaboration agreement in connection with GSK’s use of certain antibodies originally developed by us for the development of a drug not</w:t>
      </w:r>
    </w:p>
    <w:p>
      <w:pPr>
        <w:spacing w:after="0" w:line="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covered by the agreement. We subsequently settled this matter in October 2020, but </w:t>
      </w:r>
      <w:r>
        <w:rPr>
          <w:rFonts w:ascii="Arial" w:cs="Arial" w:eastAsia="Arial" w:hAnsi="Arial"/>
          <w:sz w:val="21"/>
          <w:szCs w:val="21"/>
          <w:color w:val="auto"/>
        </w:rPr>
        <w:t>t</w:t>
      </w:r>
      <w:r>
        <w:rPr>
          <w:rFonts w:ascii="Arial" w:cs="Arial" w:eastAsia="Arial" w:hAnsi="Arial"/>
          <w:sz w:val="18"/>
          <w:szCs w:val="18"/>
          <w:color w:val="auto"/>
        </w:rPr>
        <w:t>here can be no assurance that we will not encounter such issues under our collaborations with GSK or other parties in the future.</w:t>
      </w:r>
    </w:p>
    <w:p>
      <w:pPr>
        <w:spacing w:after="0" w:line="276"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We may not succeed in establishing and maintaining additional development and commercialization collaborations, which could adversely affect our ability to develop and commercialize product candidates.</w:t>
      </w:r>
    </w:p>
    <w:p>
      <w:pPr>
        <w:spacing w:after="0" w:line="58" w:lineRule="exact"/>
        <w:rPr>
          <w:sz w:val="20"/>
          <w:szCs w:val="20"/>
          <w:color w:val="auto"/>
        </w:rPr>
      </w:pPr>
    </w:p>
    <w:p>
      <w:pPr>
        <w:ind w:right="40" w:firstLine="567"/>
        <w:spacing w:after="0" w:line="289" w:lineRule="auto"/>
        <w:rPr>
          <w:sz w:val="20"/>
          <w:szCs w:val="20"/>
          <w:color w:val="auto"/>
        </w:rPr>
      </w:pPr>
      <w:r>
        <w:rPr>
          <w:rFonts w:ascii="Arial" w:cs="Arial" w:eastAsia="Arial" w:hAnsi="Arial"/>
          <w:sz w:val="16"/>
          <w:szCs w:val="16"/>
          <w:color w:val="auto"/>
        </w:rPr>
        <w:t>In addition to our current licensing arrangements with GSK and BMS, a part of our strategy is to enter into additional strategic product development and commercialization collaborations in the future, including collaborations to broaden and accelerate clinical development and potential commercialization of our product candidates. We may face significant competition in seeking appropriate development partners, and the negotiation process is time-consuming and complex. Moreover, we may not succeed in our efforts to establish collaborations or other alternative arrangements for any of our other existing or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potential to demonstrate safety and efficacy or to be commercially viable. Even if we are successful in our efforts to establish new collaborations, the terms that we agree upon may not be favorable to us, and we may not be able to maintain such collaborations if, for example, development or approval of a product candidate is delayed or sales of an approved product candidate are disappointing. Any delay in entering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1" w:name="page52"/>
    <w:bookmarkEnd w:id="51"/>
    <w:p>
      <w:pPr>
        <w:spacing w:after="0" w:line="19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into new collaboration agreements related to our product candidates could delay the development and commercialization of our product candidates and reduce their competitiveness if they reach the market.</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Moreover, if we fail to establish and maintain additional collaborations related to our product candidates:</w:t>
      </w:r>
    </w:p>
    <w:p>
      <w:pPr>
        <w:spacing w:after="0" w:line="11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development of certain of our current or future product candidates may be terminated or delayed;</w:t>
      </w:r>
    </w:p>
    <w:p>
      <w:pPr>
        <w:spacing w:after="0" w:line="117"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cash expenditures related to development of certain of our current or future product candidates would increase significantly and we may need to seek additional financing;</w:t>
      </w:r>
    </w:p>
    <w:p>
      <w:pPr>
        <w:spacing w:after="0" w:line="62"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sales and marketing expertise, for which we have not budgeted;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and commercialization of any such product candidates.</w:t>
      </w:r>
    </w:p>
    <w:p>
      <w:pPr>
        <w:spacing w:after="0" w:line="329"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If third parties on which we depend to conduct our planned preclinical studies and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spacing w:after="0" w:line="7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rely on third party clinical investigators, CROs, CMOs and consultants to design, conduct, supervise and monitor key activities relating to, discovery, manufacturing, non-clinical studies and clinical trials of our product candidates, and we intend to do the same for future activities relating to existing and future programs. Because we rely on third parties and do not have the ability to conduct all required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discovery, manufacturing, preclinical studies or clinical trials being delayed or unsuccessful, in whole or in part.</w:t>
      </w:r>
    </w:p>
    <w:p>
      <w:pPr>
        <w:spacing w:after="0" w:line="181" w:lineRule="exact"/>
        <w:rPr>
          <w:sz w:val="20"/>
          <w:szCs w:val="20"/>
          <w:color w:val="auto"/>
        </w:rPr>
      </w:pPr>
    </w:p>
    <w:p>
      <w:pPr>
        <w:ind w:right="60" w:firstLine="567"/>
        <w:spacing w:after="0" w:line="255" w:lineRule="auto"/>
        <w:rPr>
          <w:sz w:val="20"/>
          <w:szCs w:val="20"/>
          <w:color w:val="auto"/>
        </w:rPr>
      </w:pPr>
      <w:r>
        <w:rPr>
          <w:rFonts w:ascii="Arial" w:cs="Arial" w:eastAsia="Arial" w:hAnsi="Arial"/>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rely completely on third parties to manufacture our nonclinical, clinical and future commercial drug supplies of any approved products.</w:t>
      </w:r>
    </w:p>
    <w:p>
      <w:pPr>
        <w:spacing w:after="0" w:line="144" w:lineRule="exact"/>
        <w:rPr>
          <w:sz w:val="20"/>
          <w:szCs w:val="20"/>
          <w:color w:val="auto"/>
        </w:rPr>
      </w:pPr>
    </w:p>
    <w:p>
      <w:pPr>
        <w:ind w:right="20" w:firstLine="567"/>
        <w:spacing w:after="0" w:line="269" w:lineRule="auto"/>
        <w:rPr>
          <w:sz w:val="20"/>
          <w:szCs w:val="20"/>
          <w:color w:val="auto"/>
        </w:rPr>
      </w:pPr>
      <w:r>
        <w:rPr>
          <w:rFonts w:ascii="Arial" w:cs="Arial" w:eastAsia="Arial" w:hAnsi="Arial"/>
          <w:sz w:val="17"/>
          <w:szCs w:val="17"/>
          <w:color w:val="auto"/>
        </w:rPr>
        <w:t>We outsource the manufacture of our product candidates. We do not currently have the infrastructure or internal capability to manufacture supplies of our product candidates for use in development and commercialization. If we were to experience an unexpected loss of supply of our product candidates for any reason, whether as a result of manufacturing, supply or storage issues or otherwise, our business would be harmed, and we could experience delays, disruptions, suspensions or terminations of, or be required to restart or repeat, any pending or ongoing clinical trials. Although we generally do not begin a clinical trial unless we believe we have a sufficient supply of a product candidate to complete the clinical trial, we may be required to manufacture additional supplies of our product candidates to the extent our estimates of the amounts required prove inaccurate, we suffer unexpected losses of product candidate supplies, or we are required to have fresh product candidate supplies manufactured to satisfy regulatory requirements or specifications. Any significant delay or discontinuation in the supply of a product candidate, or the raw material components thereof, due to the need to replace a contract manufacturer or other third-party manufacturer, could considerably harm our business and ability to generate revenue and delay completion of our clinical trials, product testing and potential regulatory approval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 w:name="page53"/>
    <w:bookmarkEnd w:id="52"/>
    <w:p>
      <w:pPr>
        <w:spacing w:after="0" w:line="306" w:lineRule="exact"/>
        <w:rPr>
          <w:sz w:val="20"/>
          <w:szCs w:val="20"/>
          <w:color w:val="auto"/>
        </w:rPr>
      </w:pPr>
    </w:p>
    <w:p>
      <w:pPr>
        <w:ind w:right="200" w:firstLine="567"/>
        <w:spacing w:after="0" w:line="311" w:lineRule="auto"/>
        <w:rPr>
          <w:sz w:val="20"/>
          <w:szCs w:val="20"/>
          <w:color w:val="auto"/>
        </w:rPr>
      </w:pPr>
      <w:r>
        <w:rPr>
          <w:rFonts w:ascii="Arial" w:cs="Arial" w:eastAsia="Arial" w:hAnsi="Arial"/>
          <w:sz w:val="16"/>
          <w:szCs w:val="16"/>
          <w:color w:val="auto"/>
        </w:rPr>
        <w:t>Any delays in our preclinical or clinical development could lead to delays or cancellations of forecasted manufacturing batches, which would typically result in significant fees owed by us to the manufacture and an uncertainty as to when the manufacturer will have the availability for a new time slot to manufacture the batch, which could lead to further delays in the development of the product candidate and have an adverse effect on our business.</w:t>
      </w:r>
    </w:p>
    <w:p>
      <w:pPr>
        <w:spacing w:after="0" w:line="149" w:lineRule="exact"/>
        <w:rPr>
          <w:sz w:val="20"/>
          <w:szCs w:val="20"/>
          <w:color w:val="auto"/>
        </w:rPr>
      </w:pPr>
    </w:p>
    <w:p>
      <w:pPr>
        <w:ind w:right="100" w:firstLine="567"/>
        <w:spacing w:after="0" w:line="255" w:lineRule="auto"/>
        <w:rPr>
          <w:sz w:val="20"/>
          <w:szCs w:val="20"/>
          <w:color w:val="auto"/>
        </w:rPr>
      </w:pPr>
      <w:r>
        <w:rPr>
          <w:rFonts w:ascii="Arial" w:cs="Arial" w:eastAsia="Arial" w:hAnsi="Arial"/>
          <w:sz w:val="18"/>
          <w:szCs w:val="18"/>
          <w:color w:val="auto"/>
        </w:rPr>
        <w:t>Reliance on third-party manufacturers entails additional risks, including the possible breach of the manufacturing agreement by the third party and the possible termination or nonrenewal of the agreement by the manufacturer at a time that is costly or inconvenient for us. If our contract manufacturers were to breach or terminate their manufacturing arrangements with us, the development or commercialization of the affected product candidates could be significantly delayed, which could have an adverse effect on our business. Any change in our manufacturers could be costly because the commercial terms of any new arrangement could be less favorable and because the expenses relating to the transfer of necessary technology and processes could be significant.</w:t>
      </w:r>
    </w:p>
    <w:p>
      <w:pPr>
        <w:spacing w:after="0" w:line="296"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We depend on a small number of suppliers for the raw materials necessary to produce our product candidates. The loss of these suppliers, or their failure to supply us with these raw materials, would materially and adversely affect our business.</w:t>
      </w:r>
    </w:p>
    <w:p>
      <w:pPr>
        <w:spacing w:after="0" w:line="58" w:lineRule="exact"/>
        <w:rPr>
          <w:sz w:val="20"/>
          <w:szCs w:val="20"/>
          <w:color w:val="auto"/>
        </w:rPr>
      </w:pPr>
    </w:p>
    <w:p>
      <w:pPr>
        <w:ind w:firstLine="567"/>
        <w:spacing w:after="0" w:line="293" w:lineRule="auto"/>
        <w:rPr>
          <w:sz w:val="20"/>
          <w:szCs w:val="20"/>
          <w:color w:val="auto"/>
        </w:rPr>
      </w:pPr>
      <w:r>
        <w:rPr>
          <w:rFonts w:ascii="Arial" w:cs="Arial" w:eastAsia="Arial" w:hAnsi="Arial"/>
          <w:sz w:val="16"/>
          <w:szCs w:val="16"/>
          <w:color w:val="auto"/>
        </w:rPr>
        <w:t>We depend on the availability of key raw materials for our product candidates from a small number of third-party suppliers. Because there are a limited number of suppliers for the raw materials that we use to manufacture our product candidates, we may need to engage alternate suppliers to prevent a possible disruption of the manufacture of the materials necessary to produce our product candidates for our clinical trials. We do not have any control over the availability of raw materials. If we or our manufacturers are unable to purchase these raw materials on acceptable terms, at sufficient quality levels, or in adequate quantities, if at all, the development of our product candidates would be delayed or there would be a shortage in supply, which would impair our ability to meet our development objectives for our product candidates or generate revenues from the sale of any approved products.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Even if our product candidates receive regulatory approval, they will be subject to significant post-marketing regulatory requirements.</w:t>
      </w:r>
    </w:p>
    <w:p>
      <w:pPr>
        <w:spacing w:after="0" w:line="133" w:lineRule="exact"/>
        <w:rPr>
          <w:sz w:val="20"/>
          <w:szCs w:val="20"/>
          <w:color w:val="auto"/>
        </w:rPr>
      </w:pPr>
    </w:p>
    <w:p>
      <w:pPr>
        <w:ind w:right="80" w:firstLine="567"/>
        <w:spacing w:after="0" w:line="268" w:lineRule="auto"/>
        <w:rPr>
          <w:sz w:val="20"/>
          <w:szCs w:val="20"/>
          <w:color w:val="auto"/>
        </w:rPr>
      </w:pPr>
      <w:r>
        <w:rPr>
          <w:rFonts w:ascii="Arial" w:cs="Arial" w:eastAsia="Arial" w:hAnsi="Arial"/>
          <w:sz w:val="17"/>
          <w:szCs w:val="17"/>
          <w:color w:val="auto"/>
        </w:rPr>
        <w:t>Any regulatory approvals that we may receive for our product candidates will require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good clinical practices for any clinical trials that we conduct post-approval. 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and foreign regulatory requirements may, either before or after product approval, if any, subject our company to administrative or judicially imposed sanctions, including:</w:t>
      </w:r>
    </w:p>
    <w:p>
      <w:pPr>
        <w:spacing w:after="0" w:line="74"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restrictions on the products, manufacturers or manufacturing process;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98"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seizures, detentions or import bans;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imposition of restrictions on operations, including costly new manufacturing requirements;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refusal to approve pending BLAs or supplements to approved BLAs.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occurrence of any event or penalty described above may inhibit our ability to commercialize our product candidates and generate revenue.</w:t>
      </w:r>
    </w:p>
    <w:p>
      <w:pPr>
        <w:spacing w:after="0" w:line="248" w:lineRule="exact"/>
        <w:rPr>
          <w:sz w:val="20"/>
          <w:szCs w:val="20"/>
          <w:color w:val="auto"/>
        </w:rPr>
      </w:pPr>
    </w:p>
    <w:p>
      <w:pPr>
        <w:ind w:right="180" w:firstLine="567"/>
        <w:spacing w:after="0" w:line="275" w:lineRule="auto"/>
        <w:rPr>
          <w:sz w:val="20"/>
          <w:szCs w:val="20"/>
          <w:color w:val="auto"/>
        </w:rPr>
      </w:pPr>
      <w:r>
        <w:rPr>
          <w:rFonts w:ascii="Arial" w:cs="Arial" w:eastAsia="Arial" w:hAnsi="Arial"/>
          <w:sz w:val="17"/>
          <w:szCs w:val="17"/>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176" w:lineRule="exact"/>
        <w:rPr>
          <w:sz w:val="20"/>
          <w:szCs w:val="20"/>
          <w:color w:val="auto"/>
        </w:rPr>
      </w:pPr>
    </w:p>
    <w:p>
      <w:pPr>
        <w:ind w:firstLine="567"/>
        <w:spacing w:after="0" w:line="286" w:lineRule="auto"/>
        <w:rPr>
          <w:sz w:val="20"/>
          <w:szCs w:val="20"/>
          <w:color w:val="auto"/>
        </w:rPr>
      </w:pPr>
      <w:r>
        <w:rPr>
          <w:rFonts w:ascii="Arial" w:cs="Arial" w:eastAsia="Arial" w:hAnsi="Arial"/>
          <w:sz w:val="16"/>
          <w:szCs w:val="16"/>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biotechnology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Such False Claims Act lawsuits against biotechnology companies have increased significantly in volume and breadth, leading to several substantial civil and criminal settlements regarding certain sales practices promoting off-label drug uses involving fines in excess of $1.0 billion. This growth in litigation has increased the risk that a biotechnology company will have to defend a false claim action, pay settlement fines or restitution, agree to comply with burdensome reporting and compliance obligations, and be excluded from Medicare, Medicaid and other federal and state health care programs. In addition, we may incur liability from claims initiated under the Lanham Act or other federal and state unfair competition laws with respect to how our products are marketed and promoted. Furthermore, the off-label use of our products may increase the risk of product liability claims. If we do not lawfully promote our approved products, we may become subject to such litigation and, if we do not successfully defend against such actions, those actions may have an adverse effect on our business, financial condition and results of operations.</w:t>
      </w:r>
    </w:p>
    <w:p>
      <w:pPr>
        <w:spacing w:after="0" w:line="278"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Our failure to obtain regulatory approval in international jurisdictions would prevent us from marketing our product candidates outside the United States.</w:t>
      </w:r>
    </w:p>
    <w:p>
      <w:pPr>
        <w:spacing w:after="0" w:line="58" w:lineRule="exact"/>
        <w:rPr>
          <w:sz w:val="20"/>
          <w:szCs w:val="20"/>
          <w:color w:val="auto"/>
        </w:rPr>
      </w:pPr>
    </w:p>
    <w:p>
      <w:pPr>
        <w:ind w:right="20" w:firstLine="567"/>
        <w:spacing w:after="0" w:line="293" w:lineRule="auto"/>
        <w:rPr>
          <w:sz w:val="20"/>
          <w:szCs w:val="20"/>
          <w:color w:val="auto"/>
        </w:rPr>
      </w:pPr>
      <w:r>
        <w:rPr>
          <w:rFonts w:ascii="Arial" w:cs="Arial" w:eastAsia="Arial" w:hAnsi="Arial"/>
          <w:sz w:val="16"/>
          <w:szCs w:val="16"/>
          <w:color w:val="auto"/>
        </w:rPr>
        <w:t>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w:t>
      </w:r>
    </w:p>
    <w:p>
      <w:pPr>
        <w:spacing w:after="0" w:line="164" w:lineRule="exact"/>
        <w:rPr>
          <w:sz w:val="20"/>
          <w:szCs w:val="20"/>
          <w:color w:val="auto"/>
        </w:rPr>
      </w:pPr>
    </w:p>
    <w:p>
      <w:pPr>
        <w:ind w:right="40" w:firstLine="567"/>
        <w:spacing w:after="0" w:line="277" w:lineRule="auto"/>
        <w:rPr>
          <w:sz w:val="20"/>
          <w:szCs w:val="20"/>
          <w:color w:val="auto"/>
        </w:rPr>
      </w:pPr>
      <w:r>
        <w:rPr>
          <w:rFonts w:ascii="Arial" w:cs="Arial" w:eastAsia="Arial" w:hAnsi="Arial"/>
          <w:sz w:val="18"/>
          <w:szCs w:val="18"/>
          <w:color w:val="auto"/>
        </w:rPr>
        <w:t>If we fail to comply with the regulatory requirements in international markets and receive applicable marketing approvals, our target market will be reduced and our ability to realize the full market potential of our product candidates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30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spacing w:after="0" w:line="288" w:lineRule="exact"/>
        <w:rPr>
          <w:sz w:val="20"/>
          <w:szCs w:val="20"/>
          <w:color w:val="auto"/>
        </w:rPr>
      </w:pPr>
    </w:p>
    <w:p>
      <w:pPr>
        <w:ind w:right="460"/>
        <w:spacing w:after="0" w:line="296" w:lineRule="auto"/>
        <w:rPr>
          <w:sz w:val="20"/>
          <w:szCs w:val="20"/>
          <w:color w:val="auto"/>
        </w:rPr>
      </w:pPr>
      <w:r>
        <w:rPr>
          <w:rFonts w:ascii="Arial" w:cs="Arial" w:eastAsia="Arial" w:hAnsi="Arial"/>
          <w:sz w:val="17"/>
          <w:szCs w:val="17"/>
          <w:b w:val="1"/>
          <w:bCs w:val="1"/>
          <w:color w:val="auto"/>
        </w:rPr>
        <w:t>We plan to seek Orphan Drug Designation for imsidolimab and certain of our other product candidates, and we may not be able to obtain or maintain Orphan Drug Designation or obtain the benefits associated with Orphan Drug status, including market exclusivity.</w:t>
      </w:r>
    </w:p>
    <w:p>
      <w:pPr>
        <w:spacing w:after="0" w:line="143" w:lineRule="exact"/>
        <w:rPr>
          <w:sz w:val="20"/>
          <w:szCs w:val="20"/>
          <w:color w:val="auto"/>
        </w:rPr>
      </w:pPr>
    </w:p>
    <w:p>
      <w:pPr>
        <w:ind w:firstLine="567"/>
        <w:spacing w:after="0" w:line="269" w:lineRule="auto"/>
        <w:rPr>
          <w:sz w:val="20"/>
          <w:szCs w:val="20"/>
          <w:color w:val="auto"/>
        </w:rPr>
      </w:pPr>
      <w:r>
        <w:rPr>
          <w:rFonts w:ascii="Arial" w:cs="Arial" w:eastAsia="Arial" w:hAnsi="Arial"/>
          <w:sz w:val="16"/>
          <w:szCs w:val="16"/>
          <w:color w:val="auto"/>
        </w:rPr>
        <w:t>Regulatory authorities in some jurisdictions, including the United States and the European Union (“EU”) may designate biologics for relatively small patient populations as orphan drugs. Under the Orphan Drug Act, the FDA may designate a biologic as an Orphan Drug if it is intended to treat a rare disease or condition, which is generally defined as a patient population of fewer than 200,000 individuals in the United States. We recently received Orphan Drug Designation from the FDA for imsidolimab for our GPP indication and plan to seek Orphan Drug Designation for imsidolimab in other indications and for certain of our other product candidates. Generally, if a biologic with an Orphan Drug Designation subsequently receives the first marketing approval for the indication for which it has such designation, the biologic is entitled to a period of marketing exclusivity, which precludes the FDA with respect to the United States or the EMA with respect to the EU from approving another marketing application for a drug containing the same active moiety for the same indication for that time period. The applicable period is seven years in the United States and ten years in the EU. The EU exclusivity period can be reduced to six years if a biologic no longer meets the criteria for Orphan Drug Designation or if the biologic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 In addition, the Orphan Drug Designation does not convey any advantage in, or shorten the duration of, the regulatory review or approval process. Also, regulatory approval for any product candidate may be withdrawn and other candidates may obtain approval before us.</w:t>
      </w:r>
    </w:p>
    <w:p>
      <w:pPr>
        <w:spacing w:after="0" w:line="168" w:lineRule="exact"/>
        <w:rPr>
          <w:sz w:val="20"/>
          <w:szCs w:val="20"/>
          <w:color w:val="auto"/>
        </w:rPr>
      </w:pPr>
    </w:p>
    <w:p>
      <w:pPr>
        <w:ind w:right="120" w:firstLine="567"/>
        <w:spacing w:after="0" w:line="241" w:lineRule="auto"/>
        <w:rPr>
          <w:sz w:val="20"/>
          <w:szCs w:val="20"/>
          <w:color w:val="auto"/>
        </w:rPr>
      </w:pPr>
      <w:r>
        <w:rPr>
          <w:rFonts w:ascii="Arial" w:cs="Arial" w:eastAsia="Arial" w:hAnsi="Arial"/>
          <w:sz w:val="18"/>
          <w:szCs w:val="18"/>
          <w:color w:val="auto"/>
        </w:rPr>
        <w:t>We have not been granted Orphan Drug Designation for imsidolimab for any indication other than GPP, and there can be no assurance that any of our other product candidates will be designated as an orphan drug. For example, we may seek FDA Orphan Drug Designation for imsidolimab for the treatment of other indications, which will likely require that we demonstrate to FDA that each such indication is a distinct disease from psoriasis generally (a non-rare disease) or that use of imsidolimab may be appropriate for the treatment of such other indication but not appropriate for use in the general psoriasis population.</w:t>
      </w:r>
    </w:p>
    <w:p>
      <w:pPr>
        <w:spacing w:after="0" w:line="189" w:lineRule="exact"/>
        <w:rPr>
          <w:sz w:val="20"/>
          <w:szCs w:val="20"/>
          <w:color w:val="auto"/>
        </w:rPr>
      </w:pPr>
    </w:p>
    <w:p>
      <w:pPr>
        <w:ind w:firstLine="567"/>
        <w:spacing w:after="0" w:line="239" w:lineRule="auto"/>
        <w:rPr>
          <w:sz w:val="20"/>
          <w:szCs w:val="20"/>
          <w:color w:val="auto"/>
        </w:rPr>
      </w:pPr>
      <w:r>
        <w:rPr>
          <w:rFonts w:ascii="Arial" w:cs="Arial" w:eastAsia="Arial" w:hAnsi="Arial"/>
          <w:sz w:val="18"/>
          <w:szCs w:val="18"/>
          <w:color w:val="auto"/>
        </w:rPr>
        <w:t>Even if we obtain Orphan Drug Designation for imsidolimab in indications other than GPP, or for any of our other product candidates, we may not receive Orphan Drug exclusivity, and such exclusivity, if obtained, may not effectively protect the candidate from competition because different drugs or biologics can be approved for the same condition and only the first biologic with an Orphan Drug Designation to receive regulatory approval for a particular indication will receive marketing exclusivity. Even after a drug or biological with Orphan Drug Designation is approved, the FDA can subsequently approve another biologic containing the same active moiety (which in the case of an antibody is the principal molecular structure) for the same condition if the FDA concludes that the later biologic is clinically superior in that it is shown to be safer, more effective or makes a major contribution to patient care.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drugs we develop may become subject to unfavorable third-party reimbursement practices and pricing regulations.</w:t>
      </w:r>
    </w:p>
    <w:p>
      <w:pPr>
        <w:spacing w:after="0" w:line="121" w:lineRule="exact"/>
        <w:rPr>
          <w:sz w:val="20"/>
          <w:szCs w:val="20"/>
          <w:color w:val="auto"/>
        </w:rPr>
      </w:pPr>
    </w:p>
    <w:p>
      <w:pPr>
        <w:ind w:firstLine="567"/>
        <w:spacing w:after="0" w:line="289" w:lineRule="auto"/>
        <w:rPr>
          <w:sz w:val="20"/>
          <w:szCs w:val="20"/>
          <w:color w:val="auto"/>
        </w:rPr>
      </w:pPr>
      <w:r>
        <w:rPr>
          <w:rFonts w:ascii="Arial" w:cs="Arial" w:eastAsia="Arial" w:hAnsi="Arial"/>
          <w:sz w:val="16"/>
          <w:szCs w:val="16"/>
          <w:color w:val="auto"/>
        </w:rPr>
        <w:t>The availability and extent of coverage and adequate reimbursement by governmental and private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 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Coverage and reimbursement may impact the demand for, or the price of, any product candidate for which we obtain marketing approval. If coverage and reimbursement are not available or reimbursement is available only at limited levels, we may not successfully commercialize any product candidate for which we obtain marketing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306" w:lineRule="exact"/>
        <w:rPr>
          <w:sz w:val="20"/>
          <w:szCs w:val="20"/>
          <w:color w:val="auto"/>
        </w:rPr>
      </w:pPr>
    </w:p>
    <w:p>
      <w:pPr>
        <w:ind w:firstLine="567"/>
        <w:spacing w:after="0" w:line="291"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principal decisions about reimbursement for new products are typically made by the Centers for Medicare &amp; Medicaid Services (“CMS”), an agency within the U.S. Department of Health and Human Services, because CMS decides whether and to what extent a new product will be covered and reimbursed under Medicare. Private payors often follow CMS’s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66" w:lineRule="exact"/>
        <w:rPr>
          <w:sz w:val="20"/>
          <w:szCs w:val="20"/>
          <w:color w:val="auto"/>
        </w:rPr>
      </w:pPr>
    </w:p>
    <w:p>
      <w:pPr>
        <w:ind w:right="20" w:firstLine="567"/>
        <w:spacing w:after="0" w:line="271" w:lineRule="auto"/>
        <w:rPr>
          <w:sz w:val="20"/>
          <w:szCs w:val="20"/>
          <w:color w:val="auto"/>
        </w:rPr>
      </w:pPr>
      <w:r>
        <w:rPr>
          <w:rFonts w:ascii="Arial" w:cs="Arial" w:eastAsia="Arial" w:hAnsi="Arial"/>
          <w:sz w:val="17"/>
          <w:szCs w:val="17"/>
          <w:color w:val="auto"/>
        </w:rPr>
        <w:t>Increasingly, third-party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drug products. There may be especially significant delays in obtaining coverage and reimbursement for newly approved drugs. Third-party payors may limit coverage to specific drug products on an approved list, known as a formulary, which might not include all FDA-approved drugs for a particular indication. We or our collaborators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and the timing of achieving a reimbursement determination will be.</w:t>
      </w:r>
    </w:p>
    <w:p>
      <w:pPr>
        <w:spacing w:after="0" w:line="178" w:lineRule="exact"/>
        <w:rPr>
          <w:sz w:val="20"/>
          <w:szCs w:val="20"/>
          <w:color w:val="auto"/>
        </w:rPr>
      </w:pPr>
    </w:p>
    <w:p>
      <w:pPr>
        <w:ind w:firstLine="445"/>
        <w:spacing w:after="0" w:line="288" w:lineRule="auto"/>
        <w:rPr>
          <w:sz w:val="20"/>
          <w:szCs w:val="20"/>
          <w:color w:val="auto"/>
        </w:rPr>
      </w:pPr>
      <w:r>
        <w:rPr>
          <w:rFonts w:ascii="Arial" w:cs="Arial" w:eastAsia="Arial" w:hAnsi="Arial"/>
          <w:sz w:val="16"/>
          <w:szCs w:val="16"/>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including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68" w:lineRule="exact"/>
        <w:rPr>
          <w:sz w:val="20"/>
          <w:szCs w:val="20"/>
          <w:color w:val="auto"/>
        </w:rPr>
      </w:pPr>
    </w:p>
    <w:p>
      <w:pPr>
        <w:ind w:firstLine="567"/>
        <w:spacing w:after="0" w:line="293" w:lineRule="auto"/>
        <w:rPr>
          <w:sz w:val="20"/>
          <w:szCs w:val="20"/>
          <w:color w:val="auto"/>
        </w:rPr>
      </w:pPr>
      <w:r>
        <w:rPr>
          <w:rFonts w:ascii="Arial" w:cs="Arial" w:eastAsia="Arial" w:hAnsi="Arial"/>
          <w:sz w:val="16"/>
          <w:szCs w:val="16"/>
          <w:color w:val="auto"/>
        </w:rPr>
        <w:t>Moreover, increasing efforts by governmental and third-party payors, in the United States and internationally, to cap or reduce health 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 care, the increasing influence of health maintenance organizations and additional legislative changes. The downward pressure on health care costs in general, particularly prescription drugs and surgical procedures and other treatments, has become very intense. As a result, increasingly high barriers are being erected to the entry of new products into the health care market.</w:t>
      </w:r>
    </w:p>
    <w:p>
      <w:pPr>
        <w:spacing w:after="0" w:line="164" w:lineRule="exact"/>
        <w:rPr>
          <w:sz w:val="20"/>
          <w:szCs w:val="20"/>
          <w:color w:val="auto"/>
        </w:rPr>
      </w:pPr>
    </w:p>
    <w:p>
      <w:pPr>
        <w:ind w:right="160" w:firstLine="567"/>
        <w:spacing w:after="0" w:line="279" w:lineRule="auto"/>
        <w:rPr>
          <w:sz w:val="20"/>
          <w:szCs w:val="20"/>
          <w:color w:val="auto"/>
        </w:rPr>
      </w:pPr>
      <w:r>
        <w:rPr>
          <w:rFonts w:ascii="Arial" w:cs="Arial" w:eastAsia="Arial" w:hAnsi="Arial"/>
          <w:sz w:val="17"/>
          <w:szCs w:val="17"/>
          <w:color w:val="auto"/>
        </w:rPr>
        <w:t>In addition to CMS and private payors, professional organizations such as the American Medical Association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w:t>
      </w:r>
    </w:p>
    <w:p>
      <w:pPr>
        <w:spacing w:after="0" w:line="171" w:lineRule="exact"/>
        <w:rPr>
          <w:sz w:val="20"/>
          <w:szCs w:val="20"/>
          <w:color w:val="auto"/>
        </w:rPr>
      </w:pPr>
    </w:p>
    <w:p>
      <w:pPr>
        <w:ind w:right="200" w:firstLine="567"/>
        <w:spacing w:after="0" w:line="259" w:lineRule="auto"/>
        <w:rPr>
          <w:sz w:val="20"/>
          <w:szCs w:val="20"/>
          <w:color w:val="auto"/>
        </w:rPr>
      </w:pPr>
      <w:r>
        <w:rPr>
          <w:rFonts w:ascii="Arial" w:cs="Arial" w:eastAsia="Arial" w:hAnsi="Arial"/>
          <w:sz w:val="18"/>
          <w:szCs w:val="18"/>
          <w:color w:val="auto"/>
        </w:rPr>
        <w:t>Furthermore, some of our target indications, such as GPP, are rare diseases with small patient populations. In order for therapeutics that are designed to treat smaller patient populations to be commercially viable, the reimbursement for such therapeutics must be higher, on a relative basis, to account for the low volume of sales. Accordingly, we will need to implement a coverage and reimbursement strategy for any approved product candidate that accounts for the smaller potential market size.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6" w:name="page57"/>
    <w:bookmarkEnd w:id="56"/>
    <w:p>
      <w:pPr>
        <w:spacing w:after="0" w:line="306" w:lineRule="exact"/>
        <w:rPr>
          <w:sz w:val="20"/>
          <w:szCs w:val="20"/>
          <w:color w:val="auto"/>
        </w:rPr>
      </w:pPr>
    </w:p>
    <w:p>
      <w:pPr>
        <w:ind w:right="320" w:firstLine="567"/>
        <w:spacing w:after="0" w:line="257" w:lineRule="auto"/>
        <w:rPr>
          <w:sz w:val="20"/>
          <w:szCs w:val="20"/>
          <w:color w:val="auto"/>
        </w:rPr>
      </w:pPr>
      <w:r>
        <w:rPr>
          <w:rFonts w:ascii="Arial" w:cs="Arial" w:eastAsia="Arial" w:hAnsi="Arial"/>
          <w:sz w:val="18"/>
          <w:szCs w:val="18"/>
          <w:color w:val="auto"/>
        </w:rPr>
        <w:t>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pacing w:after="0" w:line="29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Healthcare legislative reform measures may increase the difficulty and cost for us to obtain marketing approval of and commercialize our product candidates and affect the prices we may obtain.</w:t>
      </w:r>
    </w:p>
    <w:p>
      <w:pPr>
        <w:spacing w:after="0" w:line="58" w:lineRule="exact"/>
        <w:rPr>
          <w:sz w:val="20"/>
          <w:szCs w:val="20"/>
          <w:color w:val="auto"/>
        </w:rPr>
      </w:pPr>
    </w:p>
    <w:p>
      <w:pPr>
        <w:ind w:right="140" w:firstLine="567"/>
        <w:spacing w:after="0" w:line="241"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9" w:lineRule="exact"/>
        <w:rPr>
          <w:sz w:val="20"/>
          <w:szCs w:val="20"/>
          <w:color w:val="auto"/>
        </w:rPr>
      </w:pPr>
    </w:p>
    <w:p>
      <w:pPr>
        <w:ind w:firstLine="567"/>
        <w:spacing w:after="0" w:line="267"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The pharmaceutical industry has been a particular focus of these efforts and has been significantly affected by major legislative initiatives. For example, in March 2010, the Patient Protection and Affordable Care Act, as amended by the Health Care and Education Reconciliation Act (collectively, the “ACA”) was enacted, which was intended to broaden access to health insurance, reduce or constrain the growth of healthcare spending, enhanced remedies against fraud and abuse, add new transparency requirements for the healthcare and health insurance industries, impose new taxes and fees on the health industry and impose additional health policy reforms. The ACA substantially changed the way healthcare is financed by both governmental and private insurers, and significantly impacts the U.S. pharmaceutical industry. The ACA, among other things, (i) subjected therapeutic biologics to potential competition by lower-cost biosimilars by creating a licensure framework for follow on biologic products, (ii) proscribed a new methodology by which rebates owed by manufacturers under the Medicaid Drug Rebate Program are calculated for drugs and therapeutic biologics that are inhaled, infused, instilled, implanted or injected, (iii) increased the minimum Medicaid rebates owed by manufacturers under the Medicaid Drug Rebate Program and extended the rebate program to individuals enrolled in Medicaid managed care organizations, (iv) established annual nondeductible fees and taxes on manufacturers of certain branded prescription drugs and therapeutic biologics, apportioned among these entities according to their market share in certain government healthcare programs, (v) established a new Medicare Part D coverage gap discount program, in which manufacturers must agree to offer 50% point-of-sale discounts off negotiated prices of applicable brand drugs and therapeutic biologics to eligible beneficiaries during their coverage gap period, as a condition for the manufacturer’s outpatient drugs and therapeutic biologics to be covered under Medicare Part D, which has since been increased to 70% by the Bipartisan Budget Act of 2018 (“BBA”), (vi) 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 (vii) expanded the entities eligible for discounts under the Public Health program (viii) created a new Patient-Centered Outcomes Research Institute to oversee, identify priorities in, and conduct comparative clinical effectiveness research, along with funding for such research and (ix) established a Center for Medicare Innovation at the Centers for Medicare &amp; Medicaid Services, or CMS, to test innovative payment and service delivery models to lower Medicare and Medicaid spending, potentially including prescription drug spending.</w:t>
      </w:r>
    </w:p>
    <w:p>
      <w:pPr>
        <w:spacing w:after="0" w:line="170" w:lineRule="exact"/>
        <w:rPr>
          <w:sz w:val="20"/>
          <w:szCs w:val="20"/>
          <w:color w:val="auto"/>
        </w:rPr>
      </w:pPr>
    </w:p>
    <w:p>
      <w:pPr>
        <w:ind w:firstLine="567"/>
        <w:spacing w:after="0" w:line="289" w:lineRule="auto"/>
        <w:rPr>
          <w:sz w:val="20"/>
          <w:szCs w:val="20"/>
          <w:color w:val="auto"/>
        </w:rPr>
      </w:pPr>
      <w:r>
        <w:rPr>
          <w:rFonts w:ascii="Arial" w:cs="Arial" w:eastAsia="Arial" w:hAnsi="Arial"/>
          <w:sz w:val="16"/>
          <w:szCs w:val="16"/>
          <w:color w:val="auto"/>
        </w:rPr>
        <w:t>There have been judicial and Congressional efforts to repeal, replace or change certain aspects of the ACA, including measures taken during the Trump administration. The Tax Cuts and Jobs Act of 2017, or the Tax Reform Act, among other things, included a provision that repealed, effective January 1, 2019, the tax-based shared responsibility payment imposed by the ACA on certain individuals who fail to maintain qualifying health coverage for all or part of a year that is commonly referred to as the “individual mandate.” In November 2020, the United States Supreme Court held oral arguments on the Fifth Circuit U.S. Court of Appeals decision that held that the individual mandate is unconstitutional. It is uncertain how the United States Supreme Court will rule on this case or how healthcare measures of the Biden administration will impact the ACA and our business. Additionally, the 2020 federal spending package permanently eliminated, effective January 1, 2020, the ACA-mandated “Cadillac” tax on certain high cost employer-sponsored insurance plans and the medical device excise tax, and effective January 1, 2021, also eliminates the health insurer tax. The BBA, among other things, also amended the ACA, effective January 1, 2019, by increasing from 50% to 70% the point-of-sale discount that is owed by pharmaceutical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7" w:name="page58"/>
    <w:bookmarkEnd w:id="57"/>
    <w:p>
      <w:pPr>
        <w:spacing w:after="0" w:line="30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manufacturers who participate in Medicare Part D and closing the coverage gap in most Medicare drug plans, commonly referred to as the “donut hole.” In addition, CMS published a final rule that would give states greater flexibility, effective January 1, 2020, in setting benchmarks for insurers in the individual and small group marketplaces, which may have the effect of relaxing the essential health benefits required under the ACA for plans sold through such marketplaces.</w:t>
      </w:r>
    </w:p>
    <w:p>
      <w:pPr>
        <w:spacing w:after="0" w:line="187" w:lineRule="exact"/>
        <w:rPr>
          <w:sz w:val="20"/>
          <w:szCs w:val="20"/>
          <w:color w:val="auto"/>
        </w:rPr>
      </w:pPr>
    </w:p>
    <w:p>
      <w:pPr>
        <w:ind w:right="20" w:firstLine="567"/>
        <w:spacing w:after="0" w:line="269" w:lineRule="auto"/>
        <w:rPr>
          <w:sz w:val="20"/>
          <w:szCs w:val="20"/>
          <w:color w:val="auto"/>
        </w:rPr>
      </w:pPr>
      <w:r>
        <w:rPr>
          <w:rFonts w:ascii="Arial" w:cs="Arial" w:eastAsia="Arial" w:hAnsi="Arial"/>
          <w:sz w:val="17"/>
          <w:szCs w:val="17"/>
          <w:color w:val="auto"/>
        </w:rPr>
        <w:t>Other legislative changes have been proposed and adopted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2% per fiscal year, which went into effect in 2013 and will remain in effect through 2030, with the exception of a temporary suspension implemented under various COVID-19 relief legislation from May 1, 2020 through March 31, 2021, unless additional Congressional action is taken. The American Taxpayer Relief Act of 2012, among other things, reduced Medicare payments to several types of providers, including hospitals, imaging centers and cancer treatment centers, and increased the statute of limitations period for the government to recover overpayments to providers from three to five years. These laws may result in additional reductions in Medicare and other health care funding, which could have a material adverse effect on customers for our drugs, if approved, and accordingly, our financial operations.</w:t>
      </w:r>
    </w:p>
    <w:p>
      <w:pPr>
        <w:spacing w:after="0" w:line="185" w:lineRule="exact"/>
        <w:rPr>
          <w:sz w:val="20"/>
          <w:szCs w:val="20"/>
          <w:color w:val="auto"/>
        </w:rPr>
      </w:pPr>
    </w:p>
    <w:p>
      <w:pPr>
        <w:ind w:firstLine="567"/>
        <w:spacing w:after="0" w:line="287" w:lineRule="auto"/>
        <w:rPr>
          <w:sz w:val="20"/>
          <w:szCs w:val="20"/>
          <w:color w:val="auto"/>
        </w:rPr>
      </w:pPr>
      <w:r>
        <w:rPr>
          <w:rFonts w:ascii="Arial" w:cs="Arial" w:eastAsia="Arial" w:hAnsi="Arial"/>
          <w:sz w:val="16"/>
          <w:szCs w:val="16"/>
          <w:color w:val="auto"/>
        </w:rPr>
        <w:t>There have been several Congressional inquiries and proposed and enacted federal and state legislation designed to, among other things, bring more transparency to product pricing, review the relationship between pricing and manufacturer patient programs, reduce the costs of drugs under Medicare and reform government program reimbursement methodologies for drug products. At the federal level, the Trump administration’s budget proposal for fiscal year 2021 included a $135 billion allowance to support legislative proposals seeking to reduce drug prices, increase competition, lower out-of-pocket drug costs for patients, and increased patient access to lower cost generic and biosimilar drugs. In particular, on July 24, 2020 and September 13, 2020, the Trump administration announced several executive orders related to prescription drug pricing that seek to implement several of the administration's proposals. The FDA also released a final rule in September 2020 providing guidance for states to build and submit importation plans for drugs from Canada. The Trump and Biden administrations both issued executive orders intended to favor government procurement from domestic manufacturers. In addition, the Trump administration issued an executive order specifically aimed at the procurement of pharmaceutical products, which instructed the federal government to develop a list of “essential” medicines and then buy those and other medical supplies that are manufactured, including the manufacture of the API, in the United States. It is unclear whether this executive order or something similar will be implemented by the Biden Administration.</w:t>
      </w:r>
    </w:p>
    <w:p>
      <w:pPr>
        <w:spacing w:after="0" w:line="172" w:lineRule="exact"/>
        <w:rPr>
          <w:sz w:val="20"/>
          <w:szCs w:val="20"/>
          <w:color w:val="auto"/>
        </w:rPr>
      </w:pPr>
    </w:p>
    <w:p>
      <w:pPr>
        <w:ind w:right="20" w:firstLine="567"/>
        <w:spacing w:after="0" w:line="268" w:lineRule="auto"/>
        <w:rPr>
          <w:sz w:val="20"/>
          <w:szCs w:val="20"/>
          <w:color w:val="auto"/>
        </w:rPr>
      </w:pPr>
      <w:r>
        <w:rPr>
          <w:rFonts w:ascii="Arial" w:cs="Arial" w:eastAsia="Arial" w:hAnsi="Arial"/>
          <w:sz w:val="17"/>
          <w:szCs w:val="17"/>
          <w:color w:val="auto"/>
        </w:rPr>
        <w:t>Further, in November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The CMS also issued an interim final rule implementing President Trump’s Most Favored Nation executive order, which would tie Medicare Part B payments for certain physician-administered drugs to the lowest price paid in other economically advanced countries, effective January 1, 2021. On December 28, 2020, the United States District Court in Northern California issued a nationwide preliminary injunction against implementation of the interim final rule. In December 2020, CMS issued a final rule implementing significant manufacturer price reporting changes under the Medicaid Drug Rebate Program, including regulations that affect manufacturer-sponsored patient assistance programs subject to pharmacy benefit manager accumulator programs and Best Price reporting related to certain value-based purchasing arrangements. It is unclear to what extent these new regulations will be implemented and to what extent these or any future legislation or regulation by the Biden administration will have on our business, including our ability to generate revenue and achieve profitability. We expect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86" w:lineRule="exact"/>
        <w:rPr>
          <w:sz w:val="20"/>
          <w:szCs w:val="20"/>
          <w:color w:val="auto"/>
        </w:rPr>
      </w:pPr>
    </w:p>
    <w:p>
      <w:pPr>
        <w:ind w:right="720" w:firstLine="567"/>
        <w:spacing w:after="0" w:line="277" w:lineRule="auto"/>
        <w:rPr>
          <w:sz w:val="20"/>
          <w:szCs w:val="20"/>
          <w:color w:val="auto"/>
        </w:rPr>
      </w:pPr>
      <w:r>
        <w:rPr>
          <w:rFonts w:ascii="Arial" w:cs="Arial" w:eastAsia="Arial" w:hAnsi="Arial"/>
          <w:sz w:val="18"/>
          <w:szCs w:val="18"/>
          <w:color w:val="auto"/>
        </w:rPr>
        <w:t>The implementation of cost containment measures or other health care reforms may prevent us from being able to generate revenue, attain profitability, or commercialize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306" w:lineRule="exact"/>
        <w:rPr>
          <w:sz w:val="20"/>
          <w:szCs w:val="20"/>
          <w:color w:val="auto"/>
        </w:rPr>
      </w:pPr>
    </w:p>
    <w:p>
      <w:pPr>
        <w:ind w:right="20" w:firstLine="567"/>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29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Our business entails a significant risk of product liability, and our ability to obtain sufficient insurance coverage could have an adverse effect on our business, financial condition, results of operations or prospects.</w:t>
      </w:r>
    </w:p>
    <w:p>
      <w:pPr>
        <w:spacing w:after="0" w:line="58"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investigation of the safety and effectiveness of our products,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w:t>
      </w:r>
    </w:p>
    <w:p>
      <w:pPr>
        <w:spacing w:after="0" w:line="286"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b w:val="1"/>
          <w:bCs w:val="1"/>
          <w:color w:val="auto"/>
        </w:rPr>
        <w:t>Our relationships with customers and third-party payors will be subject to applicable anti-kickback, fraud and abuse, transparency and other health care laws and regulations, which could expose us to, among other things, criminal sanctions, civil penalties, contractual damages, reputational harm, administrative burdens and diminished profits and future earnings.</w:t>
      </w:r>
    </w:p>
    <w:p>
      <w:pPr>
        <w:spacing w:after="0" w:line="72" w:lineRule="exact"/>
        <w:rPr>
          <w:sz w:val="20"/>
          <w:szCs w:val="20"/>
          <w:color w:val="auto"/>
        </w:rPr>
      </w:pPr>
    </w:p>
    <w:p>
      <w:pPr>
        <w:ind w:right="120" w:firstLine="567"/>
        <w:spacing w:after="0" w:line="257" w:lineRule="auto"/>
        <w:rPr>
          <w:sz w:val="20"/>
          <w:szCs w:val="20"/>
          <w:color w:val="auto"/>
        </w:rPr>
      </w:pPr>
      <w:r>
        <w:rPr>
          <w:rFonts w:ascii="Arial" w:cs="Arial" w:eastAsia="Arial" w:hAnsi="Arial"/>
          <w:sz w:val="18"/>
          <w:szCs w:val="18"/>
          <w:color w:val="auto"/>
        </w:rPr>
        <w:t>Health care providers and third-party payors play a primary role in the recommendation and prescription of any product candidates for which we obtain marketing approval. Our future arrangements with third-party payors and customers may expose us to broadly applicable fraud and abuse and other health care laws and regulations that may constrain the business or financial arrangements and relationships through which we market, sell and distribute our products for which we obtain marketing approval. Restrictions under applicable federal and state health care laws and regulations include the following:</w:t>
      </w:r>
    </w:p>
    <w:p>
      <w:pPr>
        <w:spacing w:after="0" w:line="80" w:lineRule="exact"/>
        <w:rPr>
          <w:sz w:val="20"/>
          <w:szCs w:val="20"/>
          <w:color w:val="auto"/>
        </w:rPr>
      </w:pPr>
    </w:p>
    <w:p>
      <w:pPr>
        <w:ind w:left="660" w:right="140" w:hanging="328"/>
        <w:spacing w:after="0" w:line="259"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 care program such as Medicare and Medicaid;</w:t>
      </w:r>
    </w:p>
    <w:p>
      <w:pPr>
        <w:spacing w:after="0" w:line="78" w:lineRule="exact"/>
        <w:rPr>
          <w:rFonts w:ascii="Arial" w:cs="Arial" w:eastAsia="Arial" w:hAnsi="Arial"/>
          <w:sz w:val="18"/>
          <w:szCs w:val="18"/>
          <w:color w:val="auto"/>
        </w:rPr>
      </w:pPr>
    </w:p>
    <w:p>
      <w:pPr>
        <w:ind w:left="660" w:right="40" w:hanging="328"/>
        <w:spacing w:after="0" w:line="259"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federal false claims and civil monetary penalties laws, including the civil False Claims Act, impose criminal and civil penalties, including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78" w:lineRule="exact"/>
        <w:rPr>
          <w:rFonts w:ascii="Arial" w:cs="Arial" w:eastAsia="Arial" w:hAnsi="Arial"/>
          <w:sz w:val="18"/>
          <w:szCs w:val="18"/>
          <w:color w:val="auto"/>
        </w:rPr>
      </w:pPr>
    </w:p>
    <w:p>
      <w:pPr>
        <w:ind w:left="660" w:right="80" w:hanging="328"/>
        <w:spacing w:after="0" w:line="342" w:lineRule="auto"/>
        <w:tabs>
          <w:tab w:leader="none" w:pos="655"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(“HIPAA”) imposes criminal and civil liability for, among other things, executing or attempting to execute a scheme to defraud any health care benefit program or making false statements relating to health care matters;</w:t>
      </w:r>
    </w:p>
    <w:p>
      <w:pPr>
        <w:spacing w:after="0" w:line="15" w:lineRule="exact"/>
        <w:rPr>
          <w:rFonts w:ascii="Arial" w:cs="Arial" w:eastAsia="Arial" w:hAnsi="Arial"/>
          <w:sz w:val="16"/>
          <w:szCs w:val="16"/>
          <w:color w:val="auto"/>
        </w:rPr>
      </w:pPr>
    </w:p>
    <w:p>
      <w:pPr>
        <w:jc w:val="both"/>
        <w:ind w:left="660" w:right="60" w:hanging="328"/>
        <w:spacing w:after="0" w:line="263"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75"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federal Physician Payments Sunshine Act requires applicable manufacturers of covered drugs, devices, biologics, and medical supplies for which payment is available under Medicare, Medicaid, or the Children’s Health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98" w:lineRule="exact"/>
        <w:rPr>
          <w:sz w:val="20"/>
          <w:szCs w:val="20"/>
          <w:color w:val="auto"/>
        </w:rPr>
      </w:pPr>
    </w:p>
    <w:p>
      <w:pPr>
        <w:ind w:left="660" w:right="180"/>
        <w:spacing w:after="0" w:line="311" w:lineRule="auto"/>
        <w:rPr>
          <w:sz w:val="20"/>
          <w:szCs w:val="20"/>
          <w:color w:val="auto"/>
        </w:rPr>
      </w:pPr>
      <w:r>
        <w:rPr>
          <w:rFonts w:ascii="Arial" w:cs="Arial" w:eastAsia="Arial" w:hAnsi="Arial"/>
          <w:sz w:val="16"/>
          <w:szCs w:val="16"/>
          <w:color w:val="auto"/>
        </w:rPr>
        <w:t>Program, with specific exceptions, to report to CMS annually information regarding payments and other transfers of value to physicians and teaching hospitals as well as information regarding ownership and investment interests held by physicians and their immediate family members. The information was initially made publicly available on a searchable website in September 2014 and is disclosed on an annual basis; and</w:t>
      </w:r>
    </w:p>
    <w:p>
      <w:pPr>
        <w:spacing w:after="0" w:line="41" w:lineRule="exact"/>
        <w:rPr>
          <w:sz w:val="20"/>
          <w:szCs w:val="20"/>
          <w:color w:val="auto"/>
        </w:rPr>
      </w:pPr>
    </w:p>
    <w:p>
      <w:pPr>
        <w:ind w:left="660" w:right="80" w:hanging="328"/>
        <w:spacing w:after="0" w:line="342" w:lineRule="auto"/>
        <w:tabs>
          <w:tab w:leader="none" w:pos="6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may apply to sales or marketing arrangements and claims involving health care items or services reimbursed by non-governmental third-party payors, including private insurers.</w:t>
      </w:r>
    </w:p>
    <w:p>
      <w:pPr>
        <w:spacing w:after="0" w:line="124" w:lineRule="exact"/>
        <w:rPr>
          <w:sz w:val="20"/>
          <w:szCs w:val="20"/>
          <w:color w:val="auto"/>
        </w:rPr>
      </w:pPr>
    </w:p>
    <w:p>
      <w:pPr>
        <w:ind w:right="40" w:firstLine="567"/>
        <w:spacing w:after="0" w:line="259" w:lineRule="auto"/>
        <w:rPr>
          <w:sz w:val="20"/>
          <w:szCs w:val="20"/>
          <w:color w:val="auto"/>
        </w:rPr>
      </w:pPr>
      <w:r>
        <w:rPr>
          <w:rFonts w:ascii="Arial" w:cs="Arial" w:eastAsia="Arial" w:hAnsi="Arial"/>
          <w:sz w:val="18"/>
          <w:szCs w:val="18"/>
          <w:color w:val="auto"/>
        </w:rPr>
        <w:t>The ACA, among other things, amended the intent standard of the federal Anti-Kickback Statute and criminal health care fraud statutes to a stricter standard such that a person or entity no longer needs to have actual knowledge of this statute or specific intent to violate it. In addition, the ACA codified case law that a claim including items or services resulting from a violation of the federal Anti-Kickback Statute constitutes a false or fraudulent claim for purposes of the federal False Claims Act.</w:t>
      </w:r>
    </w:p>
    <w:p>
      <w:pPr>
        <w:spacing w:after="0" w:line="187" w:lineRule="exact"/>
        <w:rPr>
          <w:sz w:val="20"/>
          <w:szCs w:val="20"/>
          <w:color w:val="auto"/>
        </w:rPr>
      </w:pPr>
    </w:p>
    <w:p>
      <w:pPr>
        <w:ind w:right="220" w:firstLine="567"/>
        <w:spacing w:after="0" w:line="270" w:lineRule="auto"/>
        <w:rPr>
          <w:sz w:val="20"/>
          <w:szCs w:val="20"/>
          <w:color w:val="auto"/>
        </w:rPr>
      </w:pPr>
      <w:r>
        <w:rPr>
          <w:rFonts w:ascii="Arial" w:cs="Arial" w:eastAsia="Arial" w:hAnsi="Arial"/>
          <w:sz w:val="17"/>
          <w:szCs w:val="17"/>
          <w:color w:val="auto"/>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 care providers or marketing expenditures. For example, several states now require prescription drug companies to report certain expenses relating to the marketing and promotion of drug products and to report gifts and payments to individual health care 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pricing information, including information pertaining to and justifying price increases. Some states further require pharmaceutical companies to implement compliance programs and/or marketing codes. Compliance with these laws is difficult and time consuming, and companies that do not comply with these state laws face civil penalties.</w:t>
      </w:r>
    </w:p>
    <w:p>
      <w:pPr>
        <w:spacing w:after="0" w:line="181" w:lineRule="exact"/>
        <w:rPr>
          <w:sz w:val="20"/>
          <w:szCs w:val="20"/>
          <w:color w:val="auto"/>
        </w:rPr>
      </w:pPr>
    </w:p>
    <w:p>
      <w:pPr>
        <w:ind w:firstLine="567"/>
        <w:spacing w:after="0" w:line="266" w:lineRule="auto"/>
        <w:rPr>
          <w:sz w:val="20"/>
          <w:szCs w:val="20"/>
          <w:color w:val="auto"/>
        </w:rPr>
      </w:pPr>
      <w:r>
        <w:rPr>
          <w:rFonts w:ascii="Arial" w:cs="Arial" w:eastAsia="Arial" w:hAnsi="Arial"/>
          <w:sz w:val="16"/>
          <w:szCs w:val="16"/>
          <w:color w:val="auto"/>
        </w:rPr>
        <w:t>State and foreign laws also govern the privacy and security of health information in some circumstances, many of which differ from each other in significant ways and often are not preempted by HIPAA, thus complicating compliance efforts. For example, the collection and use of health data in the EU and the UK is governed by the General Data Protection Regulation (“GDPR”), which became fully applicable in May 2018 and has been incorporated into the UK’s data protection laws following Brexit. The GDPR extends the geographical scope of EU data protection law to non-EU entities under certain conditions, tightens existing EU data protection principles and creates new obligations for companies and new rights for individuals. The GDPR is complex, and guidance, interpretation and application under the GDPR are still developing. Failure to comply with the GDPR may result in substantial fines and other administrative penalties of up to the greater of €20 million or 4% of worldwide revenue. The GDPR may increase our responsibility and liability in relation to personal data that we process and we may be required to put in place additional mechanisms ensuring compliance with the GDPR. The pending EU ePrivacy Regulation is also expected to establish new requirements applicable to the handling of personal data and imposes penalties for non-compliance. In addition, the GDPR increases the scrutiny of transfers of personal data from clinical trial sites located in the European Economic Area to the United States and other jurisdictions that the European Commission does not recognize as having “adequate” data protection laws. For example, in July 2016, the European Commission adopted the EU-U.S. Privacy Shield Framework (the “Privacy Shield Framework”), which replaced the prior U.S. Safe Harbor scheme. On July 16, 2020, the Court of Justice of the European Union issued a decision, known as Schrems II, that declared the Privacy Shield Framework invalid. The Schrems II decision also resulted in substantial additional compliance obligations for companies that implement standard contractual clauses to ensure a valid basis for the transfer of personal data outside of Europe. The European Commission has also published draft updates to its standard contractual clauses that impose substantial additional obligations on the companies that wish to use the clauses as the basis for their data transfers. Additionally, California enacted the California Consumer Privacy Act (“CCPA”), which became effective on January 1, 2020, and the California Privacy Rights Act (“CPRA”), which modifies the CCPA and creates additional obligations beginning on January 1, 2022. The CCPA and CPRA provide California residents expanded rights to access and delete their personal information, opt out of certain personal information sharing and receive detailed information about how their personal information is used, and provides for civil penalties for violations, as well as a private right of action for data breaches that is expected to increase data breach litigation. The costs of compliance with, and other burdens imposed by, the GDPR, CCPA and other U.S., EU and worldwide laws may impose onerous requirements on our business and, if our efforts to comply with such laws are not successful, our business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0" w:name="page61"/>
    <w:bookmarkEnd w:id="60"/>
    <w:p>
      <w:pPr>
        <w:spacing w:after="0" w:line="306" w:lineRule="exact"/>
        <w:rPr>
          <w:sz w:val="20"/>
          <w:szCs w:val="20"/>
          <w:color w:val="auto"/>
        </w:rPr>
      </w:pPr>
    </w:p>
    <w:p>
      <w:pPr>
        <w:ind w:right="180" w:firstLine="567"/>
        <w:spacing w:after="0" w:line="288" w:lineRule="auto"/>
        <w:rPr>
          <w:sz w:val="20"/>
          <w:szCs w:val="20"/>
          <w:color w:val="auto"/>
        </w:rPr>
      </w:pPr>
      <w:r>
        <w:rPr>
          <w:rFonts w:ascii="Arial" w:cs="Arial" w:eastAsia="Arial" w:hAnsi="Arial"/>
          <w:sz w:val="16"/>
          <w:szCs w:val="16"/>
          <w:color w:val="auto"/>
        </w:rPr>
        <w:t>Efforts to ensure that our current and future business arrangements with third parties will comply with applicable health care laws and regulations will involve substantial costs. It is possible that governmental authorities will conclude that our business practices may not comply with current or future statutes, regulations or case law involving applicable fraud and abuse or other health 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 care programs, such as Medicare and Medicaid,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 care providers or entities with whom we expect to do business is found to be not in compliance with applicable laws, they may be subject to criminal, civil or administrative sanctions, including exclusions from government funded health care programs.</w:t>
      </w:r>
    </w:p>
    <w:p>
      <w:pPr>
        <w:spacing w:after="0" w:line="272"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Our employees may engage in misconduct or other improper activities, including noncompliance with regulatory standards and requirements and insider trading.</w:t>
      </w:r>
    </w:p>
    <w:p>
      <w:pPr>
        <w:spacing w:after="0" w:line="58"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We are exposed to the risk of employee fraud or other misconduct. Misconduct by employees could include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conduct,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obtain or protect intellectual property rights, we may not be able to compete effectively in our market.</w:t>
      </w:r>
    </w:p>
    <w:p>
      <w:pPr>
        <w:spacing w:after="0" w:line="121" w:lineRule="exact"/>
        <w:rPr>
          <w:sz w:val="20"/>
          <w:szCs w:val="20"/>
          <w:color w:val="auto"/>
        </w:rPr>
      </w:pPr>
    </w:p>
    <w:p>
      <w:pPr>
        <w:ind w:right="20" w:firstLine="567"/>
        <w:spacing w:after="0" w:line="286" w:lineRule="auto"/>
        <w:rPr>
          <w:sz w:val="20"/>
          <w:szCs w:val="20"/>
          <w:color w:val="auto"/>
        </w:rPr>
      </w:pPr>
      <w:r>
        <w:rPr>
          <w:rFonts w:ascii="Arial" w:cs="Arial" w:eastAsia="Arial" w:hAnsi="Arial"/>
          <w:sz w:val="16"/>
          <w:szCs w:val="16"/>
          <w:color w:val="auto"/>
        </w:rPr>
        <w:t>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 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306" w:lineRule="exact"/>
        <w:rPr>
          <w:sz w:val="20"/>
          <w:szCs w:val="20"/>
          <w:color w:val="auto"/>
        </w:rPr>
      </w:pPr>
    </w:p>
    <w:p>
      <w:pPr>
        <w:ind w:firstLine="567"/>
        <w:spacing w:after="0" w:line="288" w:lineRule="auto"/>
        <w:rPr>
          <w:sz w:val="20"/>
          <w:szCs w:val="20"/>
          <w:color w:val="auto"/>
        </w:rPr>
      </w:pPr>
      <w:r>
        <w:rPr>
          <w:rFonts w:ascii="Arial" w:cs="Arial" w:eastAsia="Arial" w:hAnsi="Arial"/>
          <w:sz w:val="16"/>
          <w:szCs w:val="16"/>
          <w:color w:val="auto"/>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In the past, we have not always been able to obtain the full scope of patent protection we have initially sought in our patent applications, and as described above and as is typical for most biotechnology patent prosecution, we have been required to narrow or eliminate patent claims as part of the patent prosecution process. In addition, some patent applications that we or our licensors have filed have not resulted in issued patents because we or our licensors have abandoned those patent applications as changes in business and/or legal strategies dictated.</w:t>
      </w:r>
    </w:p>
    <w:p>
      <w:pPr>
        <w:spacing w:after="0" w:line="168" w:lineRule="exact"/>
        <w:rPr>
          <w:sz w:val="20"/>
          <w:szCs w:val="20"/>
          <w:color w:val="auto"/>
        </w:rPr>
      </w:pPr>
    </w:p>
    <w:p>
      <w:pPr>
        <w:ind w:right="60" w:firstLine="567"/>
        <w:spacing w:after="0" w:line="254" w:lineRule="auto"/>
        <w:rPr>
          <w:sz w:val="20"/>
          <w:szCs w:val="20"/>
          <w:color w:val="auto"/>
        </w:rPr>
      </w:pPr>
      <w:r>
        <w:rPr>
          <w:rFonts w:ascii="Arial" w:cs="Arial" w:eastAsia="Arial" w:hAnsi="Arial"/>
          <w:sz w:val="18"/>
          <w:szCs w:val="18"/>
          <w:color w:val="auto"/>
        </w:rPr>
        <w:t>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initiate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95" w:lineRule="exact"/>
        <w:rPr>
          <w:sz w:val="20"/>
          <w:szCs w:val="20"/>
          <w:color w:val="auto"/>
        </w:rPr>
      </w:pPr>
    </w:p>
    <w:p>
      <w:pPr>
        <w:ind w:right="60" w:firstLine="567"/>
        <w:spacing w:after="0" w:line="269" w:lineRule="auto"/>
        <w:rPr>
          <w:sz w:val="20"/>
          <w:szCs w:val="20"/>
          <w:color w:val="auto"/>
        </w:rPr>
      </w:pPr>
      <w:r>
        <w:rPr>
          <w:rFonts w:ascii="Arial" w:cs="Arial" w:eastAsia="Arial" w:hAnsi="Arial"/>
          <w:sz w:val="17"/>
          <w:szCs w:val="17"/>
          <w:color w:val="auto"/>
        </w:rPr>
        <w:t>Because patent applications in the United States and most other countries are confidential for a period of time after filing, and some remain so until issued, we cannot be certain that we or our licensors, licensees, or collaborators were the first to file any patent application related to a product candidate. Furthermore, if third parties have filed such patent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 In addition, patents have a limited lifespan. In the United States, if all maintenance fees are timely paid, the natural expiration of a patent is generally 20 years from its earliest U.S.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w:t>
      </w:r>
    </w:p>
    <w:p>
      <w:pPr>
        <w:spacing w:after="0" w:line="182" w:lineRule="exact"/>
        <w:rPr>
          <w:sz w:val="20"/>
          <w:szCs w:val="20"/>
          <w:color w:val="auto"/>
        </w:rPr>
      </w:pPr>
    </w:p>
    <w:p>
      <w:pPr>
        <w:ind w:right="40" w:firstLine="567"/>
        <w:spacing w:after="0" w:line="289" w:lineRule="auto"/>
        <w:rPr>
          <w:sz w:val="20"/>
          <w:szCs w:val="20"/>
          <w:color w:val="auto"/>
        </w:rPr>
      </w:pPr>
      <w:r>
        <w:rPr>
          <w:rFonts w:ascii="Arial" w:cs="Arial" w:eastAsia="Arial" w:hAnsi="Arial"/>
          <w:sz w:val="16"/>
          <w:szCs w:val="16"/>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and the U.S. Patent and Trademark Office (“USPTO”) in the United States, and any equivalent foreign regulatory authority,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the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protect our intellectual property rights throughout the world.</w:t>
      </w:r>
    </w:p>
    <w:p>
      <w:pPr>
        <w:spacing w:after="0" w:line="121" w:lineRule="exact"/>
        <w:rPr>
          <w:sz w:val="20"/>
          <w:szCs w:val="20"/>
          <w:color w:val="auto"/>
        </w:rPr>
      </w:pPr>
    </w:p>
    <w:p>
      <w:pPr>
        <w:ind w:firstLine="567"/>
        <w:spacing w:after="0" w:line="288" w:lineRule="auto"/>
        <w:rPr>
          <w:sz w:val="20"/>
          <w:szCs w:val="20"/>
          <w:color w:val="auto"/>
        </w:rPr>
      </w:pPr>
      <w:r>
        <w:rPr>
          <w:rFonts w:ascii="Arial" w:cs="Arial" w:eastAsia="Arial" w:hAnsi="Arial"/>
          <w:sz w:val="16"/>
          <w:szCs w:val="16"/>
          <w:color w:val="auto"/>
        </w:rPr>
        <w:t>Filing, prosecuting, enforcing and defending patents on product candidates in all countries throughout the world would be prohibitively expensive, and our or our licensors’, licensees’ or collaborators’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Consequently, we and our licensors, licensees or collaborators may not be able to prevent third parties from practicing our and our licensors’, licensees’ or collaborators’ inventions in all countries outside the United States or from selling or importing products made using our and our licensors’, licensees’ or collaborators’ inventions in and into the United States or other jurisdictions. Competitors may use our and our licensors’, licensees’ or collaborators’ technologies in jurisdictions where we have not obtained patent protection to develop their own products and, further, may export otherwise infringing products to territories where we and our licensors, licensees or collaborators have patent protection but enforcement is not as strong as that in the United States. These products may compete with our product candidates, and our and our licensors’, licensees’ or collaborators’ patents or other intellectual property rights may not be effective or sufficient to prevent them from competing.</w:t>
      </w:r>
    </w:p>
    <w:p>
      <w:pPr>
        <w:spacing w:after="0" w:line="168" w:lineRule="exact"/>
        <w:rPr>
          <w:sz w:val="20"/>
          <w:szCs w:val="20"/>
          <w:color w:val="auto"/>
        </w:rPr>
      </w:pPr>
    </w:p>
    <w:p>
      <w:pPr>
        <w:ind w:right="20" w:firstLine="567"/>
        <w:spacing w:after="0" w:line="269"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and our licensors, licensees or collaborators to stop the infringement of our and our licensors’, licensees’ or collaborators’ patents or marketing of competing products in violation of our and our licensors’, licensees’ or collaborators’ proprietary rights generally. Proceedings to enforce our and our licensors’, licensees’ or collaborators’ patent rights in foreign jurisdictions could result in substantial costs and divert our and our licensors’, licensees’ or collaborators’ efforts and attention from other aspects of our business, could put our and our licensors’, licensees’ or collaborators’ patents at risk of being invalidated or interpreted narrowly and our and our licensors’, licensees’ or collaborators’ patent applications at risk of not issuing and could provoke third parties to assert claims against us or our licensors, licensees or collaborators. We or our licensors, licensees or collaborators may not prevail in any lawsuits that we or our licensors, licensees or collaborators initiate, and the damages or other remedies awarded, if any, may not be commercially meaningful.</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patent law could diminish the value of patents in general, thereby impairing our ability to protect our product candidates.</w:t>
      </w:r>
    </w:p>
    <w:p>
      <w:pPr>
        <w:spacing w:after="0" w:line="133" w:lineRule="exact"/>
        <w:rPr>
          <w:sz w:val="20"/>
          <w:szCs w:val="20"/>
          <w:color w:val="auto"/>
        </w:rPr>
      </w:pPr>
    </w:p>
    <w:p>
      <w:pPr>
        <w:ind w:right="20" w:firstLine="567"/>
        <w:spacing w:after="0" w:line="263"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w:t>
      </w:r>
    </w:p>
    <w:p>
      <w:pPr>
        <w:spacing w:after="0" w:line="184" w:lineRule="exact"/>
        <w:rPr>
          <w:sz w:val="20"/>
          <w:szCs w:val="20"/>
          <w:color w:val="auto"/>
        </w:rPr>
      </w:pPr>
    </w:p>
    <w:p>
      <w:pPr>
        <w:ind w:right="80" w:firstLine="567"/>
        <w:spacing w:after="0" w:line="279" w:lineRule="auto"/>
        <w:rPr>
          <w:sz w:val="20"/>
          <w:szCs w:val="20"/>
          <w:color w:val="auto"/>
        </w:rPr>
      </w:pPr>
      <w:r>
        <w:rPr>
          <w:rFonts w:ascii="Arial" w:cs="Arial" w:eastAsia="Arial" w:hAnsi="Arial"/>
          <w:sz w:val="17"/>
          <w:szCs w:val="17"/>
          <w:color w:val="auto"/>
        </w:rPr>
        <w:t>Patent reform legislation could increase the uncertainties and costs surrounding the prosecution of our and our licensors’, licensees’ or collaborators’ patent applications and the enforcement or defense of our or our licensors’, licensees’ or collaborators’ issued patents. On September 16, 2011, the Leahy-Smith America Invents Act (the “AIA”) was signed into law. The AIA includes a number of significant changes to U.S. patent law. These include provisions that affect the way patent applications are prosecuted and may also affect patent litigation.</w:t>
      </w:r>
    </w:p>
    <w:p>
      <w:pPr>
        <w:spacing w:after="0" w:line="171" w:lineRule="exact"/>
        <w:rPr>
          <w:sz w:val="20"/>
          <w:szCs w:val="20"/>
          <w:color w:val="auto"/>
        </w:rPr>
      </w:pPr>
    </w:p>
    <w:p>
      <w:pPr>
        <w:ind w:right="60" w:firstLine="567"/>
        <w:spacing w:after="0" w:line="275" w:lineRule="auto"/>
        <w:rPr>
          <w:sz w:val="20"/>
          <w:szCs w:val="20"/>
          <w:color w:val="auto"/>
        </w:rPr>
      </w:pPr>
      <w:r>
        <w:rPr>
          <w:rFonts w:ascii="Arial" w:cs="Arial" w:eastAsia="Arial" w:hAnsi="Arial"/>
          <w:sz w:val="17"/>
          <w:szCs w:val="17"/>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176" w:lineRule="exact"/>
        <w:rPr>
          <w:sz w:val="20"/>
          <w:szCs w:val="20"/>
          <w:color w:val="auto"/>
        </w:rPr>
      </w:pPr>
    </w:p>
    <w:p>
      <w:pPr>
        <w:ind w:right="100" w:firstLine="567"/>
        <w:spacing w:after="0" w:line="257" w:lineRule="auto"/>
        <w:rPr>
          <w:sz w:val="20"/>
          <w:szCs w:val="20"/>
          <w:color w:val="auto"/>
        </w:rPr>
      </w:pPr>
      <w:r>
        <w:rPr>
          <w:rFonts w:ascii="Arial" w:cs="Arial" w:eastAsia="Arial" w:hAnsi="Arial"/>
          <w:sz w:val="18"/>
          <w:szCs w:val="18"/>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3" w:name="page64"/>
    <w:bookmarkEnd w:id="63"/>
    <w:p>
      <w:pPr>
        <w:spacing w:after="0" w:line="30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AIA and its implementation could increase the uncertainties and costs surrounding the prosecution of our patent applications and the enforcement or defense of our issued patents.</w:t>
      </w:r>
    </w:p>
    <w:p>
      <w:pPr>
        <w:spacing w:after="0" w:line="187" w:lineRule="exact"/>
        <w:rPr>
          <w:sz w:val="20"/>
          <w:szCs w:val="20"/>
          <w:color w:val="auto"/>
        </w:rPr>
      </w:pPr>
    </w:p>
    <w:p>
      <w:pPr>
        <w:ind w:right="20" w:firstLine="567"/>
        <w:spacing w:after="0" w:line="287" w:lineRule="auto"/>
        <w:rPr>
          <w:sz w:val="20"/>
          <w:szCs w:val="20"/>
          <w:color w:val="auto"/>
        </w:rPr>
      </w:pPr>
      <w:r>
        <w:rPr>
          <w:rFonts w:ascii="Arial" w:cs="Arial" w:eastAsia="Arial" w:hAnsi="Arial"/>
          <w:sz w:val="16"/>
          <w:szCs w:val="16"/>
          <w:color w:val="auto"/>
        </w:rPr>
        <w:t xml:space="preserve">Moreover, future and recent past changes in the patent laws in the U.S. and abroad could impact or could increase the uncertainties and costs surrounding the prosecution of our and our licensors’, licensees’ or collaborators’ patent applications and the enforcement or defense of our or our licensors’, licensees’ or collaborators’ issued patents, which could have an impact on our business and financial conditions. For example, over the past decade, the U.S. Supreme Court and the U.S. Court of Appeals for the Federal Circuit have rendered decisions in several patent cases such as </w:t>
      </w:r>
      <w:r>
        <w:rPr>
          <w:rFonts w:ascii="Arial" w:cs="Arial" w:eastAsia="Arial" w:hAnsi="Arial"/>
          <w:sz w:val="16"/>
          <w:szCs w:val="16"/>
          <w:i w:val="1"/>
          <w:iCs w:val="1"/>
          <w:color w:val="auto"/>
        </w:rPr>
        <w:t>Association</w:t>
      </w:r>
      <w:r>
        <w:rPr>
          <w:rFonts w:ascii="Arial" w:cs="Arial" w:eastAsia="Arial" w:hAnsi="Arial"/>
          <w:sz w:val="16"/>
          <w:szCs w:val="16"/>
          <w:color w:val="auto"/>
        </w:rPr>
        <w:t xml:space="preserve"> </w:t>
      </w:r>
      <w:r>
        <w:rPr>
          <w:rFonts w:ascii="Arial" w:cs="Arial" w:eastAsia="Arial" w:hAnsi="Arial"/>
          <w:sz w:val="16"/>
          <w:szCs w:val="16"/>
          <w:i w:val="1"/>
          <w:iCs w:val="1"/>
          <w:color w:val="auto"/>
        </w:rPr>
        <w:t>for Molecular Pathology v. Myriad Genetics, Inc.</w:t>
      </w:r>
      <w:r>
        <w:rPr>
          <w:rFonts w:ascii="Arial" w:cs="Arial" w:eastAsia="Arial" w:hAnsi="Arial"/>
          <w:sz w:val="16"/>
          <w:szCs w:val="16"/>
          <w:color w:val="auto"/>
        </w:rPr>
        <w:t>,</w:t>
      </w:r>
      <w:r>
        <w:rPr>
          <w:rFonts w:ascii="Arial" w:cs="Arial" w:eastAsia="Arial" w:hAnsi="Arial"/>
          <w:sz w:val="16"/>
          <w:szCs w:val="16"/>
          <w:i w:val="1"/>
          <w:iCs w:val="1"/>
          <w:color w:val="auto"/>
        </w:rPr>
        <w:t xml:space="preserve"> BRCA1- &amp; BRCA2-Based Hereditary Cancer Test Patent Litig</w:t>
      </w:r>
      <w:r>
        <w:rPr>
          <w:rFonts w:ascii="Arial" w:cs="Arial" w:eastAsia="Arial" w:hAnsi="Arial"/>
          <w:sz w:val="16"/>
          <w:szCs w:val="16"/>
          <w:color w:val="auto"/>
        </w:rPr>
        <w:t>., Mayo Collaborative Services v.</w:t>
      </w:r>
      <w:r>
        <w:rPr>
          <w:rFonts w:ascii="Arial" w:cs="Arial" w:eastAsia="Arial" w:hAnsi="Arial"/>
          <w:sz w:val="16"/>
          <w:szCs w:val="16"/>
          <w:i w:val="1"/>
          <w:iCs w:val="1"/>
          <w:color w:val="auto"/>
        </w:rPr>
        <w:t xml:space="preserve"> </w:t>
      </w:r>
      <w:r>
        <w:rPr>
          <w:rFonts w:ascii="Arial" w:cs="Arial" w:eastAsia="Arial" w:hAnsi="Arial"/>
          <w:sz w:val="16"/>
          <w:szCs w:val="16"/>
          <w:color w:val="auto"/>
        </w:rPr>
        <w:t>Prometheus Laboratories, Inc., and Alice Corporation Pty. Ltd. v. CLS Bank International, either narrowing the scope of patent protection available in certain circumstances or weakening the rights of patent owners in certain situations. In addition to increasing uncertainty with regard to our and our licensors’, licensees’ or collaborators’ ability to obtain patents in the future, these type of changes in the patent laws have created uncertainty with respect to the value of patents, once obtained. Depending on decisions by Congress, the federal courts, and the USPTO, the laws and regulations governing patents could change in unpredictable ways that would weaken our and our licensors’, licensees’ or collaborators’ ability to obtain new patents or to enforce existing patents and patents that we and our licensors, licensees or collaborators may obtain in the future.</w:t>
      </w:r>
    </w:p>
    <w:p>
      <w:pPr>
        <w:spacing w:after="0" w:line="276"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2" w:lineRule="exact"/>
        <w:rPr>
          <w:sz w:val="20"/>
          <w:szCs w:val="20"/>
          <w:color w:val="auto"/>
        </w:rPr>
      </w:pPr>
    </w:p>
    <w:p>
      <w:pPr>
        <w:ind w:firstLine="567"/>
        <w:spacing w:after="0" w:line="290" w:lineRule="auto"/>
        <w:rPr>
          <w:sz w:val="20"/>
          <w:szCs w:val="20"/>
          <w:color w:val="auto"/>
        </w:rPr>
      </w:pPr>
      <w:r>
        <w:rPr>
          <w:rFonts w:ascii="Arial" w:cs="Arial" w:eastAsia="Arial" w:hAnsi="Arial"/>
          <w:sz w:val="16"/>
          <w:szCs w:val="16"/>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licensees or collaborators fail to maintain the patents and patent applications covering our product candidates, our competitors might be able to enter the market, which would have an adverse effect on our business.</w:t>
      </w:r>
    </w:p>
    <w:p>
      <w:pPr>
        <w:spacing w:after="0" w:line="26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Our reliance on third parties requires us to share our trade secrets, which increases the possibility that a competitor will discover them or that our trade secrets will be misappropriated or disclosed.</w:t>
      </w:r>
    </w:p>
    <w:p>
      <w:pPr>
        <w:spacing w:after="0" w:line="58" w:lineRule="exact"/>
        <w:rPr>
          <w:sz w:val="20"/>
          <w:szCs w:val="20"/>
          <w:color w:val="auto"/>
        </w:rPr>
      </w:pPr>
    </w:p>
    <w:p>
      <w:pPr>
        <w:ind w:right="20" w:firstLine="567"/>
        <w:spacing w:after="0" w:line="270" w:lineRule="auto"/>
        <w:rPr>
          <w:sz w:val="20"/>
          <w:szCs w:val="20"/>
          <w:color w:val="auto"/>
        </w:rPr>
      </w:pPr>
      <w:r>
        <w:rPr>
          <w:rFonts w:ascii="Arial" w:cs="Arial" w:eastAsia="Arial" w:hAnsi="Arial"/>
          <w:sz w:val="17"/>
          <w:szCs w:val="17"/>
          <w:color w:val="auto"/>
        </w:rPr>
        <w:t>Because we collaborate with various collaborators on the development and commercialization of one or more of our product candidates and because we rely on third parties to manufacture our product candidates, we must, at times, share trade secrets with them. We seek to protect our wholly-owned technology in part by entering into confidentiality agreements and, if applicable, material transfer agreements, consulting agreements or other similar agreements with our advisors, employees, third-party contractors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w:t>
      </w:r>
    </w:p>
    <w:p>
      <w:pPr>
        <w:spacing w:after="0" w:line="181" w:lineRule="exact"/>
        <w:rPr>
          <w:sz w:val="20"/>
          <w:szCs w:val="20"/>
          <w:color w:val="auto"/>
        </w:rPr>
      </w:pPr>
    </w:p>
    <w:p>
      <w:pPr>
        <w:ind w:firstLine="567"/>
        <w:spacing w:after="0" w:line="301" w:lineRule="auto"/>
        <w:rPr>
          <w:sz w:val="20"/>
          <w:szCs w:val="20"/>
          <w:color w:val="auto"/>
        </w:rPr>
      </w:pPr>
      <w:r>
        <w:rPr>
          <w:rFonts w:ascii="Arial" w:cs="Arial" w:eastAsia="Arial" w:hAnsi="Arial"/>
          <w:sz w:val="16"/>
          <w:szCs w:val="16"/>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may be granted rights to publish data arising out of such collaboration, provided that we are notified in advance and given the opportunity to delay publication for a limited time period in order for us to secure patent protection of intellectual property rights arising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4" w:name="page65"/>
    <w:bookmarkEnd w:id="64"/>
    <w:p>
      <w:pPr>
        <w:spacing w:after="0" w:line="30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collaboration, in addition to the opportunity to remove confidential or trade secret information from any such publication. Our existing collaborative research and development programs may require us to share trade secrets under the terms of our research and development collaborations or similar agreements. Despite our efforts to protect our trade secrets, our competitors may discover our trade secrets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292"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We may become involved in lawsuits to protect or enforce our intellectual property, which could be expensive, time-consuming and unsuccessful and have an adverse effect on the success of our business.</w:t>
      </w:r>
    </w:p>
    <w:p>
      <w:pPr>
        <w:spacing w:after="0" w:line="58" w:lineRule="exact"/>
        <w:rPr>
          <w:sz w:val="20"/>
          <w:szCs w:val="20"/>
          <w:color w:val="auto"/>
        </w:rPr>
      </w:pPr>
    </w:p>
    <w:p>
      <w:pPr>
        <w:ind w:firstLine="567"/>
        <w:spacing w:after="0" w:line="252" w:lineRule="auto"/>
        <w:rPr>
          <w:sz w:val="20"/>
          <w:szCs w:val="20"/>
          <w:color w:val="auto"/>
        </w:rPr>
      </w:pPr>
      <w:r>
        <w:rPr>
          <w:rFonts w:ascii="Arial" w:cs="Arial" w:eastAsia="Arial" w:hAnsi="Arial"/>
          <w:sz w:val="17"/>
          <w:szCs w:val="17"/>
          <w:color w:val="auto"/>
        </w:rPr>
        <w:t>Third parties may infringe our or our licensors’, licensees’ or collaborators’ patents or misappropriate or otherwise violate our or our licensors’, licensees’ or collaborators’ intellectual property rights. In the future, we or our licensors, licensees or collaborators may initiate legal proceedings to enforce or defend our or our licensors’, licensees’ or collaborators’ intellectual property rights, such as the litigation we initiated in August 2020 to enforce our rights under our collaboration with GSK, to protect our or our licensors’, licensees’ or collaborators’ trade secrets or to determine the validity or scope of intellectual property rights we own or control. Also, third parties may initiate legal proceedings against us or our licensors, licensees or collaborators to challenge the validity or scope of intellectual property rights we own or control. These proceedings can be expensive and time-consuming, and many of our or our licensors’, licensees’ or collaborators’ adversaries in these proceedings may have the ability to dedicate substantially greater resources to prosecuting these legal actions than we or our licensors, licensees or collaborators. In addition, in an infringement proceeding, a court may decide that a patent owned by or licensed to us is invalid or unenforceable, or may refuse to stop the other party from using the technology at issue on the grounds that our or our licensors’, licensees’ or collaborators’ patents do not cover the technology in question. Furthermore, an adverse result in any litigation or administrative proceeding could put one or more of our or our licensors’, licensees’ or collaborators’ patents at risk of being invalidated, held unenforceable or interpreted narrowly.</w:t>
      </w:r>
    </w:p>
    <w:p>
      <w:pPr>
        <w:spacing w:after="0" w:line="183" w:lineRule="exact"/>
        <w:rPr>
          <w:sz w:val="20"/>
          <w:szCs w:val="20"/>
          <w:color w:val="auto"/>
        </w:rPr>
      </w:pPr>
    </w:p>
    <w:p>
      <w:pPr>
        <w:ind w:right="120" w:firstLine="567"/>
        <w:spacing w:after="0" w:line="259" w:lineRule="auto"/>
        <w:rPr>
          <w:sz w:val="20"/>
          <w:szCs w:val="20"/>
          <w:color w:val="auto"/>
        </w:rPr>
      </w:pPr>
      <w:r>
        <w:rPr>
          <w:rFonts w:ascii="Arial" w:cs="Arial" w:eastAsia="Arial" w:hAnsi="Arial"/>
          <w:sz w:val="18"/>
          <w:szCs w:val="18"/>
          <w:color w:val="auto"/>
        </w:rPr>
        <w:t>Accordingly, despite our or our licensors’, licensees’ or collaborators’ efforts, we or our licensors, licensees or collaborators may not prevent third parties from infringing upon or misappropriating intellectual property rights we own or control, particularly in countries where the laws may not protect those rights as fully as in the United States. In addition, litigation and administrative proceedings could result in substantial costs and diversion of management resources, which could harm our business and financial results.</w:t>
      </w:r>
    </w:p>
    <w:p>
      <w:pPr>
        <w:spacing w:after="0" w:line="187" w:lineRule="exact"/>
        <w:rPr>
          <w:sz w:val="20"/>
          <w:szCs w:val="20"/>
          <w:color w:val="auto"/>
        </w:rPr>
      </w:pPr>
    </w:p>
    <w:p>
      <w:pPr>
        <w:ind w:right="40" w:firstLine="567"/>
        <w:spacing w:after="0" w:line="269" w:lineRule="auto"/>
        <w:rPr>
          <w:sz w:val="20"/>
          <w:szCs w:val="20"/>
          <w:color w:val="auto"/>
        </w:rPr>
      </w:pPr>
      <w:r>
        <w:rPr>
          <w:rFonts w:ascii="Arial" w:cs="Arial" w:eastAsia="Arial" w:hAnsi="Arial"/>
          <w:sz w:val="17"/>
          <w:szCs w:val="17"/>
          <w:color w:val="auto"/>
        </w:rPr>
        <w:t>Within and outside of the United States, there has been a substantial amount of litigation and administrative proceedings regarding patent and other intellectual property rights in the pharmaceutical industry including opposition, derivation, reexamination, inter partes review or interference proceedings, or other preissuance or post-grant proceedings. Such proceedings may be provoked by third parties or by us or our licensors, licensees or collaborators to protect or enforce our or our licensors’, licensees’ or collaborators’ patents or patent applications. Additionally, third-party preissuance submission of prior art to the USPTO or other foreign jurisdictions may jeopardize the issuance or scope of our or our licensors’, licensees’ or collaborators’ patent applications. An unfavorable outcome in any such proceedings could require us or our licensors, licensees or collaborators to cease using the related technology, or to attempt to license rights to it from the prevailing party. Our business could be harmed if the prevailing party does not offer us or our licensors, licensees or collaborators a license on commercially reasonable terms or at all, and we could be forced to stop commercializing our product candidates. Even if we or our licensors, licensees or collaborators obtain a license, it may be non-exclusive, thereby giving our competitors access to the same technologies licensed to us or our licensors, licensees or collaborators.</w:t>
      </w:r>
    </w:p>
    <w:p>
      <w:pPr>
        <w:spacing w:after="0" w:line="185" w:lineRule="exact"/>
        <w:rPr>
          <w:sz w:val="20"/>
          <w:szCs w:val="20"/>
          <w:color w:val="auto"/>
        </w:rPr>
      </w:pPr>
    </w:p>
    <w:p>
      <w:pPr>
        <w:jc w:val="both"/>
        <w:ind w:right="140" w:firstLine="567"/>
        <w:spacing w:after="0" w:line="301" w:lineRule="auto"/>
        <w:rPr>
          <w:sz w:val="20"/>
          <w:szCs w:val="20"/>
          <w:color w:val="auto"/>
        </w:rPr>
      </w:pPr>
      <w:r>
        <w:rPr>
          <w:rFonts w:ascii="Arial" w:cs="Arial" w:eastAsia="Arial" w:hAnsi="Arial"/>
          <w:sz w:val="16"/>
          <w:szCs w:val="16"/>
          <w:color w:val="auto"/>
        </w:rPr>
        <w:t>In addition, if the breadth or strength of protection provided by our or our licensors’, licensees’ or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157" w:lineRule="exact"/>
        <w:rPr>
          <w:sz w:val="20"/>
          <w:szCs w:val="20"/>
          <w:color w:val="auto"/>
        </w:rPr>
      </w:pPr>
    </w:p>
    <w:p>
      <w:pPr>
        <w:jc w:val="both"/>
        <w:ind w:right="80" w:firstLine="567"/>
        <w:spacing w:after="0" w:line="263"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5" w:name="page66"/>
    <w:bookmarkEnd w:id="65"/>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securities analysts or investors perceive these results to be negative, it could have an adverse effect on the price of shares of our common stock.</w:t>
      </w:r>
    </w:p>
    <w:p>
      <w:pPr>
        <w:spacing w:after="0" w:line="341" w:lineRule="exact"/>
        <w:rPr>
          <w:sz w:val="20"/>
          <w:szCs w:val="20"/>
          <w:color w:val="auto"/>
        </w:rPr>
      </w:pPr>
    </w:p>
    <w:p>
      <w:pPr>
        <w:ind w:right="1420"/>
        <w:spacing w:after="0" w:line="282" w:lineRule="auto"/>
        <w:rPr>
          <w:sz w:val="20"/>
          <w:szCs w:val="20"/>
          <w:color w:val="auto"/>
        </w:rPr>
      </w:pPr>
      <w:r>
        <w:rPr>
          <w:rFonts w:ascii="Arial" w:cs="Arial" w:eastAsia="Arial" w:hAnsi="Arial"/>
          <w:sz w:val="18"/>
          <w:szCs w:val="18"/>
          <w:b w:val="1"/>
          <w:bCs w:val="1"/>
          <w:color w:val="auto"/>
        </w:rPr>
        <w:t>If we breach the license agreements related to our product candidates, we could lose the ability to continue the development and commercialization of our product candidates.</w:t>
      </w:r>
    </w:p>
    <w:p>
      <w:pPr>
        <w:spacing w:after="0" w:line="58"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Our commercial success depends upon our ability, and the ability of our licensors, licensees and collaborators, to develop, manufacture, market and sell our product candidates and use our and our licensors’, licensees’ or collaborators’ wholly-owned technologies without infringing the proprietary rights of third parties. A third party may hold intellectual property, including patent rights that are important or necessary to the development of our products. As a result, we are a party to a number of technology licenses that are important to our business and expect to enter into additional licenses in the future. For example, we have in-licensed the rights to certain intellectual property relating to SHM under our in-license agreement with the Medical Research Council, which is the subject of issued patents and pending patent applications in certain countries. If we fail to comply with the obligations under these agreements, including payment and diligence terms, our licensors may have the right to terminate these agreements, in which event we may not be able to develop, manufacture, market or sell any product that is covered by these agreements or may face other penalties under the agreements. Such an occurrence could adversely affect the value of the product candidate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Disputes may arise regarding intellectual property subject to a licensing agreement, including:</w:t>
      </w:r>
    </w:p>
    <w:p>
      <w:pPr>
        <w:spacing w:after="0" w:line="117"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any collaboration relationships we might enter into in the future;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7"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us and our licensors, licensees or collaborators;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right="720" w:firstLine="567"/>
        <w:spacing w:after="0" w:line="277"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274"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72" w:lineRule="exact"/>
        <w:rPr>
          <w:sz w:val="20"/>
          <w:szCs w:val="20"/>
          <w:color w:val="auto"/>
        </w:rPr>
      </w:pPr>
    </w:p>
    <w:p>
      <w:pPr>
        <w:ind w:right="60" w:firstLine="567"/>
        <w:spacing w:after="0" w:line="273" w:lineRule="auto"/>
        <w:rPr>
          <w:sz w:val="20"/>
          <w:szCs w:val="20"/>
          <w:color w:val="auto"/>
        </w:rPr>
      </w:pPr>
      <w:r>
        <w:rPr>
          <w:rFonts w:ascii="Arial" w:cs="Arial" w:eastAsia="Arial" w:hAnsi="Arial"/>
          <w:sz w:val="17"/>
          <w:szCs w:val="17"/>
          <w:color w:val="auto"/>
        </w:rPr>
        <w:t>Third parties may initiate legal proceedings against us or our licensors, licensees or collaborators alleging that we or our licensors, licensees or collaborators infringe their intellectual property rights or that we or our licensors, licensees or collaborators may initiate legal proceedings against third parties to challenge the validity or scope of intellectual property rights controlled by third parties, including in oppositions, interferences, reexaminations, post-grant reviews, inter partes reviews or derivation proceedings in the United States or other jurisdictions. These proceedings can be expensive and time-consuming, and many of our or our licensors’, licensees’ or collaborators’ adversaries in these proceedings may have the ability to dedicate substantially greater resources to prosecuting these legal actions than we or our licensors, licensees or collaborators.</w:t>
      </w:r>
    </w:p>
    <w:p>
      <w:pPr>
        <w:spacing w:after="0" w:line="178" w:lineRule="exact"/>
        <w:rPr>
          <w:sz w:val="20"/>
          <w:szCs w:val="20"/>
          <w:color w:val="auto"/>
        </w:rPr>
      </w:pPr>
    </w:p>
    <w:p>
      <w:pPr>
        <w:ind w:right="180" w:firstLine="567"/>
        <w:spacing w:after="0" w:line="263" w:lineRule="auto"/>
        <w:rPr>
          <w:sz w:val="20"/>
          <w:szCs w:val="20"/>
          <w:color w:val="auto"/>
        </w:rPr>
      </w:pPr>
      <w:r>
        <w:rPr>
          <w:rFonts w:ascii="Arial" w:cs="Arial" w:eastAsia="Arial" w:hAnsi="Arial"/>
          <w:sz w:val="18"/>
          <w:szCs w:val="18"/>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6" w:name="page67"/>
    <w:bookmarkEnd w:id="66"/>
    <w:p>
      <w:pPr>
        <w:spacing w:after="0" w:line="30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resources from our business. An unfavorable outcome could require us or our licensors, licensees or collaborators to cease using the related technology, to cease developing or commercializing our product candidates or to attempt to license rights to it from the prevailing party. Our business could be harmed if the prevailing party does not offer us or our licensors, licensees or collaborators a license on commercially reasonable terms or at all. Even if we or our licensors, licensees or collaborators obtain a license, it may be non-exclusive, thereby giving our competitors access to the same technologies licensed to us or our licensors, licensees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w:t>
      </w:r>
    </w:p>
    <w:p>
      <w:pPr>
        <w:spacing w:after="0" w:line="281"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We may be subject to claims by third parties asserting that our employees or we have misappropriated their intellectual property or claiming ownership of what we regard as our own intellectual property.</w:t>
      </w:r>
    </w:p>
    <w:p>
      <w:pPr>
        <w:spacing w:after="0" w:line="58" w:lineRule="exact"/>
        <w:rPr>
          <w:sz w:val="20"/>
          <w:szCs w:val="20"/>
          <w:color w:val="auto"/>
        </w:rPr>
      </w:pPr>
    </w:p>
    <w:p>
      <w:pPr>
        <w:ind w:right="40" w:firstLine="567"/>
        <w:spacing w:after="0" w:line="255" w:lineRule="auto"/>
        <w:rPr>
          <w:sz w:val="20"/>
          <w:szCs w:val="20"/>
          <w:color w:val="auto"/>
        </w:rPr>
      </w:pPr>
      <w:r>
        <w:rPr>
          <w:rFonts w:ascii="Arial" w:cs="Arial" w:eastAsia="Arial" w:hAnsi="Arial"/>
          <w:sz w:val="18"/>
          <w:szCs w:val="18"/>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192"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which license could be non-exclusive, thereby giving our competitors access to the same technologies licensed to us. Such a license may not be available on commercially reasonable terms or at all. Even if we successfully prosecute or defend against such claims, litigation could result in substantial costs and distract management.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inability to protect our confidential information and trade secrets would harm our business and competitive position.</w:t>
      </w:r>
    </w:p>
    <w:p>
      <w:pPr>
        <w:spacing w:after="0" w:line="121" w:lineRule="exact"/>
        <w:rPr>
          <w:sz w:val="20"/>
          <w:szCs w:val="20"/>
          <w:color w:val="auto"/>
        </w:rPr>
      </w:pPr>
    </w:p>
    <w:p>
      <w:pPr>
        <w:ind w:right="60" w:firstLine="567"/>
        <w:spacing w:after="0" w:line="269" w:lineRule="auto"/>
        <w:rPr>
          <w:sz w:val="20"/>
          <w:szCs w:val="20"/>
          <w:color w:val="auto"/>
        </w:rPr>
      </w:pPr>
      <w:r>
        <w:rPr>
          <w:rFonts w:ascii="Arial" w:cs="Arial" w:eastAsia="Arial" w:hAnsi="Arial"/>
          <w:sz w:val="17"/>
          <w:szCs w:val="17"/>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286"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If we do not obtain protection under the Hatch-Waxman Amendments and similar foreign legislation for extending the term of patents covering each of our product candidates, our business may be harmed.</w:t>
      </w:r>
    </w:p>
    <w:p>
      <w:pPr>
        <w:spacing w:after="0" w:line="58" w:lineRule="exact"/>
        <w:rPr>
          <w:sz w:val="20"/>
          <w:szCs w:val="20"/>
          <w:color w:val="auto"/>
        </w:rPr>
      </w:pPr>
    </w:p>
    <w:p>
      <w:pPr>
        <w:ind w:right="40" w:firstLine="567"/>
        <w:spacing w:after="0" w:line="273" w:lineRule="auto"/>
        <w:rPr>
          <w:sz w:val="20"/>
          <w:szCs w:val="20"/>
          <w:color w:val="auto"/>
        </w:rPr>
      </w:pPr>
      <w:r>
        <w:rPr>
          <w:rFonts w:ascii="Arial" w:cs="Arial" w:eastAsia="Arial" w:hAnsi="Arial"/>
          <w:sz w:val="17"/>
          <w:szCs w:val="17"/>
          <w:color w:val="auto"/>
        </w:rPr>
        <w:t>Depending upon the timing, duration and conditions of FDA marketing approval of our product candidates, one or more of our U.S. patents may be eligible for limited patent term extension under the Drug Price Competition and Patent Term Restoration Act of 1984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98"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stock has been and may continue to be volatile, and you could lose all or part of your investment.</w:t>
      </w:r>
    </w:p>
    <w:p>
      <w:pPr>
        <w:spacing w:after="0" w:line="121" w:lineRule="exact"/>
        <w:rPr>
          <w:sz w:val="20"/>
          <w:szCs w:val="20"/>
          <w:color w:val="auto"/>
        </w:rPr>
      </w:pPr>
    </w:p>
    <w:p>
      <w:pPr>
        <w:ind w:right="300" w:firstLine="567"/>
        <w:spacing w:after="0" w:line="308" w:lineRule="auto"/>
        <w:rPr>
          <w:sz w:val="20"/>
          <w:szCs w:val="20"/>
          <w:color w:val="auto"/>
        </w:rPr>
      </w:pPr>
      <w:r>
        <w:rPr>
          <w:rFonts w:ascii="Arial" w:cs="Arial" w:eastAsia="Arial" w:hAnsi="Arial"/>
          <w:sz w:val="17"/>
          <w:szCs w:val="17"/>
          <w:color w:val="auto"/>
        </w:rPr>
        <w:t>The trading price of our common stock may be highly volatile and subject to wide fluctuations in response to various factors, some of which we cannot control. In addition to the factors discussed in this “Risk Factors” section and elsewhere in this report, these factors include:</w:t>
      </w:r>
    </w:p>
    <w:p>
      <w:pPr>
        <w:spacing w:after="0" w:line="38"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success of competitive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collaborations, joint ventures, collaborations or capital commitments;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results of preclinical studies and clinical trials of our product candidates or those of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developments with respect to our existing collaboration agreements and announcements of new collaboration agreements;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disputes, breaches and terminations of our manufacturing agreements, collaborations agreements or other important agreements;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additional product candidates or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structure of health care payment systems;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market conditions in the biotechnology sector;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ind w:firstLine="567"/>
        <w:spacing w:after="0" w:line="279" w:lineRule="auto"/>
        <w:rPr>
          <w:sz w:val="20"/>
          <w:szCs w:val="20"/>
          <w:color w:val="auto"/>
        </w:rPr>
      </w:pPr>
      <w:r>
        <w:rPr>
          <w:rFonts w:ascii="Arial" w:cs="Arial" w:eastAsia="Arial" w:hAnsi="Arial"/>
          <w:sz w:val="16"/>
          <w:szCs w:val="16"/>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following periods of volatility in the overall market and the market price of a particular company’s securities, securities class action litigation has often been instituted against these companies. We are currently subject to securities litigation, which is described in Item 1, “Legal Proceedings.” This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306"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future securities litigation could result in substantial costs and a diversion of our management’s attention and resources. The realization of any of the above risks or any of a broad range of other risks, including those described in this “Risk Factors” section, could have a dramatic and adverse impact on the market price of our common stock.</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broad discretion in the use of the net proceeds from our public offerings and may not use them effectively.</w:t>
      </w:r>
    </w:p>
    <w:p>
      <w:pPr>
        <w:spacing w:after="0" w:line="121" w:lineRule="exact"/>
        <w:rPr>
          <w:sz w:val="20"/>
          <w:szCs w:val="20"/>
          <w:color w:val="auto"/>
        </w:rPr>
      </w:pPr>
    </w:p>
    <w:p>
      <w:pPr>
        <w:ind w:right="180" w:firstLine="567"/>
        <w:spacing w:after="0" w:line="279" w:lineRule="auto"/>
        <w:rPr>
          <w:sz w:val="20"/>
          <w:szCs w:val="20"/>
          <w:color w:val="auto"/>
        </w:rPr>
      </w:pPr>
      <w:r>
        <w:rPr>
          <w:rFonts w:ascii="Arial" w:cs="Arial" w:eastAsia="Arial" w:hAnsi="Arial"/>
          <w:sz w:val="17"/>
          <w:szCs w:val="17"/>
          <w:color w:val="auto"/>
        </w:rPr>
        <w:t>Our management has broad discretion in the application of the net proceeds from our public offerings, and you will be relying on the judgment of our management regarding the application of these proceeds. Our management might not apply the net proceeds from our public offerings in ways that ultimately increase the value of your investment. If we do not invest or apply the net proceeds from our public offerings in ways that enhance stockholder value, we may fail to achieve expected financial results, which could cause our stock price to decline.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securities litigation, which is expensive and could divert management attention.</w:t>
      </w:r>
    </w:p>
    <w:p>
      <w:pPr>
        <w:spacing w:after="0" w:line="121" w:lineRule="exact"/>
        <w:rPr>
          <w:sz w:val="20"/>
          <w:szCs w:val="20"/>
          <w:color w:val="auto"/>
        </w:rPr>
      </w:pPr>
    </w:p>
    <w:p>
      <w:pPr>
        <w:ind w:right="20" w:firstLine="567"/>
        <w:spacing w:after="0" w:line="262" w:lineRule="auto"/>
        <w:rPr>
          <w:sz w:val="20"/>
          <w:szCs w:val="20"/>
          <w:color w:val="auto"/>
        </w:rPr>
      </w:pPr>
      <w:r>
        <w:rPr>
          <w:rFonts w:ascii="Arial" w:cs="Arial" w:eastAsia="Arial" w:hAnsi="Arial"/>
          <w:sz w:val="17"/>
          <w:szCs w:val="17"/>
          <w:color w:val="auto"/>
        </w:rPr>
        <w:t>The market price of our common stock is volatile and, in the past, companies that have experienced volatility in the market price of their stock have been subject to securities class action litigation. We have been, and may in the future be, the target of this type of litigation. We are currently subject to securities litigation, which is described in Item 1, “Legal Proceedings.” Regardless of the outcome, these matters or future litigation against us could result in substantial costs and divert our management’s attention from other business concerns, which could seriously harm our business.</w:t>
      </w:r>
    </w:p>
    <w:p>
      <w:pPr>
        <w:spacing w:after="0" w:line="276"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The requirements of being a public company may strain our resources, divert management’s attention, and affect our ability to attract and retain additional executive management and qualified board members.</w:t>
      </w:r>
    </w:p>
    <w:p>
      <w:pPr>
        <w:spacing w:after="0" w:line="58" w:lineRule="exact"/>
        <w:rPr>
          <w:sz w:val="20"/>
          <w:szCs w:val="20"/>
          <w:color w:val="auto"/>
        </w:rPr>
      </w:pPr>
    </w:p>
    <w:p>
      <w:pPr>
        <w:ind w:firstLine="567"/>
        <w:spacing w:after="0" w:line="252" w:lineRule="auto"/>
        <w:rPr>
          <w:sz w:val="20"/>
          <w:szCs w:val="20"/>
          <w:color w:val="auto"/>
        </w:rPr>
      </w:pPr>
      <w:r>
        <w:rPr>
          <w:rFonts w:ascii="Arial" w:cs="Arial" w:eastAsia="Arial" w:hAnsi="Arial"/>
          <w:sz w:val="17"/>
          <w:szCs w:val="17"/>
          <w:color w:val="auto"/>
        </w:rPr>
        <w:t>We are subject to the reporting requirements of the Exchange Act, the Sarbanes-Oxley Act, the Dodd-Frank Wall Street Reform and Protection Act, as well as rules adopted, and to be adopted, by the SEC and the Nasdaq Global Select Market. Our management and other personnel devote a substantial amount of time to these compliance initiatives. In addition, changing laws, regulations, and standards relating to corporate governance and public disclosure are creating uncertainty for public companies, increasing legal and financial compliance costs, and making some activities more time consuming. We intend to continue to invest resources to comply with evolving laws, regulations, and standards, and this investment may result in increased general and administrative expenses and a diversion of management’s time and attention.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For example, we expect these rules and regulations to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and future requirements. The impact of these requirements could also make it more difficult for us to attract and retain qualified persons to serve on our board of directors, our board committees or as executive officers.</w:t>
      </w:r>
    </w:p>
    <w:p>
      <w:pPr>
        <w:spacing w:after="0" w:line="183"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In addition, we are required to maintain internal control over financial reporting and to report any material weaknesses in such internal control. Section 404 of the Sarbanes-Oxley Act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financial statements may be materially misstated. We have only recently compiled the systems, processes and documentation necessary to comply with Section 404 of the Sarbanes-Oxley Act. We will need to maintain and enhance these processes and controls as we grow, and we may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Regardless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289" w:lineRule="exact"/>
        <w:rPr>
          <w:sz w:val="20"/>
          <w:szCs w:val="20"/>
          <w:color w:val="auto"/>
        </w:rPr>
      </w:pPr>
    </w:p>
    <w:p>
      <w:pPr>
        <w:ind w:right="460"/>
        <w:spacing w:after="0" w:line="312" w:lineRule="auto"/>
        <w:rPr>
          <w:sz w:val="20"/>
          <w:szCs w:val="20"/>
          <w:color w:val="auto"/>
        </w:rPr>
      </w:pPr>
      <w:r>
        <w:rPr>
          <w:rFonts w:ascii="Arial" w:cs="Arial" w:eastAsia="Arial" w:hAnsi="Arial"/>
          <w:sz w:val="17"/>
          <w:szCs w:val="17"/>
          <w:b w:val="1"/>
          <w:b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98" w:lineRule="exact"/>
        <w:rPr>
          <w:sz w:val="20"/>
          <w:szCs w:val="20"/>
          <w:color w:val="auto"/>
        </w:rPr>
      </w:pPr>
    </w:p>
    <w:p>
      <w:pPr>
        <w:ind w:firstLine="567"/>
        <w:spacing w:after="0" w:line="290" w:lineRule="auto"/>
        <w:rPr>
          <w:sz w:val="20"/>
          <w:szCs w:val="20"/>
          <w:color w:val="auto"/>
        </w:rPr>
      </w:pPr>
      <w:r>
        <w:rPr>
          <w:rFonts w:ascii="Arial" w:cs="Arial" w:eastAsia="Arial" w:hAnsi="Arial"/>
          <w:sz w:val="16"/>
          <w:szCs w:val="16"/>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We also have registered all shares of common stock that we may issue under our equity incentive plans or that are issuable upon exercise of outstanding options. These shares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 Such sales may also result in material dilution to our existing stockholders, and new investors could gain rights, preferences and privileges senior to the holders of our common stock.</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disclosure controls and procedures may not prevent or detect all errors or acts of fraud.</w:t>
      </w:r>
    </w:p>
    <w:p>
      <w:pPr>
        <w:spacing w:after="0" w:line="121" w:lineRule="exact"/>
        <w:rPr>
          <w:sz w:val="20"/>
          <w:szCs w:val="20"/>
          <w:color w:val="auto"/>
        </w:rPr>
      </w:pPr>
    </w:p>
    <w:p>
      <w:pPr>
        <w:ind w:right="80" w:firstLine="567"/>
        <w:spacing w:after="0" w:line="257"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8"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pay dividends on our common stock, so any returns will be limited to the value of our stock.</w:t>
      </w:r>
    </w:p>
    <w:p>
      <w:pPr>
        <w:spacing w:after="0" w:line="121" w:lineRule="exact"/>
        <w:rPr>
          <w:sz w:val="20"/>
          <w:szCs w:val="20"/>
          <w:color w:val="auto"/>
        </w:rPr>
      </w:pPr>
    </w:p>
    <w:p>
      <w:pPr>
        <w:ind w:right="140" w:firstLine="567"/>
        <w:spacing w:after="0" w:line="263"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288" w:lineRule="exact"/>
        <w:rPr>
          <w:sz w:val="20"/>
          <w:szCs w:val="20"/>
          <w:color w:val="auto"/>
        </w:rPr>
      </w:pPr>
    </w:p>
    <w:p>
      <w:pPr>
        <w:ind w:right="480"/>
        <w:spacing w:after="0" w:line="312" w:lineRule="auto"/>
        <w:rPr>
          <w:sz w:val="20"/>
          <w:szCs w:val="20"/>
          <w:color w:val="auto"/>
        </w:rPr>
      </w:pPr>
      <w:r>
        <w:rPr>
          <w:rFonts w:ascii="Arial" w:cs="Arial" w:eastAsia="Arial" w:hAnsi="Arial"/>
          <w:sz w:val="17"/>
          <w:szCs w:val="17"/>
          <w:b w:val="1"/>
          <w:bCs w:val="1"/>
          <w:color w:val="auto"/>
        </w:rPr>
        <w:t>Provisions in our restated certificate of incorporation and restated bylaws and Delaware law might discourage, delay or prevent a change in control of our company or changes in our management and, therefore, depress the market price of our common stock.</w:t>
      </w:r>
    </w:p>
    <w:p>
      <w:pPr>
        <w:spacing w:after="0" w:line="36" w:lineRule="exact"/>
        <w:rPr>
          <w:sz w:val="20"/>
          <w:szCs w:val="20"/>
          <w:color w:val="auto"/>
        </w:rPr>
      </w:pPr>
    </w:p>
    <w:p>
      <w:pPr>
        <w:ind w:right="80" w:firstLine="567"/>
        <w:spacing w:after="0" w:line="263" w:lineRule="auto"/>
        <w:rPr>
          <w:sz w:val="20"/>
          <w:szCs w:val="20"/>
          <w:color w:val="auto"/>
        </w:rPr>
      </w:pPr>
      <w:r>
        <w:rPr>
          <w:rFonts w:ascii="Arial" w:cs="Arial" w:eastAsia="Arial" w:hAnsi="Arial"/>
          <w:sz w:val="18"/>
          <w:szCs w:val="18"/>
          <w:color w:val="auto"/>
        </w:rPr>
        <w:t>Our restated certificate of incorporation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76"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restated certificate of incorporation and restated bylaws;</w:t>
      </w:r>
    </w:p>
    <w:p>
      <w:pPr>
        <w:spacing w:after="0" w:line="117"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prohibit cumulative voting;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0" w:name="page71"/>
    <w:bookmarkEnd w:id="70"/>
    <w:p>
      <w:pPr>
        <w:spacing w:after="0" w:line="198" w:lineRule="exact"/>
        <w:rPr>
          <w:sz w:val="20"/>
          <w:szCs w:val="20"/>
          <w:color w:val="auto"/>
        </w:rPr>
      </w:pPr>
    </w:p>
    <w:p>
      <w:pPr>
        <w:ind w:left="660" w:right="6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w:t>
      </w:r>
    </w:p>
    <w:p>
      <w:pPr>
        <w:spacing w:after="0" w:line="170" w:lineRule="exact"/>
        <w:rPr>
          <w:sz w:val="20"/>
          <w:szCs w:val="20"/>
          <w:color w:val="auto"/>
        </w:rPr>
      </w:pPr>
    </w:p>
    <w:p>
      <w:pPr>
        <w:ind w:right="120" w:firstLine="567"/>
        <w:spacing w:after="0" w:line="263" w:lineRule="auto"/>
        <w:rPr>
          <w:sz w:val="20"/>
          <w:szCs w:val="20"/>
          <w:color w:val="auto"/>
        </w:rPr>
      </w:pPr>
      <w:r>
        <w:rPr>
          <w:rFonts w:ascii="Arial" w:cs="Arial" w:eastAsia="Arial" w:hAnsi="Arial"/>
          <w:sz w:val="18"/>
          <w:szCs w:val="18"/>
          <w:color w:val="auto"/>
        </w:rPr>
        <w:t>In addition, Section 203 of the Delaware General Corporation Law (“DGCL”) may discourage, delay or prevent a change in control of our company. Section 203 of the DGCL imposes certain restrictions on mergers, business combinations and other transactions between us and holders of 15% or more of our common stock.</w:t>
      </w:r>
    </w:p>
    <w:p>
      <w:pPr>
        <w:spacing w:after="0" w:line="28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securities or industry analysts do not publish research or reports about our business, or if they issue an adverse or misleading opinion regarding our stock, our stock price and trading volume could decline.</w:t>
      </w:r>
    </w:p>
    <w:p>
      <w:pPr>
        <w:spacing w:after="0" w:line="58"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clinical trial results or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92"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We plan to use potential future operating losses and our federal and state net operating loss (“NOL”) carryforwards to offset taxable income from revenue generated from operations or corporate collaborations. However, our ability to use NOL carryforwards could be limited as a result of additional issuances of equity securities.</w:t>
      </w:r>
    </w:p>
    <w:p>
      <w:pPr>
        <w:spacing w:after="0" w:line="72" w:lineRule="exact"/>
        <w:rPr>
          <w:sz w:val="20"/>
          <w:szCs w:val="20"/>
          <w:color w:val="auto"/>
        </w:rPr>
      </w:pPr>
    </w:p>
    <w:p>
      <w:pPr>
        <w:ind w:right="60" w:firstLine="567"/>
        <w:spacing w:after="0" w:line="287" w:lineRule="auto"/>
        <w:rPr>
          <w:sz w:val="20"/>
          <w:szCs w:val="20"/>
          <w:color w:val="auto"/>
        </w:rPr>
      </w:pPr>
      <w:r>
        <w:rPr>
          <w:rFonts w:ascii="Arial" w:cs="Arial" w:eastAsia="Arial" w:hAnsi="Arial"/>
          <w:sz w:val="16"/>
          <w:szCs w:val="16"/>
          <w:color w:val="auto"/>
        </w:rPr>
        <w:t>We plan to use our current year operating losses to offset taxable income from any revenue generated from operations or corporate collaborations. To the extent we have taxable income, we plan to use our NOL carryforwards to offset income that would otherwise be taxable. However, under the Tax Reform Act of 1986, the benefits from the use of our NOL carryforwards may be impaired or limited under Section 382 of the Internal Revenue Code of 1984, as amended (the “Code”), if we incur a cumulative ownership change of more than 50%, as interpreted by the U.S. Internal Revenue Service, over a three-year period. In September 2015, we completed a Section 382 and 383 ownership change analysis through December 31, 2014 and determined that there was an ownership change in 2007 that may limit the utilization of approximately $5.3 million and $5.4 million in federal and state NOLs, respectively, and $0.2 million in both federal and state research tax credits. We extended the analysis period of the study through December 31, 2018, noting an additional ownership change during fiscal 2017 that may limit the utilization of federal and state NOLs. Our use of federal NOL carryforwards could be limited further by the provisions of Section 382 of the Code depending upon the timing and amount of additional equity securities that we have issued or will issue. State NOL carryforwards may be similarly limited. Any such disallowances may result in greater tax liabilities than we would incur in the absence of such a limitation, and any increased liabilities could adversely affect our business, results of operations, financial condition and cash flow.</w:t>
      </w:r>
    </w:p>
    <w:p>
      <w:pPr>
        <w:spacing w:after="0" w:line="64" w:lineRule="exact"/>
        <w:rPr>
          <w:sz w:val="20"/>
          <w:szCs w:val="20"/>
          <w:color w:val="auto"/>
        </w:rPr>
      </w:pPr>
    </w:p>
    <w:p>
      <w:pPr>
        <w:ind w:right="20" w:firstLine="567"/>
        <w:spacing w:after="0" w:line="269" w:lineRule="auto"/>
        <w:rPr>
          <w:sz w:val="20"/>
          <w:szCs w:val="20"/>
          <w:color w:val="auto"/>
        </w:rPr>
      </w:pPr>
      <w:r>
        <w:rPr>
          <w:rFonts w:ascii="Arial" w:cs="Arial" w:eastAsia="Arial" w:hAnsi="Arial"/>
          <w:sz w:val="17"/>
          <w:szCs w:val="17"/>
          <w:color w:val="auto"/>
        </w:rPr>
        <w:t>On December 22, 2017, the President of the United States signed into law the Tax Reform Act. The legislation significantly changes U.S. tax law by, among other things, lowering the corporate income tax rates. The Tax Reform Act permanently reduces the U.S. corporate income tax rate from a maximum of 35% to a flat 21% rate, effective January 1, 2018. Additionally, the Tax Reform Act will no longer allow deductions for compensation in excess of $1 million for certain employees, even if paid as commissions or performance-based compensation. We may be subject to these limitations as provided for under Section 162(m) of the Code in the future. The Tax Reform Act also limits the amount taxpayers are able to deduct for federal NOL carryforwards generated in taxable years beginning after December 31, 2017 to 80% of the taxpayer’s taxable income. The law also generally repeals all carrybacks. However, any NOLs generated in taxable years after December 31, 2017 can be carried forward indefinitely. Losses arising in taxable years beginning before December 31, 2017 may still be carried back two years and are subject to their current expiration period. As of December 31, 2020, we have federal NOLs of approximately $248.4 million, which expire beginning December 31, 2028 through December 31, 2037, if not used to reduce income taxes payable in the future.</w:t>
      </w:r>
    </w:p>
    <w:p>
      <w:pPr>
        <w:spacing w:after="0" w:line="289" w:lineRule="exact"/>
        <w:rPr>
          <w:sz w:val="20"/>
          <w:szCs w:val="20"/>
          <w:color w:val="auto"/>
        </w:rPr>
      </w:pPr>
    </w:p>
    <w:p>
      <w:pPr>
        <w:ind w:right="140" w:firstLine="567"/>
        <w:spacing w:after="0" w:line="282" w:lineRule="auto"/>
        <w:rPr>
          <w:sz w:val="20"/>
          <w:szCs w:val="20"/>
          <w:color w:val="auto"/>
        </w:rPr>
      </w:pPr>
      <w:r>
        <w:rPr>
          <w:rFonts w:ascii="Arial" w:cs="Arial" w:eastAsia="Arial" w:hAnsi="Arial"/>
          <w:sz w:val="18"/>
          <w:szCs w:val="18"/>
          <w:b w:val="1"/>
          <w:bCs w:val="1"/>
          <w:color w:val="auto"/>
        </w:rPr>
        <w:t>We are a smaller reporting company and may elect to comply with reduced public company reporting requirements applicable to smaller reporting companies, which could make our common stock less attractive to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1" w:name="page72"/>
    <w:bookmarkEnd w:id="71"/>
    <w:p>
      <w:pPr>
        <w:spacing w:after="0" w:line="198" w:lineRule="exact"/>
        <w:rPr>
          <w:sz w:val="20"/>
          <w:szCs w:val="20"/>
          <w:color w:val="auto"/>
        </w:rPr>
      </w:pPr>
    </w:p>
    <w:p>
      <w:pPr>
        <w:ind w:firstLine="567"/>
        <w:spacing w:after="0" w:line="293" w:lineRule="auto"/>
        <w:rPr>
          <w:sz w:val="20"/>
          <w:szCs w:val="20"/>
          <w:color w:val="auto"/>
        </w:rPr>
      </w:pPr>
      <w:r>
        <w:rPr>
          <w:rFonts w:ascii="Arial" w:cs="Arial" w:eastAsia="Arial" w:hAnsi="Arial"/>
          <w:sz w:val="16"/>
          <w:szCs w:val="16"/>
          <w:color w:val="auto"/>
        </w:rPr>
        <w:t>We are a “smaller reporting company,” meaning that we are not an investment company, an asset-backed issuer, or a majority-owned subsidiary of a parent company that is not a “smaller reporting company,” and have either: (i) a public float of less than $250 million or (ii) annual revenues of less than $100 million during the most recently completed fiscal year and (A) no public float or (B) a public float of less than $700 million. As a “smaller reporting company,” we are subject to reduced disclosure obligations in our SEC filings compared to other issuers, including with respect to disclosure obligations regarding executive compensation in our periodic reports and proxy statements. Until such time as we cease to be a “smaller reporting company,” such reduced disclosure in our SEC filings may make it harder for investors to analyze our operating results and financial prospects.</w:t>
      </w:r>
    </w:p>
    <w:p>
      <w:pPr>
        <w:spacing w:after="0" w:line="56" w:lineRule="exact"/>
        <w:rPr>
          <w:sz w:val="20"/>
          <w:szCs w:val="20"/>
          <w:color w:val="auto"/>
        </w:rPr>
      </w:pPr>
    </w:p>
    <w:p>
      <w:pPr>
        <w:ind w:right="360" w:firstLine="567"/>
        <w:spacing w:after="0" w:line="277" w:lineRule="auto"/>
        <w:rPr>
          <w:sz w:val="20"/>
          <w:szCs w:val="20"/>
          <w:color w:val="auto"/>
        </w:rPr>
      </w:pPr>
      <w:r>
        <w:rPr>
          <w:rFonts w:ascii="Arial" w:cs="Arial" w:eastAsia="Arial" w:hAnsi="Arial"/>
          <w:sz w:val="18"/>
          <w:szCs w:val="18"/>
          <w:color w:val="auto"/>
        </w:rPr>
        <w:t>If some investors find our common stock less attractive as a result of any choices to reduce future disclosure we may make, there may be a less active trading market for our common stock and our stock price may be more volatile.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exhibits filed or furnished as part of this Quarterly Report on Form 10-Q are set forth on the Exhibit Index, below.</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0040" w:type="dxa"/>
            <w:vAlign w:val="bottom"/>
            <w:gridSpan w:val="5"/>
          </w:tcPr>
          <w:p>
            <w:pPr>
              <w:ind w:left="37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32"/>
        </w:trPr>
        <w:tc>
          <w:tcPr>
            <w:tcW w:w="1160" w:type="dxa"/>
            <w:vAlign w:val="bottom"/>
          </w:tcPr>
          <w:p>
            <w:pPr>
              <w:ind w:left="240"/>
              <w:spacing w:after="0"/>
              <w:rPr>
                <w:sz w:val="20"/>
                <w:szCs w:val="20"/>
                <w:color w:val="auto"/>
              </w:rPr>
            </w:pPr>
            <w:r>
              <w:rPr>
                <w:rFonts w:ascii="Arial" w:cs="Arial" w:eastAsia="Arial" w:hAnsi="Arial"/>
                <w:sz w:val="16"/>
                <w:szCs w:val="16"/>
                <w:b w:val="1"/>
                <w:bCs w:val="1"/>
                <w:color w:val="auto"/>
              </w:rPr>
              <w:t>Exhibit</w:t>
            </w:r>
          </w:p>
        </w:tc>
        <w:tc>
          <w:tcPr>
            <w:tcW w:w="9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160" w:type="dxa"/>
            <w:vAlign w:val="bottom"/>
          </w:tcPr>
          <w:p>
            <w:pPr>
              <w:ind w:left="200"/>
              <w:spacing w:after="0"/>
              <w:rPr>
                <w:sz w:val="20"/>
                <w:szCs w:val="20"/>
                <w:color w:val="auto"/>
              </w:rPr>
            </w:pPr>
            <w:r>
              <w:rPr>
                <w:rFonts w:ascii="Arial" w:cs="Arial" w:eastAsia="Arial" w:hAnsi="Arial"/>
                <w:sz w:val="16"/>
                <w:szCs w:val="16"/>
                <w:b w:val="1"/>
                <w:bCs w:val="1"/>
                <w:color w:val="auto"/>
              </w:rPr>
              <w:t>Number</w:t>
            </w:r>
          </w:p>
        </w:tc>
        <w:tc>
          <w:tcPr>
            <w:tcW w:w="10040" w:type="dxa"/>
            <w:vAlign w:val="bottom"/>
            <w:gridSpan w:val="5"/>
          </w:tcPr>
          <w:p>
            <w:pPr>
              <w:ind w:left="4340"/>
              <w:spacing w:after="0"/>
              <w:rPr>
                <w:sz w:val="20"/>
                <w:szCs w:val="20"/>
                <w:color w:val="auto"/>
              </w:rPr>
            </w:pPr>
            <w:r>
              <w:rPr>
                <w:rFonts w:ascii="Arial" w:cs="Arial" w:eastAsia="Arial" w:hAnsi="Arial"/>
                <w:sz w:val="16"/>
                <w:szCs w:val="16"/>
                <w:b w:val="1"/>
                <w:bCs w:val="1"/>
                <w:color w:val="auto"/>
              </w:rPr>
              <w:t>Exhibit Description</w:t>
            </w:r>
          </w:p>
        </w:tc>
        <w:tc>
          <w:tcPr>
            <w:tcW w:w="0" w:type="dxa"/>
            <w:vAlign w:val="bottom"/>
          </w:tcPr>
          <w:p>
            <w:pPr>
              <w:spacing w:after="0"/>
              <w:rPr>
                <w:sz w:val="1"/>
                <w:szCs w:val="1"/>
                <w:color w:val="auto"/>
              </w:rPr>
            </w:pPr>
          </w:p>
        </w:tc>
      </w:tr>
      <w:tr>
        <w:trPr>
          <w:trHeight w:val="276"/>
        </w:trPr>
        <w:tc>
          <w:tcPr>
            <w:tcW w:w="1160" w:type="dxa"/>
            <w:vAlign w:val="bottom"/>
            <w:vMerge w:val="restart"/>
          </w:tcPr>
          <w:p>
            <w:pPr>
              <w:spacing w:after="0"/>
              <w:rPr>
                <w:sz w:val="20"/>
                <w:szCs w:val="20"/>
                <w:color w:val="auto"/>
              </w:rPr>
            </w:pPr>
            <w:r>
              <w:rPr>
                <w:rFonts w:ascii="Arial" w:cs="Arial" w:eastAsia="Arial" w:hAnsi="Arial"/>
                <w:sz w:val="16"/>
                <w:szCs w:val="16"/>
                <w:color w:val="auto"/>
              </w:rPr>
              <w:t>31.1</w:t>
            </w:r>
          </w:p>
        </w:tc>
        <w:tc>
          <w:tcPr>
            <w:tcW w:w="10000" w:type="dxa"/>
            <w:vAlign w:val="bottom"/>
            <w:tcBorders>
              <w:bottom w:val="single" w:sz="8" w:color="0000FF"/>
            </w:tcBorders>
            <w:gridSpan w:val="4"/>
          </w:tcPr>
          <w:p>
            <w:pPr>
              <w:spacing w:after="0"/>
              <w:rPr>
                <w:rFonts w:ascii="Arial" w:cs="Arial" w:eastAsia="Arial" w:hAnsi="Arial"/>
                <w:sz w:val="16"/>
                <w:szCs w:val="16"/>
                <w:color w:val="0000FF"/>
                <w:w w:val="92"/>
              </w:rPr>
            </w:pPr>
            <w:hyperlink w:anchor="page75">
              <w:r>
                <w:rPr>
                  <w:rFonts w:ascii="Arial" w:cs="Arial" w:eastAsia="Arial" w:hAnsi="Arial"/>
                  <w:sz w:val="16"/>
                  <w:szCs w:val="16"/>
                  <w:color w:val="0000FF"/>
                  <w:w w:val="92"/>
                </w:rPr>
                <w:t>Certification of Principal Executive Officer, pursuant to Rule 13a-14(a)/15d-14(a), as adopted pursuant to Section 302 of the Sarbanes-Oxley Act of 2002.</w:t>
              </w:r>
            </w:hyperlink>
          </w:p>
        </w:tc>
        <w:tc>
          <w:tcPr>
            <w:tcW w:w="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1160" w:type="dxa"/>
            <w:vAlign w:val="bottom"/>
            <w:vMerge w:val="continue"/>
          </w:tcPr>
          <w:p>
            <w:pPr>
              <w:spacing w:after="0"/>
              <w:rPr>
                <w:sz w:val="4"/>
                <w:szCs w:val="4"/>
                <w:color w:val="auto"/>
              </w:rPr>
            </w:pPr>
          </w:p>
        </w:tc>
        <w:tc>
          <w:tcPr>
            <w:tcW w:w="9960" w:type="dxa"/>
            <w:vAlign w:val="bottom"/>
            <w:gridSpan w:val="3"/>
            <w:vMerge w:val="restart"/>
          </w:tcPr>
          <w:p>
            <w:pPr>
              <w:spacing w:after="0"/>
              <w:rPr>
                <w:rFonts w:ascii="Arial" w:cs="Arial" w:eastAsia="Arial" w:hAnsi="Arial"/>
                <w:sz w:val="16"/>
                <w:szCs w:val="16"/>
                <w:color w:val="0000FF"/>
                <w:w w:val="92"/>
              </w:rPr>
            </w:pPr>
            <w:hyperlink w:anchor="page76">
              <w:r>
                <w:rPr>
                  <w:rFonts w:ascii="Arial" w:cs="Arial" w:eastAsia="Arial" w:hAnsi="Arial"/>
                  <w:sz w:val="16"/>
                  <w:szCs w:val="16"/>
                  <w:color w:val="0000FF"/>
                  <w:w w:val="92"/>
                </w:rPr>
                <w:t>Certification of Principal Financial Officer, pursuant to Rule 13a-14(a)/15d-14(a), as adopted pursuant to Section 302 of the Sarbanes-Oxley Act of 2002.</w:t>
              </w:r>
            </w:hyperlink>
          </w:p>
        </w:tc>
        <w:tc>
          <w:tcPr>
            <w:tcW w:w="4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1160" w:type="dxa"/>
            <w:vAlign w:val="bottom"/>
            <w:vMerge w:val="restart"/>
          </w:tcPr>
          <w:p>
            <w:pPr>
              <w:spacing w:after="0"/>
              <w:rPr>
                <w:sz w:val="20"/>
                <w:szCs w:val="20"/>
                <w:color w:val="auto"/>
              </w:rPr>
            </w:pPr>
            <w:r>
              <w:rPr>
                <w:rFonts w:ascii="Arial" w:cs="Arial" w:eastAsia="Arial" w:hAnsi="Arial"/>
                <w:sz w:val="16"/>
                <w:szCs w:val="16"/>
                <w:color w:val="auto"/>
              </w:rPr>
              <w:t>31.2</w:t>
            </w:r>
          </w:p>
        </w:tc>
        <w:tc>
          <w:tcPr>
            <w:tcW w:w="9960" w:type="dxa"/>
            <w:vAlign w:val="bottom"/>
            <w:tcBorders>
              <w:bottom w:val="single" w:sz="8" w:color="0000FF"/>
            </w:tcBorders>
            <w:gridSpan w:val="3"/>
            <w:vMerge w:val="continue"/>
          </w:tcPr>
          <w:p>
            <w:pPr>
              <w:spacing w:after="0"/>
              <w:rPr>
                <w:sz w:val="20"/>
                <w:szCs w:val="20"/>
                <w:color w:val="auto"/>
              </w:rPr>
            </w:pPr>
          </w:p>
        </w:tc>
        <w:tc>
          <w:tcPr>
            <w:tcW w:w="80" w:type="dxa"/>
            <w:vAlign w:val="bottom"/>
            <w:gridSpan w:val="2"/>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55"/>
        </w:trPr>
        <w:tc>
          <w:tcPr>
            <w:tcW w:w="1160" w:type="dxa"/>
            <w:vAlign w:val="bottom"/>
            <w:vMerge w:val="continue"/>
          </w:tcPr>
          <w:p>
            <w:pPr>
              <w:spacing w:after="0"/>
              <w:rPr>
                <w:sz w:val="4"/>
                <w:szCs w:val="4"/>
                <w:color w:val="auto"/>
              </w:rPr>
            </w:pPr>
          </w:p>
        </w:tc>
        <w:tc>
          <w:tcPr>
            <w:tcW w:w="960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1160" w:type="dxa"/>
            <w:vAlign w:val="bottom"/>
          </w:tcPr>
          <w:p>
            <w:pPr>
              <w:spacing w:after="0"/>
              <w:rPr>
                <w:sz w:val="20"/>
                <w:szCs w:val="20"/>
                <w:color w:val="auto"/>
              </w:rPr>
            </w:pPr>
            <w:r>
              <w:rPr>
                <w:rFonts w:ascii="Arial" w:cs="Arial" w:eastAsia="Arial" w:hAnsi="Arial"/>
                <w:sz w:val="16"/>
                <w:szCs w:val="16"/>
                <w:color w:val="auto"/>
              </w:rPr>
              <w:t>32.1**</w:t>
            </w:r>
          </w:p>
        </w:tc>
        <w:tc>
          <w:tcPr>
            <w:tcW w:w="9660" w:type="dxa"/>
            <w:vAlign w:val="bottom"/>
            <w:tcBorders>
              <w:bottom w:val="single" w:sz="8" w:color="0000FF"/>
            </w:tcBorders>
            <w:gridSpan w:val="2"/>
          </w:tcPr>
          <w:p>
            <w:pPr>
              <w:spacing w:after="0"/>
              <w:rPr>
                <w:rFonts w:ascii="Arial" w:cs="Arial" w:eastAsia="Arial" w:hAnsi="Arial"/>
                <w:sz w:val="16"/>
                <w:szCs w:val="16"/>
                <w:color w:val="0000FF"/>
                <w:w w:val="92"/>
              </w:rPr>
            </w:pPr>
            <w:hyperlink w:anchor="page77">
              <w:r>
                <w:rPr>
                  <w:rFonts w:ascii="Arial" w:cs="Arial" w:eastAsia="Arial" w:hAnsi="Arial"/>
                  <w:sz w:val="16"/>
                  <w:szCs w:val="16"/>
                  <w:color w:val="0000FF"/>
                  <w:w w:val="92"/>
                </w:rPr>
                <w:t>Certification of Chief Executive Officer, pursuant to 18 U.S.C. Section 1350, as adopted pursuant to Section 906 of the Sarbanes-Oxley Act of 2002.</w:t>
              </w:r>
            </w:hyperlink>
          </w:p>
        </w:tc>
        <w:tc>
          <w:tcPr>
            <w:tcW w:w="38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1160" w:type="dxa"/>
            <w:vAlign w:val="bottom"/>
          </w:tcPr>
          <w:p>
            <w:pPr>
              <w:spacing w:after="0"/>
              <w:rPr>
                <w:sz w:val="20"/>
                <w:szCs w:val="20"/>
                <w:color w:val="auto"/>
              </w:rPr>
            </w:pPr>
            <w:r>
              <w:rPr>
                <w:rFonts w:ascii="Arial" w:cs="Arial" w:eastAsia="Arial" w:hAnsi="Arial"/>
                <w:sz w:val="16"/>
                <w:szCs w:val="16"/>
                <w:color w:val="auto"/>
              </w:rPr>
              <w:t>32.2**</w:t>
            </w:r>
          </w:p>
        </w:tc>
        <w:tc>
          <w:tcPr>
            <w:tcW w:w="10040" w:type="dxa"/>
            <w:vAlign w:val="bottom"/>
            <w:gridSpan w:val="5"/>
          </w:tcPr>
          <w:p>
            <w:pPr>
              <w:spacing w:after="0"/>
              <w:rPr>
                <w:rFonts w:ascii="Arial" w:cs="Arial" w:eastAsia="Arial" w:hAnsi="Arial"/>
                <w:sz w:val="16"/>
                <w:szCs w:val="16"/>
                <w:color w:val="0000FF"/>
                <w:w w:val="96"/>
              </w:rPr>
            </w:pPr>
            <w:hyperlink w:anchor="page78">
              <w:r>
                <w:rPr>
                  <w:rFonts w:ascii="Arial" w:cs="Arial" w:eastAsia="Arial" w:hAnsi="Arial"/>
                  <w:sz w:val="16"/>
                  <w:szCs w:val="16"/>
                  <w:color w:val="0000FF"/>
                  <w:w w:val="96"/>
                </w:rPr>
                <w:t>Certification of Chief Financial Officer,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9600" w:type="dxa"/>
            <w:vAlign w:val="bottom"/>
            <w:shd w:val="clear" w:color="auto" w:fill="0000FF"/>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1160" w:type="dxa"/>
            <w:vAlign w:val="bottom"/>
          </w:tcPr>
          <w:p>
            <w:pPr>
              <w:spacing w:after="0"/>
              <w:rPr>
                <w:sz w:val="20"/>
                <w:szCs w:val="20"/>
                <w:color w:val="auto"/>
              </w:rPr>
            </w:pPr>
            <w:r>
              <w:rPr>
                <w:rFonts w:ascii="Arial" w:cs="Arial" w:eastAsia="Arial" w:hAnsi="Arial"/>
                <w:sz w:val="16"/>
                <w:szCs w:val="16"/>
                <w:color w:val="auto"/>
              </w:rPr>
              <w:t>101.INS</w:t>
            </w:r>
          </w:p>
        </w:tc>
        <w:tc>
          <w:tcPr>
            <w:tcW w:w="10040" w:type="dxa"/>
            <w:vAlign w:val="bottom"/>
            <w:gridSpan w:val="5"/>
          </w:tcPr>
          <w:p>
            <w:pPr>
              <w:spacing w:after="0"/>
              <w:rPr>
                <w:sz w:val="20"/>
                <w:szCs w:val="20"/>
                <w:color w:val="auto"/>
              </w:rPr>
            </w:pPr>
            <w:r>
              <w:rPr>
                <w:rFonts w:ascii="Arial" w:cs="Arial" w:eastAsia="Arial" w:hAnsi="Arial"/>
                <w:sz w:val="16"/>
                <w:szCs w:val="16"/>
                <w:color w:val="auto"/>
                <w:w w:val="91"/>
              </w:rPr>
              <w:t>Inline XBRL Report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10040" w:type="dxa"/>
            <w:vAlign w:val="bottom"/>
            <w:gridSpan w:val="5"/>
          </w:tcPr>
          <w:p>
            <w:pPr>
              <w:spacing w:after="0"/>
              <w:rPr>
                <w:sz w:val="20"/>
                <w:szCs w:val="20"/>
                <w:color w:val="auto"/>
              </w:rPr>
            </w:pPr>
            <w:r>
              <w:rPr>
                <w:rFonts w:ascii="Arial" w:cs="Arial" w:eastAsia="Arial" w:hAnsi="Arial"/>
                <w:sz w:val="16"/>
                <w:szCs w:val="16"/>
                <w:color w:val="auto"/>
              </w:rPr>
              <w:t>the Inline XBRL document</w:t>
            </w:r>
          </w:p>
        </w:tc>
        <w:tc>
          <w:tcPr>
            <w:tcW w:w="0" w:type="dxa"/>
            <w:vAlign w:val="bottom"/>
          </w:tcPr>
          <w:p>
            <w:pPr>
              <w:spacing w:after="0"/>
              <w:rPr>
                <w:sz w:val="1"/>
                <w:szCs w:val="1"/>
                <w:color w:val="auto"/>
              </w:rPr>
            </w:pPr>
          </w:p>
        </w:tc>
      </w:tr>
      <w:tr>
        <w:trPr>
          <w:trHeight w:val="206"/>
        </w:trPr>
        <w:tc>
          <w:tcPr>
            <w:tcW w:w="1160" w:type="dxa"/>
            <w:vAlign w:val="bottom"/>
          </w:tcPr>
          <w:p>
            <w:pPr>
              <w:spacing w:after="0"/>
              <w:rPr>
                <w:sz w:val="20"/>
                <w:szCs w:val="20"/>
                <w:color w:val="auto"/>
              </w:rPr>
            </w:pPr>
            <w:r>
              <w:rPr>
                <w:rFonts w:ascii="Arial" w:cs="Arial" w:eastAsia="Arial" w:hAnsi="Arial"/>
                <w:sz w:val="16"/>
                <w:szCs w:val="16"/>
                <w:color w:val="auto"/>
              </w:rPr>
              <w:t>101.SCH</w:t>
            </w:r>
          </w:p>
        </w:tc>
        <w:tc>
          <w:tcPr>
            <w:tcW w:w="10040" w:type="dxa"/>
            <w:vAlign w:val="bottom"/>
            <w:gridSpan w:val="5"/>
          </w:tcPr>
          <w:p>
            <w:pPr>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311"/>
        </w:trPr>
        <w:tc>
          <w:tcPr>
            <w:tcW w:w="1160" w:type="dxa"/>
            <w:vAlign w:val="bottom"/>
          </w:tcPr>
          <w:p>
            <w:pPr>
              <w:spacing w:after="0"/>
              <w:rPr>
                <w:sz w:val="20"/>
                <w:szCs w:val="20"/>
                <w:color w:val="auto"/>
              </w:rPr>
            </w:pPr>
            <w:r>
              <w:rPr>
                <w:rFonts w:ascii="Arial" w:cs="Arial" w:eastAsia="Arial" w:hAnsi="Arial"/>
                <w:sz w:val="16"/>
                <w:szCs w:val="16"/>
                <w:color w:val="auto"/>
              </w:rPr>
              <w:t>101.CAL</w:t>
            </w:r>
          </w:p>
        </w:tc>
        <w:tc>
          <w:tcPr>
            <w:tcW w:w="10040" w:type="dxa"/>
            <w:vAlign w:val="bottom"/>
            <w:gridSpan w:val="5"/>
          </w:tcPr>
          <w:p>
            <w:pPr>
              <w:spacing w:after="0"/>
              <w:rPr>
                <w:sz w:val="20"/>
                <w:szCs w:val="20"/>
                <w:color w:val="auto"/>
              </w:rPr>
            </w:pPr>
            <w:r>
              <w:rPr>
                <w:rFonts w:ascii="Arial" w:cs="Arial" w:eastAsia="Arial" w:hAnsi="Arial"/>
                <w:sz w:val="16"/>
                <w:szCs w:val="16"/>
                <w:color w:val="auto"/>
              </w:rPr>
              <w:t>Inline XBRL Taxonomy Calculation Linkbase Document</w:t>
            </w:r>
          </w:p>
        </w:tc>
        <w:tc>
          <w:tcPr>
            <w:tcW w:w="0" w:type="dxa"/>
            <w:vAlign w:val="bottom"/>
          </w:tcPr>
          <w:p>
            <w:pPr>
              <w:spacing w:after="0"/>
              <w:rPr>
                <w:sz w:val="1"/>
                <w:szCs w:val="1"/>
                <w:color w:val="auto"/>
              </w:rPr>
            </w:pPr>
          </w:p>
        </w:tc>
      </w:tr>
      <w:tr>
        <w:trPr>
          <w:trHeight w:val="310"/>
        </w:trPr>
        <w:tc>
          <w:tcPr>
            <w:tcW w:w="1160" w:type="dxa"/>
            <w:vAlign w:val="bottom"/>
          </w:tcPr>
          <w:p>
            <w:pPr>
              <w:spacing w:after="0"/>
              <w:rPr>
                <w:sz w:val="20"/>
                <w:szCs w:val="20"/>
                <w:color w:val="auto"/>
              </w:rPr>
            </w:pPr>
            <w:r>
              <w:rPr>
                <w:rFonts w:ascii="Arial" w:cs="Arial" w:eastAsia="Arial" w:hAnsi="Arial"/>
                <w:sz w:val="16"/>
                <w:szCs w:val="16"/>
                <w:color w:val="auto"/>
              </w:rPr>
              <w:t>101.LAB</w:t>
            </w:r>
          </w:p>
        </w:tc>
        <w:tc>
          <w:tcPr>
            <w:tcW w:w="10040" w:type="dxa"/>
            <w:vAlign w:val="bottom"/>
            <w:gridSpan w:val="5"/>
          </w:tcPr>
          <w:p>
            <w:pPr>
              <w:spacing w:after="0"/>
              <w:rPr>
                <w:sz w:val="20"/>
                <w:szCs w:val="20"/>
                <w:color w:val="auto"/>
              </w:rPr>
            </w:pPr>
            <w:r>
              <w:rPr>
                <w:rFonts w:ascii="Arial" w:cs="Arial" w:eastAsia="Arial" w:hAnsi="Arial"/>
                <w:sz w:val="16"/>
                <w:szCs w:val="16"/>
                <w:color w:val="auto"/>
              </w:rPr>
              <w:t>Inline XBRL Taxonomy Label Linkbase Document</w:t>
            </w:r>
          </w:p>
        </w:tc>
        <w:tc>
          <w:tcPr>
            <w:tcW w:w="0" w:type="dxa"/>
            <w:vAlign w:val="bottom"/>
          </w:tcPr>
          <w:p>
            <w:pPr>
              <w:spacing w:after="0"/>
              <w:rPr>
                <w:sz w:val="1"/>
                <w:szCs w:val="1"/>
                <w:color w:val="auto"/>
              </w:rPr>
            </w:pPr>
          </w:p>
        </w:tc>
      </w:tr>
      <w:tr>
        <w:trPr>
          <w:trHeight w:val="310"/>
        </w:trPr>
        <w:tc>
          <w:tcPr>
            <w:tcW w:w="1160" w:type="dxa"/>
            <w:vAlign w:val="bottom"/>
          </w:tcPr>
          <w:p>
            <w:pPr>
              <w:spacing w:after="0"/>
              <w:rPr>
                <w:sz w:val="20"/>
                <w:szCs w:val="20"/>
                <w:color w:val="auto"/>
              </w:rPr>
            </w:pPr>
            <w:r>
              <w:rPr>
                <w:rFonts w:ascii="Arial" w:cs="Arial" w:eastAsia="Arial" w:hAnsi="Arial"/>
                <w:sz w:val="16"/>
                <w:szCs w:val="16"/>
                <w:color w:val="auto"/>
              </w:rPr>
              <w:t>101.PRE</w:t>
            </w:r>
          </w:p>
        </w:tc>
        <w:tc>
          <w:tcPr>
            <w:tcW w:w="10040" w:type="dxa"/>
            <w:vAlign w:val="bottom"/>
            <w:gridSpan w:val="5"/>
          </w:tcPr>
          <w:p>
            <w:pPr>
              <w:spacing w:after="0"/>
              <w:rPr>
                <w:sz w:val="20"/>
                <w:szCs w:val="20"/>
                <w:color w:val="auto"/>
              </w:rPr>
            </w:pPr>
            <w:r>
              <w:rPr>
                <w:rFonts w:ascii="Arial" w:cs="Arial" w:eastAsia="Arial" w:hAnsi="Arial"/>
                <w:sz w:val="16"/>
                <w:szCs w:val="16"/>
                <w:color w:val="auto"/>
              </w:rPr>
              <w:t>Inline XBRL Presentation Linkbase Document</w:t>
            </w:r>
          </w:p>
        </w:tc>
        <w:tc>
          <w:tcPr>
            <w:tcW w:w="0" w:type="dxa"/>
            <w:vAlign w:val="bottom"/>
          </w:tcPr>
          <w:p>
            <w:pPr>
              <w:spacing w:after="0"/>
              <w:rPr>
                <w:sz w:val="1"/>
                <w:szCs w:val="1"/>
                <w:color w:val="auto"/>
              </w:rPr>
            </w:pPr>
          </w:p>
        </w:tc>
      </w:tr>
      <w:tr>
        <w:trPr>
          <w:trHeight w:val="310"/>
        </w:trPr>
        <w:tc>
          <w:tcPr>
            <w:tcW w:w="1160" w:type="dxa"/>
            <w:vAlign w:val="bottom"/>
          </w:tcPr>
          <w:p>
            <w:pPr>
              <w:spacing w:after="0"/>
              <w:rPr>
                <w:sz w:val="20"/>
                <w:szCs w:val="20"/>
                <w:color w:val="auto"/>
              </w:rPr>
            </w:pPr>
            <w:r>
              <w:rPr>
                <w:rFonts w:ascii="Arial" w:cs="Arial" w:eastAsia="Arial" w:hAnsi="Arial"/>
                <w:sz w:val="16"/>
                <w:szCs w:val="16"/>
                <w:color w:val="auto"/>
              </w:rPr>
              <w:t>101.DEF</w:t>
            </w:r>
          </w:p>
        </w:tc>
        <w:tc>
          <w:tcPr>
            <w:tcW w:w="10040" w:type="dxa"/>
            <w:vAlign w:val="bottom"/>
            <w:gridSpan w:val="5"/>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310"/>
        </w:trPr>
        <w:tc>
          <w:tcPr>
            <w:tcW w:w="1160" w:type="dxa"/>
            <w:vAlign w:val="bottom"/>
          </w:tcPr>
          <w:p>
            <w:pPr>
              <w:spacing w:after="0"/>
              <w:rPr>
                <w:sz w:val="20"/>
                <w:szCs w:val="20"/>
                <w:color w:val="auto"/>
              </w:rPr>
            </w:pPr>
            <w:r>
              <w:rPr>
                <w:rFonts w:ascii="Arial" w:cs="Arial" w:eastAsia="Arial" w:hAnsi="Arial"/>
                <w:sz w:val="16"/>
                <w:szCs w:val="16"/>
                <w:color w:val="auto"/>
              </w:rPr>
              <w:t>104</w:t>
            </w:r>
          </w:p>
        </w:tc>
        <w:tc>
          <w:tcPr>
            <w:tcW w:w="10040" w:type="dxa"/>
            <w:vAlign w:val="bottom"/>
            <w:gridSpan w:val="5"/>
          </w:tcPr>
          <w:p>
            <w:pPr>
              <w:spacing w:after="0"/>
              <w:rPr>
                <w:sz w:val="20"/>
                <w:szCs w:val="20"/>
                <w:color w:val="auto"/>
              </w:rPr>
            </w:pPr>
            <w:r>
              <w:rPr>
                <w:rFonts w:ascii="Arial" w:cs="Arial" w:eastAsia="Arial" w:hAnsi="Arial"/>
                <w:sz w:val="16"/>
                <w:szCs w:val="16"/>
                <w:color w:val="auto"/>
              </w:rPr>
              <w:t>Cover Page Interactive Data File - (formatted in Inline XBRL and contained in Exhibit 101)</w:t>
            </w:r>
          </w:p>
        </w:tc>
        <w:tc>
          <w:tcPr>
            <w:tcW w:w="0" w:type="dxa"/>
            <w:vAlign w:val="bottom"/>
          </w:tcPr>
          <w:p>
            <w:pPr>
              <w:spacing w:after="0"/>
              <w:rPr>
                <w:sz w:val="1"/>
                <w:szCs w:val="1"/>
                <w:color w:val="auto"/>
              </w:rPr>
            </w:pPr>
          </w:p>
        </w:tc>
      </w:tr>
    </w:tbl>
    <w:p>
      <w:pPr>
        <w:spacing w:after="0" w:line="32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3" w:name="page74"/>
    <w:bookmarkEnd w:id="73"/>
    <w:p>
      <w:pPr>
        <w:spacing w:after="0" w:line="86"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4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AnaptysBio, Inc.</w:t>
      </w:r>
    </w:p>
    <w:p>
      <w:pPr>
        <w:spacing w:after="0" w:line="239" w:lineRule="exact"/>
        <w:rPr>
          <w:sz w:val="20"/>
          <w:szCs w:val="20"/>
          <w:color w:val="auto"/>
        </w:rPr>
      </w:pPr>
    </w:p>
    <w:p>
      <w:pPr>
        <w:ind w:left="20"/>
        <w:spacing w:after="0"/>
        <w:tabs>
          <w:tab w:leader="none" w:pos="620" w:val="left"/>
          <w:tab w:leader="none" w:pos="4820" w:val="left"/>
          <w:tab w:leader="none" w:pos="5280" w:val="left"/>
        </w:tabs>
        <w:rPr>
          <w:sz w:val="20"/>
          <w:szCs w:val="20"/>
          <w:color w:val="auto"/>
        </w:rPr>
      </w:pPr>
      <w:r>
        <w:rPr>
          <w:rFonts w:ascii="Arial" w:cs="Arial" w:eastAsia="Arial" w:hAnsi="Arial"/>
          <w:sz w:val="18"/>
          <w:szCs w:val="18"/>
          <w:color w:val="auto"/>
        </w:rPr>
        <w:t>Date:</w:t>
        <w:tab/>
        <w:t>May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23495</wp:posOffset>
            </wp:positionV>
            <wp:extent cx="378904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789045" cy="8890"/>
                    </a:xfrm>
                    <a:prstGeom prst="rect">
                      <a:avLst/>
                    </a:prstGeom>
                    <a:noFill/>
                  </pic:spPr>
                </pic:pic>
              </a:graphicData>
            </a:graphic>
          </wp:anchor>
        </w:drawing>
      </w:r>
    </w:p>
    <w:p>
      <w:pPr>
        <w:spacing w:after="0" w:line="3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Hamza Suria</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ind w:left="20"/>
        <w:spacing w:after="0"/>
        <w:tabs>
          <w:tab w:leader="none" w:pos="620" w:val="left"/>
          <w:tab w:leader="none" w:pos="4820" w:val="left"/>
          <w:tab w:leader="none" w:pos="5280" w:val="left"/>
        </w:tabs>
        <w:rPr>
          <w:sz w:val="20"/>
          <w:szCs w:val="20"/>
          <w:color w:val="auto"/>
        </w:rPr>
      </w:pPr>
      <w:r>
        <w:rPr>
          <w:rFonts w:ascii="Arial" w:cs="Arial" w:eastAsia="Arial" w:hAnsi="Arial"/>
          <w:sz w:val="18"/>
          <w:szCs w:val="18"/>
          <w:color w:val="auto"/>
        </w:rPr>
        <w:t>Date:</w:t>
        <w:tab/>
        <w:t>May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23495</wp:posOffset>
            </wp:positionV>
            <wp:extent cx="378904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789045" cy="8890"/>
                    </a:xfrm>
                    <a:prstGeom prst="rect">
                      <a:avLst/>
                    </a:prstGeom>
                    <a:noFill/>
                  </pic:spPr>
                </pic:pic>
              </a:graphicData>
            </a:graphic>
          </wp:anchor>
        </w:drawing>
      </w:r>
    </w:p>
    <w:p>
      <w:pPr>
        <w:spacing w:after="0" w:line="3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Dennis Mulroy</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340"/>
          </w:cols>
          <w:pgMar w:left="320" w:top="1440" w:right="1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I, Hamza Suria, certify that:</w:t>
      </w:r>
    </w:p>
    <w:p>
      <w:pPr>
        <w:spacing w:after="0" w:line="158"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AnaptysBio, Inc.;</w:t>
      </w:r>
    </w:p>
    <w:p>
      <w:pPr>
        <w:spacing w:after="0" w:line="117" w:lineRule="exact"/>
        <w:rPr>
          <w:rFonts w:ascii="Arial" w:cs="Arial" w:eastAsia="Arial" w:hAnsi="Arial"/>
          <w:sz w:val="18"/>
          <w:szCs w:val="18"/>
          <w:color w:val="auto"/>
        </w:rPr>
      </w:pPr>
    </w:p>
    <w:p>
      <w:pPr>
        <w:ind w:left="180" w:right="100" w:hanging="172"/>
        <w:spacing w:after="0" w:line="342" w:lineRule="auto"/>
        <w:tabs>
          <w:tab w:leader="none" w:pos="198"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180" w:right="540" w:hanging="172"/>
        <w:spacing w:after="0" w:line="308" w:lineRule="auto"/>
        <w:tabs>
          <w:tab w:leader="none" w:pos="198"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80" w:right="20" w:hanging="172"/>
        <w:spacing w:after="0" w:line="263" w:lineRule="auto"/>
        <w:tabs>
          <w:tab w:leader="none" w:pos="19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420" w:right="80" w:hanging="169"/>
        <w:spacing w:after="0" w:line="263" w:lineRule="auto"/>
        <w:tabs>
          <w:tab w:leader="none" w:pos="443"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420" w:right="60" w:hanging="169"/>
        <w:spacing w:after="0" w:line="263" w:lineRule="auto"/>
        <w:tabs>
          <w:tab w:leader="none" w:pos="453"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20" w:right="120" w:hanging="169"/>
        <w:spacing w:after="0" w:line="308" w:lineRule="auto"/>
        <w:tabs>
          <w:tab w:leader="none" w:pos="443" w:val="left"/>
        </w:tabs>
        <w:numPr>
          <w:ilvl w:val="1"/>
          <w:numId w:val="3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420" w:hanging="169"/>
        <w:spacing w:after="0" w:line="263" w:lineRule="auto"/>
        <w:tabs>
          <w:tab w:leader="none" w:pos="453"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180" w:right="480" w:hanging="172"/>
        <w:spacing w:after="0" w:line="308" w:lineRule="auto"/>
        <w:tabs>
          <w:tab w:leader="none" w:pos="198"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40" w:hanging="169"/>
        <w:spacing w:after="0" w:line="277" w:lineRule="auto"/>
        <w:tabs>
          <w:tab w:leader="none" w:pos="443"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20" w:right="80" w:hanging="169"/>
        <w:spacing w:after="0" w:line="277" w:lineRule="auto"/>
        <w:tabs>
          <w:tab w:leader="none" w:pos="453"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4, 2021</w:t>
      </w:r>
    </w:p>
    <w:p>
      <w:pPr>
        <w:spacing w:after="0" w:line="36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371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Hamza Suria</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r>
        <w:rPr>
          <w:rFonts w:ascii="Arial" w:cs="Arial" w:eastAsia="Arial" w:hAnsi="Arial"/>
          <w:sz w:val="18"/>
          <w:szCs w:val="18"/>
          <w:i w:val="1"/>
          <w:iCs w:val="1"/>
          <w:color w:val="auto"/>
        </w:rPr>
        <w:t>)</w:t>
      </w:r>
    </w:p>
    <w:p>
      <w:pPr>
        <w:sectPr>
          <w:pgSz w:w="11900" w:h="16838" w:orient="portrait"/>
          <w:cols w:equalWidth="0" w:num="1">
            <w:col w:w="11240"/>
          </w:cols>
          <w:pgMar w:left="320" w:top="1417"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I, Dennis Mulroy, certify that:</w:t>
      </w:r>
    </w:p>
    <w:p>
      <w:pPr>
        <w:spacing w:after="0" w:line="212"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AnaptysBio, Inc.;</w:t>
      </w:r>
    </w:p>
    <w:p>
      <w:pPr>
        <w:spacing w:after="0" w:line="157" w:lineRule="exact"/>
        <w:rPr>
          <w:rFonts w:ascii="Arial" w:cs="Arial" w:eastAsia="Arial" w:hAnsi="Arial"/>
          <w:sz w:val="18"/>
          <w:szCs w:val="18"/>
          <w:color w:val="auto"/>
        </w:rPr>
      </w:pPr>
    </w:p>
    <w:p>
      <w:pPr>
        <w:ind w:left="180" w:right="100" w:hanging="172"/>
        <w:spacing w:after="0" w:line="342" w:lineRule="auto"/>
        <w:tabs>
          <w:tab w:leader="none" w:pos="198"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180" w:right="540" w:hanging="172"/>
        <w:spacing w:after="0" w:line="308" w:lineRule="auto"/>
        <w:tabs>
          <w:tab w:leader="none" w:pos="198"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80" w:right="20" w:hanging="172"/>
        <w:spacing w:after="0" w:line="263" w:lineRule="auto"/>
        <w:tabs>
          <w:tab w:leader="none" w:pos="19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420" w:right="80" w:hanging="169"/>
        <w:spacing w:after="0" w:line="263" w:lineRule="auto"/>
        <w:tabs>
          <w:tab w:leader="none" w:pos="443"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420" w:right="60" w:hanging="169"/>
        <w:spacing w:after="0" w:line="263" w:lineRule="auto"/>
        <w:tabs>
          <w:tab w:leader="none" w:pos="453"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20" w:right="120" w:hanging="169"/>
        <w:spacing w:after="0" w:line="308" w:lineRule="auto"/>
        <w:tabs>
          <w:tab w:leader="none" w:pos="443" w:val="left"/>
        </w:tabs>
        <w:numPr>
          <w:ilvl w:val="1"/>
          <w:numId w:val="3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420" w:hanging="169"/>
        <w:spacing w:after="0" w:line="263" w:lineRule="auto"/>
        <w:tabs>
          <w:tab w:leader="none" w:pos="453"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180" w:right="480" w:hanging="172"/>
        <w:spacing w:after="0" w:line="308" w:lineRule="auto"/>
        <w:tabs>
          <w:tab w:leader="none" w:pos="198"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40" w:hanging="169"/>
        <w:spacing w:after="0" w:line="277" w:lineRule="auto"/>
        <w:tabs>
          <w:tab w:leader="none" w:pos="443"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20" w:right="80" w:hanging="169"/>
        <w:spacing w:after="0" w:line="277" w:lineRule="auto"/>
        <w:tabs>
          <w:tab w:leader="none" w:pos="453"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4, 2021</w:t>
      </w:r>
    </w:p>
    <w:p>
      <w:pPr>
        <w:spacing w:after="0" w:line="36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14605</wp:posOffset>
            </wp:positionV>
            <wp:extent cx="433768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337685" cy="8255"/>
                    </a:xfrm>
                    <a:prstGeom prst="rect">
                      <a:avLst/>
                    </a:prstGeom>
                    <a:noFill/>
                  </pic:spPr>
                </pic:pic>
              </a:graphicData>
            </a:graphic>
          </wp:anchor>
        </w:drawing>
      </w:r>
    </w:p>
    <w:p>
      <w:pPr>
        <w:spacing w:after="0" w:line="1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Dennis Mulroy</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417"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 Hamza Suria, Chief Executive Officer of AnaptysBio, Inc. (Company), do hereby certify, pursuant to 18 U.S.C. Section 1350, as adopted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103" w:lineRule="exact"/>
        <w:rPr>
          <w:sz w:val="20"/>
          <w:szCs w:val="20"/>
          <w:color w:val="auto"/>
        </w:rPr>
      </w:pPr>
    </w:p>
    <w:p>
      <w:pPr>
        <w:ind w:left="900" w:right="460" w:hanging="406"/>
        <w:spacing w:after="0" w:line="342" w:lineRule="auto"/>
        <w:tabs>
          <w:tab w:leader="none" w:pos="895"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March 31, 2021 (the “Report”), as filed with the Securities and Exchange Commission, fully complies with the requirements of Section 13(a) or 15(d) of the Securities Exchange Act of 1934; and</w:t>
      </w:r>
    </w:p>
    <w:p>
      <w:pPr>
        <w:spacing w:after="0" w:line="15" w:lineRule="exact"/>
        <w:rPr>
          <w:rFonts w:ascii="Arial" w:cs="Arial" w:eastAsia="Arial" w:hAnsi="Arial"/>
          <w:sz w:val="16"/>
          <w:szCs w:val="16"/>
          <w:color w:val="auto"/>
        </w:rPr>
      </w:pPr>
    </w:p>
    <w:p>
      <w:pPr>
        <w:ind w:left="900" w:right="740" w:hanging="406"/>
        <w:spacing w:after="0" w:line="277" w:lineRule="auto"/>
        <w:tabs>
          <w:tab w:leader="none" w:pos="8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4, 2021</w:t>
      </w:r>
    </w:p>
    <w:p>
      <w:pPr>
        <w:spacing w:after="0" w:line="36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371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Hamza Suria</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r>
        <w:rPr>
          <w:rFonts w:ascii="Arial" w:cs="Arial" w:eastAsia="Arial" w:hAnsi="Arial"/>
          <w:sz w:val="18"/>
          <w:szCs w:val="18"/>
          <w:i w:val="1"/>
          <w:iCs w:val="1"/>
          <w:color w:val="auto"/>
        </w:rPr>
        <w:t>)</w:t>
      </w:r>
    </w:p>
    <w:p>
      <w:pPr>
        <w:sectPr>
          <w:pgSz w:w="11900" w:h="16838" w:orient="portrait"/>
          <w:cols w:equalWidth="0" w:num="1">
            <w:col w:w="11240"/>
          </w:cols>
          <w:pgMar w:left="320" w:top="1417"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 Dennis Mulroy, Chief Financial Officer of AnaptysBio, Inc. (Company), do hereby certify, pursuant to 18 U.S.C. Section 1350, as adopted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103" w:lineRule="exact"/>
        <w:rPr>
          <w:sz w:val="20"/>
          <w:szCs w:val="20"/>
          <w:color w:val="auto"/>
        </w:rPr>
      </w:pPr>
    </w:p>
    <w:p>
      <w:pPr>
        <w:ind w:left="900" w:right="460" w:hanging="406"/>
        <w:spacing w:after="0" w:line="342" w:lineRule="auto"/>
        <w:tabs>
          <w:tab w:leader="none" w:pos="895"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March 31, 2021 (the “Report”), as filed with the Securities and Exchange Commission, fully complies with the requirements of Section 13(a) or 15(d) of the Securities Exchange Act of 1934; and</w:t>
      </w:r>
    </w:p>
    <w:p>
      <w:pPr>
        <w:spacing w:after="0" w:line="15" w:lineRule="exact"/>
        <w:rPr>
          <w:rFonts w:ascii="Arial" w:cs="Arial" w:eastAsia="Arial" w:hAnsi="Arial"/>
          <w:sz w:val="16"/>
          <w:szCs w:val="16"/>
          <w:color w:val="auto"/>
        </w:rPr>
      </w:pPr>
    </w:p>
    <w:p>
      <w:pPr>
        <w:ind w:left="900" w:right="740" w:hanging="406"/>
        <w:spacing w:after="0" w:line="277" w:lineRule="auto"/>
        <w:tabs>
          <w:tab w:leader="none" w:pos="8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4, 2021</w:t>
      </w:r>
    </w:p>
    <w:p>
      <w:pPr>
        <w:spacing w:after="0" w:line="36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14605</wp:posOffset>
            </wp:positionV>
            <wp:extent cx="42348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234815" cy="8255"/>
                    </a:xfrm>
                    <a:prstGeom prst="rect">
                      <a:avLst/>
                    </a:prstGeom>
                    <a:noFill/>
                  </pic:spPr>
                </pic:pic>
              </a:graphicData>
            </a:graphic>
          </wp:anchor>
        </w:drawing>
      </w:r>
    </w:p>
    <w:p>
      <w:pPr>
        <w:spacing w:after="0" w:line="1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Dennis Mulroy</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2"/>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1."/>
      <w:numFmt w:val="decimal"/>
      <w:start w:val="3"/>
    </w:lvl>
  </w:abstractNum>
  <w:abstractNum w:abstractNumId="5">
    <w:nsid w:val="2443A858"/>
    <w:multiLevelType w:val="hybridMultilevel"/>
    <w:lvl w:ilvl="0">
      <w:lvlJc w:val="left"/>
      <w:lvlText w:val="%1."/>
      <w:numFmt w:val="decimal"/>
      <w:start w:val="4"/>
    </w:lvl>
  </w:abstractNum>
  <w:abstractNum w:abstractNumId="6">
    <w:nsid w:val="2D1D5AE9"/>
    <w:multiLevelType w:val="hybridMultilevel"/>
    <w:lvl w:ilvl="0">
      <w:lvlJc w:val="left"/>
      <w:lvlText w:val="%1."/>
      <w:numFmt w:val="decimal"/>
      <w:start w:val="5"/>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2021-05-04T15:34:07Z</dcterms:created>
  <dcterms:modified xsi:type="dcterms:W3CDTF">2021-05-04T15:34:07Z</dcterms:modified>
</cp:coreProperties>
</file>