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 PURSUANT TO</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SECTION 13 OR 15(d) OF THE SECURITIES EXCHANGE ACT OF 1934</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November 21, 2025</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 of earliest event reported)</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ANAPTYSBIO, INC.</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(Exact Name of Registrant as Specified in Charter)</w:t>
      </w:r>
    </w:p>
    <w:p>
      <w:pPr>
        <w:sectPr>
          <w:pgSz w:w="11900" w:h="16838" w:orient="portrait"/>
          <w:cols w:equalWidth="0" w:num="1">
            <w:col w:w="11240"/>
          </w:cols>
          <w:pgMar w:left="320" w:top="1440" w:right="339" w:bottom="1440" w:gutter="0" w:footer="0" w:header="0"/>
        </w:sectPr>
      </w:pPr>
    </w:p>
    <w:p>
      <w:pPr>
        <w:spacing w:after="0" w:line="271"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9"/>
          <w:szCs w:val="19"/>
          <w:b w:val="1"/>
          <w:bCs w:val="1"/>
          <w:color w:val="auto"/>
        </w:rPr>
        <w:t>Delaware</w:t>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9"/>
          <w:szCs w:val="19"/>
          <w:b w:val="1"/>
          <w:bCs w:val="1"/>
          <w:color w:val="auto"/>
        </w:rPr>
        <w:t>001-37985</w:t>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20-3828755</w:t>
      </w:r>
    </w:p>
    <w:p>
      <w:pPr>
        <w:spacing w:after="0" w:line="44" w:lineRule="exact"/>
        <w:rPr>
          <w:sz w:val="24"/>
          <w:szCs w:val="24"/>
          <w:color w:val="auto"/>
        </w:rPr>
      </w:pPr>
    </w:p>
    <w:p>
      <w:pPr>
        <w:sectPr>
          <w:pgSz w:w="11900" w:h="16838" w:orient="portrait"/>
          <w:cols w:equalWidth="0" w:num="3">
            <w:col w:w="4500" w:space="720"/>
            <w:col w:w="2880" w:space="720"/>
            <w:col w:w="2420"/>
          </w:cols>
          <w:pgMar w:left="320" w:top="1440"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19"/>
          <w:szCs w:val="19"/>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9"/>
          <w:szCs w:val="19"/>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9"/>
          <w:szCs w:val="19"/>
          <w:color w:val="auto"/>
        </w:rPr>
        <w:t>(IRS Employer Identification No.)</w:t>
      </w:r>
    </w:p>
    <w:p>
      <w:pPr>
        <w:spacing w:after="0" w:line="200" w:lineRule="exact"/>
        <w:rPr>
          <w:sz w:val="24"/>
          <w:szCs w:val="24"/>
          <w:color w:val="auto"/>
        </w:rPr>
      </w:pPr>
    </w:p>
    <w:p>
      <w:pPr>
        <w:sectPr>
          <w:pgSz w:w="11900" w:h="16838" w:orient="portrait"/>
          <w:cols w:equalWidth="0" w:num="3">
            <w:col w:w="3840" w:space="720"/>
            <w:col w:w="2660" w:space="720"/>
            <w:col w:w="3300"/>
          </w:cols>
          <w:pgMar w:left="320" w:top="1440" w:right="339" w:bottom="1440" w:gutter="0" w:footer="0" w:header="0"/>
          <w:type w:val="continuous"/>
        </w:sectPr>
      </w:pPr>
    </w:p>
    <w:p>
      <w:pPr>
        <w:spacing w:after="0" w:line="143"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20"/>
          <w:szCs w:val="20"/>
          <w:b w:val="1"/>
          <w:bCs w:val="1"/>
          <w:color w:val="auto"/>
        </w:rPr>
        <w:t>10770 Wateridge Circle, Suite 210,</w:t>
      </w:r>
    </w:p>
    <w:p>
      <w:pPr>
        <w:spacing w:after="0" w:line="32"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San Diego, CA 92121</w:t>
      </w: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 and Zip Code)</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(858) 362-6295</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ectPr>
          <w:pgSz w:w="11900" w:h="16838" w:orient="portrait"/>
          <w:cols w:equalWidth="0" w:num="1">
            <w:col w:w="11240"/>
          </w:cols>
          <w:pgMar w:left="320" w:top="1440" w:right="339" w:bottom="1440" w:gutter="0" w:footer="0" w:header="0"/>
          <w:type w:val="continuous"/>
        </w:sectPr>
      </w:pP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 Applicable</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24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4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Written communication pursuant to Rule 425 under the Securities Act (17 CFR 230.425)</w:t>
      </w:r>
    </w:p>
    <w:p>
      <w:pPr>
        <w:spacing w:after="0" w:line="70"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Soliciting material pursuant to Rule 14a-12 under the Exchange Act (17 CFR 240.14a-12)</w:t>
      </w:r>
    </w:p>
    <w:p>
      <w:pPr>
        <w:spacing w:after="0" w:line="2"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Pre-commencement communication pursuant to Rule 14d-2(b) under the Exchange Act (17 CFR 240.14d-2(b))</w:t>
      </w:r>
    </w:p>
    <w:p>
      <w:pPr>
        <w:spacing w:after="0" w:line="1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Pre-commencement communication pursuant to Rule 13e-4(c) under the Exchange Act (17 CFR 240.13e-4(c))</w:t>
      </w:r>
    </w:p>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9" w:lineRule="exact"/>
        <w:rPr>
          <w:sz w:val="24"/>
          <w:szCs w:val="24"/>
          <w:color w:val="auto"/>
        </w:rPr>
      </w:pPr>
    </w:p>
    <w:tbl>
      <w:tblPr>
        <w:tblLayout w:type="fixed"/>
        <w:tblInd w:w="210" w:type="dxa"/>
        <w:tblCellMar>
          <w:top w:w="0" w:type="dxa"/>
          <w:left w:w="0" w:type="dxa"/>
          <w:bottom w:w="0" w:type="dxa"/>
          <w:right w:w="0" w:type="dxa"/>
        </w:tblCellMar>
      </w:tblPr>
      <w:tr>
        <w:trPr>
          <w:trHeight w:val="248"/>
        </w:trPr>
        <w:tc>
          <w:tcPr>
            <w:tcW w:w="39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36"/>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r>
        <w:trPr>
          <w:trHeight w:val="228"/>
        </w:trPr>
        <w:tc>
          <w:tcPr>
            <w:tcW w:w="3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ANAB</w:t>
            </w:r>
          </w:p>
        </w:tc>
        <w:tc>
          <w:tcPr>
            <w:tcW w:w="4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36"/>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bl>
    <w:p>
      <w:pPr>
        <w:spacing w:after="0" w:line="292" w:lineRule="exact"/>
        <w:rPr>
          <w:sz w:val="24"/>
          <w:szCs w:val="24"/>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62"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304"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6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Item 8.01.</w:t>
      </w:r>
      <w:r>
        <w:rPr>
          <w:sz w:val="20"/>
          <w:szCs w:val="20"/>
          <w:color w:val="auto"/>
        </w:rPr>
        <w:tab/>
      </w:r>
      <w:r>
        <w:rPr>
          <w:rFonts w:ascii="Times New Roman" w:cs="Times New Roman" w:eastAsia="Times New Roman" w:hAnsi="Times New Roman"/>
          <w:sz w:val="19"/>
          <w:szCs w:val="19"/>
          <w:b w:val="1"/>
          <w:bCs w:val="1"/>
          <w:color w:val="auto"/>
        </w:rPr>
        <w:t>Other Events.</w:t>
      </w:r>
    </w:p>
    <w:p>
      <w:pPr>
        <w:spacing w:after="0" w:line="22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On November 21, 2025, AnaptysBio, Inc. (“Anaptys”) issued a press release (the “Press Release”) announcing that its Board of Directors authorized an amendment to its Stock Repurchase Plan previously approved in March 2025, under which the Company may repurchase up to an additional $100.0 million of the Company’s outstanding common stock, par value $0.001 per share. This amendment is in addition to the $6.4 million that remains available under the Stock Repurchase Plan as of November 20, 2025 under the current $75.0 million Stock Repurchase Plan. Anaptys has repurchased a total of 3,443,188 shares of common stock (11.2% shares outstanding before the start of the Stock Repurchase Plan) under the Stock Repurchase Plan. A copy of the press release is attached as Exhibit 99.1 to this Current Report on Form 8-K.</w:t>
      </w:r>
    </w:p>
    <w:p>
      <w:pPr>
        <w:spacing w:after="0" w:line="17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 Exhibits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0" w:type="dxa"/>
            <w:vAlign w:val="bottom"/>
          </w:tcPr>
          <w:p>
            <w:pPr>
              <w:spacing w:after="0"/>
              <w:rPr>
                <w:sz w:val="22"/>
                <w:szCs w:val="22"/>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Exhibit Number</w:t>
            </w:r>
          </w:p>
        </w:tc>
        <w:tc>
          <w:tcPr>
            <w:tcW w:w="9300" w:type="dxa"/>
            <w:vAlign w:val="bottom"/>
          </w:tcPr>
          <w:p>
            <w:pPr>
              <w:ind w:left="520"/>
              <w:spacing w:after="0"/>
              <w:rPr>
                <w:sz w:val="20"/>
                <w:szCs w:val="20"/>
                <w:color w:val="auto"/>
              </w:rPr>
            </w:pPr>
            <w:r>
              <w:rPr>
                <w:rFonts w:ascii="Times New Roman" w:cs="Times New Roman" w:eastAsia="Times New Roman" w:hAnsi="Times New Roman"/>
                <w:sz w:val="20"/>
                <w:szCs w:val="20"/>
                <w:b w:val="1"/>
                <w:bCs w:val="1"/>
                <w:color w:val="auto"/>
              </w:rPr>
              <w:t>Exhibit Title or Description</w:t>
            </w:r>
          </w:p>
        </w:tc>
      </w:tr>
      <w:tr>
        <w:trPr>
          <w:trHeight w:val="237"/>
        </w:trPr>
        <w:tc>
          <w:tcPr>
            <w:tcW w:w="20" w:type="dxa"/>
            <w:vAlign w:val="bottom"/>
          </w:tcPr>
          <w:p>
            <w:pPr>
              <w:spacing w:after="0"/>
              <w:rPr>
                <w:sz w:val="20"/>
                <w:szCs w:val="20"/>
                <w:color w:val="auto"/>
              </w:rPr>
            </w:pPr>
          </w:p>
        </w:tc>
        <w:tc>
          <w:tcPr>
            <w:tcW w:w="3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6"/>
              </w:rPr>
              <w:t>99.</w:t>
            </w:r>
            <w:r>
              <w:rPr>
                <w:rFonts w:ascii="Times New Roman" w:cs="Times New Roman" w:eastAsia="Times New Roman" w:hAnsi="Times New Roman"/>
                <w:sz w:val="20"/>
                <w:szCs w:val="20"/>
                <w:u w:val="single" w:color="auto"/>
                <w:color w:val="0000FF"/>
                <w:w w:val="96"/>
              </w:rPr>
              <w:t>1</w:t>
            </w:r>
          </w:p>
        </w:tc>
        <w:tc>
          <w:tcPr>
            <w:tcW w:w="1560" w:type="dxa"/>
            <w:vAlign w:val="bottom"/>
          </w:tcPr>
          <w:p>
            <w:pPr>
              <w:spacing w:after="0"/>
              <w:rPr>
                <w:sz w:val="20"/>
                <w:szCs w:val="20"/>
                <w:color w:val="auto"/>
              </w:rPr>
            </w:pPr>
          </w:p>
        </w:tc>
        <w:tc>
          <w:tcPr>
            <w:tcW w:w="930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AnaptysBio, Inc. Press Release, dated November 21, 2025.</w:t>
            </w:r>
          </w:p>
        </w:tc>
      </w:tr>
      <w:tr>
        <w:trPr>
          <w:trHeight w:val="281"/>
        </w:trPr>
        <w:tc>
          <w:tcPr>
            <w:tcW w:w="3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104</w:t>
            </w:r>
          </w:p>
        </w:tc>
        <w:tc>
          <w:tcPr>
            <w:tcW w:w="1560" w:type="dxa"/>
            <w:vAlign w:val="bottom"/>
          </w:tcPr>
          <w:p>
            <w:pPr>
              <w:spacing w:after="0"/>
              <w:rPr>
                <w:sz w:val="24"/>
                <w:szCs w:val="24"/>
                <w:color w:val="auto"/>
              </w:rPr>
            </w:pPr>
          </w:p>
        </w:tc>
        <w:tc>
          <w:tcPr>
            <w:tcW w:w="930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Cover Page Interactive Data File (the cover page XBRL tags are embedded within the inline XBRL</w:t>
            </w:r>
          </w:p>
        </w:tc>
      </w:tr>
      <w:tr>
        <w:trPr>
          <w:trHeight w:val="258"/>
        </w:trPr>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930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document).</w:t>
            </w:r>
          </w:p>
        </w:tc>
      </w:tr>
      <w:tr>
        <w:trPr>
          <w:trHeight w:val="878"/>
        </w:trPr>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9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00" w:lineRule="exact"/>
        <w:rPr>
          <w:sz w:val="20"/>
          <w:szCs w:val="20"/>
          <w:color w:val="auto"/>
        </w:rPr>
      </w:pPr>
    </w:p>
    <w:p>
      <w:pPr>
        <w:spacing w:after="0" w:line="222"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5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color w:val="auto"/>
        </w:rPr>
        <w:t>AnaptysBio, Inc.</w:t>
      </w:r>
    </w:p>
    <w:p>
      <w:pPr>
        <w:spacing w:after="0" w:line="28" w:lineRule="exact"/>
        <w:rPr>
          <w:sz w:val="20"/>
          <w:szCs w:val="20"/>
          <w:color w:val="auto"/>
        </w:rPr>
      </w:pPr>
    </w:p>
    <w:p>
      <w:pPr>
        <w:ind w:left="20"/>
        <w:spacing w:after="0"/>
        <w:tabs>
          <w:tab w:leader="none" w:pos="4220" w:val="left"/>
          <w:tab w:leader="none" w:pos="4780" w:val="left"/>
        </w:tabs>
        <w:rPr>
          <w:sz w:val="20"/>
          <w:szCs w:val="20"/>
          <w:color w:val="auto"/>
        </w:rPr>
      </w:pPr>
      <w:r>
        <w:rPr>
          <w:rFonts w:ascii="Times New Roman" w:cs="Times New Roman" w:eastAsia="Times New Roman" w:hAnsi="Times New Roman"/>
          <w:sz w:val="20"/>
          <w:szCs w:val="20"/>
          <w:color w:val="auto"/>
        </w:rPr>
        <w:t>Date: November 21, 2025</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/s/Eric Loumeau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21590</wp:posOffset>
            </wp:positionV>
            <wp:extent cx="40976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97655" cy="8255"/>
                    </a:xfrm>
                    <a:prstGeom prst="rect">
                      <a:avLst/>
                    </a:prstGeom>
                    <a:noFill/>
                  </pic:spPr>
                </pic:pic>
              </a:graphicData>
            </a:graphic>
          </wp:anchor>
        </w:drawing>
      </w:r>
    </w:p>
    <w:p>
      <w:pPr>
        <w:spacing w:after="0" w:line="3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Name: Eric Loumeau</w:t>
      </w:r>
    </w:p>
    <w:p>
      <w:pPr>
        <w:spacing w:after="0" w:line="4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Title: Chief Legal Officer</w:t>
      </w:r>
    </w:p>
    <w:p>
      <w:pPr>
        <w:sectPr>
          <w:pgSz w:w="11900" w:h="16838" w:orient="portrait"/>
          <w:cols w:equalWidth="0" w:num="1">
            <w:col w:w="11220"/>
          </w:cols>
          <w:pgMar w:left="320" w:top="1409" w:right="35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Anaptys Announces $100 Million Stock Repurchase Plan</w:t>
      </w:r>
    </w:p>
    <w:p>
      <w:pPr>
        <w:spacing w:after="0" w:line="33"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SAN DIEGO, Nov. 21, 2025 </w:t>
      </w:r>
      <w:r>
        <w:rPr>
          <w:rFonts w:ascii="Times New Roman" w:cs="Times New Roman" w:eastAsia="Times New Roman" w:hAnsi="Times New Roman"/>
          <w:sz w:val="20"/>
          <w:szCs w:val="20"/>
          <w:color w:val="auto"/>
        </w:rPr>
        <w:t>— AnaptysBio, Inc. (Nasdaq: ANAB), a clinical-stage biotechnology company focused on delivering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innovative immunology therapeutics, today announced that its Board of Directors has authorized an amended Stock Repurchase Plan under which the Company may repurchase up to $100.0 million of the Company’s outstanding common stock, par value $0.001 per share. This amendment is in addition to the $6.4 million that remained as of Nov. 20, 2025 under the current $75.0 million Stock Repurchase Plan of which Anaptys has repurchased a total of 3,443,188 shares of common stock (11.2% shares outstanding before the start of this repurchase plan).</w:t>
      </w:r>
    </w:p>
    <w:p>
      <w:pPr>
        <w:spacing w:after="0" w:line="1" w:lineRule="exact"/>
        <w:rPr>
          <w:sz w:val="20"/>
          <w:szCs w:val="20"/>
          <w:color w:val="auto"/>
        </w:rPr>
      </w:pPr>
    </w:p>
    <w:p>
      <w:pPr>
        <w:jc w:val="both"/>
        <w:ind w:right="160"/>
        <w:spacing w:after="0" w:line="253" w:lineRule="auto"/>
        <w:rPr>
          <w:sz w:val="20"/>
          <w:szCs w:val="20"/>
          <w:color w:val="auto"/>
        </w:rPr>
      </w:pPr>
      <w:r>
        <w:rPr>
          <w:rFonts w:ascii="Times New Roman" w:cs="Times New Roman" w:eastAsia="Times New Roman" w:hAnsi="Times New Roman"/>
          <w:sz w:val="20"/>
          <w:szCs w:val="20"/>
          <w:color w:val="auto"/>
        </w:rPr>
        <w:t xml:space="preserve">Excluding any additional potential purchases under this Stock Repurchase Plan, Anaptys anticipates ending 2025 with approximately $300 million in cash, cash equivalents and investments, including an anticipated accrual of a one-time $75 million commercial sales milestone in Q4 2025 due from GSK once </w:t>
      </w:r>
      <w:r>
        <w:rPr>
          <w:rFonts w:ascii="Times New Roman" w:cs="Times New Roman" w:eastAsia="Times New Roman" w:hAnsi="Times New Roman"/>
          <w:sz w:val="20"/>
          <w:szCs w:val="20"/>
          <w:i w:val="1"/>
          <w:iCs w:val="1"/>
          <w:color w:val="auto"/>
        </w:rPr>
        <w:t>Jemperli</w:t>
      </w:r>
      <w:r>
        <w:rPr>
          <w:rFonts w:ascii="Times New Roman" w:cs="Times New Roman" w:eastAsia="Times New Roman" w:hAnsi="Times New Roman"/>
          <w:sz w:val="20"/>
          <w:szCs w:val="20"/>
          <w:color w:val="auto"/>
        </w:rPr>
        <w:t xml:space="preserve"> achieves $1 billion in worldwide net sales.</w:t>
      </w:r>
    </w:p>
    <w:p>
      <w:pPr>
        <w:spacing w:after="0" w:line="21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The shares may be repurchased from time to time in open market transactions, or other means in accordance with Rule 10b5-1 of the Securities Exchange Act of 1934, as amended (the "Exchange Act"), and Rule 10b-18 of the Exchange Act. The timing, number of shares repurchased, and prices paid for the stock under this program will depend on general business and market conditions as well as corporate and regulatory limitations, prevailing stock prices, and other considerations. The Stock Repurchase Plan will expire on March 31, 2026, may be suspended or discontinued at any time, and does not obligate the company to acquire any amount of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Anaptys</w:t>
      </w:r>
    </w:p>
    <w:p>
      <w:pPr>
        <w:spacing w:after="0" w:line="24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Anaptys is a clinical-stage biotechnology company focused on delivering innovative immunology therapeutics for autoimmune and inflammatory diseases. The company’s pipeline includes rosnilimab, a pathogenic T cell depleter, which has completed a Phase 2b trial for rheumatoid arthritis; ANB033, a CD122 antagonist, in a Phase 1b trial for celiac disease with plans to expand development into an additional indication; and ANB101, a BDCA2 modulator, in a Phase 1a trial. Anaptys has also discovered and out-licensed in financial collaborations multiple therapeutic antibodies, including a PD-1 antagonist (</w:t>
      </w:r>
      <w:r>
        <w:rPr>
          <w:rFonts w:ascii="Times New Roman" w:cs="Times New Roman" w:eastAsia="Times New Roman" w:hAnsi="Times New Roman"/>
          <w:sz w:val="20"/>
          <w:szCs w:val="20"/>
          <w:i w:val="1"/>
          <w:iCs w:val="1"/>
          <w:color w:val="auto"/>
        </w:rPr>
        <w:t>Jemperli</w:t>
      </w:r>
      <w:r>
        <w:rPr>
          <w:rFonts w:ascii="Times New Roman" w:cs="Times New Roman" w:eastAsia="Times New Roman" w:hAnsi="Times New Roman"/>
          <w:sz w:val="20"/>
          <w:szCs w:val="20"/>
          <w:color w:val="auto"/>
        </w:rPr>
        <w:t xml:space="preserve"> (dostarlimab-gxly)) to GSK and an IL-36R antagonist (imsidolimab) to Vanda Pharmaceuticals. To learn more, visit </w:t>
      </w:r>
      <w:r>
        <w:rPr>
          <w:rFonts w:ascii="Times New Roman" w:cs="Times New Roman" w:eastAsia="Times New Roman" w:hAnsi="Times New Roman"/>
          <w:sz w:val="20"/>
          <w:szCs w:val="20"/>
          <w:u w:val="single" w:color="auto"/>
          <w:color w:val="0563C1"/>
        </w:rPr>
        <w:t>www.AnaptysBio.com</w:t>
      </w:r>
      <w:r>
        <w:rPr>
          <w:rFonts w:ascii="Times New Roman" w:cs="Times New Roman" w:eastAsia="Times New Roman" w:hAnsi="Times New Roman"/>
          <w:sz w:val="20"/>
          <w:szCs w:val="20"/>
          <w:color w:val="auto"/>
        </w:rPr>
        <w:t xml:space="preserve"> or follow us on </w:t>
      </w:r>
      <w:r>
        <w:rPr>
          <w:rFonts w:ascii="Times New Roman" w:cs="Times New Roman" w:eastAsia="Times New Roman" w:hAnsi="Times New Roman"/>
          <w:sz w:val="20"/>
          <w:szCs w:val="20"/>
          <w:u w:val="single" w:color="auto"/>
          <w:color w:val="0563C1"/>
        </w:rPr>
        <w:t>LinkedIn</w:t>
      </w:r>
      <w:r>
        <w:rPr>
          <w:rFonts w:ascii="Times New Roman" w:cs="Times New Roman" w:eastAsia="Times New Roman" w:hAnsi="Times New Roman"/>
          <w:sz w:val="20"/>
          <w:szCs w:val="20"/>
          <w:color w:val="auto"/>
        </w:rPr>
        <w:t>.</w:t>
      </w:r>
    </w:p>
    <w:p>
      <w:pPr>
        <w:spacing w:after="0" w:line="219" w:lineRule="exact"/>
        <w:rPr>
          <w:sz w:val="20"/>
          <w:szCs w:val="20"/>
          <w:color w:val="auto"/>
        </w:rPr>
      </w:pPr>
    </w:p>
    <w:p>
      <w:pPr>
        <w:ind w:right="340"/>
        <w:spacing w:after="0" w:line="254" w:lineRule="auto"/>
        <w:rPr>
          <w:sz w:val="20"/>
          <w:szCs w:val="20"/>
          <w:color w:val="auto"/>
        </w:rPr>
      </w:pPr>
      <w:r>
        <w:rPr>
          <w:rFonts w:ascii="Times New Roman" w:cs="Times New Roman" w:eastAsia="Times New Roman" w:hAnsi="Times New Roman"/>
          <w:sz w:val="20"/>
          <w:szCs w:val="20"/>
          <w:color w:val="auto"/>
        </w:rPr>
        <w:t>Anaptys recently announced the intent to separate its biopharma operations from its substantial royalty assets by year-end 2026, enabling investors to align their investment philosophies and portfolio allocation with the strategic opportunities and financial objectives of each company. Learn more at https://ir.anaptysbio.com/news-releases/news-release-details/anaptys-announces-intent-separate-biopharma-operations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47"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9"/>
          <w:szCs w:val="19"/>
          <w:color w:val="auto"/>
        </w:rPr>
        <w:t>This press release contains forward-looking statements within the meaning of the "safe harbor" provisions of the Private Securities Litigation Reform Act of 1995, including, but not limited to: the company’s ability to execute the Stock Repurchase Plan, in whole or in part; year-end cash estimates; the potential to receive any additional milestones and royalties from the GSK collaboration, and the timing therefor; and expectations regarding the structure, infrastructure, timing and taxation of the proposed separation into two companies. Statements including words such as “plan,” “continue,” “expect,” or “ongoing” and statements in the future tense are forward-looking statements. These forward-looking statements involve risks and uncertainties, as well as assumptions, which, if they do not fully materialize or prove incorrect, could cause its results to differ materially from those expressed or implied by such forward-looking statements. Forward-looking statements are subject to risks and uncertainties that may cause the company’s actual activities or results to differ significantly from those expressed in any forward-looking statement, including risks and uncertainties related to the company’s ability to advance its product candidates, obtain regulatory approval of and ultimately commercialize its product candidates, the timing and results of preclinical and clinical trials, the company’s ability to fund development activities and achieve development goals, the company’s ability to protect intellectual property and other risks and uncertainties described under the heading “Risk Factors” in documents the company files from time to time with the Securities and Exchange Commission. These forward-looking statements speak only as of the date of this press release, and the company undertakes no obligation to revise or update any forward-looking statements to reflect events or circumstances after the date hereof.</w:t>
      </w:r>
    </w:p>
    <w:p>
      <w:pPr>
        <w:sectPr>
          <w:pgSz w:w="11900" w:h="16838" w:orient="portrait"/>
          <w:cols w:equalWidth="0" w:num="1">
            <w:col w:w="11200"/>
          </w:cols>
          <w:pgMar w:left="320" w:top="783"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color w:val="auto"/>
        </w:rPr>
        <w:t>Contact: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Nick Montemarano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Executive Director, Investor Relations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858.732.0178</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70C0"/>
        </w:rPr>
        <w:t>investors@anaptysbio.com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1361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sectPr>
      <w:pgSz w:w="11900" w:h="16838" w:orient="portrait"/>
      <w:cols w:equalWidth="0" w:num="1">
        <w:col w:w="10139"/>
      </w:cols>
      <w:pgMar w:left="320" w:top="7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2025-11-21T08:03:36Z</dcterms:created>
  <dcterms:modified xsi:type="dcterms:W3CDTF">2025-11-21T08:03:36Z</dcterms:modified>
</cp:coreProperties>
</file>