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confidentially submitted to the Securities and Exchange Commission on July 17, 2015.</w:t>
      </w:r>
    </w:p>
    <w:p>
      <w:pPr>
        <w:spacing w:after="0" w:line="4" w:lineRule="exact"/>
        <w:rPr>
          <w:sz w:val="24"/>
          <w:szCs w:val="24"/>
          <w:color w:val="auto"/>
        </w:rPr>
      </w:pPr>
    </w:p>
    <w:p>
      <w:pPr>
        <w:ind w:left="9680" w:right="440" w:hanging="8952"/>
        <w:spacing w:after="0" w:line="314"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S-1</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REGISTRATION STATEMENT</w:t>
      </w: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w:t>
      </w:r>
      <w:r>
        <w:rPr>
          <w:rFonts w:ascii="Arial" w:cs="Arial" w:eastAsia="Arial" w:hAnsi="Arial"/>
          <w:sz w:val="33"/>
          <w:szCs w:val="33"/>
          <w:b w:val="1"/>
          <w:bCs w:val="1"/>
          <w:color w:val="auto"/>
        </w:rPr>
        <w:t>NAPTYS</w:t>
      </w:r>
      <w:r>
        <w:rPr>
          <w:rFonts w:ascii="Arial" w:cs="Arial" w:eastAsia="Arial" w:hAnsi="Arial"/>
          <w:sz w:val="40"/>
          <w:szCs w:val="40"/>
          <w:b w:val="1"/>
          <w:bCs w:val="1"/>
          <w:color w:val="auto"/>
        </w:rPr>
        <w:t>B</w:t>
      </w:r>
      <w:r>
        <w:rPr>
          <w:rFonts w:ascii="Arial" w:cs="Arial" w:eastAsia="Arial" w:hAnsi="Arial"/>
          <w:sz w:val="33"/>
          <w:szCs w:val="33"/>
          <w:b w:val="1"/>
          <w:bCs w:val="1"/>
          <w:color w:val="auto"/>
        </w:rPr>
        <w:t>IO</w:t>
      </w:r>
      <w:r>
        <w:rPr>
          <w:rFonts w:ascii="Arial" w:cs="Arial" w:eastAsia="Arial" w:hAnsi="Arial"/>
          <w:sz w:val="40"/>
          <w:szCs w:val="40"/>
          <w:b w:val="1"/>
          <w:bCs w:val="1"/>
          <w:color w:val="auto"/>
        </w:rPr>
        <w:t>, I</w:t>
      </w:r>
      <w:r>
        <w:rPr>
          <w:rFonts w:ascii="Arial" w:cs="Arial" w:eastAsia="Arial" w:hAnsi="Arial"/>
          <w:sz w:val="33"/>
          <w:szCs w:val="33"/>
          <w:b w:val="1"/>
          <w:bCs w:val="1"/>
          <w:color w:val="auto"/>
        </w:rPr>
        <w:t>NC</w:t>
      </w:r>
      <w:r>
        <w:rPr>
          <w:rFonts w:ascii="Arial" w:cs="Arial" w:eastAsia="Arial" w:hAnsi="Arial"/>
          <w:sz w:val="40"/>
          <w:szCs w:val="40"/>
          <w:b w:val="1"/>
          <w:bCs w:val="1"/>
          <w:color w:val="auto"/>
        </w:rPr>
        <w: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40" w:type="dxa"/>
            <w:vAlign w:val="bottom"/>
          </w:tcPr>
          <w:p>
            <w:pPr>
              <w:jc w:val="center"/>
              <w:ind w:right="991"/>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3"/>
              </w:rPr>
              <w:t>20-3828755</w:t>
            </w:r>
          </w:p>
        </w:tc>
      </w:tr>
      <w:tr>
        <w:trPr>
          <w:trHeight w:val="149"/>
        </w:trPr>
        <w:tc>
          <w:tcPr>
            <w:tcW w:w="2840" w:type="dxa"/>
            <w:vAlign w:val="bottom"/>
          </w:tcPr>
          <w:p>
            <w:pPr>
              <w:jc w:val="center"/>
              <w:ind w:right="99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3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11"/>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6"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34"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Hamza Suria</w:t>
      </w:r>
    </w:p>
    <w:p>
      <w:pPr>
        <w:jc w:val="center"/>
        <w:ind w:right="-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AnaptysBio, Inc.</w:t>
      </w:r>
    </w:p>
    <w:p>
      <w:pPr>
        <w:jc w:val="center"/>
        <w:ind w:right="-19"/>
        <w:spacing w:after="0" w:line="221" w:lineRule="auto"/>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2"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33"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tbl>
      <w:tblPr>
        <w:tblLayout w:type="fixed"/>
        <w:tblInd w:w="208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2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51"/>
        </w:trPr>
        <w:tc>
          <w:tcPr>
            <w:tcW w:w="2480" w:type="dxa"/>
            <w:vAlign w:val="bottom"/>
          </w:tcPr>
          <w:p>
            <w:pPr>
              <w:jc w:val="center"/>
              <w:ind w:right="788"/>
              <w:spacing w:after="0" w:line="151" w:lineRule="exact"/>
              <w:rPr>
                <w:sz w:val="20"/>
                <w:szCs w:val="20"/>
                <w:color w:val="auto"/>
              </w:rPr>
            </w:pPr>
            <w:r>
              <w:rPr>
                <w:rFonts w:ascii="Arial" w:cs="Arial" w:eastAsia="Arial" w:hAnsi="Arial"/>
                <w:sz w:val="14"/>
                <w:szCs w:val="14"/>
                <w:b w:val="1"/>
                <w:bCs w:val="1"/>
                <w:color w:val="auto"/>
                <w:w w:val="91"/>
              </w:rPr>
              <w:t>Effie Toshav, Esq.</w:t>
            </w:r>
          </w:p>
        </w:tc>
        <w:tc>
          <w:tcPr>
            <w:tcW w:w="4820" w:type="dxa"/>
            <w:vAlign w:val="bottom"/>
          </w:tcPr>
          <w:p>
            <w:pPr>
              <w:jc w:val="center"/>
              <w:ind w:left="3308"/>
              <w:spacing w:after="0" w:line="151" w:lineRule="exact"/>
              <w:rPr>
                <w:sz w:val="20"/>
                <w:szCs w:val="20"/>
                <w:color w:val="auto"/>
              </w:rPr>
            </w:pPr>
            <w:r>
              <w:rPr>
                <w:rFonts w:ascii="Arial" w:cs="Arial" w:eastAsia="Arial" w:hAnsi="Arial"/>
                <w:sz w:val="14"/>
                <w:szCs w:val="14"/>
                <w:b w:val="1"/>
                <w:bCs w:val="1"/>
                <w:color w:val="auto"/>
                <w:w w:val="93"/>
              </w:rPr>
              <w:t>Charles S. Kim,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Matthew S. Rossiter, Esq.</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2"/>
              </w:rPr>
              <w:t>Robert W. Phillips,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Robert A. Freedman, Esq.</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4"/>
              </w:rPr>
              <w:t>Sean M. Clayton,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7"/>
              </w:rPr>
              <w:t>Fenwick &amp; West LLP</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5"/>
              </w:rPr>
              <w:t>555 California Street</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4"/>
              </w:rPr>
              <w:t>4401 Eastgate Mall</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San Francisco, CA 94104</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3"/>
              </w:rPr>
              <w:t>San Diego, CA 92121</w:t>
            </w:r>
          </w:p>
        </w:tc>
      </w:tr>
      <w:tr>
        <w:trPr>
          <w:trHeight w:val="186"/>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3"/>
              </w:rPr>
              <w:t>(415) 875-2300</w:t>
            </w:r>
          </w:p>
        </w:tc>
        <w:tc>
          <w:tcPr>
            <w:tcW w:w="4820" w:type="dxa"/>
            <w:vAlign w:val="bottom"/>
          </w:tcPr>
          <w:p>
            <w:pPr>
              <w:jc w:val="center"/>
              <w:ind w:left="3288"/>
              <w:spacing w:after="0"/>
              <w:rPr>
                <w:sz w:val="20"/>
                <w:szCs w:val="20"/>
                <w:color w:val="auto"/>
              </w:rPr>
            </w:pPr>
            <w:r>
              <w:rPr>
                <w:rFonts w:ascii="Arial" w:cs="Arial" w:eastAsia="Arial" w:hAnsi="Arial"/>
                <w:sz w:val="14"/>
                <w:szCs w:val="14"/>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right="22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5" w:lineRule="exact"/>
        <w:rPr>
          <w:sz w:val="24"/>
          <w:szCs w:val="24"/>
          <w:color w:val="auto"/>
        </w:rPr>
      </w:pPr>
    </w:p>
    <w:p>
      <w:pPr>
        <w:ind w:firstLine="342"/>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360"/>
              <w:spacing w:after="0"/>
              <w:rPr>
                <w:sz w:val="20"/>
                <w:szCs w:val="20"/>
                <w:color w:val="auto"/>
              </w:rPr>
            </w:pPr>
            <w:r>
              <w:rPr>
                <w:rFonts w:ascii="Arial" w:cs="Arial" w:eastAsia="Arial" w:hAnsi="Arial"/>
                <w:sz w:val="14"/>
                <w:szCs w:val="14"/>
                <w:color w:val="auto"/>
              </w:rPr>
              <w:t>Accelerated filer</w:t>
            </w:r>
          </w:p>
        </w:tc>
      </w:tr>
      <w:tr>
        <w:trPr>
          <w:trHeight w:val="226"/>
        </w:trPr>
        <w:tc>
          <w:tcPr>
            <w:tcW w:w="1460" w:type="dxa"/>
            <w:vAlign w:val="bottom"/>
          </w:tcPr>
          <w:p>
            <w:pPr>
              <w:spacing w:after="0"/>
              <w:rPr>
                <w:sz w:val="20"/>
                <w:szCs w:val="20"/>
                <w:color w:val="auto"/>
              </w:rPr>
            </w:pPr>
            <w:r>
              <w:rPr>
                <w:rFonts w:ascii="Arial" w:cs="Arial" w:eastAsia="Arial" w:hAnsi="Arial"/>
                <w:sz w:val="14"/>
                <w:szCs w:val="14"/>
                <w:color w:val="auto"/>
              </w:rPr>
              <w:t>Non-accelerated filer</w:t>
            </w:r>
          </w:p>
        </w:tc>
        <w:tc>
          <w:tcPr>
            <w:tcW w:w="54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40" w:type="dxa"/>
            <w:vAlign w:val="bottom"/>
          </w:tcPr>
          <w:p>
            <w:pPr>
              <w:ind w:left="2360"/>
              <w:spacing w:after="0"/>
              <w:rPr>
                <w:sz w:val="20"/>
                <w:szCs w:val="20"/>
                <w:color w:val="auto"/>
              </w:rPr>
            </w:pPr>
            <w:r>
              <w:rPr>
                <w:rFonts w:ascii="Arial" w:cs="Arial" w:eastAsia="Arial" w:hAnsi="Arial"/>
                <w:sz w:val="14"/>
                <w:szCs w:val="14"/>
                <w:color w:val="auto"/>
                <w:w w:val="93"/>
              </w:rPr>
              <w:t>Smaller reporting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4" w:lineRule="exact"/>
        <w:rPr>
          <w:sz w:val="24"/>
          <w:szCs w:val="24"/>
          <w:color w:val="auto"/>
        </w:rPr>
      </w:pPr>
    </w:p>
    <w:p>
      <w:pPr>
        <w:sectPr>
          <w:pgSz w:w="11900" w:h="16838" w:orient="portrait"/>
          <w:cols w:equalWidth="0" w:num="2">
            <w:col w:w="11240" w:space="4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(1)(2)</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2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1600" w:type="dxa"/>
            <w:vAlign w:val="bottom"/>
            <w:tcBorders>
              <w:bottom w:val="single" w:sz="8" w:color="auto"/>
              <w:right w:val="single" w:sz="8" w:color="auto"/>
            </w:tcBorders>
          </w:tcPr>
          <w:p>
            <w:pPr>
              <w:jc w:val="right"/>
              <w:ind w:right="870"/>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of the Securities Act of 1933, as amended.</w:t>
      </w:r>
    </w:p>
    <w:p>
      <w:pPr>
        <w:spacing w:after="0"/>
        <w:tabs>
          <w:tab w:leader="none" w:pos="320" w:val="left"/>
          <w:tab w:leader="none" w:pos="2460" w:val="left"/>
        </w:tabs>
        <w:rPr>
          <w:sz w:val="20"/>
          <w:szCs w:val="20"/>
          <w:color w:val="auto"/>
        </w:rPr>
      </w:pPr>
      <w:r>
        <w:rPr>
          <w:rFonts w:ascii="Arial" w:cs="Arial" w:eastAsia="Arial" w:hAnsi="Arial"/>
          <w:sz w:val="14"/>
          <w:szCs w:val="14"/>
          <w:color w:val="auto"/>
        </w:rPr>
        <w:t>(2)</w:t>
        <w:tab/>
        <w:t>Includes the offering price of</w:t>
      </w:r>
      <w:r>
        <w:rPr>
          <w:sz w:val="20"/>
          <w:szCs w:val="20"/>
          <w:color w:val="auto"/>
        </w:rPr>
        <w:tab/>
      </w:r>
      <w:r>
        <w:rPr>
          <w:rFonts w:ascii="Arial" w:cs="Arial" w:eastAsia="Arial" w:hAnsi="Arial"/>
          <w:sz w:val="12"/>
          <w:szCs w:val="12"/>
          <w:color w:val="auto"/>
        </w:rPr>
        <w:t>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18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8680" w:val="left"/>
        </w:tabs>
        <w:rPr>
          <w:sz w:val="20"/>
          <w:szCs w:val="20"/>
          <w:color w:val="auto"/>
        </w:rPr>
      </w:pPr>
      <w:r>
        <w:rPr>
          <w:rFonts w:ascii="Arial" w:cs="Arial" w:eastAsia="Arial" w:hAnsi="Arial"/>
          <w:sz w:val="16"/>
          <w:szCs w:val="16"/>
          <w:color w:val="auto"/>
        </w:rPr>
        <w:t>Preliminary Prospectus</w:t>
      </w:r>
      <w:r>
        <w:rPr>
          <w:sz w:val="20"/>
          <w:szCs w:val="20"/>
          <w:color w:val="auto"/>
        </w:rPr>
        <w:tab/>
      </w:r>
      <w:r>
        <w:rPr>
          <w:rFonts w:ascii="Arial" w:cs="Arial" w:eastAsia="Arial" w:hAnsi="Arial"/>
          <w:sz w:val="16"/>
          <w:szCs w:val="16"/>
          <w:i w:val="1"/>
          <w:iCs w:val="1"/>
          <w:color w:val="DE1A1E"/>
        </w:rPr>
        <w:t>Subject to Completion, dated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DE1A1E"/>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183515</wp:posOffset>
            </wp:positionV>
            <wp:extent cx="2118360" cy="59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10" w:lineRule="exact"/>
        <w:rPr>
          <w:sz w:val="20"/>
          <w:szCs w:val="20"/>
          <w:color w:val="auto"/>
        </w:rPr>
      </w:pPr>
    </w:p>
    <w:p>
      <w:pPr>
        <w:ind w:left="5640" w:hanging="1358"/>
        <w:spacing w:after="0"/>
        <w:tabs>
          <w:tab w:leader="none" w:pos="5640" w:val="left"/>
        </w:tabs>
        <w:numPr>
          <w:ilvl w:val="0"/>
          <w:numId w:val="2"/>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24" w:lineRule="exact"/>
        <w:rPr>
          <w:sz w:val="20"/>
          <w:szCs w:val="20"/>
          <w:color w:val="auto"/>
        </w:rPr>
      </w:pPr>
    </w:p>
    <w:p>
      <w:pPr>
        <w:spacing w:after="0"/>
        <w:tabs>
          <w:tab w:leader="none" w:pos="6280" w:val="left"/>
        </w:tabs>
        <w:rPr>
          <w:sz w:val="20"/>
          <w:szCs w:val="20"/>
          <w:color w:val="auto"/>
        </w:rPr>
      </w:pPr>
      <w:r>
        <w:rPr>
          <w:rFonts w:ascii="Arial" w:cs="Arial" w:eastAsia="Arial" w:hAnsi="Arial"/>
          <w:sz w:val="16"/>
          <w:szCs w:val="16"/>
          <w:color w:val="auto"/>
        </w:rPr>
        <w:t>This is the initial public offering of shares of our common stock. We are offering</w:t>
      </w:r>
      <w:r>
        <w:rPr>
          <w:sz w:val="20"/>
          <w:szCs w:val="20"/>
          <w:color w:val="auto"/>
        </w:rPr>
        <w:tab/>
      </w:r>
      <w:r>
        <w:rPr>
          <w:rFonts w:ascii="Arial" w:cs="Arial" w:eastAsia="Arial" w:hAnsi="Arial"/>
          <w:sz w:val="16"/>
          <w:szCs w:val="16"/>
          <w:color w:val="auto"/>
        </w:rPr>
        <w:t>shares of our common stock. We anticipate that the initial public</w:t>
      </w:r>
    </w:p>
    <w:p>
      <w:pPr>
        <w:spacing w:after="0" w:line="5" w:lineRule="exact"/>
        <w:rPr>
          <w:sz w:val="20"/>
          <w:szCs w:val="20"/>
          <w:color w:val="auto"/>
        </w:rPr>
      </w:pPr>
    </w:p>
    <w:p>
      <w:pPr>
        <w:spacing w:after="0"/>
        <w:tabs>
          <w:tab w:leader="none" w:pos="4160" w:val="left"/>
          <w:tab w:leader="none" w:pos="4980" w:val="left"/>
        </w:tabs>
        <w:rPr>
          <w:sz w:val="20"/>
          <w:szCs w:val="20"/>
          <w:color w:val="auto"/>
        </w:rPr>
      </w:pPr>
      <w:r>
        <w:rPr>
          <w:rFonts w:ascii="Arial" w:cs="Arial" w:eastAsia="Arial" w:hAnsi="Arial"/>
          <w:sz w:val="16"/>
          <w:szCs w:val="16"/>
          <w:color w:val="auto"/>
        </w:rPr>
        <w:t>offering price of our common stock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5"/>
          <w:szCs w:val="15"/>
          <w:color w:val="auto"/>
        </w:rPr>
        <w:t>per share.</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Prior to this offering, there has been no public market for our common stock. We intend to list our common stock on the NASDAQ Global Market under the symbol “ANAB.”</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76" w:lineRule="exact"/>
        <w:rPr>
          <w:sz w:val="20"/>
          <w:szCs w:val="20"/>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See “</w:t>
      </w:r>
      <w:hyperlink w:anchor="page1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11 of this prospectus.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Per Share</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Total</w:t>
            </w:r>
          </w:p>
        </w:tc>
      </w:tr>
      <w:tr>
        <w:trPr>
          <w:trHeight w:val="285"/>
        </w:trPr>
        <w:tc>
          <w:tcPr>
            <w:tcW w:w="60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400"/>
        </w:trPr>
        <w:tc>
          <w:tcPr>
            <w:tcW w:w="600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7"/>
                <w:szCs w:val="27"/>
                <w:color w:val="auto"/>
                <w:vertAlign w:val="superscript"/>
              </w:rPr>
              <w:t>(1)</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195"/>
        </w:trPr>
        <w:tc>
          <w:tcPr>
            <w:tcW w:w="6000" w:type="dxa"/>
            <w:vAlign w:val="bottom"/>
          </w:tcPr>
          <w:p>
            <w:pPr>
              <w:spacing w:after="0"/>
              <w:rPr>
                <w:sz w:val="20"/>
                <w:szCs w:val="20"/>
                <w:color w:val="auto"/>
              </w:rPr>
            </w:pPr>
            <w:r>
              <w:rPr>
                <w:rFonts w:ascii="Arial" w:cs="Arial" w:eastAsia="Arial" w:hAnsi="Arial"/>
                <w:sz w:val="16"/>
                <w:szCs w:val="16"/>
                <w:color w:val="auto"/>
              </w:rPr>
              <w:t>Proceeds to AnaptysBio, Inc. (before expenses)</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We refer you to “Underwriting” beginning on page 140 of this prospectus for additional information regarding total underwriter compensation.</w:t>
      </w:r>
    </w:p>
    <w:p>
      <w:pPr>
        <w:spacing w:after="0" w:line="221" w:lineRule="exact"/>
        <w:rPr>
          <w:sz w:val="20"/>
          <w:szCs w:val="20"/>
          <w:color w:val="auto"/>
        </w:rPr>
      </w:pPr>
    </w:p>
    <w:p>
      <w:pPr>
        <w:spacing w:after="0"/>
        <w:tabs>
          <w:tab w:leader="none" w:pos="3820" w:val="left"/>
        </w:tabs>
        <w:rPr>
          <w:sz w:val="20"/>
          <w:szCs w:val="20"/>
          <w:color w:val="auto"/>
        </w:rPr>
      </w:pPr>
      <w:r>
        <w:rPr>
          <w:rFonts w:ascii="Arial" w:cs="Arial" w:eastAsia="Arial" w:hAnsi="Arial"/>
          <w:sz w:val="16"/>
          <w:szCs w:val="16"/>
          <w:color w:val="auto"/>
        </w:rPr>
        <w:t>To the extent the underwriters sell more than</w:t>
      </w:r>
      <w:r>
        <w:rPr>
          <w:sz w:val="20"/>
          <w:szCs w:val="20"/>
          <w:color w:val="auto"/>
        </w:rPr>
        <w:tab/>
      </w:r>
      <w:r>
        <w:rPr>
          <w:rFonts w:ascii="Arial" w:cs="Arial" w:eastAsia="Arial" w:hAnsi="Arial"/>
          <w:sz w:val="16"/>
          <w:szCs w:val="16"/>
          <w:color w:val="auto"/>
        </w:rPr>
        <w:t>shares of common stock, the underwriters have the option for a 30-day period to purchase up to an</w:t>
      </w:r>
    </w:p>
    <w:p>
      <w:pPr>
        <w:spacing w:after="0" w:line="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additional</w:t>
      </w:r>
      <w:r>
        <w:rPr>
          <w:sz w:val="20"/>
          <w:szCs w:val="20"/>
          <w:color w:val="auto"/>
        </w:rPr>
        <w:tab/>
      </w:r>
      <w:r>
        <w:rPr>
          <w:rFonts w:ascii="Arial" w:cs="Arial" w:eastAsia="Arial" w:hAnsi="Arial"/>
          <w:sz w:val="16"/>
          <w:szCs w:val="16"/>
          <w:color w:val="auto"/>
        </w:rPr>
        <w:t>shares from us at the initial public offering price less the underwriting discount.</w:t>
      </w:r>
    </w:p>
    <w:p>
      <w:pPr>
        <w:spacing w:after="0" w:line="201" w:lineRule="exact"/>
        <w:rPr>
          <w:sz w:val="20"/>
          <w:szCs w:val="20"/>
          <w:color w:val="auto"/>
        </w:rPr>
      </w:pPr>
    </w:p>
    <w:p>
      <w:pPr>
        <w:jc w:val="both"/>
        <w:ind w:right="74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20"/>
                <w:szCs w:val="20"/>
                <w:color w:val="auto"/>
              </w:rPr>
            </w:pPr>
            <w:r>
              <w:rPr>
                <w:rFonts w:ascii="Arial" w:cs="Arial" w:eastAsia="Arial" w:hAnsi="Arial"/>
                <w:sz w:val="16"/>
                <w:szCs w:val="16"/>
                <w:color w:val="auto"/>
              </w:rPr>
              <w:t>The underwriters expect to deliver the shares of common stock to the purchasers on or about</w:t>
            </w:r>
          </w:p>
        </w:tc>
        <w:tc>
          <w:tcPr>
            <w:tcW w:w="4140" w:type="dxa"/>
            <w:vAlign w:val="bottom"/>
          </w:tcPr>
          <w:p>
            <w:pPr>
              <w:jc w:val="right"/>
              <w:ind w:right="3183"/>
              <w:spacing w:after="0"/>
              <w:rPr>
                <w:sz w:val="20"/>
                <w:szCs w:val="20"/>
                <w:color w:val="auto"/>
              </w:rPr>
            </w:pPr>
            <w:r>
              <w:rPr>
                <w:rFonts w:ascii="Arial" w:cs="Arial" w:eastAsia="Arial" w:hAnsi="Arial"/>
                <w:sz w:val="16"/>
                <w:szCs w:val="16"/>
                <w:color w:val="auto"/>
              </w:rPr>
              <w:t>, 2015.</w:t>
            </w:r>
          </w:p>
        </w:tc>
      </w:tr>
      <w:tr>
        <w:trPr>
          <w:trHeight w:val="384"/>
        </w:trPr>
        <w:tc>
          <w:tcPr>
            <w:tcW w:w="7280" w:type="dxa"/>
            <w:vAlign w:val="bottom"/>
            <w:tcBorders>
              <w:bottom w:val="single" w:sz="8" w:color="0079C1"/>
            </w:tcBorders>
          </w:tcPr>
          <w:p>
            <w:pPr>
              <w:spacing w:after="0"/>
              <w:rPr>
                <w:sz w:val="24"/>
                <w:szCs w:val="24"/>
                <w:color w:val="auto"/>
              </w:rPr>
            </w:pPr>
          </w:p>
        </w:tc>
        <w:tc>
          <w:tcPr>
            <w:tcW w:w="4140" w:type="dxa"/>
            <w:vAlign w:val="bottom"/>
            <w:tcBorders>
              <w:bottom w:val="single" w:sz="8" w:color="0079C1"/>
            </w:tcBorders>
          </w:tcPr>
          <w:p>
            <w:pPr>
              <w:spacing w:after="0"/>
              <w:rPr>
                <w:sz w:val="24"/>
                <w:szCs w:val="24"/>
                <w:color w:val="auto"/>
              </w:rPr>
            </w:pPr>
          </w:p>
        </w:tc>
      </w:tr>
      <w:tr>
        <w:trPr>
          <w:trHeight w:val="237"/>
        </w:trPr>
        <w:tc>
          <w:tcPr>
            <w:tcW w:w="7280" w:type="dxa"/>
            <w:vAlign w:val="bottom"/>
          </w:tcPr>
          <w:p>
            <w:pPr>
              <w:jc w:val="center"/>
              <w:ind w:left="4034"/>
              <w:spacing w:after="0"/>
              <w:rPr>
                <w:sz w:val="20"/>
                <w:szCs w:val="20"/>
                <w:color w:val="auto"/>
              </w:rPr>
            </w:pPr>
            <w:r>
              <w:rPr>
                <w:rFonts w:ascii="Arial" w:cs="Arial" w:eastAsia="Arial" w:hAnsi="Arial"/>
                <w:sz w:val="18"/>
                <w:szCs w:val="18"/>
                <w:i w:val="1"/>
                <w:iCs w:val="1"/>
                <w:color w:val="auto"/>
                <w:w w:val="99"/>
              </w:rPr>
              <w:t>Joint Book-Running Managers</w:t>
            </w:r>
          </w:p>
        </w:tc>
        <w:tc>
          <w:tcPr>
            <w:tcW w:w="4140" w:type="dxa"/>
            <w:vAlign w:val="bottom"/>
          </w:tcPr>
          <w:p>
            <w:pPr>
              <w:spacing w:after="0"/>
              <w:rPr>
                <w:sz w:val="20"/>
                <w:szCs w:val="20"/>
                <w:color w:val="auto"/>
              </w:rPr>
            </w:pPr>
          </w:p>
        </w:tc>
      </w:tr>
      <w:tr>
        <w:trPr>
          <w:trHeight w:val="461"/>
        </w:trPr>
        <w:tc>
          <w:tcPr>
            <w:tcW w:w="7280" w:type="dxa"/>
            <w:vAlign w:val="bottom"/>
          </w:tcPr>
          <w:p>
            <w:pPr>
              <w:spacing w:after="0"/>
              <w:rPr>
                <w:sz w:val="20"/>
                <w:szCs w:val="20"/>
                <w:color w:val="auto"/>
              </w:rPr>
            </w:pPr>
            <w:r>
              <w:rPr>
                <w:rFonts w:ascii="Arial" w:cs="Arial" w:eastAsia="Arial" w:hAnsi="Arial"/>
                <w:sz w:val="32"/>
                <w:szCs w:val="32"/>
                <w:b w:val="1"/>
                <w:bCs w:val="1"/>
                <w:color w:val="auto"/>
              </w:rPr>
              <w:t>BMO Capital Markets</w:t>
            </w:r>
          </w:p>
        </w:tc>
        <w:tc>
          <w:tcPr>
            <w:tcW w:w="4140" w:type="dxa"/>
            <w:vAlign w:val="bottom"/>
          </w:tcPr>
          <w:p>
            <w:pPr>
              <w:jc w:val="right"/>
              <w:spacing w:after="0"/>
              <w:rPr>
                <w:sz w:val="20"/>
                <w:szCs w:val="20"/>
                <w:color w:val="auto"/>
              </w:rPr>
            </w:pPr>
            <w:r>
              <w:rPr>
                <w:rFonts w:ascii="Arial" w:cs="Arial" w:eastAsia="Arial" w:hAnsi="Arial"/>
                <w:sz w:val="32"/>
                <w:szCs w:val="32"/>
                <w:b w:val="1"/>
                <w:bCs w:val="1"/>
                <w:color w:val="auto"/>
              </w:rPr>
              <w:t>Stifel</w:t>
            </w:r>
          </w:p>
        </w:tc>
      </w:tr>
      <w:tr>
        <w:trPr>
          <w:trHeight w:val="417"/>
        </w:trPr>
        <w:tc>
          <w:tcPr>
            <w:tcW w:w="7280" w:type="dxa"/>
            <w:vAlign w:val="bottom"/>
          </w:tcPr>
          <w:p>
            <w:pPr>
              <w:jc w:val="center"/>
              <w:ind w:left="4034"/>
              <w:spacing w:after="0"/>
              <w:rPr>
                <w:sz w:val="20"/>
                <w:szCs w:val="20"/>
                <w:color w:val="auto"/>
              </w:rPr>
            </w:pPr>
            <w:r>
              <w:rPr>
                <w:rFonts w:ascii="Arial" w:cs="Arial" w:eastAsia="Arial" w:hAnsi="Arial"/>
                <w:sz w:val="18"/>
                <w:szCs w:val="18"/>
                <w:i w:val="1"/>
                <w:iCs w:val="1"/>
                <w:color w:val="auto"/>
              </w:rPr>
              <w:t>Co-Managers</w:t>
            </w:r>
          </w:p>
        </w:tc>
        <w:tc>
          <w:tcPr>
            <w:tcW w:w="4140" w:type="dxa"/>
            <w:vAlign w:val="bottom"/>
          </w:tcPr>
          <w:p>
            <w:pPr>
              <w:spacing w:after="0"/>
              <w:rPr>
                <w:sz w:val="24"/>
                <w:szCs w:val="24"/>
                <w:color w:val="auto"/>
              </w:rPr>
            </w:pPr>
          </w:p>
        </w:tc>
      </w:tr>
      <w:tr>
        <w:trPr>
          <w:trHeight w:val="321"/>
        </w:trPr>
        <w:tc>
          <w:tcPr>
            <w:tcW w:w="7280" w:type="dxa"/>
            <w:vAlign w:val="bottom"/>
          </w:tcPr>
          <w:p>
            <w:pPr>
              <w:spacing w:after="0"/>
              <w:rPr>
                <w:sz w:val="20"/>
                <w:szCs w:val="20"/>
                <w:color w:val="auto"/>
              </w:rPr>
            </w:pPr>
            <w:r>
              <w:rPr>
                <w:rFonts w:ascii="Arial" w:cs="Arial" w:eastAsia="Arial" w:hAnsi="Arial"/>
                <w:sz w:val="22"/>
                <w:szCs w:val="22"/>
                <w:b w:val="1"/>
                <w:bCs w:val="1"/>
                <w:color w:val="auto"/>
              </w:rPr>
              <w:t>JMP Securities</w:t>
            </w:r>
          </w:p>
        </w:tc>
        <w:tc>
          <w:tcPr>
            <w:tcW w:w="4140" w:type="dxa"/>
            <w:vAlign w:val="bottom"/>
          </w:tcPr>
          <w:p>
            <w:pPr>
              <w:jc w:val="right"/>
              <w:spacing w:after="0"/>
              <w:rPr>
                <w:sz w:val="20"/>
                <w:szCs w:val="20"/>
                <w:color w:val="auto"/>
              </w:rPr>
            </w:pPr>
            <w:r>
              <w:rPr>
                <w:rFonts w:ascii="Arial" w:cs="Arial" w:eastAsia="Arial" w:hAnsi="Arial"/>
                <w:sz w:val="22"/>
                <w:szCs w:val="22"/>
                <w:b w:val="1"/>
                <w:bCs w:val="1"/>
                <w:color w:val="auto"/>
              </w:rPr>
              <w:t>Wedbush PacGrow</w:t>
            </w:r>
          </w:p>
        </w:tc>
      </w:tr>
      <w:tr>
        <w:trPr>
          <w:trHeight w:val="85"/>
        </w:trPr>
        <w:tc>
          <w:tcPr>
            <w:tcW w:w="7280" w:type="dxa"/>
            <w:vAlign w:val="bottom"/>
            <w:tcBorders>
              <w:bottom w:val="single" w:sz="8" w:color="0079C1"/>
            </w:tcBorders>
          </w:tcPr>
          <w:p>
            <w:pPr>
              <w:spacing w:after="0"/>
              <w:rPr>
                <w:sz w:val="7"/>
                <w:szCs w:val="7"/>
                <w:color w:val="auto"/>
              </w:rPr>
            </w:pPr>
          </w:p>
        </w:tc>
        <w:tc>
          <w:tcPr>
            <w:tcW w:w="4140" w:type="dxa"/>
            <w:vAlign w:val="bottom"/>
            <w:tcBorders>
              <w:bottom w:val="single" w:sz="8" w:color="0079C1"/>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ind w:left="4360"/>
        <w:spacing w:after="0"/>
        <w:tabs>
          <w:tab w:leader="none" w:pos="65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5"/>
          <w:szCs w:val="15"/>
          <w:color w:val="auto"/>
        </w:rPr>
        <w:t>,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20" w:type="dxa"/>
            <w:vAlign w:val="bottom"/>
            <w:gridSpan w:val="3"/>
          </w:tcPr>
          <w:p>
            <w:pPr>
              <w:ind w:left="8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40" w:type="dxa"/>
            <w:vAlign w:val="bottom"/>
            <w:gridSpan w:val="8"/>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Summary</w:t>
              </w:r>
            </w:hyperlink>
          </w:p>
        </w:tc>
        <w:tc>
          <w:tcPr>
            <w:tcW w:w="9460" w:type="dxa"/>
            <w:vAlign w:val="bottom"/>
            <w:gridSpan w:val="13"/>
            <w:vMerge w:val="restart"/>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8"/>
            <w:vMerge w:val="continue"/>
          </w:tcPr>
          <w:p>
            <w:pPr>
              <w:spacing w:after="0"/>
              <w:rPr>
                <w:sz w:val="13"/>
                <w:szCs w:val="13"/>
                <w:color w:val="auto"/>
              </w:rPr>
            </w:pPr>
          </w:p>
        </w:tc>
        <w:tc>
          <w:tcPr>
            <w:tcW w:w="946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10080" w:type="dxa"/>
            <w:vAlign w:val="bottom"/>
            <w:gridSpan w:val="1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Special Note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Market and Industry Data</w:t>
              </w:r>
            </w:hyperlink>
          </w:p>
        </w:tc>
        <w:tc>
          <w:tcPr>
            <w:tcW w:w="71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5"/>
          </w:tcPr>
          <w:p>
            <w:pPr>
              <w:spacing w:after="0"/>
              <w:rPr>
                <w:sz w:val="17"/>
                <w:szCs w:val="17"/>
                <w:color w:val="auto"/>
              </w:rPr>
            </w:pPr>
          </w:p>
        </w:tc>
        <w:tc>
          <w:tcPr>
            <w:tcW w:w="91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98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Dilution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Selected Consolidated Financial Data</w:t>
              </w:r>
            </w:hyperlink>
          </w:p>
        </w:tc>
        <w:tc>
          <w:tcPr>
            <w:tcW w:w="8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Business</w:t>
              </w:r>
            </w:hyperlink>
          </w:p>
        </w:tc>
        <w:tc>
          <w:tcPr>
            <w:tcW w:w="45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Executive Compensation</w:t>
              </w:r>
            </w:hyperlink>
          </w:p>
        </w:tc>
        <w:tc>
          <w:tcPr>
            <w:tcW w:w="91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3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Principal Stockholders</w:t>
              </w:r>
            </w:hyperlink>
          </w:p>
        </w:tc>
        <w:tc>
          <w:tcPr>
            <w:tcW w:w="71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Material U.S. Federal Income Tax Considerations for Non-U.S. Holders</w:t>
              </w:r>
            </w:hyperlink>
          </w:p>
        </w:tc>
        <w:tc>
          <w:tcPr>
            <w:tcW w:w="58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43">
              <w:r>
                <w:rPr>
                  <w:rFonts w:ascii="Arial" w:cs="Arial" w:eastAsia="Arial" w:hAnsi="Arial"/>
                  <w:sz w:val="18"/>
                  <w:szCs w:val="18"/>
                  <w:color w:val="0000EE"/>
                  <w:w w:val="94"/>
                </w:rPr>
                <w:t>Underwriting</w:t>
              </w:r>
            </w:hyperlink>
          </w:p>
        </w:tc>
        <w:tc>
          <w:tcPr>
            <w:tcW w:w="100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Legal Matters</w:t>
              </w:r>
            </w:hyperlink>
          </w:p>
        </w:tc>
        <w:tc>
          <w:tcPr>
            <w:tcW w:w="998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Experts</w:t>
              </w:r>
            </w:hyperlink>
          </w:p>
        </w:tc>
        <w:tc>
          <w:tcPr>
            <w:tcW w:w="104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680" w:type="dxa"/>
            <w:vAlign w:val="bottom"/>
            <w:gridSpan w:val="10"/>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03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803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34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(GPP) and palmo-plantar pustular psoriasis (PPP).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8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Inc. and TESARO Development, Ltd., or collectively, TESARO, and an inflammation-focused collaboration with Celgene Corporation, or Celgene. Through June 30, 2015, we have received non-dilutive funding of $46.0 million from our collaborators.</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right="20" w:hanging="323"/>
        <w:spacing w:after="0" w:line="28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is a central mediator of atopic diseases, including asthma, food allergies and atopic dermatitis. IL-33 acts on several cell types, including T helper 2, or Th2, effector cells and Innate Lymphoid Cell Type 2, or ILsC2, which are white blood cells that initiate and orchestrate atopic responses. IL-33 also directly mediates release of IL-4, IL-5 and IL-13 cytokines, which recruit pro-inflammatory cells that mediate atopic disease. Because ANB020 inhibits IL-33 function, and acts upstream of key cell types and Th2 cytokines involved in atopy, we believe that its mechanism has advantages over competing agents that block only a subset of IL-4, IL-5 or IL-13 cytokines in the treatment of atopic disease. We believe ANB020 is potentially the first-in-class therapy targeting IL-33. We have observed high potency and robust pharmacokinetics in our preclinical studies with ANB020 to date. We anticipate filing an Australian Clinical Trial Notification, or CTN, for ANB020 during the fourth quarter of 2015, the approval of which would allow us to commence clinical trials in Australia. We plan to commence a Phase 1 healthy volunteer trial in Australia in early 2016, followed by patient trials in severe adult asthma and severe adult peanut allergy in the United States after submitting an Investigational New Drug application, or IND, to the U.S. Food and Drug Administration, or FDA. It has been reported that asthma affects approximately 7.7% of the adult U.S. population, or 24.4 million individuals, of which 19%, or 4.6 million have severe, persistent occurrence of this respiratory disease. Peanut allergy is the most common cause of food-induced allergy in the United States and is reported to affect approximately two million adults, of which approximately 480,000 are regularly managed by allergists for severe reactions, and are suitable for treatment with systemic biological therapies.</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40" w:hanging="323"/>
        <w:spacing w:after="0" w:line="271"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the interleukin-36-receptor, or IL-36R, which we are initially developing as a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first-in-class therapy for GPP patients. GPP is a life-threatening, rare, systemic inflammatory disorder affecting approximately 3,000 patients in the United States with no approved therapies. Studies have shown that GPP is associated with mutations in the gene encoding the IL-36R antagonist, or IL-36RA, that lead to abnormally high signaling through the IL-36R and thereby cause GPP. We believe ANB019 is the most advanced therapeutic antibody targeting the IL-36R in development. We anticipate filing an Australian CTN for ANB019 during the second half of 2016, the approval of which would allow us to initiate Phase I trials in Australia during the second half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SHM-XEL Platform</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relies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74" w:lineRule="exact"/>
        <w:rPr>
          <w:sz w:val="20"/>
          <w:szCs w:val="20"/>
          <w:color w:val="auto"/>
        </w:rPr>
      </w:pPr>
    </w:p>
    <w:p>
      <w:pPr>
        <w:ind w:left="1060" w:right="18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60" w:hanging="323"/>
        <w:spacing w:after="0" w:line="34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1060" w:right="26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right="24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1060" w:right="10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1060" w:right="88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0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$46.0 million in payments through June 30, 2015. In addition to our wholly-owned antibody programs, we are developing antibody product candidates for immuno-oncology and inflammation targets through strategic collaborations. Our collaborations with TESARO and Celgene are described below:</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Under our March 2014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1060" w:right="3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currently in preclinical development with an IND submission anticipated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of 2015 and first-in-human dosing in early 2016;</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Under our December 2011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We have built a leading antibody development company with a robust and renewable pipeline of novel product candidates against emerging biological targets. The key elements of our strategy include:</w:t>
      </w:r>
    </w:p>
    <w:p>
      <w:pPr>
        <w:spacing w:after="0" w:line="72" w:lineRule="exact"/>
        <w:rPr>
          <w:sz w:val="20"/>
          <w:szCs w:val="20"/>
          <w:color w:val="auto"/>
        </w:rPr>
      </w:pPr>
    </w:p>
    <w:p>
      <w:pPr>
        <w:jc w:val="both"/>
        <w:ind w:left="1060" w:right="300" w:hanging="323"/>
        <w:spacing w:after="0" w:line="26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lead product candidates into the clinic. </w:t>
      </w:r>
      <w:r>
        <w:rPr>
          <w:rFonts w:ascii="Arial" w:cs="Arial" w:eastAsia="Arial" w:hAnsi="Arial"/>
          <w:sz w:val="18"/>
          <w:szCs w:val="18"/>
          <w:color w:val="auto"/>
        </w:rPr>
        <w:t>We plan to initiate a Phase 1 healthy volunteer trial for ANB020 in early 2016,</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trials in severe adult asthma and severe adult peanut allergy patients. We plan to initiate a Phase 1 healthy volunteer trial for ANB019 during the second half of 2016, followed by a registration study in GPP patients.</w:t>
      </w:r>
    </w:p>
    <w:p>
      <w:pPr>
        <w:spacing w:after="0" w:line="81"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opportunities in inflammation and immuno-oncology by understanding and translating biological breakthroughs into first-in-class therapeutic antibodies. Our approach includes assessment of human genetics and tissue pathology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73" w:lineRule="exact"/>
        <w:rPr>
          <w:rFonts w:ascii="Arial" w:cs="Arial" w:eastAsia="Arial" w:hAnsi="Arial"/>
          <w:sz w:val="17"/>
          <w:szCs w:val="17"/>
          <w:color w:val="auto"/>
        </w:rPr>
      </w:pPr>
    </w:p>
    <w:p>
      <w:pPr>
        <w:ind w:left="1060" w:right="20" w:hanging="323"/>
        <w:spacing w:after="0" w:line="26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antibody generation platform, we are able to rapidly develop novel therapeutic antibodies against emerging targets. Our goal is to advance one or more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wholly-owned new therapeutic antibody program to an IND submission to the FDA, or foreign equivalent, each year.</w:t>
      </w:r>
    </w:p>
    <w:p>
      <w:pPr>
        <w:spacing w:after="0" w:line="127" w:lineRule="exact"/>
        <w:rPr>
          <w:sz w:val="20"/>
          <w:szCs w:val="20"/>
          <w:color w:val="auto"/>
        </w:rPr>
      </w:pPr>
    </w:p>
    <w:p>
      <w:pPr>
        <w:ind w:left="1060" w:right="60" w:hanging="323"/>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2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4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never dosed any of our product candidates in humans. Our planned clinical trials or those of our collaborators may reveal significant adverse events, toxicities or other side effects not seen in our preclinical studies and may result in a safety profile that could inhibit regulatory approval or market acceptance of any of our product candidates.</w:t>
      </w:r>
    </w:p>
    <w:p>
      <w:pPr>
        <w:spacing w:after="0" w:line="86"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1060" w:right="40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0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7"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5040" w:type="dxa"/>
            <w:vAlign w:val="bottom"/>
            <w:gridSpan w:val="2"/>
          </w:tcPr>
          <w:p>
            <w:pPr>
              <w:ind w:left="92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1860" w:type="dxa"/>
            <w:vAlign w:val="bottom"/>
          </w:tcPr>
          <w:p>
            <w:pPr>
              <w:ind w:left="680"/>
              <w:spacing w:after="0"/>
              <w:rPr>
                <w:sz w:val="20"/>
                <w:szCs w:val="20"/>
                <w:color w:val="auto"/>
              </w:rPr>
            </w:pPr>
            <w:r>
              <w:rPr>
                <w:rFonts w:ascii="Arial" w:cs="Arial" w:eastAsia="Arial" w:hAnsi="Arial"/>
                <w:sz w:val="18"/>
                <w:szCs w:val="18"/>
                <w:color w:val="auto"/>
              </w:rPr>
              <w:t>shares</w:t>
            </w: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3"/>
        </w:trPr>
        <w:tc>
          <w:tcPr>
            <w:tcW w:w="4100" w:type="dxa"/>
            <w:vAlign w:val="bottom"/>
          </w:tcPr>
          <w:p>
            <w:pPr>
              <w:spacing w:after="0"/>
              <w:rPr>
                <w:sz w:val="20"/>
                <w:szCs w:val="20"/>
                <w:color w:val="auto"/>
              </w:rPr>
            </w:pPr>
            <w:r>
              <w:rPr>
                <w:rFonts w:ascii="Arial" w:cs="Arial" w:eastAsia="Arial" w:hAnsi="Arial"/>
                <w:sz w:val="18"/>
                <w:szCs w:val="18"/>
                <w:color w:val="auto"/>
                <w:w w:val="91"/>
              </w:rPr>
              <w:t>Option to purchase additional shares to be offered by us</w:t>
            </w:r>
          </w:p>
        </w:tc>
        <w:tc>
          <w:tcPr>
            <w:tcW w:w="1860" w:type="dxa"/>
            <w:vAlign w:val="bottom"/>
          </w:tcPr>
          <w:p>
            <w:pPr>
              <w:ind w:left="680"/>
              <w:spacing w:after="0"/>
              <w:rPr>
                <w:sz w:val="20"/>
                <w:szCs w:val="20"/>
                <w:color w:val="auto"/>
              </w:rPr>
            </w:pPr>
            <w:r>
              <w:rPr>
                <w:rFonts w:ascii="Arial" w:cs="Arial" w:eastAsia="Arial" w:hAnsi="Arial"/>
                <w:sz w:val="18"/>
                <w:szCs w:val="18"/>
                <w:color w:val="auto"/>
              </w:rPr>
              <w:t>shares</w:t>
            </w: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w w:val="92"/>
              </w:rPr>
              <w:t>Shares of common stock to be outstanding immediately</w:t>
            </w:r>
          </w:p>
        </w:tc>
        <w:tc>
          <w:tcPr>
            <w:tcW w:w="1860" w:type="dxa"/>
            <w:vAlign w:val="bottom"/>
          </w:tcPr>
          <w:p>
            <w:pPr>
              <w:ind w:left="680"/>
              <w:spacing w:after="0"/>
              <w:rPr>
                <w:sz w:val="20"/>
                <w:szCs w:val="20"/>
                <w:color w:val="auto"/>
              </w:rPr>
            </w:pPr>
            <w:r>
              <w:rPr>
                <w:rFonts w:ascii="Arial" w:cs="Arial" w:eastAsia="Arial" w:hAnsi="Arial"/>
                <w:sz w:val="18"/>
                <w:szCs w:val="18"/>
                <w:color w:val="auto"/>
              </w:rPr>
              <w:t>shares (</w:t>
            </w:r>
          </w:p>
        </w:tc>
        <w:tc>
          <w:tcPr>
            <w:tcW w:w="5080" w:type="dxa"/>
            <w:vAlign w:val="bottom"/>
            <w:gridSpan w:val="3"/>
          </w:tcPr>
          <w:p>
            <w:pPr>
              <w:jc w:val="right"/>
              <w:ind w:right="630"/>
              <w:spacing w:after="0"/>
              <w:rPr>
                <w:sz w:val="20"/>
                <w:szCs w:val="20"/>
                <w:color w:val="auto"/>
              </w:rPr>
            </w:pPr>
            <w:r>
              <w:rPr>
                <w:rFonts w:ascii="Arial" w:cs="Arial" w:eastAsia="Arial" w:hAnsi="Arial"/>
                <w:sz w:val="18"/>
                <w:szCs w:val="18"/>
                <w:color w:val="auto"/>
                <w:w w:val="92"/>
              </w:rPr>
              <w:t>shares if the underwriters exercise their option to purchase</w:t>
            </w:r>
          </w:p>
        </w:tc>
      </w:tr>
      <w:tr>
        <w:trPr>
          <w:trHeight w:val="230"/>
        </w:trPr>
        <w:tc>
          <w:tcPr>
            <w:tcW w:w="4100" w:type="dxa"/>
            <w:vAlign w:val="bottom"/>
          </w:tcPr>
          <w:p>
            <w:pPr>
              <w:ind w:left="80"/>
              <w:spacing w:after="0"/>
              <w:rPr>
                <w:sz w:val="20"/>
                <w:szCs w:val="20"/>
                <w:color w:val="auto"/>
              </w:rPr>
            </w:pPr>
            <w:r>
              <w:rPr>
                <w:rFonts w:ascii="Arial" w:cs="Arial" w:eastAsia="Arial" w:hAnsi="Arial"/>
                <w:sz w:val="18"/>
                <w:szCs w:val="18"/>
                <w:color w:val="auto"/>
              </w:rPr>
              <w:t>after this offering</w:t>
            </w:r>
          </w:p>
        </w:tc>
        <w:tc>
          <w:tcPr>
            <w:tcW w:w="1860" w:type="dxa"/>
            <w:vAlign w:val="bottom"/>
          </w:tcPr>
          <w:p>
            <w:pPr>
              <w:ind w:left="100"/>
              <w:spacing w:after="0"/>
              <w:rPr>
                <w:sz w:val="20"/>
                <w:szCs w:val="20"/>
                <w:color w:val="auto"/>
              </w:rPr>
            </w:pPr>
            <w:r>
              <w:rPr>
                <w:rFonts w:ascii="Arial" w:cs="Arial" w:eastAsia="Arial" w:hAnsi="Arial"/>
                <w:sz w:val="18"/>
                <w:szCs w:val="18"/>
                <w:color w:val="auto"/>
                <w:w w:val="92"/>
              </w:rPr>
              <w:t>additional shares in full)</w:t>
            </w:r>
          </w:p>
        </w:tc>
        <w:tc>
          <w:tcPr>
            <w:tcW w:w="3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rPr>
              <w:t>Use of proceeds</w:t>
            </w: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5"/>
              </w:rPr>
              <w:t>We estimate that the net proceeds from this offering will be approximately $</w:t>
            </w:r>
          </w:p>
        </w:tc>
        <w:tc>
          <w:tcPr>
            <w:tcW w:w="106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4100" w:type="dxa"/>
            <w:vAlign w:val="bottom"/>
          </w:tcPr>
          <w:p>
            <w:pPr>
              <w:spacing w:after="0"/>
              <w:rPr>
                <w:sz w:val="18"/>
                <w:szCs w:val="18"/>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w w:val="91"/>
              </w:rPr>
              <w:t>million if the underwriters exercise their option to purchase additional</w:t>
            </w:r>
          </w:p>
        </w:tc>
      </w:tr>
      <w:tr>
        <w:trPr>
          <w:trHeight w:val="216"/>
        </w:trPr>
        <w:tc>
          <w:tcPr>
            <w:tcW w:w="410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shares in full), based upon the assumed initial offering price of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per share, which is the</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3"/>
              </w:rPr>
              <w:t>midpoint of the estimated offering price range set forth on the cover page of this prospectus,</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5"/>
              </w:rPr>
              <w:t>after deducting estimated underwriting discounts and commissions and estimated offering</w:t>
            </w:r>
          </w:p>
        </w:tc>
      </w:tr>
      <w:tr>
        <w:trPr>
          <w:trHeight w:val="230"/>
        </w:trPr>
        <w:tc>
          <w:tcPr>
            <w:tcW w:w="410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w w:val="87"/>
              </w:rPr>
              <w:t>expenses payable by us.</w:t>
            </w:r>
          </w:p>
        </w:tc>
        <w:tc>
          <w:tcPr>
            <w:tcW w:w="3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4100" w:type="dxa"/>
            <w:vAlign w:val="bottom"/>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 and</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89"/>
              </w:rPr>
              <w:t>development and general corporate purposes. We may use a portion of the proceeds to acquire</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1"/>
              </w:rPr>
              <w:t>other complementary businesses or technologies. See “Use of Proceeds” for a more complete</w:t>
            </w:r>
          </w:p>
        </w:tc>
      </w:tr>
      <w:tr>
        <w:trPr>
          <w:trHeight w:val="230"/>
        </w:trPr>
        <w:tc>
          <w:tcPr>
            <w:tcW w:w="410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description of the intended use of proceeds from this offering.</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Risk factors</w:t>
            </w: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5"/>
              </w:rPr>
              <w:t>You should read the “Risk Factors” section of this prospectus for a discussion of factors to</w:t>
            </w:r>
          </w:p>
        </w:tc>
      </w:tr>
      <w:tr>
        <w:trPr>
          <w:trHeight w:val="230"/>
        </w:trPr>
        <w:tc>
          <w:tcPr>
            <w:tcW w:w="4100" w:type="dxa"/>
            <w:vAlign w:val="bottom"/>
          </w:tcPr>
          <w:p>
            <w:pPr>
              <w:spacing w:after="0"/>
              <w:rPr>
                <w:sz w:val="20"/>
                <w:szCs w:val="20"/>
                <w:color w:val="auto"/>
              </w:rPr>
            </w:pP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6"/>
              </w:rPr>
              <w:t>consider carefully before deciding to invest in shares of our common stock.</w:t>
            </w:r>
          </w:p>
        </w:tc>
        <w:tc>
          <w:tcPr>
            <w:tcW w:w="1060" w:type="dxa"/>
            <w:vAlign w:val="bottom"/>
          </w:tcPr>
          <w:p>
            <w:pPr>
              <w:spacing w:after="0"/>
              <w:rPr>
                <w:sz w:val="20"/>
                <w:szCs w:val="20"/>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860" w:type="dxa"/>
            <w:vAlign w:val="bottom"/>
          </w:tcPr>
          <w:p>
            <w:pPr>
              <w:ind w:left="100"/>
              <w:spacing w:after="0"/>
              <w:rPr>
                <w:sz w:val="20"/>
                <w:szCs w:val="20"/>
                <w:color w:val="auto"/>
              </w:rPr>
            </w:pPr>
            <w:r>
              <w:rPr>
                <w:rFonts w:ascii="Arial" w:cs="Arial" w:eastAsia="Arial" w:hAnsi="Arial"/>
                <w:sz w:val="18"/>
                <w:szCs w:val="18"/>
                <w:color w:val="auto"/>
              </w:rPr>
              <w:t>“ANAB”</w:t>
            </w: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15" w:lineRule="exact"/>
        <w:rPr>
          <w:sz w:val="20"/>
          <w:szCs w:val="20"/>
          <w:color w:val="auto"/>
        </w:rPr>
      </w:pPr>
    </w:p>
    <w:p>
      <w:pPr>
        <w:jc w:val="both"/>
        <w:ind w:left="200" w:right="240" w:firstLine="443"/>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98,284,599 shares of our common stock outstanding as of March 31, 2015, and gives effect to the sale and issuance of 38,436,851 shares of Series D convertible preferred stock in a private placement by us in July 2015.</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1060" w:right="24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8,318,342 shares of common stock issuable upon the exercise of options outstanding as of March 31, 2015, with a weighted-average exercise price of $0.1565 per share;</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820,242 shares of common stock issuable upon the exercise of options granted between March 31, 2015 and July 16, 2015, with an exercise price of $0.65 per share;</w:t>
      </w:r>
    </w:p>
    <w:p>
      <w:pPr>
        <w:spacing w:after="0" w:line="75" w:lineRule="exact"/>
        <w:rPr>
          <w:rFonts w:ascii="Arial" w:cs="Arial" w:eastAsia="Arial" w:hAnsi="Arial"/>
          <w:sz w:val="18"/>
          <w:szCs w:val="18"/>
          <w:color w:val="auto"/>
        </w:rPr>
      </w:pPr>
    </w:p>
    <w:p>
      <w:pPr>
        <w:ind w:left="1060" w:right="400" w:hanging="323"/>
        <w:spacing w:after="0" w:line="291" w:lineRule="auto"/>
        <w:tabs>
          <w:tab w:leader="none" w:pos="1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526,892 shares of common stock reserved for future issuance under our 2006 Equity Incentive Plan as of March 31, 2015, (b) an additional 3,810,000 and</w:t>
      </w:r>
    </w:p>
    <w:p>
      <w:pPr>
        <w:ind w:left="1060"/>
        <w:spacing w:after="0"/>
        <w:rPr>
          <w:sz w:val="20"/>
          <w:szCs w:val="20"/>
          <w:color w:val="auto"/>
        </w:rPr>
      </w:pPr>
      <w:r>
        <w:rPr>
          <w:rFonts w:ascii="Arial" w:cs="Arial" w:eastAsia="Arial" w:hAnsi="Arial"/>
          <w:sz w:val="16"/>
          <w:szCs w:val="16"/>
          <w:color w:val="auto"/>
        </w:rPr>
        <w:t>4,766,852 shares of common stock reserved for future issuance under our 2006 Equity Incentive Plan pursuant to plan increases approved by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jc w:val="right"/>
              <w:ind w:right="210"/>
              <w:spacing w:after="0"/>
              <w:rPr>
                <w:sz w:val="20"/>
                <w:szCs w:val="20"/>
                <w:color w:val="auto"/>
              </w:rPr>
            </w:pPr>
            <w:r>
              <w:rPr>
                <w:rFonts w:ascii="Arial" w:cs="Arial" w:eastAsia="Arial" w:hAnsi="Arial"/>
                <w:sz w:val="18"/>
                <w:szCs w:val="18"/>
                <w:color w:val="auto"/>
              </w:rPr>
              <w:t>our board of directors on April 29, 2015 and July 9, 2015, respectively, (c)</w:t>
            </w:r>
          </w:p>
        </w:tc>
        <w:tc>
          <w:tcPr>
            <w:tcW w:w="4740" w:type="dxa"/>
            <w:vAlign w:val="bottom"/>
          </w:tcPr>
          <w:p>
            <w:pPr>
              <w:ind w:left="280"/>
              <w:spacing w:after="0"/>
              <w:rPr>
                <w:sz w:val="20"/>
                <w:szCs w:val="20"/>
                <w:color w:val="auto"/>
              </w:rPr>
            </w:pPr>
            <w:r>
              <w:rPr>
                <w:rFonts w:ascii="Arial" w:cs="Arial" w:eastAsia="Arial" w:hAnsi="Arial"/>
                <w:sz w:val="18"/>
                <w:szCs w:val="18"/>
                <w:color w:val="auto"/>
              </w:rPr>
              <w:t>shares</w:t>
            </w:r>
          </w:p>
        </w:tc>
      </w:tr>
      <w:tr>
        <w:trPr>
          <w:trHeight w:val="145"/>
        </w:trPr>
        <w:tc>
          <w:tcPr>
            <w:tcW w:w="6720" w:type="dxa"/>
            <w:vAlign w:val="bottom"/>
            <w:tcBorders>
              <w:bottom w:val="single" w:sz="8" w:color="auto"/>
            </w:tcBorders>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r>
      <w:tr>
        <w:trPr>
          <w:trHeight w:val="361"/>
        </w:trPr>
        <w:tc>
          <w:tcPr>
            <w:tcW w:w="6720" w:type="dxa"/>
            <w:vAlign w:val="bottom"/>
          </w:tcPr>
          <w:p>
            <w:pPr>
              <w:jc w:val="right"/>
              <w:ind w:right="870"/>
              <w:spacing w:after="0"/>
              <w:rPr>
                <w:sz w:val="20"/>
                <w:szCs w:val="20"/>
                <w:color w:val="auto"/>
              </w:rPr>
            </w:pPr>
            <w:r>
              <w:rPr>
                <w:rFonts w:ascii="Arial" w:cs="Arial" w:eastAsia="Arial" w:hAnsi="Arial"/>
                <w:sz w:val="18"/>
                <w:szCs w:val="18"/>
                <w:color w:val="auto"/>
              </w:rPr>
              <w:t>7</w:t>
            </w:r>
          </w:p>
        </w:tc>
        <w:tc>
          <w:tcPr>
            <w:tcW w:w="47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34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of common stock reserved for future issuance under our 2015 Equity Incentive Plan, which will become effective on the date immediately</w:t>
      </w:r>
    </w:p>
    <w:p>
      <w:pPr>
        <w:spacing w:after="0" w:line="46" w:lineRule="exact"/>
        <w:rPr>
          <w:sz w:val="20"/>
          <w:szCs w:val="20"/>
          <w:color w:val="auto"/>
        </w:rPr>
      </w:pPr>
    </w:p>
    <w:p>
      <w:pPr>
        <w:ind w:left="1080" w:right="40"/>
        <w:spacing w:after="0" w:line="252" w:lineRule="auto"/>
        <w:rPr>
          <w:sz w:val="20"/>
          <w:szCs w:val="20"/>
          <w:color w:val="auto"/>
        </w:rPr>
      </w:pPr>
      <w:r>
        <w:rPr>
          <w:rFonts w:ascii="Arial" w:cs="Arial" w:eastAsia="Arial" w:hAnsi="Arial"/>
          <w:sz w:val="18"/>
          <w:szCs w:val="18"/>
          <w:color w:val="auto"/>
        </w:rPr>
        <w:t>prior to the date of this prospectus and (d) shares of common stock reserved for future issuance under our 2015 Employee Stock Purchase Plan, which will become effective on the date of this prospectus. Upon closing of this offering, any remaining shares available for issuance under our 2006 Equity Incentive Plan will be added to the shares reserved under our 2015 Equity Incentive Plan and we will cease granting awards under our 2006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1060" w:right="34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hanging="323"/>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March 31, 2015,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12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March 31, 2015 into an aggregate of 42,208,202 shares of common stock immediately prior to the closing of this offering;</w:t>
      </w:r>
    </w:p>
    <w:p>
      <w:pPr>
        <w:spacing w:after="0" w:line="75"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38,436,851 shares of Series D convertible preferred stock into 38,436,851 shares of common stock immediately prior to the closing of this offering;</w:t>
      </w:r>
    </w:p>
    <w:p>
      <w:pPr>
        <w:spacing w:after="0" w:line="76" w:lineRule="exact"/>
        <w:rPr>
          <w:sz w:val="20"/>
          <w:szCs w:val="20"/>
          <w:color w:val="auto"/>
        </w:rPr>
      </w:pPr>
    </w:p>
    <w:p>
      <w:pPr>
        <w:ind w:left="740"/>
        <w:spacing w:after="0"/>
        <w:tabs>
          <w:tab w:leader="none" w:pos="1040" w:val="left"/>
          <w:tab w:leader="none" w:pos="1520" w:val="left"/>
          <w:tab w:leader="none" w:pos="226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reverse stock split, which will become effective prior to the completion of this offering;</w:t>
      </w:r>
    </w:p>
    <w:p>
      <w:pPr>
        <w:spacing w:after="0" w:line="131" w:lineRule="exact"/>
        <w:rPr>
          <w:sz w:val="20"/>
          <w:szCs w:val="20"/>
          <w:color w:val="auto"/>
        </w:rPr>
      </w:pPr>
    </w:p>
    <w:p>
      <w:pPr>
        <w:ind w:left="1060" w:hanging="32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March 31, 2015;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200" w:right="780" w:firstLine="443"/>
        <w:spacing w:after="0" w:line="291" w:lineRule="auto"/>
        <w:rPr>
          <w:sz w:val="20"/>
          <w:szCs w:val="20"/>
          <w:color w:val="auto"/>
        </w:rPr>
      </w:pPr>
      <w:r>
        <w:rPr>
          <w:rFonts w:ascii="Arial" w:cs="Arial" w:eastAsia="Arial" w:hAnsi="Arial"/>
          <w:sz w:val="16"/>
          <w:szCs w:val="16"/>
          <w:color w:val="auto"/>
        </w:rPr>
        <w:t>The summary statements of operations data presented below for the years ended December 31, 2013 and 2014 are derived from our audited financial statements included elsewhere in this prospectus. The summary consolidated statements of operations data for the three months ended</w:t>
      </w:r>
    </w:p>
    <w:p>
      <w:pPr>
        <w:ind w:left="200" w:right="220"/>
        <w:spacing w:after="0" w:line="287" w:lineRule="auto"/>
        <w:rPr>
          <w:sz w:val="20"/>
          <w:szCs w:val="20"/>
          <w:color w:val="auto"/>
        </w:rPr>
      </w:pPr>
      <w:r>
        <w:rPr>
          <w:rFonts w:ascii="Arial" w:cs="Arial" w:eastAsia="Arial" w:hAnsi="Arial"/>
          <w:sz w:val="16"/>
          <w:szCs w:val="16"/>
          <w:color w:val="auto"/>
        </w:rPr>
        <w:t>March 31, 2014 and 2015 and our consolidated balance sheet data as of March 31, 2015 are derived from our unaudited consolidated financial statements included elsewhere in this prospectus. The unaudited consolidated financial statements were prepared on a basis consistent with our audited financial statements and reflect, in the opinion of management, all adjustments of a normal recurring nature that are necessary for the fair presentation of the financial statements.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three months ended March 31, 2015 are not necessarily indicative of results to be expected for the full year. The summary financial data in this section are not intended to replace the financial statements and are qualified in their entirety by the financial statements and related notes included elsewhere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40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Collaboration revenue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5,483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15,838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40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operations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(1,281)</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liability for preferred stock warrants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400" w:type="dxa"/>
            <w:vAlign w:val="bottom"/>
          </w:tcPr>
          <w:p>
            <w:pPr>
              <w:ind w:left="900"/>
              <w:spacing w:after="0"/>
              <w:rPr>
                <w:sz w:val="20"/>
                <w:szCs w:val="20"/>
                <w:color w:val="auto"/>
              </w:rPr>
            </w:pPr>
            <w:r>
              <w:rPr>
                <w:rFonts w:ascii="Arial" w:cs="Arial" w:eastAsia="Arial" w:hAnsi="Arial"/>
                <w:sz w:val="18"/>
                <w:szCs w:val="18"/>
                <w:color w:val="auto"/>
              </w:rPr>
              <w:t>Total other expense, net</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attributed to participating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17,368</w:t>
            </w: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17,444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18,627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17,368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17,444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weighted-average number of shares outstanding (unaudited):</w:t>
            </w:r>
            <w:r>
              <w:rPr>
                <w:rFonts w:ascii="Arial" w:cs="Arial" w:eastAsia="Arial" w:hAnsi="Arial"/>
                <w:sz w:val="15"/>
                <w:szCs w:val="15"/>
                <w:color w:val="auto"/>
                <w:w w:val="91"/>
              </w:rPr>
              <w:t>(1)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58,473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59,652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59,732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59,652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920" w:type="dxa"/>
            <w:vAlign w:val="bottom"/>
          </w:tcPr>
          <w:p>
            <w:pPr>
              <w:jc w:val="right"/>
              <w:ind w:right="16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44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494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060" w:right="200" w:hanging="431"/>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jc w:val="center"/>
              <w:ind w:left="38"/>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8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6"/>
              </w:rPr>
              <w:t>March 31, 2015</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4"/>
              </w:rPr>
              <w:t>(unaudited)</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0"/>
                <w:szCs w:val="10"/>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Actual</w:t>
            </w:r>
          </w:p>
        </w:tc>
        <w:tc>
          <w:tcPr>
            <w:tcW w:w="16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16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40" w:type="dxa"/>
            <w:vAlign w:val="bottom"/>
            <w:gridSpan w:val="2"/>
          </w:tcPr>
          <w:p>
            <w:pPr>
              <w:jc w:val="right"/>
              <w:ind w:right="308"/>
              <w:spacing w:after="0"/>
              <w:rPr>
                <w:sz w:val="20"/>
                <w:szCs w:val="20"/>
                <w:color w:val="auto"/>
              </w:rPr>
            </w:pPr>
            <w:r>
              <w:rPr>
                <w:rFonts w:ascii="Arial" w:cs="Arial" w:eastAsia="Arial" w:hAnsi="Arial"/>
                <w:sz w:val="18"/>
                <w:szCs w:val="18"/>
                <w:color w:val="auto"/>
              </w:rPr>
              <w:t>$ 19,607</w:t>
            </w:r>
          </w:p>
        </w:tc>
        <w:tc>
          <w:tcPr>
            <w:tcW w:w="1680" w:type="dxa"/>
            <w:vAlign w:val="bottom"/>
          </w:tcPr>
          <w:p>
            <w:pPr>
              <w:ind w:left="340"/>
              <w:spacing w:after="0"/>
              <w:rPr>
                <w:sz w:val="20"/>
                <w:szCs w:val="20"/>
                <w:color w:val="auto"/>
              </w:rPr>
            </w:pPr>
            <w:r>
              <w:rPr>
                <w:rFonts w:ascii="Arial" w:cs="Arial" w:eastAsia="Arial" w:hAnsi="Arial"/>
                <w:sz w:val="18"/>
                <w:szCs w:val="18"/>
                <w:color w:val="auto"/>
              </w:rPr>
              <w:t>$</w:t>
            </w:r>
          </w:p>
        </w:tc>
        <w:tc>
          <w:tcPr>
            <w:tcW w:w="1160" w:type="dxa"/>
            <w:vAlign w:val="bottom"/>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22,804</w:t>
            </w: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Notes payable, current portion</w:t>
            </w:r>
          </w:p>
        </w:tc>
        <w:tc>
          <w:tcPr>
            <w:tcW w:w="2840" w:type="dxa"/>
            <w:vAlign w:val="bottom"/>
            <w:gridSpan w:val="2"/>
          </w:tcPr>
          <w:p>
            <w:pPr>
              <w:jc w:val="right"/>
              <w:ind w:right="308"/>
              <w:spacing w:after="0"/>
              <w:rPr>
                <w:sz w:val="20"/>
                <w:szCs w:val="20"/>
                <w:color w:val="auto"/>
              </w:rPr>
            </w:pPr>
            <w:r>
              <w:rPr>
                <w:rFonts w:ascii="Arial" w:cs="Arial" w:eastAsia="Arial" w:hAnsi="Arial"/>
                <w:sz w:val="18"/>
                <w:szCs w:val="18"/>
                <w:color w:val="auto"/>
              </w:rPr>
              <w:t>251</w:t>
            </w:r>
          </w:p>
        </w:tc>
        <w:tc>
          <w:tcPr>
            <w:tcW w:w="1680" w:type="dxa"/>
            <w:vAlign w:val="bottom"/>
          </w:tcPr>
          <w:p>
            <w:pPr>
              <w:ind w:left="900"/>
              <w:spacing w:after="0"/>
              <w:rPr>
                <w:sz w:val="20"/>
                <w:szCs w:val="20"/>
                <w:color w:val="auto"/>
              </w:rPr>
            </w:pPr>
            <w:r>
              <w:rPr>
                <w:rFonts w:ascii="Arial" w:cs="Arial" w:eastAsia="Arial" w:hAnsi="Arial"/>
                <w:sz w:val="18"/>
                <w:szCs w:val="18"/>
                <w:color w:val="auto"/>
              </w:rPr>
              <w:t>251</w:t>
            </w:r>
          </w:p>
        </w:tc>
        <w:tc>
          <w:tcPr>
            <w:tcW w:w="1160" w:type="dxa"/>
            <w:vAlign w:val="bottom"/>
          </w:tcPr>
          <w:p>
            <w:pPr>
              <w:ind w:left="880"/>
              <w:spacing w:after="0"/>
              <w:rPr>
                <w:sz w:val="20"/>
                <w:szCs w:val="20"/>
                <w:color w:val="auto"/>
              </w:rPr>
            </w:pPr>
            <w:r>
              <w:rPr>
                <w:rFonts w:ascii="Arial" w:cs="Arial" w:eastAsia="Arial" w:hAnsi="Arial"/>
                <w:sz w:val="18"/>
                <w:szCs w:val="18"/>
                <w:color w:val="auto"/>
                <w:w w:val="86"/>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noncurrent portion</w:t>
            </w:r>
          </w:p>
        </w:tc>
        <w:tc>
          <w:tcPr>
            <w:tcW w:w="2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4,569</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4,569</w:t>
            </w: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4,569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2840" w:type="dxa"/>
            <w:vAlign w:val="bottom"/>
            <w:gridSpan w:val="2"/>
          </w:tcPr>
          <w:p>
            <w:pPr>
              <w:jc w:val="right"/>
              <w:ind w:right="308"/>
              <w:spacing w:after="0"/>
              <w:rPr>
                <w:sz w:val="20"/>
                <w:szCs w:val="20"/>
                <w:color w:val="auto"/>
              </w:rPr>
            </w:pPr>
            <w:r>
              <w:rPr>
                <w:rFonts w:ascii="Arial" w:cs="Arial" w:eastAsia="Arial" w:hAnsi="Arial"/>
                <w:sz w:val="18"/>
                <w:szCs w:val="18"/>
                <w:color w:val="auto"/>
              </w:rPr>
              <w:t>1,182</w:t>
            </w:r>
          </w:p>
        </w:tc>
        <w:tc>
          <w:tcPr>
            <w:tcW w:w="1680" w:type="dxa"/>
            <w:vAlign w:val="bottom"/>
          </w:tcPr>
          <w:p>
            <w:pPr>
              <w:ind w:left="9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36,828</w:t>
            </w:r>
          </w:p>
        </w:tc>
        <w:tc>
          <w:tcPr>
            <w:tcW w:w="16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840" w:type="dxa"/>
            <w:vAlign w:val="bottom"/>
            <w:gridSpan w:val="2"/>
          </w:tcPr>
          <w:p>
            <w:pPr>
              <w:jc w:val="right"/>
              <w:ind w:right="248"/>
              <w:spacing w:after="0"/>
              <w:rPr>
                <w:sz w:val="20"/>
                <w:szCs w:val="20"/>
                <w:color w:val="auto"/>
              </w:rPr>
            </w:pPr>
            <w:r>
              <w:rPr>
                <w:rFonts w:ascii="Arial" w:cs="Arial" w:eastAsia="Arial" w:hAnsi="Arial"/>
                <w:sz w:val="18"/>
                <w:szCs w:val="18"/>
                <w:color w:val="auto"/>
              </w:rPr>
              <w:t>(31,118)</w:t>
            </w: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60" w:right="360" w:hanging="431"/>
        <w:spacing w:after="0" w:line="288"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 effect to: (i) the automatic conversion of all outstanding shares of our convertible preferred stock into 42,208,202 shares of common stock immediately prior to the closing of this offering; (ii) the sale and issuance of 38,436,851 shares of our Series D convertible preferred stock in a private placement by us in July 2015; (iii) the automatic conversion of</w:t>
      </w:r>
    </w:p>
    <w:tbl>
      <w:tblPr>
        <w:tblLayout w:type="fixed"/>
        <w:tblInd w:w="620" w:type="dxa"/>
        <w:tblCellMar>
          <w:top w:w="0" w:type="dxa"/>
          <w:left w:w="0" w:type="dxa"/>
          <w:bottom w:w="0" w:type="dxa"/>
          <w:right w:w="0" w:type="dxa"/>
        </w:tblCellMar>
      </w:tblPr>
      <w:tr>
        <w:trPr>
          <w:trHeight w:val="202"/>
        </w:trPr>
        <w:tc>
          <w:tcPr>
            <w:tcW w:w="340" w:type="dxa"/>
            <w:vAlign w:val="bottom"/>
          </w:tcPr>
          <w:p>
            <w:pPr>
              <w:spacing w:after="0"/>
              <w:rPr>
                <w:sz w:val="17"/>
                <w:szCs w:val="17"/>
                <w:color w:val="auto"/>
              </w:rPr>
            </w:pPr>
          </w:p>
        </w:tc>
        <w:tc>
          <w:tcPr>
            <w:tcW w:w="10300" w:type="dxa"/>
            <w:vAlign w:val="bottom"/>
            <w:gridSpan w:val="5"/>
          </w:tcPr>
          <w:p>
            <w:pPr>
              <w:ind w:left="100"/>
              <w:spacing w:after="0" w:line="202" w:lineRule="exact"/>
              <w:rPr>
                <w:sz w:val="20"/>
                <w:szCs w:val="20"/>
                <w:color w:val="auto"/>
              </w:rPr>
            </w:pPr>
            <w:r>
              <w:rPr>
                <w:rFonts w:ascii="Arial" w:cs="Arial" w:eastAsia="Arial" w:hAnsi="Arial"/>
                <w:sz w:val="18"/>
                <w:szCs w:val="18"/>
                <w:color w:val="auto"/>
                <w:w w:val="92"/>
              </w:rPr>
              <w:t>38,436,851 shares of Series D convertible preferred stock into 38,436,851 shares of common stock immediately prior to the closing of this</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4"/>
              </w:rPr>
              <w:t>offering; and (iv) the related reclassification of the preferred stock warrant liability to additional paid-in capital upon the conversion of the</w:t>
            </w:r>
          </w:p>
        </w:tc>
      </w:tr>
      <w:tr>
        <w:trPr>
          <w:trHeight w:val="216"/>
        </w:trPr>
        <w:tc>
          <w:tcPr>
            <w:tcW w:w="340" w:type="dxa"/>
            <w:vAlign w:val="bottom"/>
          </w:tcPr>
          <w:p>
            <w:pPr>
              <w:spacing w:after="0"/>
              <w:rPr>
                <w:sz w:val="18"/>
                <w:szCs w:val="18"/>
                <w:color w:val="auto"/>
              </w:rPr>
            </w:pPr>
          </w:p>
        </w:tc>
        <w:tc>
          <w:tcPr>
            <w:tcW w:w="7640" w:type="dxa"/>
            <w:vAlign w:val="bottom"/>
            <w:gridSpan w:val="4"/>
          </w:tcPr>
          <w:p>
            <w:pPr>
              <w:ind w:left="100"/>
              <w:spacing w:after="0"/>
              <w:rPr>
                <w:sz w:val="20"/>
                <w:szCs w:val="20"/>
                <w:color w:val="auto"/>
              </w:rPr>
            </w:pPr>
            <w:r>
              <w:rPr>
                <w:rFonts w:ascii="Arial" w:cs="Arial" w:eastAsia="Arial" w:hAnsi="Arial"/>
                <w:sz w:val="18"/>
                <w:szCs w:val="18"/>
                <w:color w:val="auto"/>
              </w:rPr>
              <w:t>shares of convertible preferred stock underlying the warrants that make up the liability.</w:t>
            </w:r>
          </w:p>
        </w:tc>
        <w:tc>
          <w:tcPr>
            <w:tcW w:w="26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7640" w:type="dxa"/>
            <w:vAlign w:val="bottom"/>
            <w:gridSpan w:val="4"/>
          </w:tcPr>
          <w:p>
            <w:pPr>
              <w:ind w:left="100"/>
              <w:spacing w:after="0"/>
              <w:rPr>
                <w:sz w:val="20"/>
                <w:szCs w:val="20"/>
                <w:color w:val="auto"/>
              </w:rPr>
            </w:pPr>
            <w:r>
              <w:rPr>
                <w:rFonts w:ascii="Arial" w:cs="Arial" w:eastAsia="Arial" w:hAnsi="Arial"/>
                <w:sz w:val="18"/>
                <w:szCs w:val="18"/>
                <w:color w:val="auto"/>
                <w:w w:val="92"/>
              </w:rPr>
              <w:t>The pro forma as adjusted balance sheet data give effect to the pro forma adjustments and the sale of</w:t>
            </w:r>
          </w:p>
        </w:tc>
        <w:tc>
          <w:tcPr>
            <w:tcW w:w="2660" w:type="dxa"/>
            <w:vAlign w:val="bottom"/>
          </w:tcPr>
          <w:p>
            <w:pPr>
              <w:ind w:left="300"/>
              <w:spacing w:after="0"/>
              <w:rPr>
                <w:sz w:val="20"/>
                <w:szCs w:val="20"/>
                <w:color w:val="auto"/>
              </w:rPr>
            </w:pPr>
            <w:r>
              <w:rPr>
                <w:rFonts w:ascii="Arial" w:cs="Arial" w:eastAsia="Arial" w:hAnsi="Arial"/>
                <w:sz w:val="18"/>
                <w:szCs w:val="18"/>
                <w:color w:val="auto"/>
                <w:w w:val="89"/>
              </w:rPr>
              <w:t>shares of common stock by us in</w:t>
            </w:r>
          </w:p>
        </w:tc>
      </w:tr>
      <w:tr>
        <w:trPr>
          <w:trHeight w:val="216"/>
        </w:trPr>
        <w:tc>
          <w:tcPr>
            <w:tcW w:w="34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7"/>
              </w:rPr>
              <w:t>this offering, based on an assumed initial public offering price of $</w:t>
            </w:r>
          </w:p>
        </w:tc>
        <w:tc>
          <w:tcPr>
            <w:tcW w:w="5100" w:type="dxa"/>
            <w:vAlign w:val="bottom"/>
            <w:gridSpan w:val="3"/>
          </w:tcPr>
          <w:p>
            <w:pPr>
              <w:ind w:left="280"/>
              <w:spacing w:after="0"/>
              <w:rPr>
                <w:sz w:val="20"/>
                <w:szCs w:val="20"/>
                <w:color w:val="auto"/>
              </w:rPr>
            </w:pPr>
            <w:r>
              <w:rPr>
                <w:rFonts w:ascii="Arial" w:cs="Arial" w:eastAsia="Arial" w:hAnsi="Arial"/>
                <w:sz w:val="18"/>
                <w:szCs w:val="18"/>
                <w:color w:val="auto"/>
                <w:w w:val="94"/>
              </w:rPr>
              <w:t>per share, the midpoint of the estimated price range set forth on</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5"/>
              </w:rPr>
              <w:t>the cover page of this prospectus, after deducting estimated underwriting discounts and commissions and estimated offering expenses</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payable by us.</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(3)</w:t>
            </w:r>
          </w:p>
        </w:tc>
        <w:tc>
          <w:tcPr>
            <w:tcW w:w="6060" w:type="dxa"/>
            <w:vAlign w:val="bottom"/>
            <w:gridSpan w:val="3"/>
          </w:tcPr>
          <w:p>
            <w:pPr>
              <w:ind w:left="10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2"/>
              </w:rPr>
              <w:t>per share, the midpoint of the price range set forth on</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1"/>
              </w:rPr>
              <w:t>the cover page of this prospectus, would increase (decrease) each of our pro forma as adjusted cash and cash equivalents, total assets and</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w w:val="95"/>
              </w:rPr>
              <w:t>total stockholders’ equity (deficit) by approximately $</w:t>
            </w:r>
          </w:p>
        </w:tc>
        <w:tc>
          <w:tcPr>
            <w:tcW w:w="6180" w:type="dxa"/>
            <w:vAlign w:val="bottom"/>
            <w:gridSpan w:val="4"/>
          </w:tcPr>
          <w:p>
            <w:pPr>
              <w:ind w:left="460"/>
              <w:spacing w:after="0"/>
              <w:rPr>
                <w:sz w:val="20"/>
                <w:szCs w:val="20"/>
                <w:color w:val="auto"/>
              </w:rPr>
            </w:pPr>
            <w:r>
              <w:rPr>
                <w:rFonts w:ascii="Arial" w:cs="Arial" w:eastAsia="Arial" w:hAnsi="Arial"/>
                <w:sz w:val="18"/>
                <w:szCs w:val="18"/>
                <w:color w:val="auto"/>
                <w:w w:val="93"/>
              </w:rPr>
              <w:t>million, assuming that the number of shares offered by us, remains the same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4"/>
              </w:rPr>
              <w:t>and after deducting estimated underwriting discounts and commissions. Similarly, each increase (decrease) of one million shares in the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89"/>
              </w:rPr>
              <w:t>number of shares offered by us would increase (decrease) each of our pro forma as adjusted cash and cash equivalents, total assets and total</w:t>
            </w:r>
          </w:p>
        </w:tc>
      </w:tr>
      <w:tr>
        <w:trPr>
          <w:trHeight w:val="230"/>
        </w:trPr>
        <w:tc>
          <w:tcPr>
            <w:tcW w:w="340" w:type="dxa"/>
            <w:vAlign w:val="bottom"/>
          </w:tcPr>
          <w:p>
            <w:pPr>
              <w:spacing w:after="0"/>
              <w:rPr>
                <w:sz w:val="20"/>
                <w:szCs w:val="20"/>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180" w:type="dxa"/>
            <w:vAlign w:val="bottom"/>
            <w:gridSpan w:val="4"/>
          </w:tcPr>
          <w:p>
            <w:pPr>
              <w:ind w:left="100"/>
              <w:spacing w:after="0"/>
              <w:rPr>
                <w:sz w:val="20"/>
                <w:szCs w:val="20"/>
                <w:color w:val="auto"/>
              </w:rPr>
            </w:pPr>
            <w:r>
              <w:rPr>
                <w:rFonts w:ascii="Arial" w:cs="Arial" w:eastAsia="Arial" w:hAnsi="Arial"/>
                <w:sz w:val="18"/>
                <w:szCs w:val="18"/>
                <w:color w:val="auto"/>
                <w:w w:val="95"/>
              </w:rPr>
              <w:t>million, assuming the assumed initial public offering price remains the same and</w:t>
            </w:r>
          </w:p>
        </w:tc>
      </w:tr>
    </w:tbl>
    <w:p>
      <w:pPr>
        <w:ind w:left="1060"/>
        <w:spacing w:after="0"/>
        <w:rPr>
          <w:sz w:val="20"/>
          <w:szCs w:val="20"/>
          <w:color w:val="auto"/>
        </w:rPr>
      </w:pPr>
      <w:r>
        <w:rPr>
          <w:rFonts w:ascii="Arial" w:cs="Arial" w:eastAsia="Arial" w:hAnsi="Arial"/>
          <w:sz w:val="18"/>
          <w:szCs w:val="18"/>
          <w:color w:val="auto"/>
        </w:rPr>
        <w:t>after deducting estimated underwriting discounts and commissions.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w:t>
      </w:r>
    </w:p>
    <w:p>
      <w:pPr>
        <w:spacing w:after="0" w:line="19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We have not yet discussed with the FDA or foreign regulatory authorities the development plans for any of our product candidates or the designs of any of our clinical or preclinical studies, and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no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as a company we have no experience conducting clinical trials and have not had previous experience commercializing product candidates, including submitting an IND or a BLA to the FDA, or similar submissions to initiate clinical trials or obtain marketing authorization to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2"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never dosed any of our product candidates in humans. Our planned clinical trials or those of our collaborators may reveal significant adverse events, toxicities or other side effects not seen in our preclinical studies and may result in a safety profile that could inhibit regulatory approval or market acceptance of any of our product candidates.</w:t>
      </w:r>
    </w:p>
    <w:p>
      <w:pPr>
        <w:spacing w:after="0" w:line="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yet initiated any clinical trials or dosed any of our product candidates, including ANB019 and ANB020,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significant adverse events or other side effects are observed in any of our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a federal Advisory Committee has recently recommended that the FDA approve for the add-on maintenance treatment in patients aged 18 years or older with severe eosinophilic asthma, and reslizumab (Teva), the BLA for which has been submitted to the FDA for approval;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 For peanut allergy, our competitors include DBV Technologies, which is developing transdermal products for tolerization of food allergies, while Aimmune Therapeutics is developing oral products for peanut allergy desensitization. For GPP and palmo-plantar pustular psoriasis, or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technological change, we may be unable to compete effectively. Technological advances or products developed by our competitors may render our technologies or product candidates obsolete, less competitive or not economical.</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4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 an agreement for commercial supply and it is not certain we will be able to come to agreement on terms acceptable to us.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and we do not expect to be profitable in 2015. Our collaboration revenue was $4.1 million and net loss was $0.4 million for the three months ended March 31, 2015 and our collaboration revenue was $15.8 million and our net income was $3.5 million for the year ended December 31, 2014. As of March 31, 2015, we had an accumulated deficit of $45.6 million.</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12 months. However, circumstances may cause us to consume capital more rapidly than we currently anticipate. For example, as we move our lead product candidates through preclinical studies and submit INDs or foreign equivalents, which may occur as early as at the end of 2015,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$46.0 million in non-dilutive funding through June 30, 2015.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ind w:right="20" w:firstLine="456"/>
        <w:spacing w:after="0" w:line="252"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00" w:hanging="5045"/>
        <w:spacing w:after="0" w:line="449" w:lineRule="auto"/>
        <w:tabs>
          <w:tab w:leader="none" w:pos="8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7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our initial clinical development of ANB020 and ANB019 is planned in Australia, and we believe that clinical data generated in Australia will subsequently be accepted by the FDA and its foreign equivalents outside of Australia. Also, regulatory approval for any of our product candidates may be withdrawn.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ANB019 or certain of our other product candidates and we may not be able to obtain or maintain orphan designation or obtain the benefits associated with Orphan Drug status, including market exclusivity.</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same condition if the FDA concludes that the later biologic is clinically superior in that it is shown to be safer, more effective or makes a major contribution to patient care.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2024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increased scrutiny by the U.S. Congress of the FDA’s approval process may significantly delay or prevent marketing approval, as well as subject us to more stringent product labeling and post-marketing testing and other requirements.</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8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7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77" w:lineRule="exact"/>
        <w:rPr>
          <w:rFonts w:ascii="Arial" w:cs="Arial" w:eastAsia="Arial" w:hAnsi="Arial"/>
          <w:sz w:val="17"/>
          <w:szCs w:val="17"/>
          <w:color w:val="auto"/>
        </w:rPr>
      </w:pPr>
    </w:p>
    <w:p>
      <w:pPr>
        <w:ind w:left="900" w:right="2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approximately 84.5% of our voting stock and, upon the closing of this offering, that same group will hold approximately % of our outstanding voting stock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ind w:left="360" w:hanging="359"/>
        <w:spacing w:after="0" w:line="250" w:lineRule="auto"/>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 xml:space="preserve"> </w:t>
      </w:r>
      <w:r>
        <w:rPr>
          <w:rFonts w:ascii="Arial" w:cs="Arial" w:eastAsia="Arial" w:hAnsi="Arial"/>
          <w:sz w:val="18"/>
          <w:szCs w:val="18"/>
          <w:color w:val="auto"/>
        </w:rPr>
        <w:t>per share, based upon an assumed initial public offering price of $ per share (the midpoint of the price range set forth on the cover page of this prospectus). Further, investors purchasing common stock in this offering will</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contribute approximately % of the total amount invested by stockholders since our inception, but will own only approximately % of the shares of common stock outstanding after giving effect to this offering.</w:t>
      </w:r>
    </w:p>
    <w:p>
      <w:pPr>
        <w:spacing w:after="0" w:line="1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March 31, 2015, options to purchase 8,318,342 shares of our common stock at a weighted-average exercise price of $0.1565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March 31, 2015, assuming: (i) no exercise of the underwriters’ over-allotment option and (ii) the conversion of all outstanding shares of our convertible preferred stock into 80,645,053 shares of common stock immediately prior to the closing of this offering. This includes the shares that we sell in this offering, which may be resold in the public market immediately without</w:t>
      </w:r>
    </w:p>
    <w:p>
      <w:pPr>
        <w:spacing w:after="0" w:line="2"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 this prospectus.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As a result, our use of federal NOL carryforwards could be limited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4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rFonts w:ascii="Arial" w:cs="Arial" w:eastAsia="Arial" w:hAnsi="Arial"/>
          <w:sz w:val="16"/>
          <w:szCs w:val="16"/>
          <w:color w:val="auto"/>
        </w:rPr>
      </w:pP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intend to use the net proceeds we receive from this offering as follows:</w:t>
      </w:r>
    </w:p>
    <w:p>
      <w:pPr>
        <w:spacing w:after="0" w:line="131" w:lineRule="exact"/>
        <w:rPr>
          <w:sz w:val="20"/>
          <w:szCs w:val="20"/>
          <w:color w:val="auto"/>
        </w:rPr>
      </w:pPr>
    </w:p>
    <w:p>
      <w:pPr>
        <w:ind w:left="900" w:right="3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ANB019 and ANB020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candidates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2015 on:</w:t>
      </w:r>
    </w:p>
    <w:p>
      <w:pPr>
        <w:spacing w:after="0" w:line="13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80" w:hanging="325"/>
        <w:spacing w:after="0" w:line="293"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pro forma basis, giving effect to (i) the automatic conversion of all outstanding shares of our convertible preferred stock into 42,208,202 shares of common stock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 shares of common stock immediately prior to the closing of this offering, (iv) the related reclassification of the preferred stock warrant liability to additional paid-in capital upon the conversion of the shares of convertible preferred stock underlying the warrants that make up the liability, and (v)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5"/>
              </w:rPr>
              <w:t>As of March 31, 2015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0"/>
                <w:szCs w:val="1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0"/>
                <w:szCs w:val="10"/>
                <w:color w:val="auto"/>
              </w:rPr>
            </w:pP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w:t>
            </w:r>
          </w:p>
        </w:tc>
        <w:tc>
          <w:tcPr>
            <w:tcW w:w="29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19,607</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5"/>
                <w:szCs w:val="15"/>
                <w:color w:val="auto"/>
              </w:rPr>
              <w:t>Notes payable</w:t>
            </w: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4,820</w:t>
            </w:r>
          </w:p>
        </w:tc>
        <w:tc>
          <w:tcPr>
            <w:tcW w:w="140" w:type="dxa"/>
            <w:vAlign w:val="bottom"/>
          </w:tcPr>
          <w:p>
            <w:pPr>
              <w:spacing w:after="0"/>
              <w:rPr>
                <w:sz w:val="13"/>
                <w:szCs w:val="13"/>
                <w:color w:val="auto"/>
              </w:rPr>
            </w:pPr>
          </w:p>
        </w:tc>
        <w:tc>
          <w:tcPr>
            <w:tcW w:w="1020" w:type="dxa"/>
            <w:vAlign w:val="bottom"/>
            <w:gridSpan w:val="2"/>
          </w:tcPr>
          <w:p>
            <w:pPr>
              <w:ind w:left="340"/>
              <w:spacing w:after="0" w:line="156"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00" w:type="dxa"/>
            <w:vAlign w:val="bottom"/>
            <w:gridSpan w:val="2"/>
          </w:tcPr>
          <w:p>
            <w:pPr>
              <w:ind w:left="40"/>
              <w:spacing w:after="0" w:line="15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Preferred stock warrant liabilities</w:t>
            </w:r>
          </w:p>
        </w:tc>
        <w:tc>
          <w:tcPr>
            <w:tcW w:w="2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1,182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spacing w:after="0" w:line="149" w:lineRule="exact"/>
              <w:rPr>
                <w:sz w:val="20"/>
                <w:szCs w:val="20"/>
                <w:color w:val="auto"/>
              </w:rPr>
            </w:pPr>
            <w:r>
              <w:rPr>
                <w:rFonts w:ascii="Arial" w:cs="Arial" w:eastAsia="Arial" w:hAnsi="Arial"/>
                <w:sz w:val="15"/>
                <w:szCs w:val="15"/>
                <w:color w:val="auto"/>
                <w:w w:val="97"/>
              </w:rPr>
              <w:t>Series B convertible preferred stock, $0.001 par value; 27,742,879 shares authorized, 27,742,879 shares issued and outstanding,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28,220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shd w:val="clear" w:color="auto" w:fill="CCEEFF"/>
          </w:tcPr>
          <w:p>
            <w:pPr>
              <w:spacing w:after="0" w:line="149" w:lineRule="exact"/>
              <w:rPr>
                <w:sz w:val="20"/>
                <w:szCs w:val="20"/>
                <w:color w:val="auto"/>
              </w:rPr>
            </w:pPr>
            <w:r>
              <w:rPr>
                <w:rFonts w:ascii="Arial" w:cs="Arial" w:eastAsia="Arial" w:hAnsi="Arial"/>
                <w:sz w:val="15"/>
                <w:szCs w:val="15"/>
                <w:color w:val="auto"/>
                <w:w w:val="97"/>
              </w:rPr>
              <w:t>Series C convertible preferred stock, $0.001 par value; 17,982,024 shares authorized, 11,147,269 shares issued and outstanding,</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6,452</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spacing w:after="0" w:line="149" w:lineRule="exact"/>
              <w:rPr>
                <w:sz w:val="20"/>
                <w:szCs w:val="20"/>
                <w:color w:val="auto"/>
              </w:rPr>
            </w:pPr>
            <w:r>
              <w:rPr>
                <w:rFonts w:ascii="Arial" w:cs="Arial" w:eastAsia="Arial" w:hAnsi="Arial"/>
                <w:sz w:val="15"/>
                <w:szCs w:val="15"/>
                <w:color w:val="auto"/>
                <w:w w:val="97"/>
              </w:rPr>
              <w:t>Series C-1 convertible preferred stock, $0.001 par value; 10,500,000 shares authorized, 3,318,054 shares issued and outstanding,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2,156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shd w:val="clear" w:color="auto" w:fill="CCEEFF"/>
          </w:tcPr>
          <w:p>
            <w:pPr>
              <w:spacing w:after="0" w:line="149" w:lineRule="exact"/>
              <w:rPr>
                <w:sz w:val="20"/>
                <w:szCs w:val="20"/>
                <w:color w:val="auto"/>
              </w:rPr>
            </w:pPr>
            <w:r>
              <w:rPr>
                <w:rFonts w:ascii="Arial" w:cs="Arial" w:eastAsia="Arial" w:hAnsi="Arial"/>
                <w:sz w:val="15"/>
                <w:szCs w:val="15"/>
                <w:color w:val="auto"/>
              </w:rPr>
              <w:t>Series D convertible preferred stock, $0.001 par value; no shares designated, issued or outstanding, actual, pro forma and pro</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forma as adjusted</w:t>
            </w:r>
          </w:p>
        </w:tc>
        <w:tc>
          <w:tcPr>
            <w:tcW w:w="2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line="162" w:lineRule="exact"/>
              <w:rPr>
                <w:sz w:val="20"/>
                <w:szCs w:val="20"/>
                <w:color w:val="auto"/>
              </w:rPr>
            </w:pPr>
            <w:r>
              <w:rPr>
                <w:rFonts w:ascii="Arial" w:cs="Arial" w:eastAsia="Arial" w:hAnsi="Arial"/>
                <w:sz w:val="15"/>
                <w:szCs w:val="15"/>
                <w:color w:val="auto"/>
              </w:rPr>
              <w:t>Stockholders’ equity (deficit):</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5"/>
                <w:szCs w:val="15"/>
                <w:color w:val="auto"/>
                <w:w w:val="95"/>
              </w:rPr>
              <w:t>Preferred Stock, $0.001 par value; no shares authorized, issued or outstanding, actual;</w:t>
            </w:r>
          </w:p>
        </w:tc>
        <w:tc>
          <w:tcPr>
            <w:tcW w:w="2600" w:type="dxa"/>
            <w:vAlign w:val="bottom"/>
            <w:gridSpan w:val="3"/>
            <w:shd w:val="clear" w:color="auto" w:fill="CCEEFF"/>
          </w:tcPr>
          <w:p>
            <w:pPr>
              <w:jc w:val="right"/>
              <w:ind w:right="565"/>
              <w:spacing w:after="0" w:line="149" w:lineRule="exact"/>
              <w:rPr>
                <w:sz w:val="20"/>
                <w:szCs w:val="20"/>
                <w:color w:val="auto"/>
              </w:rPr>
            </w:pPr>
            <w:r>
              <w:rPr>
                <w:rFonts w:ascii="Arial" w:cs="Arial" w:eastAsia="Arial" w:hAnsi="Arial"/>
                <w:sz w:val="15"/>
                <w:szCs w:val="15"/>
                <w:color w:val="auto"/>
              </w:rPr>
              <w:t>shares authorized, no shares</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issued or outstanding, pro forma and pro forma as adjusted</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ind w:left="320"/>
              <w:spacing w:after="0" w:line="149" w:lineRule="exact"/>
              <w:rPr>
                <w:sz w:val="20"/>
                <w:szCs w:val="20"/>
                <w:color w:val="auto"/>
              </w:rPr>
            </w:pPr>
            <w:r>
              <w:rPr>
                <w:rFonts w:ascii="Arial" w:cs="Arial" w:eastAsia="Arial" w:hAnsi="Arial"/>
                <w:sz w:val="15"/>
                <w:szCs w:val="15"/>
                <w:color w:val="auto"/>
              </w:rPr>
              <w:t>Common stock, $0.001 par value; 79,000,000 shares authorized, 17,639,546 shares issued and outstanding, actual;</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920"/>
              <w:spacing w:after="0" w:line="162" w:lineRule="exact"/>
              <w:rPr>
                <w:sz w:val="20"/>
                <w:szCs w:val="20"/>
                <w:color w:val="auto"/>
              </w:rPr>
            </w:pPr>
            <w:r>
              <w:rPr>
                <w:rFonts w:ascii="Arial" w:cs="Arial" w:eastAsia="Arial" w:hAnsi="Arial"/>
                <w:sz w:val="15"/>
                <w:szCs w:val="15"/>
                <w:color w:val="auto"/>
              </w:rPr>
              <w:t>shares authorized,</w:t>
            </w:r>
          </w:p>
        </w:tc>
        <w:tc>
          <w:tcPr>
            <w:tcW w:w="2920" w:type="dxa"/>
            <w:vAlign w:val="bottom"/>
          </w:tcPr>
          <w:p>
            <w:pPr>
              <w:ind w:left="200"/>
              <w:spacing w:after="0" w:line="162" w:lineRule="exact"/>
              <w:rPr>
                <w:sz w:val="20"/>
                <w:szCs w:val="20"/>
                <w:color w:val="auto"/>
              </w:rPr>
            </w:pPr>
            <w:r>
              <w:rPr>
                <w:rFonts w:ascii="Arial" w:cs="Arial" w:eastAsia="Arial" w:hAnsi="Arial"/>
                <w:sz w:val="15"/>
                <w:szCs w:val="15"/>
                <w:color w:val="auto"/>
                <w:w w:val="96"/>
              </w:rPr>
              <w:t>shares issued and outstanding, pro forma;</w:t>
            </w:r>
          </w:p>
        </w:tc>
        <w:tc>
          <w:tcPr>
            <w:tcW w:w="15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shares authorized,</w:t>
            </w:r>
          </w:p>
        </w:tc>
        <w:tc>
          <w:tcPr>
            <w:tcW w:w="1660" w:type="dxa"/>
            <w:vAlign w:val="bottom"/>
            <w:gridSpan w:val="2"/>
          </w:tcPr>
          <w:p>
            <w:pPr>
              <w:jc w:val="right"/>
              <w:ind w:right="525"/>
              <w:spacing w:after="0" w:line="162" w:lineRule="exact"/>
              <w:rPr>
                <w:sz w:val="20"/>
                <w:szCs w:val="20"/>
                <w:color w:val="auto"/>
              </w:rPr>
            </w:pPr>
            <w:r>
              <w:rPr>
                <w:rFonts w:ascii="Arial" w:cs="Arial" w:eastAsia="Arial" w:hAnsi="Arial"/>
                <w:sz w:val="15"/>
                <w:szCs w:val="15"/>
                <w:color w:val="auto"/>
              </w:rPr>
              <w:t>shares issued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60"/>
              <w:spacing w:after="0"/>
              <w:rPr>
                <w:sz w:val="20"/>
                <w:szCs w:val="20"/>
                <w:color w:val="auto"/>
              </w:rPr>
            </w:pPr>
            <w:r>
              <w:rPr>
                <w:rFonts w:ascii="Arial" w:cs="Arial" w:eastAsia="Arial" w:hAnsi="Arial"/>
                <w:sz w:val="15"/>
                <w:szCs w:val="15"/>
                <w:color w:val="auto"/>
              </w:rPr>
              <w:t>and outstanding, pro forma as adjusted</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Additional paid in capital</w:t>
            </w:r>
          </w:p>
        </w:tc>
        <w:tc>
          <w:tcPr>
            <w:tcW w:w="2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14,499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320"/>
              <w:spacing w:after="0" w:line="162" w:lineRule="exact"/>
              <w:rPr>
                <w:sz w:val="20"/>
                <w:szCs w:val="20"/>
                <w:color w:val="auto"/>
              </w:rPr>
            </w:pPr>
            <w:r>
              <w:rPr>
                <w:rFonts w:ascii="Arial" w:cs="Arial" w:eastAsia="Arial" w:hAnsi="Arial"/>
                <w:sz w:val="15"/>
                <w:szCs w:val="15"/>
                <w:color w:val="auto"/>
              </w:rPr>
              <w:t>Accumulated deficit</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w w:val="89"/>
              </w:rPr>
              <w:t>(45,635)</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40" w:type="dxa"/>
            <w:vAlign w:val="bottom"/>
            <w:gridSpan w:val="2"/>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stockholders’ equity (deficit)</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89"/>
              </w:rPr>
              <w:t>(31,118)</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920"/>
              <w:spacing w:after="0" w:line="169" w:lineRule="exact"/>
              <w:rPr>
                <w:sz w:val="20"/>
                <w:szCs w:val="20"/>
                <w:color w:val="auto"/>
              </w:rPr>
            </w:pPr>
            <w:r>
              <w:rPr>
                <w:rFonts w:ascii="Arial" w:cs="Arial" w:eastAsia="Arial" w:hAnsi="Arial"/>
                <w:sz w:val="15"/>
                <w:szCs w:val="15"/>
                <w:color w:val="auto"/>
              </w:rPr>
              <w:t>Total capitalization</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11,712</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Each $1.00 increase (decrease) in the assumed initial public offering price of $</w:t>
      </w:r>
      <w:r>
        <w:rPr>
          <w:rFonts w:ascii="Arial" w:cs="Arial" w:eastAsia="Arial" w:hAnsi="Arial"/>
          <w:sz w:val="13"/>
          <w:szCs w:val="13"/>
          <w:color w:val="auto"/>
        </w:rPr>
        <w:t>per share, the midpoint of the price range set forth on the cover page of this prospectus, would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increase (decrease) each of our pro forma as adjusted cash and cash equivalents, additional paid-in capital, total stockholders’ equity (deficit) and total capitalization by</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approximately $ million, assuming that the number of shares offered by us remains the same and after deducting estimated underwriting discounts and commissions. Similarly, each increase (decrease) of one million shares in the number of shares offered by us would increase (decrease) each of our pro forma as adjusted cash and cash equivalents,</w:t>
      </w:r>
    </w:p>
    <w:p>
      <w:pPr>
        <w:spacing w:after="0" w:line="1" w:lineRule="exact"/>
        <w:rPr>
          <w:sz w:val="20"/>
          <w:szCs w:val="20"/>
          <w:color w:val="auto"/>
        </w:rPr>
      </w:pPr>
    </w:p>
    <w:p>
      <w:pPr>
        <w:ind w:left="340" w:right="20"/>
        <w:spacing w:after="0" w:line="239" w:lineRule="auto"/>
        <w:rPr>
          <w:sz w:val="20"/>
          <w:szCs w:val="20"/>
          <w:color w:val="auto"/>
        </w:rPr>
      </w:pPr>
      <w:r>
        <w:rPr>
          <w:rFonts w:ascii="Arial" w:cs="Arial" w:eastAsia="Arial" w:hAnsi="Arial"/>
          <w:sz w:val="15"/>
          <w:szCs w:val="15"/>
          <w:color w:val="auto"/>
        </w:rPr>
        <w:t>additional paid-in capital, total stockholders’ equity (deficit) and total capitalization by approximately $ million, assuming the assumed initial public offering price remains the same and after deducting estimated underwriting discounts and commissions.</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59,847,748 shares of our common stock outstanding as of March 31, 2015, and gives effect to the sale and issuance of 38,436,851 shares of Series D convertible preferred stock in a private placement by us in July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900" w:right="3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8,318,342 shares of common stock issuable upon the exercise of options outstanding as of March 31, 2015, with a weighted-average exercise price of $0.1565 per share;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820,242 shares of common stock issuable upon the exercise of options granted between March 31, 2015 and July 16, 2015, with an exercise price of $0.65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526,892 shares of</w:t>
      </w:r>
    </w:p>
    <w:p>
      <w:pPr>
        <w:spacing w:after="0" w:line="46" w:lineRule="exact"/>
        <w:rPr>
          <w:sz w:val="20"/>
          <w:szCs w:val="20"/>
          <w:color w:val="auto"/>
        </w:rPr>
      </w:pPr>
    </w:p>
    <w:p>
      <w:pPr>
        <w:ind w:left="900" w:right="4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March 31, 2015, (b) an additional 3,810,000 and 4,766,852 shares of common stock reserved for future issuance under our 2006 Equity Incentive Plan pursuant to plan increases approved by our</w:t>
      </w:r>
    </w:p>
    <w:p>
      <w:pPr>
        <w:sectPr>
          <w:pgSz w:w="11900" w:h="16838" w:orient="portrait"/>
          <w:cols w:equalWidth="0" w:num="1">
            <w:col w:w="11380"/>
          </w:cols>
          <w:pgMar w:left="240" w:top="459" w:right="279" w:bottom="1440" w:gutter="0" w:footer="0" w:header="0"/>
        </w:sectPr>
      </w:pPr>
    </w:p>
    <w:p>
      <w:pPr>
        <w:spacing w:after="0" w:line="1" w:lineRule="exact"/>
        <w:rPr>
          <w:sz w:val="20"/>
          <w:szCs w:val="20"/>
          <w:color w:val="auto"/>
        </w:rPr>
      </w:pPr>
    </w:p>
    <w:p>
      <w:pPr>
        <w:ind w:left="900" w:right="300"/>
        <w:spacing w:after="0" w:line="265" w:lineRule="auto"/>
        <w:rPr>
          <w:sz w:val="20"/>
          <w:szCs w:val="20"/>
          <w:color w:val="auto"/>
        </w:rPr>
      </w:pPr>
      <w:r>
        <w:rPr>
          <w:rFonts w:ascii="Arial" w:cs="Arial" w:eastAsia="Arial" w:hAnsi="Arial"/>
          <w:sz w:val="17"/>
          <w:szCs w:val="17"/>
          <w:color w:val="auto"/>
        </w:rPr>
        <w:t>board of directors on April 29, 2015 and July 9, 2015, respectively, (c) shares of common stock reserved for future issuance under our 2015 Equity Incentive Plan, which will become effective on the date immediately prior to the date of this prospectus and (d) shares of</w:t>
      </w:r>
    </w:p>
    <w:p>
      <w:pPr>
        <w:sectPr>
          <w:pgSz w:w="11900" w:h="16838" w:orient="portrait"/>
          <w:cols w:equalWidth="0" w:num="1">
            <w:col w:w="11380"/>
          </w:cols>
          <w:pgMar w:left="240" w:top="459" w:right="279" w:bottom="1440" w:gutter="0" w:footer="0" w:header="0"/>
          <w:type w:val="continuous"/>
        </w:sectPr>
      </w:pPr>
    </w:p>
    <w:p>
      <w:pPr>
        <w:ind w:left="900" w:right="100"/>
        <w:spacing w:after="0" w:line="271" w:lineRule="auto"/>
        <w:rPr>
          <w:sz w:val="20"/>
          <w:szCs w:val="20"/>
          <w:color w:val="auto"/>
        </w:rPr>
      </w:pPr>
      <w:r>
        <w:rPr>
          <w:rFonts w:ascii="Arial" w:cs="Arial" w:eastAsia="Arial" w:hAnsi="Arial"/>
          <w:sz w:val="17"/>
          <w:szCs w:val="17"/>
          <w:color w:val="auto"/>
        </w:rPr>
        <w:t>common stock reserved for future issuance under our 2015 Employee Stock Purchase Plan, which will become effective on the date of this prospectus. Upon the closing of this offering, any remaining shares available for issuance under our 2006 Equity Incentive Plan will be added to the shares reserved under our 2015 Equity Incentive Plan and we will cease granting awards under our 2006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84" w:lineRule="exact"/>
        <w:rPr>
          <w:sz w:val="20"/>
          <w:szCs w:val="20"/>
          <w:color w:val="auto"/>
        </w:rPr>
      </w:pPr>
    </w:p>
    <w:p>
      <w:pPr>
        <w:ind w:left="900" w:right="24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March 31, 2015, with an exercise price of $0.65 per share, that do not expire upon the closing of this offering.</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2015, our pro forma net tangible book value was approximately $47.5 million, or $ 0.48 per share of common stock. Our pro forma net tangible book value per share represents the amount of our total tangible assets reduced by the amount of our total liabilities and divided by the total number of shares of our common stock outstanding as of March 31, 2015, assuming (i) the automatic conversion of all outstanding shares of our convertible preferred stock into 42,208,202 shares of common stock as of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 shares of common stock immediately prior to the closing of this offering, and (iv) the related reclassification of the preferred stock warrant liability to additional paid-in capital upon the conversion of the shares of convertible preferred stock underlying the warrants that make up the liability.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After giving effect to our sale in this offering of</w:t>
            </w:r>
          </w:p>
        </w:tc>
        <w:tc>
          <w:tcPr>
            <w:tcW w:w="6080" w:type="dxa"/>
            <w:vAlign w:val="bottom"/>
            <w:gridSpan w:val="6"/>
          </w:tcPr>
          <w:p>
            <w:pPr>
              <w:ind w:left="280"/>
              <w:spacing w:after="0"/>
              <w:rPr>
                <w:sz w:val="20"/>
                <w:szCs w:val="20"/>
                <w:color w:val="auto"/>
              </w:rPr>
            </w:pPr>
            <w:r>
              <w:rPr>
                <w:rFonts w:ascii="Arial" w:cs="Arial" w:eastAsia="Arial" w:hAnsi="Arial"/>
                <w:sz w:val="18"/>
                <w:szCs w:val="18"/>
                <w:color w:val="auto"/>
                <w:w w:val="97"/>
              </w:rPr>
              <w:t>shares of our common stock at an assumed initial public offering price of $</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9"/>
              </w:rPr>
              <w:t>per share, the</w:t>
            </w:r>
          </w:p>
        </w:tc>
        <w:tc>
          <w:tcPr>
            <w:tcW w:w="0" w:type="dxa"/>
            <w:vAlign w:val="bottom"/>
          </w:tcPr>
          <w:p>
            <w:pPr>
              <w:spacing w:after="0"/>
              <w:rPr>
                <w:sz w:val="1"/>
                <w:szCs w:val="1"/>
                <w:color w:val="auto"/>
              </w:rPr>
            </w:pPr>
          </w:p>
        </w:tc>
      </w:tr>
      <w:tr>
        <w:trPr>
          <w:trHeight w:val="216"/>
        </w:trPr>
        <w:tc>
          <w:tcPr>
            <w:tcW w:w="11420" w:type="dxa"/>
            <w:vAlign w:val="bottom"/>
            <w:gridSpan w:val="14"/>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10280" w:type="dxa"/>
            <w:vAlign w:val="bottom"/>
            <w:gridSpan w:val="11"/>
          </w:tcPr>
          <w:p>
            <w:pPr>
              <w:spacing w:after="0"/>
              <w:rPr>
                <w:sz w:val="20"/>
                <w:szCs w:val="20"/>
                <w:color w:val="auto"/>
              </w:rPr>
            </w:pPr>
            <w:r>
              <w:rPr>
                <w:rFonts w:ascii="Arial" w:cs="Arial" w:eastAsia="Arial" w:hAnsi="Arial"/>
                <w:sz w:val="18"/>
                <w:szCs w:val="18"/>
                <w:color w:val="auto"/>
                <w:w w:val="93"/>
              </w:rPr>
              <w:t>estimated offering expenses payable by us, our pro forma net tangible book value as of March 31, 2015 would have been approximately $</w:t>
            </w: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million, or</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540" w:type="dxa"/>
            <w:vAlign w:val="bottom"/>
            <w:gridSpan w:val="5"/>
          </w:tcPr>
          <w:p>
            <w:pPr>
              <w:ind w:left="260"/>
              <w:spacing w:after="0"/>
              <w:rPr>
                <w:sz w:val="20"/>
                <w:szCs w:val="20"/>
                <w:color w:val="auto"/>
              </w:rPr>
            </w:pPr>
            <w:r>
              <w:rPr>
                <w:rFonts w:ascii="Arial" w:cs="Arial" w:eastAsia="Arial" w:hAnsi="Arial"/>
                <w:sz w:val="18"/>
                <w:szCs w:val="18"/>
                <w:color w:val="auto"/>
                <w:w w:val="92"/>
              </w:rPr>
              <w:t>per share of our common stock. This represents an immediate increase in pro forma net tangible book value of $</w:t>
            </w:r>
          </w:p>
        </w:tc>
        <w:tc>
          <w:tcPr>
            <w:tcW w:w="2640" w:type="dxa"/>
            <w:vAlign w:val="bottom"/>
            <w:gridSpan w:val="7"/>
          </w:tcPr>
          <w:p>
            <w:pPr>
              <w:ind w:left="200"/>
              <w:spacing w:after="0"/>
              <w:rPr>
                <w:sz w:val="20"/>
                <w:szCs w:val="20"/>
                <w:color w:val="auto"/>
              </w:rPr>
            </w:pPr>
            <w:r>
              <w:rPr>
                <w:rFonts w:ascii="Arial" w:cs="Arial" w:eastAsia="Arial" w:hAnsi="Arial"/>
                <w:sz w:val="18"/>
                <w:szCs w:val="18"/>
                <w:color w:val="auto"/>
              </w:rPr>
              <w:t>per share to our existing</w:t>
            </w:r>
          </w:p>
        </w:tc>
        <w:tc>
          <w:tcPr>
            <w:tcW w:w="0" w:type="dxa"/>
            <w:vAlign w:val="bottom"/>
          </w:tcPr>
          <w:p>
            <w:pPr>
              <w:spacing w:after="0"/>
              <w:rPr>
                <w:sz w:val="1"/>
                <w:szCs w:val="1"/>
                <w:color w:val="auto"/>
              </w:rPr>
            </w:pPr>
          </w:p>
        </w:tc>
      </w:tr>
      <w:tr>
        <w:trPr>
          <w:trHeight w:val="230"/>
        </w:trPr>
        <w:tc>
          <w:tcPr>
            <w:tcW w:w="3420" w:type="dxa"/>
            <w:vAlign w:val="bottom"/>
            <w:gridSpan w:val="4"/>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w w:val="96"/>
              </w:rPr>
              <w:t>per share to investors purchasing shares in this offering, as follows: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gridSpan w:val="3"/>
          </w:tcPr>
          <w:p>
            <w:pPr>
              <w:spacing w:after="0"/>
              <w:rPr>
                <w:sz w:val="21"/>
                <w:szCs w:val="21"/>
                <w:color w:val="auto"/>
              </w:rPr>
            </w:pPr>
          </w:p>
        </w:tc>
        <w:tc>
          <w:tcPr>
            <w:tcW w:w="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Assumed initial public offering price per share</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60" w:type="dxa"/>
            <w:vAlign w:val="bottom"/>
            <w:gridSpan w:val="4"/>
          </w:tcPr>
          <w:p>
            <w:pPr>
              <w:ind w:left="120"/>
              <w:spacing w:after="0"/>
              <w:rPr>
                <w:sz w:val="20"/>
                <w:szCs w:val="20"/>
                <w:color w:val="auto"/>
              </w:rPr>
            </w:pPr>
            <w:r>
              <w:rPr>
                <w:rFonts w:ascii="Arial" w:cs="Arial" w:eastAsia="Arial" w:hAnsi="Arial"/>
                <w:sz w:val="18"/>
                <w:szCs w:val="18"/>
                <w:color w:val="auto"/>
              </w:rPr>
              <w:t>Pro forma net tangible book value per share as of March 31, 2015</w:t>
            </w:r>
          </w:p>
        </w:tc>
        <w:tc>
          <w:tcPr>
            <w:tcW w:w="2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$0.48</w:t>
            </w:r>
          </w:p>
        </w:tc>
        <w:tc>
          <w:tcPr>
            <w:tcW w:w="4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5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6"/>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Dilution per share to investors in this offering</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4"/>
          </w:tcPr>
          <w:p>
            <w:pPr>
              <w:ind w:left="2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20" w:type="dxa"/>
            <w:vAlign w:val="bottom"/>
            <w:gridSpan w:val="8"/>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 page</w:t>
            </w:r>
          </w:p>
        </w:tc>
        <w:tc>
          <w:tcPr>
            <w:tcW w:w="0" w:type="dxa"/>
            <w:vAlign w:val="bottom"/>
          </w:tcPr>
          <w:p>
            <w:pPr>
              <w:spacing w:after="0"/>
              <w:rPr>
                <w:sz w:val="1"/>
                <w:szCs w:val="1"/>
                <w:color w:val="auto"/>
              </w:rPr>
            </w:pPr>
          </w:p>
        </w:tc>
      </w:tr>
      <w:tr>
        <w:trPr>
          <w:trHeight w:val="216"/>
        </w:trPr>
        <w:tc>
          <w:tcPr>
            <w:tcW w:w="9600" w:type="dxa"/>
            <w:vAlign w:val="bottom"/>
            <w:gridSpan w:val="8"/>
          </w:tcPr>
          <w:p>
            <w:pPr>
              <w:spacing w:after="0"/>
              <w:rPr>
                <w:sz w:val="20"/>
                <w:szCs w:val="20"/>
                <w:color w:val="auto"/>
              </w:rPr>
            </w:pPr>
            <w:r>
              <w:rPr>
                <w:rFonts w:ascii="Arial" w:cs="Arial" w:eastAsia="Arial" w:hAnsi="Arial"/>
                <w:sz w:val="18"/>
                <w:szCs w:val="18"/>
                <w:color w:val="auto"/>
                <w:w w:val="92"/>
              </w:rPr>
              <w:t>of this prospectus, would increase (decrease) our pro forma net tangible book value, as adjusted to give effect to this offering, by $</w:t>
            </w:r>
          </w:p>
        </w:tc>
        <w:tc>
          <w:tcPr>
            <w:tcW w:w="1820" w:type="dxa"/>
            <w:vAlign w:val="bottom"/>
            <w:gridSpan w:val="6"/>
          </w:tcPr>
          <w:p>
            <w:pPr>
              <w:ind w:left="200"/>
              <w:spacing w:after="0"/>
              <w:rPr>
                <w:sz w:val="20"/>
                <w:szCs w:val="20"/>
                <w:color w:val="auto"/>
              </w:rPr>
            </w:pPr>
            <w:r>
              <w:rPr>
                <w:rFonts w:ascii="Arial" w:cs="Arial" w:eastAsia="Arial" w:hAnsi="Arial"/>
                <w:sz w:val="18"/>
                <w:szCs w:val="18"/>
                <w:color w:val="auto"/>
                <w:w w:val="86"/>
              </w:rPr>
              <w:t>per share, the increase</w:t>
            </w:r>
          </w:p>
        </w:tc>
        <w:tc>
          <w:tcPr>
            <w:tcW w:w="0" w:type="dxa"/>
            <w:vAlign w:val="bottom"/>
          </w:tcPr>
          <w:p>
            <w:pPr>
              <w:spacing w:after="0"/>
              <w:rPr>
                <w:sz w:val="1"/>
                <w:szCs w:val="1"/>
                <w:color w:val="auto"/>
              </w:rPr>
            </w:pPr>
          </w:p>
        </w:tc>
      </w:tr>
      <w:tr>
        <w:trPr>
          <w:trHeight w:val="216"/>
        </w:trPr>
        <w:tc>
          <w:tcPr>
            <w:tcW w:w="3420" w:type="dxa"/>
            <w:vAlign w:val="bottom"/>
            <w:gridSpan w:val="4"/>
          </w:tcPr>
          <w:p>
            <w:pPr>
              <w:spacing w:after="0"/>
              <w:rPr>
                <w:sz w:val="20"/>
                <w:szCs w:val="20"/>
                <w:color w:val="auto"/>
              </w:rPr>
            </w:pPr>
            <w:r>
              <w:rPr>
                <w:rFonts w:ascii="Arial" w:cs="Arial" w:eastAsia="Arial" w:hAnsi="Arial"/>
                <w:sz w:val="18"/>
                <w:szCs w:val="18"/>
                <w:color w:val="auto"/>
              </w:rPr>
              <w:t>(decrease) attributable to this offering by $</w:t>
            </w:r>
          </w:p>
        </w:tc>
        <w:tc>
          <w:tcPr>
            <w:tcW w:w="8000" w:type="dxa"/>
            <w:vAlign w:val="bottom"/>
            <w:gridSpan w:val="10"/>
          </w:tcPr>
          <w:p>
            <w:pPr>
              <w:ind w:left="60"/>
              <w:spacing w:after="0"/>
              <w:rPr>
                <w:sz w:val="20"/>
                <w:szCs w:val="20"/>
                <w:color w:val="auto"/>
              </w:rPr>
            </w:pPr>
            <w:r>
              <w:rPr>
                <w:rFonts w:ascii="Arial" w:cs="Arial" w:eastAsia="Arial" w:hAnsi="Arial"/>
                <w:sz w:val="18"/>
                <w:szCs w:val="18"/>
                <w:color w:val="auto"/>
                <w:w w:val="91"/>
              </w:rPr>
              <w:t>per share, and the dilution in pro forma as adjusted net tangible book value per share to new investors in this</w:t>
            </w:r>
          </w:p>
        </w:tc>
        <w:tc>
          <w:tcPr>
            <w:tcW w:w="0" w:type="dxa"/>
            <w:vAlign w:val="bottom"/>
          </w:tcPr>
          <w:p>
            <w:pPr>
              <w:spacing w:after="0"/>
              <w:rPr>
                <w:sz w:val="1"/>
                <w:szCs w:val="1"/>
                <w:color w:val="auto"/>
              </w:rPr>
            </w:pP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offering by $</w:t>
            </w:r>
          </w:p>
        </w:tc>
        <w:tc>
          <w:tcPr>
            <w:tcW w:w="10280" w:type="dxa"/>
            <w:vAlign w:val="bottom"/>
            <w:gridSpan w:val="11"/>
          </w:tcPr>
          <w:p>
            <w:pPr>
              <w:ind w:left="200"/>
              <w:spacing w:after="0"/>
              <w:rPr>
                <w:sz w:val="20"/>
                <w:szCs w:val="20"/>
                <w:color w:val="auto"/>
              </w:rPr>
            </w:pPr>
            <w:r>
              <w:rPr>
                <w:rFonts w:ascii="Arial" w:cs="Arial" w:eastAsia="Arial" w:hAnsi="Arial"/>
                <w:sz w:val="18"/>
                <w:szCs w:val="18"/>
                <w:color w:val="auto"/>
                <w:w w:val="93"/>
              </w:rPr>
              <w:t>per share, assuming the number of shares offered by us, as set forth on the cover page of this prospectus, remains the same, and after</w:t>
            </w:r>
          </w:p>
        </w:tc>
        <w:tc>
          <w:tcPr>
            <w:tcW w:w="0" w:type="dxa"/>
            <w:vAlign w:val="bottom"/>
          </w:tcPr>
          <w:p>
            <w:pPr>
              <w:spacing w:after="0"/>
              <w:rPr>
                <w:sz w:val="1"/>
                <w:szCs w:val="1"/>
                <w:color w:val="auto"/>
              </w:rPr>
            </w:pPr>
          </w:p>
        </w:tc>
      </w:tr>
    </w:tbl>
    <w:p>
      <w:pPr>
        <w:ind w:right="40"/>
        <w:spacing w:after="0" w:line="562" w:lineRule="auto"/>
        <w:rPr>
          <w:sz w:val="20"/>
          <w:szCs w:val="20"/>
          <w:color w:val="auto"/>
        </w:rPr>
      </w:pPr>
      <w:r>
        <w:rPr>
          <w:rFonts w:ascii="Arial" w:cs="Arial" w:eastAsia="Arial" w:hAnsi="Arial"/>
          <w:sz w:val="16"/>
          <w:szCs w:val="16"/>
          <w:color w:val="auto"/>
        </w:rPr>
        <w:t>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 the dilution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giving effect to this offering would be $ per share, and the dilution in net tangible book value per share to investors in this offering would be $ per share.</w:t>
      </w:r>
    </w:p>
    <w:p>
      <w:pPr>
        <w:spacing w:after="0" w:line="18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table summarizes, on a pro forma as adjusted basis as of March 31, 2015 after giving effect to (i) the automatic conversion of all outstanding shares of our convertible preferred stock into 42,208,202 shares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common stock as of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w:t>
      </w:r>
    </w:p>
    <w:p>
      <w:pPr>
        <w:spacing w:after="0"/>
        <w:tabs>
          <w:tab w:leader="none" w:pos="7560" w:val="left"/>
        </w:tabs>
        <w:rPr>
          <w:sz w:val="20"/>
          <w:szCs w:val="20"/>
          <w:color w:val="auto"/>
        </w:rPr>
      </w:pPr>
      <w:r>
        <w:rPr>
          <w:rFonts w:ascii="Arial" w:cs="Arial" w:eastAsia="Arial" w:hAnsi="Arial"/>
          <w:sz w:val="18"/>
          <w:szCs w:val="18"/>
          <w:color w:val="auto"/>
        </w:rPr>
        <w:t>shares of common stock immediately prior to the closing of this offering, and (iv) the issuance of</w:t>
      </w:r>
      <w:r>
        <w:rPr>
          <w:sz w:val="20"/>
          <w:szCs w:val="20"/>
          <w:color w:val="auto"/>
        </w:rPr>
        <w:tab/>
      </w:r>
      <w:r>
        <w:rPr>
          <w:rFonts w:ascii="Arial" w:cs="Arial" w:eastAsia="Arial" w:hAnsi="Arial"/>
          <w:sz w:val="16"/>
          <w:szCs w:val="16"/>
          <w:color w:val="auto"/>
        </w:rPr>
        <w:t>shares of common stock in this offering at an</w:t>
      </w:r>
    </w:p>
    <w:p>
      <w:pPr>
        <w:spacing w:after="0" w:line="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assumed initial public offering price of $ per share, 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w w:val="98"/>
              </w:rPr>
              <w:t>Shares Purchased</w:t>
            </w:r>
          </w:p>
        </w:tc>
        <w:tc>
          <w:tcPr>
            <w:tcW w:w="520" w:type="dxa"/>
            <w:vAlign w:val="bottom"/>
            <w:vMerge w:val="restart"/>
          </w:tcPr>
          <w:p>
            <w:pPr>
              <w:spacing w:after="0"/>
              <w:rPr>
                <w:sz w:val="14"/>
                <w:szCs w:val="14"/>
                <w:color w:val="auto"/>
              </w:rPr>
            </w:pPr>
          </w:p>
        </w:tc>
        <w:tc>
          <w:tcPr>
            <w:tcW w:w="15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92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20" w:type="dxa"/>
            <w:vAlign w:val="bottom"/>
            <w:gridSpan w:val="2"/>
            <w:vMerge w:val="restart"/>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4"/>
                <w:szCs w:val="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Percent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4"/>
                <w:szCs w:val="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Percent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8"/>
          </w:tcPr>
          <w:p>
            <w:pPr>
              <w:jc w:val="right"/>
              <w:ind w:right="541"/>
              <w:spacing w:after="0" w:line="142" w:lineRule="exact"/>
              <w:rPr>
                <w:sz w:val="20"/>
                <w:szCs w:val="20"/>
                <w:color w:val="auto"/>
              </w:rPr>
            </w:pPr>
            <w:r>
              <w:rPr>
                <w:rFonts w:ascii="Arial" w:cs="Arial" w:eastAsia="Arial" w:hAnsi="Arial"/>
                <w:sz w:val="14"/>
                <w:szCs w:val="14"/>
                <w:b w:val="1"/>
                <w:bCs w:val="1"/>
                <w:color w:val="auto"/>
                <w:w w:val="93"/>
              </w:rPr>
              <w:t>(in thousands, except percentage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New public investors</w:t>
            </w:r>
          </w:p>
        </w:tc>
        <w:tc>
          <w:tcPr>
            <w:tcW w:w="7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tcPr>
          <w:p>
            <w:pPr>
              <w:ind w:left="46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20" w:type="dxa"/>
            <w:vAlign w:val="bottom"/>
            <w:gridSpan w:val="11"/>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440" w:firstLine="8"/>
        <w:spacing w:after="0" w:line="261"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 and our new investors would own % of the total number of shares of our common stock outstanding upon the closing of this offering.</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59,847,748 shares of our common stock outstanding as of March 31, 2015, and gives effect to the sale and issuance of 38,436,851 shares of Series D convertible preferred stock in a private placement by us in July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900" w:right="36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8,318,342 shares of common stock issuable upon the exercise of options outstanding as of March 31, 2015, with a weighted-average exercise price of $0.1565 per share;</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820,242 shares of common stock issuable upon the exercise of options granted between March 31, 2015 and July 16, 2015, with an exercise price of $0.65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526,892 shares of</w:t>
      </w:r>
    </w:p>
    <w:p>
      <w:pPr>
        <w:spacing w:after="0" w:line="46" w:lineRule="exact"/>
        <w:rPr>
          <w:sz w:val="20"/>
          <w:szCs w:val="20"/>
          <w:color w:val="auto"/>
        </w:rPr>
      </w:pPr>
    </w:p>
    <w:p>
      <w:pPr>
        <w:ind w:left="900" w:right="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March 31, 2015, (b) an additional 3,810,000 and 4,766,852 shares of common stock reserved for future issuance under our 2006 Equity Incentive Plan pursuant to plan increases approved by our</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900" w:right="300"/>
        <w:spacing w:after="0" w:line="265" w:lineRule="auto"/>
        <w:rPr>
          <w:sz w:val="20"/>
          <w:szCs w:val="20"/>
          <w:color w:val="auto"/>
        </w:rPr>
      </w:pPr>
      <w:r>
        <w:rPr>
          <w:rFonts w:ascii="Arial" w:cs="Arial" w:eastAsia="Arial" w:hAnsi="Arial"/>
          <w:sz w:val="17"/>
          <w:szCs w:val="17"/>
          <w:color w:val="auto"/>
        </w:rPr>
        <w:t>board of directors on April 29, 2015 and July 9, 2015, respectively, (c) shares of common stock reserved for future issuance under our 2015 Equity Incentive Plan, which will become effective on the date immediately prior to the date of this prospectus and (d) shares of</w:t>
      </w:r>
    </w:p>
    <w:p>
      <w:pPr>
        <w:sectPr>
          <w:pgSz w:w="11900" w:h="16838" w:orient="portrait"/>
          <w:cols w:equalWidth="0" w:num="1">
            <w:col w:w="11420"/>
          </w:cols>
          <w:pgMar w:left="240" w:top="459" w:right="239" w:bottom="1440" w:gutter="0" w:footer="0" w:header="0"/>
          <w:type w:val="continuous"/>
        </w:sectPr>
      </w:pPr>
    </w:p>
    <w:p>
      <w:pPr>
        <w:ind w:left="900" w:right="140"/>
        <w:spacing w:after="0" w:line="255" w:lineRule="auto"/>
        <w:rPr>
          <w:sz w:val="20"/>
          <w:szCs w:val="20"/>
          <w:color w:val="auto"/>
        </w:rPr>
      </w:pPr>
      <w:r>
        <w:rPr>
          <w:rFonts w:ascii="Arial" w:cs="Arial" w:eastAsia="Arial" w:hAnsi="Arial"/>
          <w:sz w:val="18"/>
          <w:szCs w:val="18"/>
          <w:color w:val="auto"/>
        </w:rPr>
        <w:t>common stock reserved for future issuance under our 2015 Employee Stock Purchase Plan, which will become effective on the date of this prospectus. Upon the closing of this offering, any remaining shares available for issuance under our 2006 Equity Incentive Plan will be added to the shares reserved under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our 2015 Equity Incentive Plan and we will cease granting awards under our 2015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87" w:lineRule="exact"/>
        <w:rPr>
          <w:sz w:val="20"/>
          <w:szCs w:val="20"/>
          <w:color w:val="auto"/>
        </w:rPr>
      </w:pPr>
    </w:p>
    <w:p>
      <w:pPr>
        <w:ind w:left="900" w:right="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March 31, 2015, with an exercise price of $0.65 per share, that do not expire upon the closing of this offering.</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selected statements of operations data for the years ended December 31, 2013 and 2014 and the balance sheet data as of December 31, 2013 and 2014 are derived from our audited financial statements included elsewhere in this prospectus. The selected consolidated statement of operations data for the three months ended March 31, 2014 and 2015 and the consolidated balance sheet data as of March 31, 2015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three months ended March 31, 2015 are not necessarily indicative of results to be expected for the full year. The selected financial data in this section are not intended to replace the financial statements and are qualified in their entirety by the financial statements and related notes included elsewhere in this prospectus.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left="314"/>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80" w:type="dxa"/>
            <w:vAlign w:val="bottom"/>
            <w:gridSpan w:val="2"/>
            <w:vMerge w:val="continue"/>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15,838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91"/>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Income (loss) from operations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Change in fair value of liability for preferred stock warrants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(5,545)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(1,193)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attributed to participating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(loss) attributed to common stockholders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18,627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17,368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weighted-average number of shares outstanding (unaudited):</w:t>
            </w:r>
            <w:r>
              <w:rPr>
                <w:rFonts w:ascii="Arial" w:cs="Arial" w:eastAsia="Arial" w:hAnsi="Arial"/>
                <w:sz w:val="15"/>
                <w:szCs w:val="15"/>
                <w:color w:val="auto"/>
                <w:w w:val="92"/>
              </w:rPr>
              <w:t>(1)</w:t>
            </w: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59,732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vMerge w:val="restart"/>
          </w:tcPr>
          <w:p>
            <w:pPr>
              <w:jc w:val="right"/>
              <w:ind w:right="17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291465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0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62"/>
        </w:trPr>
        <w:tc>
          <w:tcPr>
            <w:tcW w:w="4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2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000" w:type="dxa"/>
            <w:vAlign w:val="bottom"/>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  2,810</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$ 22,188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19,607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25,065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22,804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Convertible promissory notes, current portion</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818</w:t>
            </w:r>
          </w:p>
        </w:tc>
        <w:tc>
          <w:tcPr>
            <w:tcW w:w="4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2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2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4,793</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4,569</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34,672</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36,828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36,828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(34,527)</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(30,835)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(31,118)</w:t>
            </w:r>
          </w:p>
        </w:tc>
      </w:tr>
      <w:tr>
        <w:trPr>
          <w:trHeight w:val="365"/>
        </w:trPr>
        <w:tc>
          <w:tcPr>
            <w:tcW w:w="4240" w:type="dxa"/>
            <w:vAlign w:val="bottom"/>
          </w:tcPr>
          <w:p>
            <w:pPr>
              <w:spacing w:after="0"/>
              <w:rPr>
                <w:sz w:val="24"/>
                <w:szCs w:val="24"/>
                <w:color w:val="auto"/>
              </w:rPr>
            </w:pPr>
          </w:p>
        </w:tc>
        <w:tc>
          <w:tcPr>
            <w:tcW w:w="2920" w:type="dxa"/>
            <w:vAlign w:val="bottom"/>
          </w:tcPr>
          <w:p>
            <w:pPr>
              <w:jc w:val="right"/>
              <w:ind w:right="173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6"/>
          <w:szCs w:val="16"/>
          <w:i w:val="1"/>
          <w:iCs w:val="1"/>
          <w:color w:val="auto"/>
        </w:rPr>
        <w:t>in vitro</w:t>
      </w:r>
      <w:r>
        <w:rPr>
          <w:rFonts w:ascii="Arial" w:cs="Arial" w:eastAsia="Arial" w:hAnsi="Arial"/>
          <w:sz w:val="16"/>
          <w:szCs w:val="16"/>
          <w:color w:val="auto"/>
        </w:rPr>
        <w:t>,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and palmo-plantar pustular psoriasis.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and an inflammation-focused collaboration with Celgene. Through June 30, 2015, we have received non-dilutive funding of $46.0 million from our collaborators.</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incurred losses in each period since our inception in 2005, except for 2014 in which we received $19.0 million from two upfront payments and recognized revenue of $11.5 million during 2014 following the execution of our strategic collaboration with TESARO. Accordingly, for the year ended December 31, 2014 we reported net income of $3.5 million. As of March 31, 2015, we had an accumulated deficit of $45.6 million.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and/or LAG-3.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as revenue through March 2016, which is the same period that our research and development services, for which we are reimbursed, are performed. From inception of the agreement through March 31, 2015, we have recognized $15.6 million in total revenue from TESARO.</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 In June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for the anti-PD-1 antagonist antibody mentioned above, which resulted in us earning a $1.0 million milestone. We expect to receive an additional aggregate of $14.0 million in preclinical and IND-related payments in the next 18 months based upon further development of the anti-PD-1 antagonist and two of the other targets mentioned above.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March 31, 2015, we have recognized $8.5 million in total revenue from Celgene. For the two programs being advanced by Celgene, we expect to receive up to an aggregate of $3.0 million in preclinical and IND-related milestone payments.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are party to other collaboration agreements for which in 2013 and 2014 we recognized $1.7 million and $3.7 million, respectively, in collaboration revenue. We have completed our obligations under these agreements and do not anticipate any additional revenue from them.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are planning to conduct initial clinical trials in Australia to rapidly enter into first-in-human studies for ANB020 and ANB019 and benefit from research and development-related financial incentives related to the development of ANB020 and ANB019. Taking into account any financial incentives, we expect our research and development expenses to be higher in 2015 and 2016 as we advance our product candidates into clinical development.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which we refer to as the Loan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convert into warrants to purchase shares of common stock, the preferred stock warrant liabilities will be reclassified to additional paid-in capital and periodic fair value adjustments will no longer be recorded.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our inception to December 31, 2013, we accumulated net operating losses, or NOLs. For the year ended December 31, 2014, we generated net income of $3.5 million primarily as a result of our collaboration agreement with TESARO. While we utilized NOLs in 2014, we continue to have a valuation allowance against our net deferred tax assets due to the uncertainty surrounding the realization of such assets.</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At December 31, 2014, we had federal and state NOL carryforwards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 forward indefinitely.</w:t>
      </w:r>
    </w:p>
    <w:p>
      <w:pPr>
        <w:spacing w:after="0" w:line="14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382/383 analysis. If a change in ownership were to have occurred or occurs as a result of this offering,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Milestone Revenue</w:t>
      </w:r>
      <w:r>
        <w:rPr>
          <w:rFonts w:ascii="Arial" w:cs="Arial" w:eastAsia="Arial" w:hAnsi="Arial"/>
          <w:sz w:val="16"/>
          <w:szCs w:val="16"/>
          <w:color w:val="auto"/>
        </w:rPr>
        <w:t>. 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assumptions: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9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1.5%-1.6%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w w:val="96"/>
              </w:rPr>
              <w:t>71.0%-72.5%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6.1-9.9</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stock options were granted during the three months ended March 31, 2015. Stock-based compensation expense related to unvested stock option grants not yet recognized as of March 31, 2015 was $0.4 million and the weighted average period over which these grants are expected to vest is 2.7 years. We expect to continue to grant stock options in the future, and to the extent we do, our actual stock-based compensation expense recognized in future periods will likely increase.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Market.</w:t>
      </w:r>
    </w:p>
    <w:p>
      <w:pPr>
        <w:spacing w:after="0" w:line="193"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100" w:hanging="325"/>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93" w:lineRule="exact"/>
        <w:rPr>
          <w:rFonts w:ascii="Arial" w:cs="Arial" w:eastAsia="Arial" w:hAnsi="Arial"/>
          <w:sz w:val="18"/>
          <w:szCs w:val="18"/>
          <w:color w:val="auto"/>
        </w:rPr>
      </w:pPr>
    </w:p>
    <w:p>
      <w:pPr>
        <w:ind w:left="900" w:right="140" w:hanging="325"/>
        <w:spacing w:after="0" w:line="281"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In June 2014, the Financial Accounting Standards Board, or FASB, issued Accounting Standards Update, or ASU, No. 2014-10, </w:t>
      </w:r>
      <w:r>
        <w:rPr>
          <w:rFonts w:ascii="Arial" w:cs="Arial" w:eastAsia="Arial" w:hAnsi="Arial"/>
          <w:sz w:val="16"/>
          <w:szCs w:val="16"/>
          <w:i w:val="1"/>
          <w:iCs w:val="1"/>
          <w:color w:val="auto"/>
        </w:rPr>
        <w:t>Development Stage</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 (Topic 915)</w:t>
      </w:r>
      <w:r>
        <w:rPr>
          <w:rFonts w:ascii="Arial" w:cs="Arial" w:eastAsia="Arial" w:hAnsi="Arial"/>
          <w:sz w:val="16"/>
          <w:szCs w:val="16"/>
          <w:color w:val="auto"/>
        </w:rPr>
        <w:t>, which eliminated the distinction of a Development Stage Entity along with the inception to date reporting requirements. As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we elected to early adopt the amendment beginning with our annual reporting period ended December 31, 2014, with retrospective application of the amended guidance. Upon adoption, there was no effect to our consolidated financial statements, other than the elimination of inception to date disclosures.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This update requires the presentation of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in financial statements as a direct reduction of related debt liabilities rather than as an asset. Amortization of debt issuance costs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reported as interest expense. As permitted by the ASU, we elected to early adopt the amendment beginning with its annual reporting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with retrospective application of the amended guidance. The adoption of this ASU resulted in the reclassification $37,000 and $85,000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debt issuance costs from prepaid expenses and other current assets to a direct reduction to the carrying values of notes payable and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reported in the balance sheets at December 31, 2013 and 2014, respectively. The adoption of this guidance did not have any effect 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during the years ended December 31, 2013 or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early adoption is not permitted.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79"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management identifies conditions or events that raise substantial doubt about the entity’s ability to continue as a 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Collaboration revenue was $1.8 million and $4.1 million during the three months ended March 31, 2014 and 2015, respectively, an increase of $2.3 million.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5"/>
              </w:rPr>
              <w:t>Ended March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40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w:t>
            </w: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1440" w:type="dxa"/>
            <w:vAlign w:val="bottom"/>
            <w:gridSpan w:val="3"/>
          </w:tcPr>
          <w:p>
            <w:pPr>
              <w:jc w:val="right"/>
              <w:ind w:right="620"/>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965</w:t>
            </w:r>
          </w:p>
        </w:tc>
        <w:tc>
          <w:tcPr>
            <w:tcW w:w="32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75"/>
        </w:trPr>
        <w:tc>
          <w:tcPr>
            <w:tcW w:w="40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1,781</w:t>
            </w: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80" w:type="dxa"/>
            <w:vAlign w:val="bottom"/>
            <w:vMerge w:val="restart"/>
          </w:tcPr>
          <w:p>
            <w:pPr>
              <w:jc w:val="right"/>
              <w:ind w:right="1590"/>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first and fourth quarter of 2014 we received $17.0 million and $2.0 million, respectively, in upfront fees under our collaboration and exclusive license agreement with TESARO. For the three months ended March 31, 2014 and 2015, we recognized the amortized portion of these upfront fees in the amounts of $0.5 million and $2.5 million, respectively. The upfront fees will continue to be recognized ratably through March 2016. We also recognized revenue of $0.2 million and $1.6 million during the three months ended March 31, 2014 and 2015, respectively, for research and development services performed under the agreement.</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three months ended March 31, 2014, we recognized revenue of $0.1 million for research and development services performed under this agreement.</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are a party to other collaboration agreements for which in the three months ended March 31, 2014 we recognized $1.0 million in collaboration revenue. We completed our obligations under these agreements in 2014 and do not anticipate any additional revenue from them beyond 2014.</w:t>
      </w:r>
    </w:p>
    <w:p>
      <w:pPr>
        <w:spacing w:after="0" w:line="124"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Research and development expenses were $1.8 million during the three months ended March 31, 2014 and $3.1 million for the three months ended March 31, 2015. The increase of $1.3 million is primarily related to a $0.8 million increase in external services and preclinical manufacturing consultation cost relating to our ANB020 and ANB019 programs, a $0.3 million increase in payroll and related expenses, including stock-based compensation, and a $0.2 million increase in laboratory supplies.</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General and administrative expenses were $0.5 million during the three months ended March 31, 2014 and $0.7 million for the three months ended March 31, 2015. The $0.2 million increase is due primarily to recruiting expenses incurred for key senior positions.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Interest expense during the three months ended March 31, 2014 was $0.6 million and represents stated interest of 10.0% on our convertible promissory notes principal of $2.0 million and amortization of the related beneficial conversion feature. All outstanding principal and accrued interest on the convertible promissory notes were converted in April 2014 into shares of Series C-1 preferred stock. Interest expense during the three months ended March 31, 2015 was $0.1 million and represents effective interest of 9.25% on our outstanding Term A Loans, which have an outstanding principal of $5.0 million as of March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expense from the change in fair value of the liabilities for stock warrants increased by $0.6 million during the three months ended March 31, 2015 when compared to the three months ended March 31, 2014,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primarily reflects an increase in the valuation of our Series C convertible preferred stock at March 31, 2015 which had the effect of increasing the estimated fair value of the warrants.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r>
      <w:tr>
        <w:trPr>
          <w:trHeight w:val="27"/>
        </w:trPr>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15,838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10,355</w:t>
            </w: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our 2011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$3.7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our inception through March 31, 2015, we have received an aggregate of $97.9 million to fund our operations including $44.1 million from the sale of equity securities, $44.4 million from our collaboration agreements and $9.4 million from venture debt. As of March 31, 2015, we had $19.6 million in cash and cash equivalents.</w:t>
      </w:r>
    </w:p>
    <w:p>
      <w:pPr>
        <w:spacing w:after="0" w:line="18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of which $5.0 million of the Term A Loans were outstanding at March 31, 2015.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Final maturity of the loans pursuant to the Loan Agreement is in January 2019.</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July, 2015, we issued an aggregate of 38,436,851 shares of Series D Convertible Preferred Stock at a purchase price of $1.06 per share, for aggregate proceeds of $40.8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12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Net cash provided by operating activities during the three months ended March 31, 2014 of $15.0 million was primarily due to cash received pursuant to our collaboration agreement with TESARO and consisted of $1.2 million of net loss offset by an increase in deferred revenue of $16.0 million and non-cash interest expense of $0.6 million. Net cash used in operating activities during the three months ended March 31, 2015 of $2.5 million, was primarily due to the use of cash for research and development activities and consisted of $0.4 million of net loss in addition to a reduction of deferred revenue of $2.5 million related to the amortization of our upfront payment received from TESARO.</w:t>
      </w:r>
    </w:p>
    <w:p>
      <w:pPr>
        <w:spacing w:after="0" w:line="1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our net loss for the period. Net cash provided by operating activities of $14.6 million during the year ended December 31, 2014 was primarily due to cash received pursuant to our collaboration agreement with TESARO and consisted of net income of $3.5 million in addition to an increase of $10.7 million in deferred revenues and non-cash interest expense of $1.3 million, partially offset by an increase in receivables from our collaborative partner of $1.5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Cash used in investing activities during the three months ended March 31, 2014 and 2015 and years ended December 31, 2013 and 2014, were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Cash provided by financing activities during the three months ended March 31, 2014 and 2015 was zero and $43,000, respectively. The cash proceeds during 2015 are from the exercise of stock options.</w:t>
      </w:r>
    </w:p>
    <w:p>
      <w:pPr>
        <w:spacing w:after="0" w:line="170"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color w:val="auto"/>
              </w:rPr>
              <w:t>in thousands)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240" w:type="dxa"/>
            <w:vAlign w:val="bottom"/>
          </w:tcPr>
          <w:p>
            <w:pPr>
              <w:spacing w:after="0"/>
              <w:rPr>
                <w:sz w:val="10"/>
                <w:szCs w:val="10"/>
                <w:color w:val="auto"/>
              </w:rPr>
            </w:pPr>
          </w:p>
        </w:tc>
        <w:tc>
          <w:tcPr>
            <w:tcW w:w="1120" w:type="dxa"/>
            <w:vAlign w:val="bottom"/>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Less Than</w:t>
            </w:r>
          </w:p>
        </w:tc>
        <w:tc>
          <w:tcPr>
            <w:tcW w:w="50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1-3</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3-5</w:t>
            </w:r>
          </w:p>
        </w:tc>
        <w:tc>
          <w:tcPr>
            <w:tcW w:w="50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including interest and final payment fee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$3,578</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$2,257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lease obligation</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496</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346</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822</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3,924</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320" w:hanging="452"/>
        <w:spacing w:after="0" w:line="31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Future minimum guaranteed payment obligations for annual royalty payments under all collaborative in-license agreements at December 31, 2014 aggregated $208,000. These obligations are excluded from the table above as the annual minimum payments are payable through ten years from the first commercial sale, if any, or expiration of the last patent, if any, to expire, the dates of which are not determinable at this time.</w:t>
      </w:r>
    </w:p>
    <w:p>
      <w:pPr>
        <w:spacing w:after="0" w:line="14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2015, we formed a wholly-owned subsidiary in Australia, which exposes us to foreign currency exchange risk. The functional currency of our subsidiary in Australia is the Australian dollar. Accordingly, all assets and liabilities of our subsidiary are translated to U.S. dollars based on the applicable exchange rate on the balance sheet date. Our subsidiary’s statements of operations are translated to U.S. dollars at weighted-average exchange rates in effect during the period. Gains and losses resulting from foreign currency translation are reported as a separate component of accumulated other comprehensive gain (loss) in the stockholders’ equity section of our consolidated balance sheets. We do not expect the effects of changes in exchange rates to have a material impact on our financial statements.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and palmo-plantar pustular psoriasis.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and an inflammation-focused collaboration with Celgene. Through June 30, 2015, we have received significant, non-dilutive funding of $46.0 million from our collaborators.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104775</wp:posOffset>
            </wp:positionV>
            <wp:extent cx="5205730" cy="26244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0573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hanging="325"/>
        <w:spacing w:after="0" w:line="28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 is a</w:t>
      </w:r>
      <w:r>
        <w:rPr>
          <w:rFonts w:ascii="Arial" w:cs="Arial" w:eastAsia="Arial" w:hAnsi="Arial"/>
          <w:sz w:val="16"/>
          <w:szCs w:val="16"/>
          <w:b w:val="1"/>
          <w:bCs w:val="1"/>
          <w:color w:val="auto"/>
        </w:rPr>
        <w:t xml:space="preserve"> </w:t>
      </w:r>
      <w:r>
        <w:rPr>
          <w:rFonts w:ascii="Arial" w:cs="Arial" w:eastAsia="Arial" w:hAnsi="Arial"/>
          <w:sz w:val="16"/>
          <w:szCs w:val="16"/>
          <w:color w:val="auto"/>
        </w:rPr>
        <w:t>central mediator of atopic diseases, including asthma, food allergies and atopic dermatitis. IL-33 acts on several cell types, including T helper 2, or Th2, effector cells and Innate Lymphoid Cell Type 2, or ILC2, which are white blood cells that initiate and orchestrate atopic responses. IL-33 also directly mediates release of IL-4, IL-5 and IL-13 cytokines, which recruit pro-inflammatory cells that mediate atopic disease. Because ANB020 inhibits IL-33 function, and acts upstream of key cell types and Th2 cytokines involved in atopy, we believe that its mechanism has advantages over competing agents that block only a subset of IL-4, IL-5 or IL-13 cytokines in the treatment of atopic disease. We believe ANB020 is potentially the first-in-class therapy targeting IL-33. We have observed high potency and robust pharmacokinetics in our preclinical studies with ANB020 to date. We anticipate filing an Australian Clinical Trial Notification, or CTN, for ANB020 during the fourth quarter of 2015, the approval of which would allow us to commence clinical trials in Australia. We plan to commence a Phase 1 healthy volunteer trial in Australia in early 2016, followed by patient trials in severe adult asthma and severe adult peanut allergy in the United States after submitting an IND to the FDA. It has been reported that asthma affects approximately 7.7% of the adult U.S. population, or 24.4 million individuals, of which 19%, or 4.6 million have severe, persistent occurrence of this respiratory disease. Peanut allergy is the most common cause of food-induced allergy in the United States and is reported to affect approximately two million adults, of which approximately 480,000 are regularly managed by allergists for severe reactions, and are suitable for treatment with systemic biological therapies.</w:t>
      </w:r>
    </w:p>
    <w:p>
      <w:pPr>
        <w:spacing w:after="0" w:line="77" w:lineRule="exact"/>
        <w:rPr>
          <w:rFonts w:ascii="Arial" w:cs="Arial" w:eastAsia="Arial" w:hAnsi="Arial"/>
          <w:sz w:val="16"/>
          <w:szCs w:val="16"/>
          <w:color w:val="auto"/>
        </w:rPr>
      </w:pPr>
    </w:p>
    <w:p>
      <w:pPr>
        <w:ind w:left="900" w:hanging="325"/>
        <w:spacing w:after="0" w:line="271"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the interleukin-36-receptor, or IL-36R, which we are initially developing as a potential first-in-class therapy for GPP patients. GPP is a life-threatening, rare, systemic inflammatory disorder affecting approximately 3,000 patients in the United States with no approved therapies. Studies have shown that GPP is associated with mutations in the gene encoding the IL-36R antagonist, or IL-36RA, that lead to abnormally high signaling through the IL-36R and thereby cause GPP. We believe ANB019 is the most advanced therapeutic antibody targeting the IL-36R in development. We anticipate filing an Australian CTN for ANB019 during the second half of 2016, the approval of which would allow us to initiate Phase 1 trials in Australia during the second half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Platform</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relies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90" w:lineRule="exact"/>
        <w:rPr>
          <w:sz w:val="20"/>
          <w:szCs w:val="20"/>
          <w:color w:val="auto"/>
        </w:rPr>
      </w:pPr>
    </w:p>
    <w:p>
      <w:pPr>
        <w:ind w:left="900" w:right="440" w:hanging="325"/>
        <w:spacing w:after="0" w:line="26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40" w:hanging="325"/>
        <w:spacing w:after="0" w:line="313"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4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built a leading antibody development company with a robust and renewable pipeline of novel product candidates against emerging biological targets. The key elements of our strategy include:</w:t>
      </w:r>
    </w:p>
    <w:p>
      <w:pPr>
        <w:spacing w:after="0" w:line="72" w:lineRule="exact"/>
        <w:rPr>
          <w:sz w:val="20"/>
          <w:szCs w:val="20"/>
          <w:color w:val="auto"/>
        </w:rPr>
      </w:pPr>
    </w:p>
    <w:p>
      <w:pPr>
        <w:jc w:val="both"/>
        <w:ind w:left="900" w:right="640" w:hanging="325"/>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lead product candidates into the clinic. </w:t>
      </w:r>
      <w:r>
        <w:rPr>
          <w:rFonts w:ascii="Arial" w:cs="Arial" w:eastAsia="Arial" w:hAnsi="Arial"/>
          <w:sz w:val="18"/>
          <w:szCs w:val="18"/>
          <w:color w:val="auto"/>
        </w:rPr>
        <w:t>We plan to initiate a Phase 1 healthy volunteer trial for ANB020 in early 2016,</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trials in severe adult asthma and severe adult peanut allergy patients. We plan to initiate a Phase 1 healthy volunteer trial for ANB019 during the second half of 2016, followed by a registration study in GPP patients.</w:t>
      </w:r>
    </w:p>
    <w:p>
      <w:pPr>
        <w:spacing w:after="0" w:line="81" w:lineRule="exact"/>
        <w:rPr>
          <w:rFonts w:ascii="Arial" w:cs="Arial" w:eastAsia="Arial" w:hAnsi="Arial"/>
          <w:sz w:val="18"/>
          <w:szCs w:val="18"/>
          <w:color w:val="auto"/>
        </w:rPr>
      </w:pPr>
    </w:p>
    <w:p>
      <w:pPr>
        <w:ind w:left="900" w:right="20" w:hanging="325"/>
        <w:spacing w:after="0" w:line="25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Identifying emerging opportunities in key therapeutic areas. </w:t>
      </w:r>
      <w:r>
        <w:rPr>
          <w:rFonts w:ascii="Arial" w:cs="Arial" w:eastAsia="Arial" w:hAnsi="Arial"/>
          <w:sz w:val="18"/>
          <w:szCs w:val="18"/>
          <w:color w:val="auto"/>
        </w:rPr>
        <w:t>We intend to remain at the forefront of discovery and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opportunities in inflammation and immuno-oncology by understanding and translating biological breakthroughs into first-in-class therapeutic antibodies. Our approach includes assessment of human genetics and tissue pathology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9" w:lineRule="exact"/>
        <w:rPr>
          <w:rFonts w:ascii="Arial" w:cs="Arial" w:eastAsia="Arial" w:hAnsi="Arial"/>
          <w:sz w:val="18"/>
          <w:szCs w:val="18"/>
          <w:color w:val="auto"/>
        </w:rPr>
      </w:pPr>
    </w:p>
    <w:p>
      <w:pPr>
        <w:ind w:left="900" w:right="360" w:hanging="325"/>
        <w:spacing w:after="0" w:line="31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900" w:right="100" w:hanging="325"/>
        <w:spacing w:after="0" w:line="261"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$46.0 million in payments through June 30, 2015. In addition to our wholly-owned antibody programs, we are developing antibody product candidates for immuno-oncology and inflammation targets through strategic collaborations. Our collaborations with TESARO and Celgene are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Under our March 2014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900" w:right="1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currently in preclinical development with an IND submission anticipated in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and first-in-human dosing in early 2016;</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Under our December 2011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ANB020 is an antibody that inhibits the activity of IL-33 and is being developed to treat atopic diseases, including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anticipate filing an Australian CTN for ANB020 by the fourth quarter of 2015 and plan to commence a Phase 1 trial in Australia in early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 allergens, IL-33 is rapidly released from mucosal epithelial and endothelial cells. IL-33 initiates a diverse array of cellular immune responses, including the activation of mast cells, basophils and eosinophils, leading to</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production of downstream cytokines, such as IL-4, IL-5 and IL-13, associated with atopic diseases. IL-33 also acts on Th2 effector cells and ILC2, two types of white blood cells that initiate and orchestrate atopic responses.</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2002155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-12065</wp:posOffset>
            </wp:positionV>
            <wp:extent cx="2744470" cy="1929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44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rPr>
          <w:sz w:val="20"/>
          <w:szCs w:val="20"/>
          <w:color w:val="auto"/>
        </w:rPr>
      </w:pPr>
      <w:r>
        <w:rPr>
          <w:rFonts w:ascii="Arial" w:cs="Arial" w:eastAsia="Arial" w:hAnsi="Arial"/>
          <w:sz w:val="13"/>
          <w:szCs w:val="13"/>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2574290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147955</wp:posOffset>
            </wp:positionV>
            <wp:extent cx="1981200" cy="2341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812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80" w:lineRule="auto"/>
        <w:rPr>
          <w:sz w:val="20"/>
          <w:szCs w:val="20"/>
          <w:color w:val="auto"/>
        </w:rPr>
      </w:pPr>
      <w:r>
        <w:rPr>
          <w:rFonts w:ascii="Arial" w:cs="Arial" w:eastAsia="Arial" w:hAnsi="Arial"/>
          <w:sz w:val="12"/>
          <w:szCs w:val="12"/>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6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targeting IL-33 activity is a more promising therapeutic intervention strategy than targeting its receptor, ST2, because (i) ST2 is present in significantly larger quantities, in comparison to IL-33, which will likely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require high anti-ST2 antibody dosing levels and (ii) soluble ST2 inhibits IL-33 function, therefore blocking ST2, and likely leading to the release of additional IL-33, thereby exacerbating atopic disease.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ANB020, which is potentially a first-in-class therapeutic antibody, is our wholly-owned anti-IL-33 antibody product candidate generated using our SHM-XEL technology platform.</w:t>
      </w:r>
    </w:p>
    <w:p>
      <w:pPr>
        <w:spacing w:after="0" w:line="170"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w:t>
      </w:r>
      <w:r>
        <w:rPr>
          <w:rFonts w:ascii="Arial" w:cs="Arial" w:eastAsia="Arial" w:hAnsi="Arial"/>
          <w:sz w:val="14"/>
          <w:szCs w:val="14"/>
          <w:color w:val="auto"/>
        </w:rPr>
        <w:t>D</w:t>
      </w:r>
      <w:r>
        <w:rPr>
          <w:rFonts w:ascii="Arial" w:cs="Arial" w:eastAsia="Arial" w:hAnsi="Arial"/>
          <w:sz w:val="17"/>
          <w:szCs w:val="17"/>
          <w:color w:val="auto"/>
        </w:rPr>
        <w:t>, and half-maximal inhibitory concentration values, or IC</w:t>
      </w:r>
      <w:r>
        <w:rPr>
          <w:rFonts w:ascii="Arial" w:cs="Arial" w:eastAsia="Arial" w:hAnsi="Arial"/>
          <w:sz w:val="14"/>
          <w:szCs w:val="14"/>
          <w:color w:val="auto"/>
        </w:rPr>
        <w:t>50</w:t>
      </w:r>
      <w:r>
        <w:rPr>
          <w:rFonts w:ascii="Arial" w:cs="Arial" w:eastAsia="Arial" w:hAnsi="Arial"/>
          <w:sz w:val="17"/>
          <w:szCs w:val="17"/>
          <w:color w:val="auto"/>
        </w:rPr>
        <w:t>. ANB020 demonstrated highly potent K</w:t>
      </w:r>
      <w:r>
        <w:rPr>
          <w:rFonts w:ascii="Arial" w:cs="Arial" w:eastAsia="Arial" w:hAnsi="Arial"/>
          <w:sz w:val="14"/>
          <w:szCs w:val="14"/>
          <w:color w:val="auto"/>
        </w:rPr>
        <w:t>D</w:t>
      </w:r>
      <w:r>
        <w:rPr>
          <w:rFonts w:ascii="Arial" w:cs="Arial" w:eastAsia="Arial" w:hAnsi="Arial"/>
          <w:sz w:val="17"/>
          <w:szCs w:val="17"/>
          <w:color w:val="auto"/>
        </w:rPr>
        <w:t xml:space="preserve"> values of approximately 1 pM and 37 pM for human and cynomolgus monkey IL-33, respectively. ANB020 inhibits secretion of IL-5 from primary basophils purified from peripheral blood of healthy subjects with an IC</w:t>
      </w:r>
      <w:r>
        <w:rPr>
          <w:rFonts w:ascii="Arial" w:cs="Arial" w:eastAsia="Arial" w:hAnsi="Arial"/>
          <w:sz w:val="14"/>
          <w:szCs w:val="14"/>
          <w:color w:val="auto"/>
        </w:rPr>
        <w:t>50</w:t>
      </w:r>
      <w:r>
        <w:rPr>
          <w:rFonts w:ascii="Arial" w:cs="Arial" w:eastAsia="Arial" w:hAnsi="Arial"/>
          <w:sz w:val="17"/>
          <w:szCs w:val="17"/>
          <w:color w:val="auto"/>
        </w:rPr>
        <w:t xml:space="preserve"> of approximately 1.5 nM, which is approximately 15-fold greater than that of the soluble ST2 antagonist. Lower K</w:t>
      </w:r>
      <w:r>
        <w:rPr>
          <w:rFonts w:ascii="Arial" w:cs="Arial" w:eastAsia="Arial" w:hAnsi="Arial"/>
          <w:sz w:val="14"/>
          <w:szCs w:val="14"/>
          <w:color w:val="auto"/>
        </w:rPr>
        <w:t>D</w:t>
      </w:r>
      <w:r>
        <w:rPr>
          <w:rFonts w:ascii="Arial" w:cs="Arial" w:eastAsia="Arial" w:hAnsi="Arial"/>
          <w:sz w:val="17"/>
          <w:szCs w:val="17"/>
          <w:color w:val="auto"/>
        </w:rPr>
        <w:t xml:space="preserve"> and IC</w:t>
      </w:r>
      <w:r>
        <w:rPr>
          <w:rFonts w:ascii="Arial" w:cs="Arial" w:eastAsia="Arial" w:hAnsi="Arial"/>
          <w:sz w:val="14"/>
          <w:szCs w:val="14"/>
          <w:color w:val="auto"/>
        </w:rPr>
        <w:t>50</w:t>
      </w:r>
      <w:r>
        <w:rPr>
          <w:rFonts w:ascii="Arial" w:cs="Arial" w:eastAsia="Arial" w:hAnsi="Arial"/>
          <w:sz w:val="17"/>
          <w:szCs w:val="17"/>
          <w:color w:val="auto"/>
        </w:rPr>
        <w:t xml:space="preserve"> values indicate higher potency and functional activity, respectively. Using peripheral blood mononuclear cells, or PBMC, ANB020 inhibited human and cynomolgus monkey interferon-gamma release with an IC</w:t>
      </w:r>
      <w:r>
        <w:rPr>
          <w:rFonts w:ascii="Arial" w:cs="Arial" w:eastAsia="Arial" w:hAnsi="Arial"/>
          <w:sz w:val="14"/>
          <w:szCs w:val="14"/>
          <w:color w:val="auto"/>
        </w:rPr>
        <w:t>50</w:t>
      </w:r>
      <w:r>
        <w:rPr>
          <w:rFonts w:ascii="Arial" w:cs="Arial" w:eastAsia="Arial" w:hAnsi="Arial"/>
          <w:sz w:val="17"/>
          <w:szCs w:val="17"/>
          <w:color w:val="auto"/>
        </w:rPr>
        <w:t xml:space="preserve"> of 1.1nM and 20.4 nM, respectively. We have developed a whole blood version of the PBMC assay, which we plan to utilize to understand the pharmacodynamic activity of ANB020 in clinical trials.</w:t>
      </w:r>
    </w:p>
    <w:p>
      <w:pPr>
        <w:spacing w:after="0" w:line="17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plan to submit a CTN filing for ANB020 in the fourth quarter of 2015 to obtain approval for initial clinical testing of ANB020 in Australia.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Conducting early clinical trials in Australia permits us to benefit from Australia’s rapid regulatory review processes for first-in-human studies.</w:t>
      </w:r>
    </w:p>
    <w:p>
      <w:pPr>
        <w:spacing w:after="0" w:line="21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We subsequently plan to initiate a healthy volunteer Phase 1 trial, intended to assess, in single and multiple ascending doses, safety, tolerability and pharmacokinetic characteristics of ANB020. We will concurrently utilize a whole blood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to identify its pharmacodynamic activity range.</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Once pharmacodynamic activity has been established in healthy volunteers, we plan to test the clinical activity of ANB020 in atopic dermatitis patients challenged with an allergen, after dosing with ANB020 or placebo.</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submitting a U.S. IND, we plan to test ANB020 in Phase 2 trials in patients with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we are exploring the potential to develop ANB020 as a treatment for myeloproliferative neoplasms where the survival, expansion or transformation of pathogenic precursor cells may be dependent upon IL-33.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significant portion of individuals in the U.S. population experiences at least one atopic disease during their lifetime, and it is well understood that most patients with one type of atopic condition tend to present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Asthma is reported to affect approximately 7.7% of the adult U.S. population, or 24.4 million individuals, of which 19%, or 4.6 million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in the estimated 1.4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Other emerging therapies currently in development, such as lebrikizumab, have yet to be approved by the FDA for treatment of asthma while a federal Advisory Committee has recently recommended that the FDA approve mepolizumab for add-on maintenance treatment in patients aged 18 years or older with severe eosinophilic asthma. Xolair is a difficult drug to prescribe due to complex dosing algorithms, frequent administration and risk of anaphylaxis, and we expect the indications for mepolizumab and lebrikizumab will be limited to subsets of the asthma market defined by biomarkers. Because we do not currently intend to use biomarkers as inclusion criteria for our pivotal trials for ANB020, we anticipate that ANB020 will have significant market potential in the treatment of severe adult asthma patients, without biomarker restrictions, who are refractory to ICS.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Approximately two million adults in the United States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to have allergic responses to peanut, of which approximately 700,000 are managed by allergists for severe reactions, and are suitable for treatment with systemic biological therapies.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Existing therapies have failed to prevent the occurrence of severe reactions due to accidental peanut exposure, which often results in systemic anaphylaxis and can lead to death. Immunotherapy approaches, such as oral desensitization, currently being developed for this indication require patients to be dosed with increasing quantities of peanut antigens over time. If patients are able to overcome the toxicities of this allergen-based approach, therapeutic benefit may be observed after 12-24 months of oral or skin patch based delivery of peanut allergens. The long-term safety and efficacy of immunotherapy is still uncertain, and these desensitization treatments have not yet been approved by the FDA.</w:t>
      </w:r>
    </w:p>
    <w:p>
      <w:pPr>
        <w:spacing w:after="0" w:line="17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ANB019 is an antibody that inhibits the function of IL-36R, which we are initially developing as a potential first-in-class therapy for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filing an Australian CTN for ANB019 during the second half of 2016 and initiating a Phase 1 trial in Australia during the second half of</w:t>
      </w:r>
    </w:p>
    <w:p>
      <w:pPr>
        <w:spacing w:after="0" w:line="4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2016.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2223770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131445</wp:posOffset>
            </wp:positionV>
            <wp:extent cx="2727325" cy="2006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2732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rPr>
          <w:sz w:val="20"/>
          <w:szCs w:val="20"/>
          <w:color w:val="auto"/>
        </w:rPr>
      </w:pPr>
      <w:r>
        <w:rPr>
          <w:rFonts w:ascii="Arial" w:cs="Arial" w:eastAsia="Arial" w:hAnsi="Arial"/>
          <w:sz w:val="13"/>
          <w:szCs w:val="13"/>
          <w:b w:val="1"/>
          <w:bCs w:val="1"/>
          <w:color w:val="auto"/>
        </w:rPr>
        <w:t>Figure 3. IL-36 Receptor Signaling. Signaling is maintained in balance by the receptor antagonist. Mutations render the receptor antagonist dysfunctional and lead to uncontrolled signaling GPP. PPP is caused by excess cytokine signaling that overcomes a normal receptor antagonist.</w:t>
      </w:r>
    </w:p>
    <w:p>
      <w:pPr>
        <w:spacing w:after="0" w:line="19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These findings support our hypothesis that IL-36 signaling plays a significant role in GPP.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ANB019 was generated using our SHM-XEL technology platform and has demonstrated high functional potency in blocking human and cynomolgus monkey IL-36 signaling in preclinical studies.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to determine K</w:t>
      </w:r>
      <w:r>
        <w:rPr>
          <w:rFonts w:ascii="Arial" w:cs="Arial" w:eastAsia="Arial" w:hAnsi="Arial"/>
          <w:sz w:val="15"/>
          <w:szCs w:val="15"/>
          <w:color w:val="auto"/>
        </w:rPr>
        <w:t>D</w:t>
      </w:r>
      <w:r>
        <w:rPr>
          <w:rFonts w:ascii="Arial" w:cs="Arial" w:eastAsia="Arial" w:hAnsi="Arial"/>
          <w:sz w:val="18"/>
          <w:szCs w:val="18"/>
          <w:color w:val="auto"/>
        </w:rPr>
        <w:t>, and IC</w:t>
      </w:r>
      <w:r>
        <w:rPr>
          <w:rFonts w:ascii="Arial" w:cs="Arial" w:eastAsia="Arial" w:hAnsi="Arial"/>
          <w:sz w:val="15"/>
          <w:szCs w:val="15"/>
          <w:color w:val="auto"/>
        </w:rPr>
        <w:t>50</w:t>
      </w:r>
      <w:r>
        <w:rPr>
          <w:rFonts w:ascii="Arial" w:cs="Arial" w:eastAsia="Arial" w:hAnsi="Arial"/>
          <w:sz w:val="18"/>
          <w:szCs w:val="18"/>
          <w:color w:val="auto"/>
        </w:rPr>
        <w:t xml:space="preserve"> values. ANB019 has demonstrated potent K</w:t>
      </w:r>
      <w:r>
        <w:rPr>
          <w:rFonts w:ascii="Arial" w:cs="Arial" w:eastAsia="Arial" w:hAnsi="Arial"/>
          <w:sz w:val="15"/>
          <w:szCs w:val="15"/>
          <w:color w:val="auto"/>
        </w:rPr>
        <w:t>D</w:t>
      </w:r>
      <w:r>
        <w:rPr>
          <w:rFonts w:ascii="Arial" w:cs="Arial" w:eastAsia="Arial" w:hAnsi="Arial"/>
          <w:sz w:val="18"/>
          <w:szCs w:val="18"/>
          <w:color w:val="auto"/>
        </w:rPr>
        <w:t xml:space="preserve"> values of approximately of 71 pM and 209 pM for human IL-36R and cynomolgus monkey IL-36R, respectively.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antibody exhibits high specificity for IL-36R, displaying no detectable binding to related proteins. Functional potency of ANB019 is at least 100-fold greater than IL-36RA in both human and cynomolgus systems, which is measured as the IC</w:t>
      </w:r>
      <w:r>
        <w:rPr>
          <w:rFonts w:ascii="Arial" w:cs="Arial" w:eastAsia="Arial" w:hAnsi="Arial"/>
          <w:sz w:val="15"/>
          <w:szCs w:val="15"/>
          <w:color w:val="auto"/>
        </w:rPr>
        <w:t>50</w:t>
      </w:r>
      <w:r>
        <w:rPr>
          <w:rFonts w:ascii="Arial" w:cs="Arial" w:eastAsia="Arial" w:hAnsi="Arial"/>
          <w:sz w:val="18"/>
          <w:szCs w:val="18"/>
          <w:color w:val="auto"/>
        </w:rPr>
        <w:t xml:space="preserve">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w:t>
      </w:r>
      <w:r>
        <w:rPr>
          <w:rFonts w:ascii="Arial" w:cs="Arial" w:eastAsia="Arial" w:hAnsi="Arial"/>
          <w:sz w:val="15"/>
          <w:szCs w:val="15"/>
          <w:color w:val="auto"/>
        </w:rPr>
        <w:t>D</w:t>
      </w:r>
      <w:r>
        <w:rPr>
          <w:rFonts w:ascii="Arial" w:cs="Arial" w:eastAsia="Arial" w:hAnsi="Arial"/>
          <w:sz w:val="18"/>
          <w:szCs w:val="18"/>
          <w:color w:val="auto"/>
        </w:rPr>
        <w:t xml:space="preserve"> and IC</w:t>
      </w:r>
      <w:r>
        <w:rPr>
          <w:rFonts w:ascii="Arial" w:cs="Arial" w:eastAsia="Arial" w:hAnsi="Arial"/>
          <w:sz w:val="15"/>
          <w:szCs w:val="15"/>
          <w:color w:val="auto"/>
        </w:rPr>
        <w:t>50</w:t>
      </w:r>
      <w:r>
        <w:rPr>
          <w:rFonts w:ascii="Arial" w:cs="Arial" w:eastAsia="Arial" w:hAnsi="Arial"/>
          <w:sz w:val="18"/>
          <w:szCs w:val="18"/>
          <w:color w:val="auto"/>
        </w:rPr>
        <w:t xml:space="preserve"> values indicate higher potency and functional activity, respectively. Similar IC</w:t>
      </w:r>
      <w:r>
        <w:rPr>
          <w:rFonts w:ascii="Arial" w:cs="Arial" w:eastAsia="Arial" w:hAnsi="Arial"/>
          <w:sz w:val="15"/>
          <w:szCs w:val="15"/>
          <w:color w:val="auto"/>
        </w:rPr>
        <w:t>50</w:t>
      </w:r>
      <w:r>
        <w:rPr>
          <w:rFonts w:ascii="Arial" w:cs="Arial" w:eastAsia="Arial" w:hAnsi="Arial"/>
          <w:sz w:val="18"/>
          <w:szCs w:val="18"/>
          <w:color w:val="auto"/>
        </w:rPr>
        <w:t xml:space="preserve"> values were observed in those same preclinical studies when keratinocytes were stimulated with IL-36 alpha or beta.</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initiated manufacturing, pharmacokinetic and safety studies with ANB019, and plan to initiate clinical development during the second half of</w:t>
      </w:r>
    </w:p>
    <w:p>
      <w:pPr>
        <w:spacing w:after="0" w:line="46"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2016.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the antibody’s pharmacodynamic activity range.</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initial clinical testing of ANB019 will focus primarily on GPP patients. We currently plan to conduct a registration program with ANB019 in GPP patients who have mutations that render their IL-36RA dysfunctional, starting with an initial signal study with five to ten patients. Based on the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Once the aforementioned GPP registration study has been initiated, we intend to develop ANB019 for PPP. We anticipate a dose-ranging Phase 2 trial with PPP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Generalized Pustular Psoraisis.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Through assessment of public literature and primary key opinion leader discussions, GPP is reported to affect at least 3,000 individuals in the United States. We have conducted, and will continue to conduct, genotyping studies to identify GPP patients for potential enrollment in our upcoming clinical trials in this indication.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Palmo-plantar Pustular Psoriasis. </w:t>
      </w:r>
      <w:r>
        <w:rPr>
          <w:rFonts w:ascii="Arial" w:cs="Arial" w:eastAsia="Arial" w:hAnsi="Arial"/>
          <w:sz w:val="18"/>
          <w:szCs w:val="18"/>
          <w:color w:val="auto"/>
        </w:rPr>
        <w:t>PPP is a non-fatal form of pustular psoriasis that is reported to affect approximately 2% of total psoriasis cases,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Refractory Psoriasis Vulgaris. </w:t>
      </w:r>
      <w:r>
        <w:rPr>
          <w:rFonts w:ascii="Arial" w:cs="Arial" w:eastAsia="Arial" w:hAnsi="Arial"/>
          <w:sz w:val="18"/>
          <w:szCs w:val="18"/>
          <w:color w:val="auto"/>
        </w:rPr>
        <w:t>Refractory psoriasis vulgaris is another potential market opportunity for the development of ANB019. While the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biologics that target these three cytokine pathways, including Stelara (ustekinumab) and Cosentyx (secukinumab), are effective for the majority of psoriasis vulgaris patients, a minority subset of this population is refractory to approved biologics. We hypothesize that IL-36 cytokine function is the key inflammatory driver in such refractory patients, and therefore these patients may benefit from ANB019.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Discovery-Stage Programs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strategy includes the discovery and development of therapeutic antibodies targeting emerging opportunities in inflammation and immuno-oncology. In addition to the programs described above, we are currently developing wholly-owned (i) anti-inflammatory antibodies that agonize checkpoint receptors to suppress T cell function and (ii) potentially first-in-class immuno-oncology antibodies against checkpoint receptors that are primarily expressed in distal stages of T cell activation. Each of these programs is in lead selection stages and we anticipate moving at least one new product to IND-enabling manufacturing and preclinical studies during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148590</wp:posOffset>
            </wp:positionV>
            <wp:extent cx="1380490" cy="11404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8049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color w:val="auto"/>
        </w:rPr>
        <w:t>Figure 4.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60" w:hanging="325"/>
        <w:spacing w:after="0" w:line="289"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36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a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w:t>
      </w:r>
      <w:r>
        <w:rPr>
          <w:rFonts w:ascii="Arial" w:cs="Arial" w:eastAsia="Arial" w:hAnsi="Arial"/>
          <w:sz w:val="15"/>
          <w:szCs w:val="15"/>
          <w:color w:val="auto"/>
        </w:rPr>
        <w:t>9</w:t>
      </w:r>
      <w:r>
        <w:rPr>
          <w:rFonts w:ascii="Arial" w:cs="Arial" w:eastAsia="Arial" w:hAnsi="Arial"/>
          <w:sz w:val="18"/>
          <w:szCs w:val="18"/>
          <w:color w:val="auto"/>
        </w:rPr>
        <w:t xml:space="preserve"> or 10</w:t>
      </w:r>
      <w:r>
        <w:rPr>
          <w:rFonts w:ascii="Arial" w:cs="Arial" w:eastAsia="Arial" w:hAnsi="Arial"/>
          <w:sz w:val="15"/>
          <w:szCs w:val="15"/>
          <w:color w:val="auto"/>
        </w:rPr>
        <w:t>10</w:t>
      </w:r>
      <w:r>
        <w:rPr>
          <w:rFonts w:ascii="Arial" w:cs="Arial" w:eastAsia="Arial" w:hAnsi="Arial"/>
          <w:sz w:val="18"/>
          <w:szCs w:val="18"/>
          <w:color w:val="auto"/>
        </w:rPr>
        <w:t xml:space="preserve">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248275" cy="18611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4827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rPr>
          <w:sz w:val="20"/>
          <w:szCs w:val="20"/>
          <w:color w:val="auto"/>
        </w:rPr>
      </w:pPr>
      <w:r>
        <w:rPr>
          <w:rFonts w:ascii="Arial" w:cs="Arial" w:eastAsia="Arial" w:hAnsi="Arial"/>
          <w:sz w:val="13"/>
          <w:szCs w:val="13"/>
          <w:b w:val="1"/>
          <w:bCs w:val="1"/>
          <w:color w:val="auto"/>
        </w:rPr>
        <w:t>Figure 5.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1672590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146050</wp:posOffset>
            </wp:positionV>
            <wp:extent cx="2864485" cy="1440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6448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80"/>
        <w:spacing w:after="0" w:line="259" w:lineRule="auto"/>
        <w:rPr>
          <w:sz w:val="20"/>
          <w:szCs w:val="20"/>
          <w:color w:val="auto"/>
        </w:rPr>
      </w:pPr>
      <w:r>
        <w:rPr>
          <w:rFonts w:ascii="Arial" w:cs="Arial" w:eastAsia="Arial" w:hAnsi="Arial"/>
          <w:sz w:val="14"/>
          <w:szCs w:val="14"/>
          <w:b w:val="1"/>
          <w:bCs w:val="1"/>
          <w:color w:val="auto"/>
        </w:rPr>
        <w:t>Figure 6. SHM-XEL Antibody Generation Process. Our platform initiates antibody selection from starting libraries of human and non-human diversity, which is further optimized through iterative rounds of SHM and selection.</w:t>
      </w:r>
    </w:p>
    <w:p>
      <w:pPr>
        <w:spacing w:after="0" w:line="17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31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LAG-3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2014. TESARO is also required to reimburse us on a quarterly basis for specified costs incurred by us in our initial discovery and development activities covered by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5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net sales for worldwide sales on a product-by-product at or below $750 million and 1% of net sales of products worldwide above $1 billion, payable on a country-by-country basis until the expiration of the last licensed patent covering such product in such country. Under this license agreement, we have filed 41 patent applications and have obtained issuance of 16 patents worldwide.</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$4.35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Pty. Ltd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March 2015, we established a wholly-owned Australian subsidiary called AnaptysBio Pty. Ltd, in order to conduct various preclinical and clinical activities for ANB020 and ANB019. By establishing an Australian subsidiary, we are able to access an established network of manufacturing and clinical development support contractors located in Australia, and to benefit from Australia’s rapid regulatory review processes for first-in-human studies. In addition, we believe our Australian subsidiary will be eligible for certain financial incentives made available by the Australian government for biotech research and development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current patent portfolio, including patents to our technology platform licensed from MRC, consists of 28 issued patents and 32 pending patent applications as of June 30, 2015.</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 of June 30, 2015, we own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As of June 30, 2015, we own one U.S. provisional patent application, which is directed to the antibody sequence of ANB019 and its variants, epitopes, methods of use and related matters. We intend to pursue an international patent application, filed under the PCT in due course, based on the pending U.S. provisional patent application, and pursue patent issuance and protection in key commercial markets where significant product sales may occur. Patents that may issue from the expected international application would provide protection until April 2036.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 owned portfolio, currently under prosecution in various jurisdictions.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wholly 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and FDA satisfaction before any product is approved and we can manufacture commercial products. Our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rely on third-party manufacturers to generate cGMP-grade cell lines and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and project management experience to oversee our third-party manufacturers and to manage manufacturing and quality data and information for regulatory compliance purposes.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a Federal Advisory Committee has recently recommended that the FDA approve for the add-on maintenance treatment in patients aged 18 years or older with severe eosinophilic asthma, and reslizumab (Teva), the BLA for which has been submitted to the FDA for approval;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 the larger, and often more complex, structures of biological products, as well as the process by which such products are manufactured, pose significant hurdles to implementation, which is still being evaluated by the FDA.</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PMA review, the FDA will typically inspect the manufacturer’s facilities for compliance with the Quality System Regulation, or QSR, which imposes elaborate testing, control, documentation and other quality assurance requirements.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6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80" w:hanging="325"/>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2024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March 31, 2015, we had 40 full-time employees and two part-time employees. Of these employees, 35 were primarily engaged in research and development activities and nine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that expires on August 31, 2016.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00"/>
          </w:cols>
          <w:pgMar w:left="24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July 15,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76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2"/>
        </w:trPr>
        <w:tc>
          <w:tcPr>
            <w:tcW w:w="41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Chief Development Officer</w:t>
            </w:r>
          </w:p>
        </w:tc>
      </w:tr>
      <w:tr>
        <w:trPr>
          <w:trHeight w:val="23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Robert E. Hoffman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w:t>
            </w:r>
          </w:p>
        </w:tc>
      </w:tr>
      <w:tr>
        <w:trPr>
          <w:trHeight w:val="3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Carol G. Gallagher, Pharm.D.</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Nicholas B. Lydon, Ph.D., FRS</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Hollings Renton</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John P. Schmid</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James N. Topper, M.D., Ph.D.</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Dr. Aynechi has notified us that she will resign from our board of directors contingent upon and effective immediately prior to the effectiveness of the registration statement of which this prospectus forms a part.</w:t>
      </w:r>
    </w:p>
    <w:p>
      <w:pPr>
        <w:spacing w:after="0" w:line="2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Marco Londei, M.D. </w:t>
      </w:r>
      <w:r>
        <w:rPr>
          <w:rFonts w:ascii="Arial" w:cs="Arial" w:eastAsia="Arial" w:hAnsi="Arial"/>
          <w:sz w:val="18"/>
          <w:szCs w:val="18"/>
          <w:color w:val="auto"/>
        </w:rPr>
        <w:t>has served as our Chief Development Officer since October 2014. Before joining our company, Dr. Londei worked as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Robert E. Hoffman </w:t>
      </w:r>
      <w:r>
        <w:rPr>
          <w:rFonts w:ascii="Arial" w:cs="Arial" w:eastAsia="Arial" w:hAnsi="Arial"/>
          <w:sz w:val="17"/>
          <w:szCs w:val="17"/>
          <w:color w:val="auto"/>
        </w:rPr>
        <w:t>has served as our Chief Financial Officer since July 2015. Before joining our company, Mr. Hoffman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Finance and Chief Financial Officer of Arena Pharmaceuticals, Inc., a biopharmaceutical company, from June 2012 to July 2015, as Vice President, Finance and Chief Financial Officer from August 2011 to June 2012 and December 2005 to March 2011. From March 2011 to August 2011,</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4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9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 member of the board of directors of Neos Therapeutics, Inc., a pharmaceutical company, and as the chairman of the board of directors of Speak, Inc., a speakers bureau, which he helped found in 1989. Mr. Schmid received his M.B.A. from the University of San Diego and B.A. from Wesleyan University.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James N. Topper, M.D., Ph.D. </w:t>
      </w:r>
      <w:r>
        <w:rPr>
          <w:rFonts w:ascii="Arial" w:cs="Arial" w:eastAsia="Arial" w:hAnsi="Arial"/>
          <w:sz w:val="16"/>
          <w:szCs w:val="16"/>
          <w:color w:val="auto"/>
        </w:rPr>
        <w:t>has served as a member of our board of directors since November 2007. Dr. Topper has been a partner with Frazier</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since 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6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seven members. Our current certificate of incorporation and a voting agreement by and among us and certain of our investors provide for up to seven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Immediately prior to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760" w:type="dxa"/>
            <w:vAlign w:val="bottom"/>
          </w:tcPr>
          <w:p>
            <w:pPr>
              <w:ind w:left="240"/>
              <w:spacing w:after="0"/>
              <w:rPr>
                <w:sz w:val="20"/>
                <w:szCs w:val="20"/>
                <w:color w:val="auto"/>
              </w:rPr>
            </w:pPr>
            <w:r>
              <w:rPr>
                <w:rFonts w:ascii="Arial" w:cs="Arial" w:eastAsia="Arial" w:hAnsi="Arial"/>
                <w:sz w:val="18"/>
                <w:szCs w:val="18"/>
                <w:color w:val="auto"/>
              </w:rPr>
              <w:t>and</w:t>
            </w:r>
          </w:p>
        </w:tc>
        <w:tc>
          <w:tcPr>
            <w:tcW w:w="7060" w:type="dxa"/>
            <w:vAlign w:val="bottom"/>
            <w:gridSpan w:val="2"/>
          </w:tcPr>
          <w:p>
            <w:pPr>
              <w:ind w:left="320"/>
              <w:spacing w:after="0"/>
              <w:rPr>
                <w:sz w:val="20"/>
                <w:szCs w:val="20"/>
                <w:color w:val="auto"/>
              </w:rPr>
            </w:pPr>
            <w:r>
              <w:rPr>
                <w:rFonts w:ascii="Arial" w:cs="Arial" w:eastAsia="Arial" w:hAnsi="Arial"/>
                <w:sz w:val="18"/>
                <w:szCs w:val="18"/>
                <w:color w:val="auto"/>
              </w:rPr>
              <w:t>and their terms will expire at the annual meeting of stockholders to be held in 2016;</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II directors will be</w:t>
            </w:r>
          </w:p>
        </w:tc>
        <w:tc>
          <w:tcPr>
            <w:tcW w:w="760" w:type="dxa"/>
            <w:vAlign w:val="bottom"/>
          </w:tcPr>
          <w:p>
            <w:pPr>
              <w:ind w:left="300"/>
              <w:spacing w:after="0"/>
              <w:rPr>
                <w:sz w:val="20"/>
                <w:szCs w:val="20"/>
                <w:color w:val="auto"/>
              </w:rPr>
            </w:pPr>
            <w:r>
              <w:rPr>
                <w:rFonts w:ascii="Arial" w:cs="Arial" w:eastAsia="Arial" w:hAnsi="Arial"/>
                <w:sz w:val="18"/>
                <w:szCs w:val="18"/>
                <w:color w:val="auto"/>
              </w:rPr>
              <w:t>and</w:t>
            </w:r>
          </w:p>
        </w:tc>
        <w:tc>
          <w:tcPr>
            <w:tcW w:w="7060" w:type="dxa"/>
            <w:vAlign w:val="bottom"/>
            <w:gridSpan w:val="2"/>
          </w:tcPr>
          <w:p>
            <w:pPr>
              <w:ind w:left="380"/>
              <w:spacing w:after="0"/>
              <w:rPr>
                <w:sz w:val="20"/>
                <w:szCs w:val="20"/>
                <w:color w:val="auto"/>
              </w:rPr>
            </w:pPr>
            <w:r>
              <w:rPr>
                <w:rFonts w:ascii="Arial" w:cs="Arial" w:eastAsia="Arial" w:hAnsi="Arial"/>
                <w:sz w:val="18"/>
                <w:szCs w:val="18"/>
                <w:color w:val="auto"/>
                <w:w w:val="95"/>
              </w:rPr>
              <w:t>and their terms will expire at the annual meeting of stockholders to be held in 2017; and</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III directors will be</w:t>
            </w:r>
          </w:p>
        </w:tc>
        <w:tc>
          <w:tcPr>
            <w:tcW w:w="7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and</w:t>
            </w:r>
          </w:p>
        </w:tc>
        <w:tc>
          <w:tcPr>
            <w:tcW w:w="6320" w:type="dxa"/>
            <w:vAlign w:val="bottom"/>
          </w:tcPr>
          <w:p>
            <w:pPr>
              <w:ind w:left="280"/>
              <w:spacing w:after="0"/>
              <w:rPr>
                <w:sz w:val="20"/>
                <w:szCs w:val="20"/>
                <w:color w:val="auto"/>
              </w:rPr>
            </w:pPr>
            <w:r>
              <w:rPr>
                <w:rFonts w:ascii="Arial" w:cs="Arial" w:eastAsia="Arial" w:hAnsi="Arial"/>
                <w:sz w:val="18"/>
                <w:szCs w:val="18"/>
                <w:color w:val="auto"/>
                <w:w w:val="91"/>
              </w:rPr>
              <w:t>and their terms will expire at the annual meeting of stockholders to be held in 2018.</w:t>
            </w:r>
          </w:p>
        </w:tc>
      </w:tr>
    </w:tbl>
    <w:p>
      <w:pPr>
        <w:spacing w:after="0" w:line="2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we intend to list our common stock on the NASDAQ Global Market. Under the rules of the NADAQ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w:t>
      </w:r>
    </w:p>
    <w:p>
      <w:pPr>
        <w:ind w:right="520"/>
        <w:spacing w:after="0" w:line="261" w:lineRule="auto"/>
        <w:rPr>
          <w:sz w:val="20"/>
          <w:szCs w:val="20"/>
          <w:color w:val="auto"/>
        </w:rPr>
      </w:pPr>
      <w:r>
        <w:rPr>
          <w:rFonts w:ascii="Arial" w:cs="Arial" w:eastAsia="Arial" w:hAnsi="Arial"/>
          <w:sz w:val="18"/>
          <w:szCs w:val="18"/>
          <w:color w:val="auto"/>
        </w:rPr>
        <w:t>directors determined that , representing of our seven directors, are “independent directors” as defined under the applicable rules and regulations of the Securities and Exchange Commission, or SEC, and the listing requirements and rules of NASDAQ.</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tabs>
          <w:tab w:leader="none" w:pos="3680" w:val="left"/>
          <w:tab w:leader="none" w:pos="4300" w:val="left"/>
          <w:tab w:leader="none" w:pos="5140" w:val="left"/>
          <w:tab w:leader="none" w:pos="5820" w:val="left"/>
        </w:tabs>
        <w:rPr>
          <w:sz w:val="20"/>
          <w:szCs w:val="20"/>
          <w:color w:val="auto"/>
        </w:rPr>
      </w:pPr>
      <w:r>
        <w:rPr>
          <w:rFonts w:ascii="Arial" w:cs="Arial" w:eastAsia="Arial" w:hAnsi="Arial"/>
          <w:sz w:val="18"/>
          <w:szCs w:val="18"/>
          <w:color w:val="auto"/>
        </w:rPr>
        <w:t>Our audit committee is comprised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chairman of our audit committee. The composition of our audit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committee meets the requirements for independence under the current NASDAQ and SEC rules and regulations. In addition, our board of directors has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determined that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96"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tabs>
          <w:tab w:leader="none" w:pos="4320" w:val="left"/>
          <w:tab w:leader="none" w:pos="4940" w:val="left"/>
          <w:tab w:leader="none" w:pos="5780" w:val="left"/>
          <w:tab w:leader="none" w:pos="6420" w:val="left"/>
        </w:tabs>
        <w:rPr>
          <w:sz w:val="20"/>
          <w:szCs w:val="20"/>
          <w:color w:val="auto"/>
        </w:rPr>
      </w:pPr>
      <w:r>
        <w:rPr>
          <w:rFonts w:ascii="Arial" w:cs="Arial" w:eastAsia="Arial" w:hAnsi="Arial"/>
          <w:sz w:val="18"/>
          <w:szCs w:val="18"/>
          <w:color w:val="auto"/>
        </w:rPr>
        <w:t>Our compensation committee is comprised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chairperson of our compensation committee. Each member of</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79"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with respect to, incentive compensation and equity plans;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oversight of risks related to compensation of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evaluating the risk-taking incentives, if any, and risk management of our compensation policies and practices.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460"/>
        <w:spacing w:after="0"/>
        <w:tabs>
          <w:tab w:leader="none" w:pos="5320" w:val="left"/>
          <w:tab w:leader="none" w:pos="6160" w:val="left"/>
          <w:tab w:leader="none" w:pos="6780" w:val="left"/>
        </w:tabs>
        <w:rPr>
          <w:sz w:val="20"/>
          <w:szCs w:val="20"/>
          <w:color w:val="auto"/>
        </w:rPr>
      </w:pPr>
      <w:r>
        <w:rPr>
          <w:rFonts w:ascii="Arial" w:cs="Arial" w:eastAsia="Arial" w:hAnsi="Arial"/>
          <w:sz w:val="18"/>
          <w:szCs w:val="18"/>
          <w:color w:val="auto"/>
        </w:rPr>
        <w:t>Our nominating and governance committee is comprised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chairman of our nominating and governance committee.</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Each member of the Committee meets the requirements for independence under the current NASDAQ listing standards. Our nominating and governance committee is responsible for, among other things:</w:t>
      </w:r>
    </w:p>
    <w:p>
      <w:pPr>
        <w:spacing w:after="0" w:line="89"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20"/>
          </w:cols>
          <w:pgMar w:left="24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board of directors or compensation committee during the year ended December 31, 2014.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presents the total compensation earned or paid in the year ended December 31, 2014,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2014.</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14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 xml:space="preserve">Total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21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(2)(3)(4)</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(5)</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Carol</w:t>
            </w:r>
          </w:p>
        </w:tc>
        <w:tc>
          <w:tcPr>
            <w:tcW w:w="3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 Gallagher, Pharm.D.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35,454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Dr. Gallagher was paid a $50,000 annual retainer fee.</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Dr. Lydon was granted an early-exercisable stock-option award on July 11, 2014 under our 2006 Equity Incentive Plan to purchase up to 239,000 shares of our common stock at a per-share price of $0.10. 1/4 of the shares underlying the option vest on January 1, 2015, and, thereafter, 1/48 of the underlying shares vest on the first day of each succeeding calendar month, starting February 1, 2015.</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table sets forth information on stock options granted to non-employee directors in 2014 and the aggregate number of shares of our common stock subject to outstanding stock options held by our non-employee directors as of December 31, 2014:</w:t>
      </w:r>
    </w:p>
    <w:p>
      <w:pPr>
        <w:ind w:left="460" w:right="120" w:hanging="452"/>
        <w:spacing w:after="0" w:line="261"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Granite Biopharma, LLC was paid $50,000 pursuant to a Therapeutic Advisory Agreement entered into on April 1, 2014 between Granite Biopharma, LLC and us. Dr. Lydon is the sole member of Granite Biopharma, LLC.</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Number of Shares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78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4"/>
              </w:rPr>
              <w:t>Options Granted</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Options Held as of</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2240" w:type="dxa"/>
            <w:vAlign w:val="bottom"/>
            <w:gridSpan w:val="2"/>
          </w:tcPr>
          <w:p>
            <w:pPr>
              <w:jc w:val="center"/>
              <w:ind w:right="1120"/>
              <w:spacing w:after="0" w:line="158" w:lineRule="exact"/>
              <w:rPr>
                <w:sz w:val="20"/>
                <w:szCs w:val="20"/>
                <w:color w:val="auto"/>
              </w:rPr>
            </w:pPr>
            <w:r>
              <w:rPr>
                <w:rFonts w:ascii="Arial" w:cs="Arial" w:eastAsia="Arial" w:hAnsi="Arial"/>
                <w:sz w:val="14"/>
                <w:szCs w:val="14"/>
                <w:b w:val="1"/>
                <w:bCs w:val="1"/>
                <w:color w:val="auto"/>
                <w:w w:val="92"/>
              </w:rPr>
              <w:t>in 2014</w:t>
            </w:r>
          </w:p>
        </w:tc>
        <w:tc>
          <w:tcPr>
            <w:tcW w:w="12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3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5540" w:type="dxa"/>
            <w:vAlign w:val="bottom"/>
            <w:gridSpan w:val="3"/>
          </w:tcPr>
          <w:p>
            <w:pPr>
              <w:jc w:val="right"/>
              <w:ind w:right="1120"/>
              <w:spacing w:after="0"/>
              <w:rPr>
                <w:sz w:val="20"/>
                <w:szCs w:val="20"/>
                <w:color w:val="auto"/>
              </w:rPr>
            </w:pPr>
            <w:r>
              <w:rPr>
                <w:rFonts w:ascii="Arial" w:cs="Arial" w:eastAsia="Arial" w:hAnsi="Arial"/>
                <w:sz w:val="18"/>
                <w:szCs w:val="18"/>
                <w:color w:val="auto"/>
              </w:rPr>
              <w:t>239,000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478,420</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00" w:type="dxa"/>
            <w:vAlign w:val="bottom"/>
          </w:tcPr>
          <w:p>
            <w:pPr>
              <w:jc w:val="right"/>
              <w:ind w:right="1530"/>
              <w:spacing w:after="0"/>
              <w:rPr>
                <w:sz w:val="20"/>
                <w:szCs w:val="20"/>
                <w:color w:val="auto"/>
              </w:rPr>
            </w:pPr>
            <w:r>
              <w:rPr>
                <w:rFonts w:ascii="Arial" w:cs="Arial" w:eastAsia="Arial" w:hAnsi="Arial"/>
                <w:sz w:val="18"/>
                <w:szCs w:val="18"/>
                <w:color w:val="auto"/>
              </w:rPr>
              <w:t>110</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 ended December 31, 2014. These executive officers, who include our principal executive officer and the two most highly-compensated executive officers (other than our principal executive officer) who were serving as executive officers as of December 31, 2014, the end of our last completed fiscal year, were:</w:t>
      </w:r>
    </w:p>
    <w:p>
      <w:pPr>
        <w:spacing w:after="0" w:line="5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David King, our former Chief Scientific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Marco Londei, Chief Development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0"/>
              </w:rPr>
              <w:t>Fiscal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Bonus</w:t>
            </w:r>
            <w:r>
              <w:rPr>
                <w:rFonts w:ascii="Arial" w:cs="Arial" w:eastAsia="Arial" w:hAnsi="Arial"/>
                <w:sz w:val="12"/>
                <w:szCs w:val="12"/>
                <w:b w:val="1"/>
                <w:bCs w:val="1"/>
                <w:color w:val="auto"/>
                <w:w w:val="85"/>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12"/>
                <w:szCs w:val="12"/>
                <w:b w:val="1"/>
                <w:bCs w:val="1"/>
                <w:color w:val="auto"/>
                <w:w w:val="98"/>
              </w:rPr>
              <w:t>(2)</w:t>
            </w:r>
          </w:p>
        </w:tc>
        <w:tc>
          <w:tcPr>
            <w:tcW w:w="1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Hamza Suria</w:t>
            </w:r>
          </w:p>
        </w:tc>
        <w:tc>
          <w:tcPr>
            <w:tcW w:w="3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326,759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$ 546,590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140" w:type="dxa"/>
            <w:vAlign w:val="bottom"/>
            <w:gridSpan w:val="3"/>
          </w:tcPr>
          <w:p>
            <w:pPr>
              <w:spacing w:after="0"/>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297,413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$ 357,413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i w:val="1"/>
                <w:iCs w:val="1"/>
                <w:color w:val="auto"/>
              </w:rPr>
              <w:t>Former Chief Scientific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167,147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28,657</w:t>
            </w:r>
            <w:r>
              <w:rPr>
                <w:rFonts w:ascii="Arial" w:cs="Arial" w:eastAsia="Arial" w:hAnsi="Arial"/>
                <w:sz w:val="15"/>
                <w:szCs w:val="15"/>
                <w:color w:val="auto"/>
                <w:w w:val="89"/>
              </w:rPr>
              <w:t>(5)</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$ 278,755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Development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grant-date fair value of the awards granted under our 2006 Equity Incentive Plan to our named executive officers during the year ended December 31, 2014, as computed in accordance with FASB ASC Topic 718. The assumptions used in calculating the grant date fair value of the awards reported in the Stock Option Awards column are set forth in Note 8 to our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Dr. King’s employment as our Chief Scientific Officer terminated as of April 30,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Dr. Londei’s salary from the commencement of his employment on September 26, 2014, through December 31, 2014.</w:t>
      </w:r>
    </w:p>
    <w:p>
      <w:pPr>
        <w:spacing w:after="0" w:line="9"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2014, consisting of (a) $28,011 for temporary housing and moving expenses, including tax gross-up with respect to temporary housing payments and (b) $646 for travel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King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Pursuant to an employment agreement effective as of January 1, 2012 and amended October 9, 2012 and September 16, 2014, or collectively the Suria Employment Agreement, Mr. Suria serves as our President and Chief Executive Officer. The Suria Employment Agreement sets forth the principal terms and conditions of his employment, including his initial annual base salary of $285,000 and an annual target cash bonus opportunity of 25% of his base salary, subject to pro rata adjustment for any partial years worked, which bonus is earned based on our achievement of specified milestones and performance objectives, as well as Mr. Suria’s performance relative to one or more performance objectives established by Mr. Suria, our compensation committee and our board of directors, the achievement of which is evaluated by us. The Suria Employment Agreement provided for the grant of a time-based stock option to purchase up to 1,499,684 shares of our common stock under our 2006 Equity Incentive Plan. The Suria Employment Agreement also provided for the grant of a performance-based stock option to purchase up to 684,056 shares of our common stock under our 2006 Equity Incentive Plan, all of which would vest immediately in the event of a change of control or qualified initial public offering. These options were granted with an exercise price equal to the fair value of our common stock on the date of grant and vest over four years as described in more detail in “—Outstanding Equity Awards at Fiscal Year-End Table” below.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IPO, Termination or Change in Control”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King’s Employment Agreement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Pursuant to an Employment Agreement effective as of January 1, 2012 and amended October 4, 2012, or collectively the King Employment Agreement, Dr. King served as our Chief Scientific Officer until April 30, 2015. Effective on May 1, 2015, Dr. King joined our Scientific Advisory Board as a consultant pursuant to a consulting agreement dated May 1, 2015, or the King Consulting Agreement. The King Consulting Agreement sets forth the principal terms and conditions of his consulting position and provides that as compensation for his services, all of Dr. King’s options will continue to vest during his term as a consultant.</w:t>
      </w:r>
    </w:p>
    <w:p>
      <w:pPr>
        <w:spacing w:after="0" w:line="188"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Because Dr. King remained an employee as of December 31, 2014, we are including a description of the King Employment Agreement even though it is no longer in effect. The King Employment Agreement set forth the principal terms and conditions of his employment, including his initial annual base salary of $275,000 and an annual target cash bonus opportunity of 20% of his base salary, subject to pro rata adjustment for any partial years worked, which bonus is earned based on our achievement of specified milestones and performance objectives, as well as Dr. King’s performance relative to one or more performance objectives established by Dr. King, our compensation committee and our board of directors, the achievement of which is evaluated by us.</w:t>
      </w:r>
    </w:p>
    <w:p>
      <w:pPr>
        <w:spacing w:after="0" w:line="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Dr. King’s employment was at will and could be terminated at any time, with or without cause. However, pursuant to the terms of the King Employment Agreement, Dr. King was entitled to severance benefits upon a qualifying termination of employment as described in “—Potential Payments upon IPO, Termination or Change in Control” below. Dr. King received 9 months of severance benefits upon his termination under the King Employment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 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Likewise, the Londei Employment Agreement provides for additional discretionary performance-based bonuses. The Londei Employment Agreement provides for the grant of a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 Potential Payments upon IPO, Termination or Change in Control”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Option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5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Grant Date</w:t>
            </w:r>
            <w:r>
              <w:rPr>
                <w:rFonts w:ascii="Arial" w:cs="Arial" w:eastAsia="Arial" w:hAnsi="Arial"/>
                <w:sz w:val="12"/>
                <w:szCs w:val="12"/>
                <w:b w:val="1"/>
                <w:bCs w:val="1"/>
                <w:color w:val="auto"/>
                <w:w w:val="99"/>
              </w:rPr>
              <w:t>(1)</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65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2/10/2010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2/24/2011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43,457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986,642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684,056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12/9/2008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175,000</w:t>
            </w: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0.37</w:t>
            </w: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12/8/2018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2/10/2010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2/24/2011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25,457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12/9/2011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986,642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12/8/2021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12/17/2012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135,978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12/16/2022</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10/28/2014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1,126,756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These options are early-exercisable, so they are exercisable as to all the underlying shares. (i) All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Mr. Suria is terminated without Cause or resigns for Good Reason (as each is defined in his option agreement) in connection with a Change in Control (as defined in the 2006 Equity Incentive Plan), then all of the shares underlying the option shall vest at that time; (iii)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(iv)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option agreement) in connection with a Change in Control (as defined in the 2006 Equity Incentive Plan), then all of the shares underlying the option shall vest at that time; (v) of the 135,978 shares underlying the option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granted on December 17, 2012, 1/4 vested on December 17, 2013, and thereafter, 1/48 vest on the seventeenth day of each succeeding calendar month, starting January 17, 2014; and (vi) of the 362,880 shares underlying the option granted on September 16, 2014, 1/4 vest on September 16, 2015, and 1/48 vest on the sixteenth day of each succeeding calendar month, starting October 16 2015.</w:t>
      </w: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 granted on December 9, 2008. The options vest as to their underlying shares as follows:</w:t>
      </w:r>
    </w:p>
    <w:p>
      <w:pPr>
        <w:spacing w:after="0" w:line="32" w:lineRule="exact"/>
        <w:rPr>
          <w:rFonts w:ascii="Arial" w:cs="Arial" w:eastAsia="Arial" w:hAnsi="Arial"/>
          <w:sz w:val="16"/>
          <w:szCs w:val="16"/>
          <w:color w:val="auto"/>
        </w:rPr>
      </w:pPr>
    </w:p>
    <w:p>
      <w:pPr>
        <w:ind w:left="460" w:right="160"/>
        <w:spacing w:after="0" w:line="265" w:lineRule="auto"/>
        <w:rPr>
          <w:rFonts w:ascii="Arial" w:cs="Arial" w:eastAsia="Arial" w:hAnsi="Arial"/>
          <w:sz w:val="16"/>
          <w:szCs w:val="16"/>
          <w:color w:val="auto"/>
        </w:rPr>
      </w:pPr>
      <w:r>
        <w:rPr>
          <w:rFonts w:ascii="Arial" w:cs="Arial" w:eastAsia="Arial" w:hAnsi="Arial"/>
          <w:sz w:val="17"/>
          <w:szCs w:val="17"/>
          <w:color w:val="auto"/>
        </w:rPr>
        <w:t>(i)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Dr. King is terminated without Cause or resigns for Good Reason (as each is defined in his option agreement) in connection with a Change in Control (as defined in the 2006 Equity Incentive Plan), then all of the shares underlying the option shall vest at that time; and (iv) of the 135,978 shares underlying the option granted on December 17, 2012, 1/4 vested on December 17, 2013, and, thereafter, 1/48 vest on the seventeenth day of each succeeding calendar month, starting January 17, 2014. Dr. King’s employment was terminated on April 30, 2015, and he joined our Scientific Advisory Board as a consultant on May 1, 2015. Pursuant to the terms of his consulting agreement these options continue to vest according to the schedules detailed above.</w:t>
      </w:r>
    </w:p>
    <w:p>
      <w:pPr>
        <w:spacing w:after="0" w:line="1"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options are early-exercisable. The options vest as to their underlying shares as follows: 1/4 of the shares vest on October 24, 2015, and 1/48 vest on the 24th day of each succeeding calendar month, starting November 24, 2015, provided that if Dr. Londei is terminated without Cause or resigns for Good Reason (as each is defined in his option agreement) in connection with a Change in Control (as defined in the 2006 Equity Incentive Plan), then all of the shares underlying the option shall vest at that time.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Suria Employment Agreement, the King Employment Agreement and the Londei Employment Agreement, in the event that Mr. Suria, Dr. King or Dr. Londei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 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Dr. King’s employment terminated on April 30, 2015; nine months of severance benefits were paid to him upon his termination, including six months of COBRA premiums, pursuant to a Release and Waiver of Claims between Dr. King and us. Dr. King’s consulting agreement does not provide for severance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control, and provided that Mr. Suria delivers a signed settlement and general release in favor of us and satisfies all conditions to make such release effective,</w:t>
      </w:r>
    </w:p>
    <w:p>
      <w:pPr>
        <w:spacing w:after="0" w:line="46" w:lineRule="exact"/>
        <w:rPr>
          <w:sz w:val="20"/>
          <w:szCs w:val="20"/>
          <w:color w:val="auto"/>
        </w:rPr>
      </w:pPr>
    </w:p>
    <w:p>
      <w:pPr>
        <w:ind w:right="860" w:firstLine="8"/>
        <w:spacing w:after="0" w:line="323" w:lineRule="auto"/>
        <w:tabs>
          <w:tab w:leader="none" w:pos="2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Suria’s option granted on February 1, 2012, will vest in full upon a change in control, subject to Mr. Suria’s employment on such date.</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Pursuant to the King Employment Agreement and certain of his outstanding stock option agreements, if we experience a change in control and Dr. King is terminated without “cause” or resigns for “good reason” (each as defined in the employment agreement) upon the occurrence of or within 13 months following such change in control, and provided that Dr. King delivers a signed settlement and general release in favor of us and satisfies all conditions to make such release effective, Dr. King will receive the severance payments and COBRA premiums described above for nine months.</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noted above, Dr. King had his employment terminated on April 30, 2015 and he is being paid nine months of severance pursuant to the King Employment Agreement; however, in connection with his consulting services, his stock options remain outstanding and continue to be eligible for the vesting acceleration provisions described above.</w:t>
      </w:r>
    </w:p>
    <w:p>
      <w:pPr>
        <w:spacing w:after="0" w:line="18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240" w:firstLine="8"/>
        <w:spacing w:after="0" w:line="261"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Londei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employment agreement contains a “better after-tax” provision, which provides that if any of the payments to Mr. Suria, Dr. King or 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2006 Equity Incentive Plan was adopted by our board of directors on April 24, 2006 and approved by our stockholders on May 26, 2006, and was most recently amended by our board of directors on July 11, 2014 and approved by our stockholders on April 29, 2015.</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7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of March 31, 2015, we had reserved 10,294,420 shares of our common stock for issuance under our 2006 Equity Incentive Plan. As of March 31, 2015, options to purchase 1,699,185 of these shares had been exercised, options to purchase 8,318,342 of these shares remained outstanding and 526,892 of these shares remained available for grant. Our board of directors approved increases of 3,810,000 and 4,766,852 shares of common stock under our 2006 Equity Incentive Plan on April 29, and July 9, 2015, respectively. The options outstanding as of March 31, 2015 had a weighted-average exercise price of $0.1565 per share. We will cease issuing awards under our 2006 Equity Incentive Plan upon the effective date of our 2015 Equity Incentive Plan. Our 2015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2015 Equity Incentive Plan that will become effective on the date immediately prior to the date of this prospectus and will serve as</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successor to our 2006 Equity Incentive Plan. We reserved shares of our common stock to be issued under our 2015 Equity Incentive Plan. The number of shares reserved for issuance under our 2015 Equity Incentive Plan will increase automatically on January 1 of each of 2016 through 2025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2015 Equity Incentive Plan:</w:t>
      </w:r>
    </w:p>
    <w:p>
      <w:pPr>
        <w:spacing w:after="0" w:line="97" w:lineRule="exact"/>
        <w:rPr>
          <w:sz w:val="20"/>
          <w:szCs w:val="20"/>
          <w:color w:val="auto"/>
        </w:rPr>
      </w:pPr>
    </w:p>
    <w:p>
      <w:pPr>
        <w:ind w:left="900" w:right="12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2015 Equity Incentive Plan that cease to be subject to the option or stock appreciation right for any reason other than exercise of the option or stock appreciation right;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subject to awards granted under our 2015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subject to awards granted under our 2015 Equity Incentive Plan that otherwise terminate without shares being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2015 Equity Incentive Plan;</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2015 Equity Incentive Plan;</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2015 Equity Incentive Plan; and</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2015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2015 Equity Incentive Plan authorizes the award of stock options, restricted stock awards, or RSAs, stock appreciation rights, or SARs, restricted</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2015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2015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2015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2015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 securities in a capital-raising transaction. The exercise price of stock options must be at least equal to the fair market value of our common stock on the date of grant.</w:t>
      </w:r>
    </w:p>
    <w:p>
      <w:pPr>
        <w:spacing w:after="0" w:line="18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anticipate that in general, options will vest over a four-year period. 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2015 Equity Incentive Plan is ten years.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54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2015 Equity Incentive Plan, the maximum number of shares that can be granted in a calendar year and the number of shares and exercise price, if applicable, of all outstanding awards under our 2015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2015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2015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2015 Equity Incentive Plan will terminate ten years from the date our board of directors adopts the plan, unless it is terminated earlier by our board of directors. Our board of directors may amend or terminate our 2015 Equity Incentive Plan at any time. Our board of directors generally may amend our 2015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adopted a 2015 Employee Stock Purchase Plan that will become effective on the date of this prospectus that will enable eligible employees to purchase shares of our common stock at a discount following the date of this offering. Purchases will be accomplished through participation in discrete offering periods.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519"/>
        </w:trPr>
        <w:tc>
          <w:tcPr>
            <w:tcW w:w="1580" w:type="dxa"/>
            <w:vAlign w:val="bottom"/>
            <w:gridSpan w:val="2"/>
          </w:tcPr>
          <w:p>
            <w:pPr>
              <w:spacing w:after="0"/>
              <w:rPr>
                <w:sz w:val="20"/>
                <w:szCs w:val="20"/>
                <w:color w:val="auto"/>
              </w:rPr>
            </w:pPr>
            <w:r>
              <w:rPr>
                <w:rFonts w:ascii="Arial" w:cs="Arial" w:eastAsia="Arial" w:hAnsi="Arial"/>
                <w:sz w:val="18"/>
                <w:szCs w:val="18"/>
                <w:color w:val="auto"/>
              </w:rPr>
              <w:t>initially reserved</w:t>
            </w:r>
          </w:p>
        </w:tc>
        <w:tc>
          <w:tcPr>
            <w:tcW w:w="9820" w:type="dxa"/>
            <w:vAlign w:val="bottom"/>
            <w:gridSpan w:val="2"/>
          </w:tcPr>
          <w:p>
            <w:pPr>
              <w:ind w:left="220"/>
              <w:spacing w:after="0"/>
              <w:rPr>
                <w:sz w:val="20"/>
                <w:szCs w:val="20"/>
                <w:color w:val="auto"/>
              </w:rPr>
            </w:pPr>
            <w:r>
              <w:rPr>
                <w:rFonts w:ascii="Arial" w:cs="Arial" w:eastAsia="Arial" w:hAnsi="Arial"/>
                <w:sz w:val="18"/>
                <w:szCs w:val="18"/>
                <w:color w:val="auto"/>
                <w:w w:val="89"/>
              </w:rPr>
              <w:t>shares of our common stock for issuance under our 2015 Employee Stock Purchase Plan. The number of shares reserved for issuance</w:t>
            </w: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w w:val="93"/>
              </w:rPr>
              <w:t>under our 2015 Employee Stock Purchase Plan will increase automatically on January 1st of each of the first</w:t>
            </w:r>
          </w:p>
        </w:tc>
        <w:tc>
          <w:tcPr>
            <w:tcW w:w="3280" w:type="dxa"/>
            <w:vAlign w:val="bottom"/>
          </w:tcPr>
          <w:p>
            <w:pPr>
              <w:ind w:left="300"/>
              <w:spacing w:after="0"/>
              <w:rPr>
                <w:sz w:val="20"/>
                <w:szCs w:val="20"/>
                <w:color w:val="auto"/>
              </w:rPr>
            </w:pPr>
            <w:r>
              <w:rPr>
                <w:rFonts w:ascii="Arial" w:cs="Arial" w:eastAsia="Arial" w:hAnsi="Arial"/>
                <w:sz w:val="18"/>
                <w:szCs w:val="18"/>
                <w:color w:val="auto"/>
              </w:rPr>
              <w:t>fiscal years following the first offering</w:t>
            </w:r>
          </w:p>
        </w:tc>
      </w:tr>
    </w:tbl>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by the number of shares equal to the greater of % of the total outstanding shares of our common stock as of the immediately preceding December 31 (rounded to the nearest whole share) or the actual number of shares purchased under the 2015 Employee Stock Purchase Plan in the immediately preceding fiscal year. However, our board of directors or compensation committee may reduce the amount of the increase in any particular year. The aggregate number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 shares issued over the term of our 2015 Employee Stock Purchase Plan will not exceed shares of our common stock. Our 2015 Employee Stock Purchase Plan is intended to qualify as an employee stock purchase plan under Section 423 of the Code.</w:t>
      </w:r>
    </w:p>
    <w:p>
      <w:pPr>
        <w:spacing w:after="0" w:line="1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compensation committee will administer our 2015 Employee Stock Purchase Plan. While our employees generally are eligible to participate in our 2015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2015 Employee Stock Purchase Plan, are ineligible to participate in our 2015 Employee Stock Purchase Plan. We may impose additional restrictions on eligibility. Under our 2015 Employee Stock Purchase Plan, eligible employees will be able to acquire shares of our common stock by accumulating funds 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2"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When the first purchase period commences, our employees who meet the eligibility requirements for participation in that purchase period will automatically be granted a nontransferable option to purchase shares in that purchase period. For subsequent purchase periods, new participants will be required to enroll in a timely manner. Once an employee is enrolled, participation will be automatic in subsequent purchase periods. Each purchase period</w:t>
      </w:r>
    </w:p>
    <w:p>
      <w:pPr>
        <w:spacing w:after="0"/>
        <w:tabs>
          <w:tab w:leader="none" w:pos="2380" w:val="left"/>
        </w:tabs>
        <w:rPr>
          <w:sz w:val="20"/>
          <w:szCs w:val="20"/>
          <w:color w:val="auto"/>
        </w:rPr>
      </w:pPr>
      <w:r>
        <w:rPr>
          <w:rFonts w:ascii="Arial" w:cs="Arial" w:eastAsia="Arial" w:hAnsi="Arial"/>
          <w:sz w:val="18"/>
          <w:szCs w:val="18"/>
          <w:color w:val="auto"/>
        </w:rPr>
        <w:t>will run for no more than</w:t>
      </w:r>
      <w:r>
        <w:rPr>
          <w:sz w:val="20"/>
          <w:szCs w:val="20"/>
          <w:color w:val="auto"/>
        </w:rPr>
        <w:tab/>
      </w:r>
      <w:r>
        <w:rPr>
          <w:rFonts w:ascii="Arial" w:cs="Arial" w:eastAsia="Arial" w:hAnsi="Arial"/>
          <w:sz w:val="16"/>
          <w:szCs w:val="16"/>
          <w:color w:val="auto"/>
        </w:rPr>
        <w:t>months. An employee’s participation automatically ends upon termination of employment for any reason.</w:t>
      </w:r>
    </w:p>
    <w:p>
      <w:pPr>
        <w:sectPr>
          <w:pgSz w:w="11900" w:h="16838" w:orient="portrait"/>
          <w:cols w:equalWidth="0" w:num="1">
            <w:col w:w="11400"/>
          </w:cols>
          <w:pgMar w:left="240" w:top="446" w:right="25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first purchase period, each purchase period will be for six months (commencing each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 first purchase period will</w:t>
      </w:r>
    </w:p>
    <w:p>
      <w:pPr>
        <w:spacing w:after="0" w:line="46" w:lineRule="exact"/>
        <w:rPr>
          <w:sz w:val="20"/>
          <w:szCs w:val="20"/>
          <w:color w:val="auto"/>
        </w:rPr>
      </w:pPr>
    </w:p>
    <w:p>
      <w:pPr>
        <w:sectPr>
          <w:pgSz w:w="11900" w:h="16838" w:orient="portrait"/>
          <w:cols w:equalWidth="0" w:num="3">
            <w:col w:w="7660" w:space="580"/>
            <w:col w:w="260" w:space="580"/>
            <w:col w:w="2320"/>
          </w:cols>
          <w:pgMar w:left="240" w:top="446" w:right="259" w:bottom="1440" w:gutter="0" w:footer="0" w:header="0"/>
          <w:type w:val="continuous"/>
        </w:sectPr>
      </w:pPr>
    </w:p>
    <w:p>
      <w:pPr>
        <w:spacing w:after="0"/>
        <w:tabs>
          <w:tab w:leader="none" w:pos="5300" w:val="left"/>
        </w:tabs>
        <w:rPr>
          <w:sz w:val="20"/>
          <w:szCs w:val="20"/>
          <w:color w:val="auto"/>
        </w:rPr>
      </w:pPr>
      <w:r>
        <w:rPr>
          <w:rFonts w:ascii="Arial" w:cs="Arial" w:eastAsia="Arial" w:hAnsi="Arial"/>
          <w:sz w:val="18"/>
          <w:szCs w:val="18"/>
          <w:color w:val="auto"/>
        </w:rPr>
        <w:t>begin upon the effective date of this offering and will end on</w:t>
      </w:r>
      <w:r>
        <w:rPr>
          <w:sz w:val="20"/>
          <w:szCs w:val="20"/>
          <w:color w:val="auto"/>
        </w:rPr>
        <w:tab/>
      </w:r>
      <w:r>
        <w:rPr>
          <w:rFonts w:ascii="Arial" w:cs="Arial" w:eastAsia="Arial" w:hAnsi="Arial"/>
          <w:sz w:val="16"/>
          <w:szCs w:val="16"/>
          <w:color w:val="auto"/>
        </w:rPr>
        <w:t>, 2015.</w:t>
      </w:r>
    </w:p>
    <w:p>
      <w:pPr>
        <w:spacing w:after="0" w:line="211" w:lineRule="exact"/>
        <w:rPr>
          <w:sz w:val="20"/>
          <w:szCs w:val="20"/>
          <w:color w:val="auto"/>
        </w:rPr>
      </w:pPr>
    </w:p>
    <w:p>
      <w:pPr>
        <w:ind w:right="240" w:firstLine="456"/>
        <w:spacing w:after="0" w:line="432" w:lineRule="auto"/>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 purchase period, for each calendar year in which that right is outstanding. In addition, no participant will be permitted to purchase more than shares</w:t>
      </w:r>
    </w:p>
    <w:p>
      <w:pPr>
        <w:sectPr>
          <w:pgSz w:w="11900" w:h="16838" w:orient="portrait"/>
          <w:cols w:equalWidth="0" w:num="1">
            <w:col w:w="11400"/>
          </w:cols>
          <w:pgMar w:left="240" w:top="446" w:right="25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during any one purchase period or such lesser amount determined by our compensation committee. The purchase price for shares of our common stock purchased under our 2015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90" w:lineRule="exact"/>
        <w:rPr>
          <w:sz w:val="20"/>
          <w:szCs w:val="20"/>
          <w:color w:val="auto"/>
        </w:rPr>
      </w:pPr>
    </w:p>
    <w:p>
      <w:pPr>
        <w:ind w:right="420" w:firstLine="456"/>
        <w:spacing w:after="0" w:line="276" w:lineRule="auto"/>
        <w:rPr>
          <w:sz w:val="20"/>
          <w:szCs w:val="20"/>
          <w:color w:val="auto"/>
        </w:rPr>
      </w:pPr>
      <w:r>
        <w:rPr>
          <w:rFonts w:ascii="Arial" w:cs="Arial" w:eastAsia="Arial" w:hAnsi="Arial"/>
          <w:sz w:val="17"/>
          <w:szCs w:val="17"/>
          <w:color w:val="auto"/>
        </w:rPr>
        <w:t>If we experience a change in control transaction, each outstanding right to purchase shares under our 2015 Employee Stock Purchase Plan may be assumed or an equivalent option substituted by the successor corporation. 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2015 Employee Stock Purchase Plan will then terminate on the closing of the proposed change in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46" w:right="25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will also have the right to amend or terminate our 2015 Employee Stock Purchase Plan at any time. Our 2015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 Subject to certain limitations, our restated bylaws also require us to advance expenses incurred by our directors and officers for the defense of any action for which indemnification is required or permitted.</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42"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Series C-1</w:t>
            </w:r>
          </w:p>
        </w:tc>
        <w:tc>
          <w:tcPr>
            <w:tcW w:w="2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1,370,261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1,370,261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890,670</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541,246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351,810</w:t>
            </w: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5,469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Series 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6,599,850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6,999,999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4,714,179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150,075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4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Hoffman is our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Londei is our Chief Development Officer.</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intend to adopt a written related person transactions policy that our executive officers, directors, nominees for election as a director, beneficial owners of more than 5% of our common stock, and any members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June 30, 2015, and as adjusted to reflect the sale of common stock in this offering, for:</w:t>
      </w:r>
    </w:p>
    <w:p>
      <w:pPr>
        <w:spacing w:after="0" w:line="76"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Applicable percentage ownership is based on 98,456,544 shares of common stock outstanding as of June 30, 2015 and assumes (i) the automatic conversion of all outstanding shares of our convertible preferred stock into 42,208,202 shares of common stock as of immediately prior to the closing of this offering, (ii) the sale and issuance of 38,436,851 shares of our Series D convertible preferred stock in a private placement by us in July 2015 and (iii) the automatic conversion of 38,436,851 shares of Series D convertible preferred stock into 38,436,851 shares of common stock immediately prior to the closing</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of this 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June 30, 2015.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Prior to this Offering</w:t>
            </w: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After this Offering</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80" w:type="dxa"/>
            <w:vAlign w:val="bottom"/>
          </w:tcPr>
          <w:p>
            <w:pPr>
              <w:spacing w:after="0"/>
              <w:rPr>
                <w:sz w:val="12"/>
                <w:szCs w:val="12"/>
                <w:color w:val="auto"/>
              </w:rPr>
            </w:pPr>
          </w:p>
        </w:tc>
        <w:tc>
          <w:tcPr>
            <w:tcW w:w="11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i w:val="1"/>
                <w:iCs w:val="1"/>
                <w:color w:val="auto"/>
              </w:rPr>
              <w:t>:</w:t>
            </w:r>
          </w:p>
        </w:tc>
        <w:tc>
          <w:tcPr>
            <w:tcW w:w="34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23,019,149</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21,133,478</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Avalon Ventures VII, L.P.</w:t>
            </w:r>
            <w:r>
              <w:rPr>
                <w:rFonts w:ascii="Arial" w:cs="Arial" w:eastAsia="Arial" w:hAnsi="Arial"/>
                <w:sz w:val="15"/>
                <w:szCs w:val="15"/>
                <w:color w:val="auto"/>
              </w:rPr>
              <w:t>(3)</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15,080,916</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8,977,414</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(5)</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7,074,203</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HBM Healthcare Investments (Cayman) Ltd.</w:t>
            </w:r>
            <w:r>
              <w:rPr>
                <w:rFonts w:ascii="Arial" w:cs="Arial" w:eastAsia="Arial" w:hAnsi="Arial"/>
                <w:sz w:val="15"/>
                <w:szCs w:val="15"/>
                <w:color w:val="auto"/>
              </w:rPr>
              <w:t>(6)</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6,599,851</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i w:val="1"/>
                <w:iCs w:val="1"/>
                <w:color w:val="auto"/>
              </w:rPr>
              <w: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2,928,051</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(8)</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1,333,077</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(9)</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1,140,898</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Tiba Aynechi, Ph.D.</w:t>
            </w:r>
          </w:p>
        </w:tc>
        <w:tc>
          <w:tcPr>
            <w:tcW w:w="18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(10)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1,134,132</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(11)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2,229,189</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(12)</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286,478</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(13)</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151,849</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23,019,149</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(ten persons)</w:t>
            </w:r>
            <w:r>
              <w:rPr>
                <w:rFonts w:ascii="Arial" w:cs="Arial" w:eastAsia="Arial" w:hAnsi="Arial"/>
                <w:sz w:val="15"/>
                <w:szCs w:val="15"/>
                <w:color w:val="auto"/>
              </w:rPr>
              <w:t>(14)</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32,269,964</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30.4</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jc w:val="right"/>
              <w:ind w:right="990"/>
              <w:spacing w:after="0"/>
              <w:rPr>
                <w:sz w:val="20"/>
                <w:szCs w:val="20"/>
                <w:color w:val="auto"/>
              </w:rPr>
            </w:pPr>
            <w:r>
              <w:rPr>
                <w:rFonts w:ascii="Arial" w:cs="Arial" w:eastAsia="Arial" w:hAnsi="Arial"/>
                <w:sz w:val="18"/>
                <w:szCs w:val="18"/>
                <w:color w:val="auto"/>
              </w:rPr>
              <w:t>125</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(a) 15,598,652 shares of common stock following conversion of convertible preferred stock held directly by Frazier Healthcare V, L.P.,</w:t>
      </w:r>
    </w:p>
    <w:p>
      <w:pPr>
        <w:spacing w:after="0" w:line="32" w:lineRule="exact"/>
        <w:rPr>
          <w:rFonts w:ascii="Arial" w:cs="Arial" w:eastAsia="Arial" w:hAnsi="Arial"/>
          <w:sz w:val="16"/>
          <w:szCs w:val="16"/>
          <w:color w:val="auto"/>
        </w:rPr>
      </w:pPr>
    </w:p>
    <w:p>
      <w:pPr>
        <w:ind w:left="460" w:right="100" w:hanging="6"/>
        <w:spacing w:after="0" w:line="281" w:lineRule="auto"/>
        <w:tabs>
          <w:tab w:leader="none" w:pos="715" w:val="left"/>
        </w:tabs>
        <w:numPr>
          <w:ilvl w:val="1"/>
          <w:numId w:val="89"/>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(a) 20,312,831 shares of common stock following conversion of convertible preferred stock held directly by Novo A/S and</w:t>
      </w:r>
    </w:p>
    <w:p>
      <w:pPr>
        <w:spacing w:after="0" w:line="9" w:lineRule="exact"/>
        <w:rPr>
          <w:rFonts w:ascii="Arial" w:cs="Arial" w:eastAsia="Arial" w:hAnsi="Arial"/>
          <w:sz w:val="18"/>
          <w:szCs w:val="18"/>
          <w:color w:val="auto"/>
        </w:rPr>
      </w:pPr>
    </w:p>
    <w:p>
      <w:pPr>
        <w:ind w:left="460" w:hanging="6"/>
        <w:spacing w:after="0" w:line="265" w:lineRule="auto"/>
        <w:tabs>
          <w:tab w:leader="none" w:pos="715" w:val="left"/>
        </w:tabs>
        <w:numPr>
          <w:ilvl w:val="1"/>
          <w:numId w:val="89"/>
        </w:numPr>
        <w:rPr>
          <w:rFonts w:ascii="Arial" w:cs="Arial" w:eastAsia="Arial" w:hAnsi="Arial"/>
          <w:sz w:val="17"/>
          <w:szCs w:val="17"/>
          <w:color w:val="auto"/>
        </w:rPr>
      </w:pPr>
      <w:r>
        <w:rPr>
          <w:rFonts w:ascii="Arial" w:cs="Arial" w:eastAsia="Arial" w:hAnsi="Arial"/>
          <w:sz w:val="17"/>
          <w:szCs w:val="17"/>
          <w:color w:val="auto"/>
        </w:rPr>
        <w:t>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36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20" w:hanging="6"/>
        <w:spacing w:after="0" w:line="250" w:lineRule="auto"/>
        <w:tabs>
          <w:tab w:leader="none" w:pos="705" w:val="left"/>
        </w:tabs>
        <w:numPr>
          <w:ilvl w:val="1"/>
          <w:numId w:val="89"/>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hanging="452"/>
        <w:spacing w:after="0" w:line="265"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6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2,893,055 shares of common stock issuable to Mr. Suria upon the exercise of stock options that are exercisable within 60 days of June 30, 2015, of which 1,227,925 shares were unvested but were early exercisable, as of 60 days after June 30, 2015.</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1,333,077 shares of common stock issuable to Dr. King upon the exercise of stock options that are exercisable within 60 days of June 30, 2015, of which 127,547 shares were unvested but were early exercisable, as of 60 days after June 30, 2015.</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1,126,756 shares of common stock issuable to Dr. Londei upon the exercise of stock options that are exercisable within 60 days of June 30, 2015, of which 1,126,756 shares were unvested but were early exercisable, as of 60 days after June 30, 2015.</w:t>
      </w:r>
    </w:p>
    <w:p>
      <w:pPr>
        <w:jc w:val="both"/>
        <w:ind w:left="460" w:right="34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(a) 450,075 shares of common stock following conversion of convertible preferred stock held directly by Dr. Gallagher and (b) 684,057 shares of common stock issuable to Dr. Gallagher upon the exercise of stock options that are exercisable within 60 days of June 30, 2015, of which 28,503 shares were unvested but were early exercisable, as of 60 days after June 30, 2015.</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220" w:hanging="6"/>
        <w:spacing w:after="0" w:line="250" w:lineRule="auto"/>
        <w:tabs>
          <w:tab w:leader="none" w:pos="715" w:val="left"/>
        </w:tabs>
        <w:numPr>
          <w:ilvl w:val="1"/>
          <w:numId w:val="90"/>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June 30, 2015, of which 163,515 shares were unvested but were early exercisable, as of 60 days after June 30, 2015.</w:t>
      </w:r>
    </w:p>
    <w:p>
      <w:pPr>
        <w:ind w:left="460" w:right="20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286,478 shares of common stock issuable to Mr. Renton upon the exercise of stock options that are exercisable within 60 days of June 30, 2015, of which 278,521 shares were unvested but were early exercisable, as of 60 days after June 30, 2015.</w:t>
      </w:r>
    </w:p>
    <w:p>
      <w:pPr>
        <w:ind w:left="460" w:right="18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151,849 shares of common stock issuable to Mr. Schmid upon the exercise of stock options that are exercisable within 60 days of June 30, 2015, of which 143,413 shares were unvested but were early exercisable, as of 60 days after June 30, 2015.</w:t>
      </w: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340" w:hanging="6"/>
        <w:spacing w:after="0" w:line="255" w:lineRule="auto"/>
        <w:tabs>
          <w:tab w:leader="none" w:pos="715" w:val="left"/>
        </w:tabs>
        <w:numPr>
          <w:ilvl w:val="1"/>
          <w:numId w:val="91"/>
        </w:numPr>
        <w:rPr>
          <w:rFonts w:ascii="Arial" w:cs="Arial" w:eastAsia="Arial" w:hAnsi="Arial"/>
          <w:sz w:val="18"/>
          <w:szCs w:val="18"/>
          <w:color w:val="auto"/>
        </w:rPr>
      </w:pPr>
      <w:r>
        <w:rPr>
          <w:rFonts w:ascii="Arial" w:cs="Arial" w:eastAsia="Arial" w:hAnsi="Arial"/>
          <w:sz w:val="18"/>
          <w:szCs w:val="18"/>
          <w:color w:val="auto"/>
        </w:rPr>
        <w:t>24,170,241 shares of common stock following conversion of convertible preferred stock, (c) 936,031 shares of common stock issuable upon the exercise of warrants and (d) 6,692,360 shares of common stock issuable upon the exercise of stock options that are exercisable within 60 days of June 30, 2015.</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shares of common stock, $0.001 par value per share, and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March 31, 2015, there were 59,847,748 shares of our common stock issued, held by approximately 53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 Number</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10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Per</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5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1,775,022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8"/>
              </w:rPr>
              <w:t>November 2018</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288,462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As of March 31, 2015, we had outstanding options to purchase an aggregate 8,318,342 shares of our common stock, with a weighted-average exercise price of $0.1565.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98,284,599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325"/>
        <w:spacing w:after="0" w:line="291"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325"/>
        <w:spacing w:after="0" w:line="276"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325"/>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20" w:hanging="325"/>
        <w:spacing w:after="0" w:line="255"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16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1440" w:right="100" w:hanging="865"/>
        <w:spacing w:after="0" w:line="291"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Issuance of Undesignated Preferred Stock. </w:t>
      </w:r>
      <w:r>
        <w:rPr>
          <w:rFonts w:ascii="Arial" w:cs="Arial" w:eastAsia="Arial" w:hAnsi="Arial"/>
          <w:sz w:val="16"/>
          <w:szCs w:val="16"/>
          <w:color w:val="auto"/>
        </w:rPr>
        <w:t>Our board of directors has the authority, without further action by the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our board of</w:t>
      </w:r>
    </w:p>
    <w:p>
      <w:pPr>
        <w:ind w:left="900" w:right="260"/>
        <w:spacing w:after="0" w:line="261" w:lineRule="auto"/>
        <w:rPr>
          <w:sz w:val="20"/>
          <w:szCs w:val="20"/>
          <w:color w:val="auto"/>
        </w:rPr>
      </w:pPr>
      <w:r>
        <w:rPr>
          <w:rFonts w:ascii="Arial" w:cs="Arial" w:eastAsia="Arial" w:hAnsi="Arial"/>
          <w:sz w:val="18"/>
          <w:szCs w:val="18"/>
          <w:color w:val="auto"/>
        </w:rPr>
        <w:t>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9" w:lineRule="exact"/>
        <w:rPr>
          <w:sz w:val="20"/>
          <w:szCs w:val="20"/>
          <w:color w:val="auto"/>
        </w:rPr>
      </w:pPr>
    </w:p>
    <w:p>
      <w:pPr>
        <w:ind w:left="900" w:right="4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the transfer agent and registrar for our common stock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agent’s address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and its</w:t>
      </w:r>
    </w:p>
    <w:p>
      <w:pPr>
        <w:spacing w:after="0" w:line="46" w:lineRule="exact"/>
        <w:rPr>
          <w:sz w:val="20"/>
          <w:szCs w:val="20"/>
          <w:color w:val="auto"/>
        </w:rPr>
      </w:pPr>
    </w:p>
    <w:p>
      <w:pPr>
        <w:sectPr>
          <w:pgSz w:w="11900" w:h="16838" w:orient="portrait"/>
          <w:cols w:equalWidth="0" w:num="3">
            <w:col w:w="6900" w:space="600"/>
            <w:col w:w="2480" w:space="720"/>
            <w:col w:w="660"/>
          </w:cols>
          <w:pgMar w:left="240" w:top="459" w:right="299" w:bottom="1440" w:gutter="0" w:footer="0" w:header="0"/>
          <w:type w:val="continuous"/>
        </w:sectPr>
      </w:pPr>
    </w:p>
    <w:p>
      <w:pPr>
        <w:spacing w:after="0"/>
        <w:tabs>
          <w:tab w:leader="none" w:pos="2400" w:val="left"/>
        </w:tabs>
        <w:rPr>
          <w:sz w:val="20"/>
          <w:szCs w:val="20"/>
          <w:color w:val="auto"/>
        </w:rPr>
      </w:pPr>
      <w:r>
        <w:rPr>
          <w:rFonts w:ascii="Arial" w:cs="Arial" w:eastAsia="Arial" w:hAnsi="Arial"/>
          <w:sz w:val="18"/>
          <w:szCs w:val="18"/>
          <w:color w:val="auto"/>
        </w:rPr>
        <w:t>telephone number is</w:t>
      </w:r>
      <w:r>
        <w:rPr>
          <w:sz w:val="20"/>
          <w:szCs w:val="20"/>
          <w:color w:val="auto"/>
        </w:rPr>
        <w:tab/>
      </w:r>
      <w:r>
        <w:rPr>
          <w:rFonts w:ascii="Arial" w:cs="Arial" w:eastAsia="Arial" w:hAnsi="Arial"/>
          <w:sz w:val="14"/>
          <w:szCs w:val="14"/>
          <w:color w:val="auto"/>
        </w:rPr>
        <w:t>.</w:t>
      </w:r>
    </w:p>
    <w:p>
      <w:pPr>
        <w:sectPr>
          <w:pgSz w:w="11900" w:h="16838" w:orient="portrait"/>
          <w:cols w:equalWidth="0" w:num="1">
            <w:col w:w="11360"/>
          </w:cols>
          <w:pgMar w:left="240" w:top="459" w:right="29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 the NASDAQ Global Market under the symbol “ANAB.”</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59" w:right="29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Upon the closing of this offering, we will have a total of shares of our common stock outstanding, based on the 98,284,599 shares of our capital stock outstanding as of March 31, 2015, assuming (i) the automatic conversion of all outstanding shares of our convertible preferred stock into 42,208,202 shares of common stock as of immediately prior to the closing of this offering, (ii) the sale and issuance of 38,436,851 shares of our Series D convertible preferred stock in a private placement by us in July 2015 and (iii) the automatic conversion of 38,436,851 shares of Series D convertible preferred stock into</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38,436,851 shares of common stock immediately prior to the closing of this offering. Of these outstanding shares, all of the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11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ectPr>
          <w:pgSz w:w="11900" w:h="16838" w:orient="portrait"/>
          <w:cols w:equalWidth="0" w:num="1">
            <w:col w:w="11400"/>
          </w:cols>
          <w:pgMar w:left="240" w:top="459" w:right="259" w:bottom="1440" w:gutter="0" w:footer="0" w:header="0"/>
        </w:sectPr>
      </w:pPr>
    </w:p>
    <w:p>
      <w:pPr>
        <w:spacing w:after="0" w:line="14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Beginning 181 days after the date of this prospectus,</w:t>
      </w:r>
      <w:r>
        <w:rPr>
          <w:sz w:val="20"/>
          <w:szCs w:val="20"/>
          <w:color w:val="auto"/>
        </w:rPr>
        <w:tab/>
      </w:r>
      <w:r>
        <w:rPr>
          <w:rFonts w:ascii="Arial" w:cs="Arial" w:eastAsia="Arial" w:hAnsi="Arial"/>
          <w:sz w:val="16"/>
          <w:szCs w:val="16"/>
          <w:color w:val="auto"/>
        </w:rPr>
        <w:t>additional shares will become eligible for sale in the public market, of which</w:t>
      </w:r>
    </w:p>
    <w:p>
      <w:pPr>
        <w:spacing w:after="0" w:line="23" w:lineRule="exact"/>
        <w:rPr>
          <w:sz w:val="20"/>
          <w:szCs w:val="20"/>
          <w:color w:val="auto"/>
        </w:rPr>
      </w:pPr>
    </w:p>
    <w:p>
      <w:pPr>
        <w:ind w:left="540"/>
        <w:spacing w:after="0"/>
        <w:tabs>
          <w:tab w:leader="none" w:pos="9500" w:val="left"/>
        </w:tabs>
        <w:rPr>
          <w:sz w:val="20"/>
          <w:szCs w:val="20"/>
          <w:color w:val="auto"/>
        </w:rPr>
      </w:pPr>
      <w:r>
        <w:rPr>
          <w:rFonts w:ascii="Arial" w:cs="Arial" w:eastAsia="Arial" w:hAnsi="Arial"/>
          <w:sz w:val="18"/>
          <w:szCs w:val="18"/>
          <w:color w:val="auto"/>
        </w:rPr>
        <w:t>shares will be held by affiliates and subject to the volume and other restrictions of Rule 144, as described below, and</w:t>
      </w:r>
      <w:r>
        <w:rPr>
          <w:sz w:val="20"/>
          <w:szCs w:val="20"/>
          <w:color w:val="auto"/>
        </w:rPr>
        <w:tab/>
      </w:r>
      <w:r>
        <w:rPr>
          <w:rFonts w:ascii="Arial" w:cs="Arial" w:eastAsia="Arial" w:hAnsi="Arial"/>
          <w:sz w:val="16"/>
          <w:szCs w:val="16"/>
          <w:color w:val="auto"/>
        </w:rPr>
        <w:t>shares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and subject to our right of repurchase.</w:t>
      </w:r>
    </w:p>
    <w:p>
      <w:pPr>
        <w:spacing w:after="0" w:line="200" w:lineRule="exact"/>
        <w:rPr>
          <w:sz w:val="20"/>
          <w:szCs w:val="20"/>
          <w:color w:val="auto"/>
        </w:rPr>
      </w:pPr>
    </w:p>
    <w:p>
      <w:pPr>
        <w:sectPr>
          <w:pgSz w:w="11900" w:h="16838" w:orient="portrait"/>
          <w:cols w:equalWidth="0" w:num="2">
            <w:col w:w="640" w:space="260"/>
            <w:col w:w="10500"/>
          </w:cols>
          <w:pgMar w:left="240" w:top="459"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BMO Capital Markets and Stifel, Nicolaus &amp; Company, Incorporated. See “Underwriting.”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59" w:right="259" w:bottom="1440" w:gutter="0" w:footer="0" w:header="0"/>
        </w:sectPr>
      </w:pPr>
    </w:p>
    <w:p>
      <w:pPr>
        <w:spacing w:after="0" w:line="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369" w:lineRule="exact"/>
        <w:rPr>
          <w:sz w:val="20"/>
          <w:szCs w:val="20"/>
          <w:color w:val="auto"/>
        </w:rPr>
      </w:pPr>
    </w:p>
    <w:p>
      <w:pPr>
        <w:sectPr>
          <w:pgSz w:w="11900" w:h="16838" w:orient="portrait"/>
          <w:cols w:equalWidth="0" w:num="3">
            <w:col w:w="640" w:space="260"/>
            <w:col w:w="7180" w:space="580"/>
            <w:col w:w="2740"/>
          </w:cols>
          <w:pgMar w:left="240" w:top="459" w:right="259" w:bottom="1440" w:gutter="0" w:footer="0" w:header="0"/>
          <w:type w:val="continuous"/>
        </w:sectPr>
      </w:pPr>
    </w:p>
    <w:p>
      <w:pPr>
        <w:ind w:left="900" w:right="52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8,318,342 shares of our common stock that were subject to stock options outstanding as of March 31, 2015, options to purchase 4,654,845 shares of common stock were vested as of March 31, 2015. Shares of our common stock underlying outstanding options will not be eligible for sale until expiration of the 180 day lock-up and market standoff agreements to which they are subject.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325"/>
        <w:spacing w:after="0" w:line="286"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325"/>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8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880" w:type="dxa"/>
            <w:vAlign w:val="bottom"/>
          </w:tcPr>
          <w:p>
            <w:pPr>
              <w:spacing w:after="0"/>
              <w:rPr>
                <w:sz w:val="24"/>
                <w:szCs w:val="24"/>
                <w:color w:val="auto"/>
              </w:rPr>
            </w:pPr>
          </w:p>
        </w:tc>
      </w:tr>
      <w:tr>
        <w:trPr>
          <w:trHeight w:val="432"/>
        </w:trPr>
        <w:tc>
          <w:tcPr>
            <w:tcW w:w="7460" w:type="dxa"/>
            <w:vAlign w:val="bottom"/>
            <w:gridSpan w:val="2"/>
          </w:tcPr>
          <w:p>
            <w:pPr>
              <w:ind w:left="460"/>
              <w:spacing w:after="0"/>
              <w:rPr>
                <w:sz w:val="20"/>
                <w:szCs w:val="20"/>
                <w:color w:val="auto"/>
              </w:rPr>
            </w:pPr>
            <w:r>
              <w:rPr>
                <w:rFonts w:ascii="Arial" w:cs="Arial" w:eastAsia="Arial" w:hAnsi="Arial"/>
                <w:sz w:val="18"/>
                <w:szCs w:val="18"/>
                <w:color w:val="auto"/>
                <w:w w:val="96"/>
              </w:rPr>
              <w:t>We and the underwriters named below have entered into an underwriting agreement, dated</w:t>
            </w:r>
          </w:p>
        </w:tc>
        <w:tc>
          <w:tcPr>
            <w:tcW w:w="3880" w:type="dxa"/>
            <w:vAlign w:val="bottom"/>
          </w:tcPr>
          <w:p>
            <w:pPr>
              <w:ind w:left="460"/>
              <w:spacing w:after="0"/>
              <w:rPr>
                <w:sz w:val="20"/>
                <w:szCs w:val="20"/>
                <w:color w:val="auto"/>
              </w:rPr>
            </w:pPr>
            <w:r>
              <w:rPr>
                <w:rFonts w:ascii="Arial" w:cs="Arial" w:eastAsia="Arial" w:hAnsi="Arial"/>
                <w:sz w:val="18"/>
                <w:szCs w:val="18"/>
                <w:color w:val="auto"/>
                <w:w w:val="89"/>
              </w:rPr>
              <w:t>, 2015, with respect to the shares being offered.</w:t>
            </w:r>
          </w:p>
        </w:tc>
      </w:tr>
    </w:tbl>
    <w:p>
      <w:pPr>
        <w:ind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BMO Capital Markets Corp.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BMO Capital Markets Corp.</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0" w:type="dxa"/>
            <w:vAlign w:val="bottom"/>
          </w:tcPr>
          <w:p>
            <w:pPr>
              <w:spacing w:after="0"/>
              <w:rPr>
                <w:sz w:val="6"/>
                <w:szCs w:val="6"/>
                <w:color w:val="auto"/>
              </w:rPr>
            </w:pPr>
          </w:p>
        </w:tc>
        <w:tc>
          <w:tcPr>
            <w:tcW w:w="5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540" w:type="dxa"/>
            <w:vAlign w:val="bottom"/>
            <w:gridSpan w:val="2"/>
          </w:tcPr>
          <w:p>
            <w:pPr>
              <w:ind w:left="2800"/>
              <w:spacing w:after="0"/>
              <w:rPr>
                <w:sz w:val="20"/>
                <w:szCs w:val="20"/>
                <w:color w:val="auto"/>
              </w:rPr>
            </w:pPr>
            <w:r>
              <w:rPr>
                <w:rFonts w:ascii="Arial" w:cs="Arial" w:eastAsia="Arial" w:hAnsi="Arial"/>
                <w:sz w:val="14"/>
                <w:szCs w:val="14"/>
                <w:b w:val="1"/>
                <w:bCs w:val="1"/>
                <w:color w:val="auto"/>
                <w:w w:val="89"/>
              </w:rPr>
              <w:t>No Exercise</w:t>
            </w: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46"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BMO Capital Markets Corp. and Stifel, Nicolaus &amp; Company, Incorporated; provided that BMO Capital Markets Corp.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have applied to have our common stock listed on the NASDAQ Capital Market under the symbol “ANAB.” In connection with the offering, the underwriters may purchase and sell shares of our common stock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73"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Capital Market, in the over-the- counter market or otherwise.</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Capital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60" w:firstLine="8"/>
        <w:spacing w:after="0" w:line="270" w:lineRule="auto"/>
        <w:tabs>
          <w:tab w:leader="none" w:pos="2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5580" w:right="2020" w:hanging="5005"/>
        <w:spacing w:after="0" w:line="44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 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446"/>
        <w:spacing w:after="0" w:line="277"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80" w:firstLine="8"/>
        <w:spacing w:after="0" w:line="261"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325"/>
        <w:spacing w:after="0" w:line="25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authorised services provider or financial institution, acting as agent in the capacity of an authorised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2013 and 2014, and for each of the years in the two-year period ended December 31, 2014,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55">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Balance Sheets as of December 31, 2013 and 2014</w:t>
              </w:r>
            </w:hyperlink>
          </w:p>
        </w:tc>
        <w:tc>
          <w:tcPr>
            <w:tcW w:w="67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Statements of Operations for the Years ended December 31, 2013 and 2014</w:t>
              </w:r>
            </w:hyperlink>
          </w:p>
        </w:tc>
        <w:tc>
          <w:tcPr>
            <w:tcW w:w="54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Statements of Convertible Preferred Stock and Stockholders’ Deficit for the Years ended December 31, 2013 and 2014</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Statements of Cash Flows for the Years ended December 31, 2013 and 2014</w:t>
              </w:r>
            </w:hyperlink>
          </w:p>
        </w:tc>
        <w:tc>
          <w:tcPr>
            <w:tcW w:w="3100" w:type="dxa"/>
            <w:vAlign w:val="bottom"/>
            <w:tcBorders>
              <w:top w:val="single" w:sz="8" w:color="0000EE"/>
            </w:tcBorders>
            <w:gridSpan w:val="4"/>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920" w:type="dxa"/>
            <w:vAlign w:val="bottom"/>
            <w:gridSpan w:val="11"/>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3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Consolidated Balance Sheets as of December 31, 2014 and March 31, 2015 (unaudited)</w:t>
              </w:r>
            </w:hyperlink>
          </w:p>
        </w:tc>
        <w:tc>
          <w:tcPr>
            <w:tcW w:w="460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Unaudited Consolidated Statements of Operations for the Three Months Ended March 31,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3"/>
            <w:shd w:val="clear" w:color="auto" w:fill="0000EE"/>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Unaudited Consolidated Statements of Cash Flows for the Three Months Ended March 31, 2014 and 2015</w:t>
              </w:r>
            </w:hyperlink>
          </w:p>
        </w:tc>
        <w:tc>
          <w:tcPr>
            <w:tcW w:w="32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Notes to Unaudited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385"/>
        </w:trPr>
        <w:tc>
          <w:tcPr>
            <w:tcW w:w="21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5"/>
          </w:tcPr>
          <w:p>
            <w:pPr>
              <w:ind w:left="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balance sheets of AnaptysBio, Inc. as of December 31, 2013 and 2014, and the related statements of operations, convertible preferred stock and stockholders’ deficit, and cash flows for each of the years in the two-year period ended December 31, 2014.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AnaptysBio, Inc. as of December 31, 2013 and 2014, and the results of its operations and its cash flows for each of the years in the two-year period ended December 31, 2014,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2015, except for earnings per share information and Note 12, which are dated July 13, 2015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jc w:val="center"/>
              <w:ind w:right="350"/>
              <w:spacing w:after="0" w:line="196" w:lineRule="exact"/>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3"/>
        </w:trPr>
        <w:tc>
          <w:tcPr>
            <w:tcW w:w="94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0"/>
        </w:trPr>
        <w:tc>
          <w:tcPr>
            <w:tcW w:w="944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LIABILITIES, CONVERTIBLE PREFERRED STOCK AND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4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440" w:type="dxa"/>
            <w:vAlign w:val="bottom"/>
          </w:tcPr>
          <w:p>
            <w:pPr>
              <w:jc w:val="center"/>
              <w:ind w:right="350"/>
              <w:spacing w:after="0"/>
              <w:rPr>
                <w:sz w:val="20"/>
                <w:szCs w:val="20"/>
                <w:color w:val="auto"/>
              </w:rPr>
            </w:pPr>
            <w:r>
              <w:rPr>
                <w:rFonts w:ascii="Arial" w:cs="Arial" w:eastAsia="Arial" w:hAnsi="Arial"/>
                <w:sz w:val="18"/>
                <w:szCs w:val="18"/>
                <w:b w:val="1"/>
                <w:bCs w:val="1"/>
                <w:color w:val="auto"/>
              </w:rPr>
              <w:t>STOCKHOLDERS’ 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1,290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payable to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$0.001 par value, 3,015 shares authorized, no shares issued or outstanding at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or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6"/>
              </w:rPr>
              <w:t>Series B convertible preferred stock, $0.001 par value, 27,743 shares authorized, 27,743 shares issued and outstanding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December 31, 2013 and 2014; aggregate liquidation preference at December 31, 2014 of $24,991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28,220</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C convertible preferred stock, $0.001 par value, 17,982 shares authorized, 11,147 shares issued and outstanding at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and 2014; aggregate liquidation preference at December 31, 2014 of $7,246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6,452</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5"/>
              </w:rPr>
              <w:t>Series C-1 convertible preferred stock, $0.001 par value, 10,500 shares authorized, no shares and 3,318 shares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9"/>
              </w:rPr>
              <w:t>outstanding at December 31, 2013 and 2014, respectively; aggregate liquidation preference at December 31, 2014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$6,470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3"/>
              </w:rPr>
              <w:t>Common stock, $0.001 par value, 79,000 shares authorized, 17,368 shares issued and outstanding at December 31, 2013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14,247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(48,791)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(45,259)</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(34,527)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(30,835)</w:t>
            </w:r>
          </w:p>
        </w:tc>
        <w:tc>
          <w:tcPr>
            <w:tcW w:w="0" w:type="dxa"/>
            <w:vAlign w:val="bottom"/>
          </w:tcPr>
          <w:p>
            <w:pPr>
              <w:spacing w:after="0"/>
              <w:rPr>
                <w:sz w:val="1"/>
                <w:szCs w:val="1"/>
                <w:color w:val="auto"/>
              </w:rPr>
            </w:pPr>
          </w:p>
        </w:tc>
      </w:tr>
      <w:tr>
        <w:trPr>
          <w:trHeight w:val="223"/>
        </w:trPr>
        <w:tc>
          <w:tcPr>
            <w:tcW w:w="944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Year Ended</w:t>
      </w:r>
    </w:p>
    <w:p>
      <w:pPr>
        <w:jc w:val="center"/>
        <w:ind w:left="95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(5,287)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Pro forma net income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1440" w:type="dxa"/>
            <w:vAlign w:val="bottom"/>
          </w:tcPr>
          <w:p>
            <w:pPr>
              <w:spacing w:after="0"/>
              <w:rPr>
                <w:sz w:val="3"/>
                <w:szCs w:val="3"/>
                <w:color w:val="auto"/>
              </w:rPr>
            </w:pPr>
          </w:p>
        </w:tc>
        <w:tc>
          <w:tcPr>
            <w:tcW w:w="14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4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4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Series C</w:t>
            </w:r>
          </w:p>
        </w:tc>
        <w:tc>
          <w:tcPr>
            <w:tcW w:w="13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Series C-1</w:t>
            </w: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44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42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ind w:left="280"/>
              <w:spacing w:after="0" w:line="158" w:lineRule="exact"/>
              <w:rPr>
                <w:sz w:val="20"/>
                <w:szCs w:val="20"/>
                <w:color w:val="auto"/>
              </w:rPr>
            </w:pPr>
            <w:r>
              <w:rPr>
                <w:rFonts w:ascii="Arial" w:cs="Arial" w:eastAsia="Arial" w:hAnsi="Arial"/>
                <w:sz w:val="14"/>
                <w:szCs w:val="14"/>
                <w:b w:val="1"/>
                <w:bCs w:val="1"/>
                <w:color w:val="auto"/>
              </w:rPr>
              <w:t>Convertible</w:t>
            </w:r>
          </w:p>
        </w:tc>
        <w:tc>
          <w:tcPr>
            <w:tcW w:w="138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3"/>
                <w:szCs w:val="13"/>
                <w:color w:val="auto"/>
              </w:rPr>
            </w:pPr>
          </w:p>
        </w:tc>
        <w:tc>
          <w:tcPr>
            <w:tcW w:w="138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7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7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620" w:type="dxa"/>
            <w:vAlign w:val="bottom"/>
            <w:tcBorders>
              <w:top w:val="single" w:sz="8" w:color="auto"/>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January 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34,431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$34,233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15,385</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$ 8,905</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(42,556)</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Beneficial</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conversion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feature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promissory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w w:val="93"/>
              </w:rPr>
              <w:t>notes payable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related parties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shares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(2,979)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Warrants for</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Series C</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w w:val="99"/>
              </w:rPr>
              <w:t>Preferred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converted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warrants for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under employee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plans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2013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27,743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28,220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6,452</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17,368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14,247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(48,791)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(34,527)</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notes payable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into shares of</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3,318</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2,156</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2014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27,743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28,220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$ 6,452</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3,318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2,156</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17,368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14,407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(45,259)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(30,835)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w:t>
            </w:r>
          </w:p>
        </w:tc>
      </w:tr>
      <w:tr>
        <w:trPr>
          <w:trHeight w:val="230"/>
        </w:trPr>
        <w:tc>
          <w:tcPr>
            <w:tcW w:w="20" w:type="dxa"/>
            <w:vAlign w:val="bottom"/>
          </w:tcPr>
          <w:p>
            <w:pPr>
              <w:spacing w:after="0"/>
              <w:rPr>
                <w:sz w:val="20"/>
                <w:szCs w:val="20"/>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(5,796)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r>
      <w:tr>
        <w:trPr>
          <w:trHeight w:val="230"/>
        </w:trPr>
        <w:tc>
          <w:tcPr>
            <w:tcW w:w="20" w:type="dxa"/>
            <w:vAlign w:val="bottom"/>
          </w:tcPr>
          <w:p>
            <w:pPr>
              <w:spacing w:after="0"/>
              <w:rPr>
                <w:sz w:val="20"/>
                <w:szCs w:val="20"/>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payable to related parties, net of costs to issue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4,915</w:t>
            </w:r>
          </w:p>
        </w:tc>
      </w:tr>
      <w:tr>
        <w:trPr>
          <w:trHeight w:val="223"/>
        </w:trPr>
        <w:tc>
          <w:tcPr>
            <w:tcW w:w="20" w:type="dxa"/>
            <w:vAlign w:val="bottom"/>
          </w:tcPr>
          <w:p>
            <w:pPr>
              <w:spacing w:after="0"/>
              <w:rPr>
                <w:sz w:val="19"/>
                <w:szCs w:val="19"/>
                <w:color w:val="auto"/>
              </w:rPr>
            </w:pPr>
          </w:p>
        </w:tc>
        <w:tc>
          <w:tcPr>
            <w:tcW w:w="9320" w:type="dxa"/>
            <w:vAlign w:val="bottom"/>
          </w:tcPr>
          <w:p>
            <w:pPr>
              <w:ind w:left="1420"/>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(3,869)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w w:val="97"/>
              </w:rPr>
              <w:t>Conversion of convertible promissory notes payable to related parties into shares of Series C-1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Beneficial conversion feature of convertible promissory notes payable to related parties allocated to additional</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Warrants for Series C Preferred Stock converted to warrants for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have incurred losses and negative cash flows from operations through the year ended December 31, 2013 and have an accumulated deficit at December 31, 2014 of $45.3 million. Through 2013, all of our financial support has been provided primarily from the sale of our common and preferred stock and proceeds from the issuance of convertible debt. As of December 31, 2014, however, following the execution of a significant strategic collaboration,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financial statements do not include any adjustments that might be necessary if we are unable to continue as a going concern.</w:t>
      </w:r>
    </w:p>
    <w:p>
      <w:pPr>
        <w:spacing w:after="0" w:line="326"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The preparation of financial statements in conformity with GAAP requires management to make judgments, assumptions and estimates that affect the amounts reported in our financial statements and accompanying notes. Significant estimates in the financial statements have been made for preferred stock warrant liabilities and stock-based compensation. Actual results could differ materially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At December 31, 2013 and 2014, we held restricted cash of $110,000 and $85,000, respectively, used to secure a letter of credit provided as security for our operating leases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2013 or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developments services.</w:t>
      </w:r>
    </w:p>
    <w:p>
      <w:pPr>
        <w:spacing w:after="0" w:line="89"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Services. </w:t>
      </w:r>
      <w:r>
        <w:rPr>
          <w:rFonts w:ascii="Arial" w:cs="Arial" w:eastAsia="Arial" w:hAnsi="Arial"/>
          <w:sz w:val="18"/>
          <w:szCs w:val="18"/>
          <w:color w:val="auto"/>
        </w:rPr>
        <w:t>The deliverables under our collaboration and license arrangements may include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we perform on behalf of or with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60"/>
        <w:spacing w:after="0" w:line="279" w:lineRule="auto"/>
        <w:rPr>
          <w:sz w:val="20"/>
          <w:szCs w:val="20"/>
          <w:color w:val="auto"/>
        </w:rPr>
      </w:pPr>
      <w:r>
        <w:rPr>
          <w:rFonts w:ascii="Arial" w:cs="Arial" w:eastAsia="Arial" w:hAnsi="Arial"/>
          <w:sz w:val="17"/>
          <w:szCs w:val="17"/>
          <w:color w:val="auto"/>
        </w:rPr>
        <w:t>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7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recognize an uncertain tax position in our financial statements when we concludes that a tax position is more likely than not to be sustained upon examination based solely on our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as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attributed to common stockholders by the weighted-average number of common shares outstanding during the period. All participating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are excluded from basic weighted-average common shares outstanding. In computing diluted net income (loss) attributed to common stockholders, undistributed earnings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9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2014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5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(Loss)</w:t>
            </w:r>
          </w:p>
        </w:tc>
        <w:tc>
          <w:tcPr>
            <w:tcW w:w="1540" w:type="dxa"/>
            <w:vAlign w:val="bottom"/>
            <w:gridSpan w:val="2"/>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(Denominator)</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(5,545)</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(0.71)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3,532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(3,300)</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720"/>
              <w:spacing w:after="0"/>
              <w:rPr>
                <w:sz w:val="20"/>
                <w:szCs w:val="20"/>
                <w:color w:val="auto"/>
              </w:rPr>
            </w:pPr>
            <w:r>
              <w:rPr>
                <w:rFonts w:ascii="Arial" w:cs="Arial" w:eastAsia="Arial" w:hAnsi="Arial"/>
                <w:sz w:val="18"/>
                <w:szCs w:val="18"/>
                <w:color w:val="auto"/>
              </w:rPr>
              <w:t>Net income attributed to common stockholders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Reallocation of net income attributed to participating securities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720"/>
              <w:spacing w:after="0"/>
              <w:rPr>
                <w:sz w:val="20"/>
                <w:szCs w:val="20"/>
                <w:color w:val="auto"/>
              </w:rPr>
            </w:pPr>
            <w:r>
              <w:rPr>
                <w:rFonts w:ascii="Arial" w:cs="Arial" w:eastAsia="Arial" w:hAnsi="Arial"/>
                <w:sz w:val="18"/>
                <w:szCs w:val="18"/>
                <w:color w:val="auto"/>
              </w:rPr>
              <w:t>Net income attributed to common stockholders plus assumed conversions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18,627</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2014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 forma basic net income per common share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58,473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1080"/>
              <w:spacing w:after="0"/>
              <w:rPr>
                <w:sz w:val="20"/>
                <w:szCs w:val="20"/>
                <w:color w:val="auto"/>
              </w:rPr>
            </w:pPr>
            <w:r>
              <w:rPr>
                <w:rFonts w:ascii="Arial" w:cs="Arial" w:eastAsia="Arial" w:hAnsi="Arial"/>
                <w:sz w:val="18"/>
                <w:szCs w:val="18"/>
                <w:color w:val="auto"/>
              </w:rPr>
              <w:t>Net income attributed to common stockholders plus assumed conversions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59,732</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54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4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48,382</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7,535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7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No. 2014-10, </w:t>
      </w:r>
      <w:r>
        <w:rPr>
          <w:rFonts w:ascii="Arial" w:cs="Arial" w:eastAsia="Arial" w:hAnsi="Arial"/>
          <w:sz w:val="16"/>
          <w:szCs w:val="16"/>
          <w:i w:val="1"/>
          <w:iCs w:val="1"/>
          <w:color w:val="auto"/>
        </w:rPr>
        <w:t>Development Stage</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 (Topic 915)</w:t>
      </w:r>
      <w:r>
        <w:rPr>
          <w:rFonts w:ascii="Arial" w:cs="Arial" w:eastAsia="Arial" w:hAnsi="Arial"/>
          <w:sz w:val="16"/>
          <w:szCs w:val="16"/>
          <w:color w:val="auto"/>
        </w:rPr>
        <w:t>, which eliminated the distinction of a Development Stage Entity along with the inception to date reporting requirements. As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we elected to early adopt the amendment beginning with our annual reporting period ending December 31, 2014, with retrospective application of the amended guidance. Upon adoption, there was no effect to our financial statements, other than the elimination of inception to date disclosures.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update requires the presentation of debt issuance costs in financial statements as a direct reduction of related debt liabilities rather than as an asset. Amortization of debt issuance costs continue to be reported as interest expense. As permitted by the ASU, we elected to early adopt the amendment beginning with our annual reporting period ending December 31, 2014, with retrospective application of the amended guidance. The adoption of this ASU resulted in the reclassification $37,000 and $85,000 in deferred debt issuance costs from prepaid expenses and other current assets to a direct reduction to the carrying values of notes payable and convertible promissory notes reported in the balance sheets at December 31, 2013 and 2014, respectively. The adoption of this guidance did not have any effect on the statement of operations during the years ended December 31, 2013 or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not permitted. Entities have the option of using either a full retrospective or a modified retrospective approach for the adoption of the new standard. We are currently assessing the impact that this standard will have on our financial statements.</w:t>
      </w:r>
    </w:p>
    <w:p>
      <w:pPr>
        <w:spacing w:after="0" w:line="17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Sheet Accounts and Supplemental Disclosures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48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080" w:type="dxa"/>
            <w:vAlign w:val="bottom"/>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$ 2,940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$ 3,031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586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(3,114)</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8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480" w:type="dxa"/>
            <w:vAlign w:val="bottom"/>
            <w:gridSpan w:val="2"/>
            <w:vMerge w:val="continue"/>
          </w:tcPr>
          <w:p>
            <w:pPr>
              <w:spacing w:after="0"/>
              <w:rPr>
                <w:sz w:val="12"/>
                <w:szCs w:val="12"/>
                <w:color w:val="auto"/>
              </w:rPr>
            </w:pPr>
          </w:p>
        </w:tc>
        <w:tc>
          <w:tcPr>
            <w:tcW w:w="1620" w:type="dxa"/>
            <w:vAlign w:val="bottom"/>
            <w:gridSpan w:val="2"/>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6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royalties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Revenue from the contingent milestone payments will be recognized if and when such payments become due, subject to satisfaction of all of the criteria necessary to recognize revenue at that time.</w:t>
      </w:r>
    </w:p>
    <w:p>
      <w:pPr>
        <w:spacing w:after="0" w:line="17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of which $1.5 million was receivable at December 31, 2014. Deferred revenue for this agreement was $12.0 million at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through February 2014. Revenue recognized under this agreement aggregated $3.7 million during the year ended December 31, 2013, which includes $2.0 million for the amortization of the upfront fee, $1.0 million in success fees and $746,000 in funding for research and development costs. Revenue recognized under this agreement aggregated $592,000 during the year ended December 31, 2014, which includes $500,000 in success fees and $92,000 in funding for research and development costs. Deferred revenue for this agreement was $92,000 at December 31,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 Deferred revenue for this agreement was $1.1 million at December 31,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2013 and 2014, we recognized revenue from other collaborative partners aggregating $1.7 million and $0.6 million, respectively,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331"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December 24,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December 31, 2014, the carrying amount of the Term A Loans was $4.8 million, which is net of discounts of $209,000. The effective interest rate on the Term A Loans at December 31, 2014 was 9.25%. As of December 31, 2014, future maturities of the Term A Loans were $1.4 million, $1.7 million, $1.8 million and $153,000 in 2016, 2017, 2018 and 2019, respectively.</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Term A Loans are secured by a first priority interest in most of our assets, excluding intellectual property, with a net book value of $6.0 million at December 31, 2014. We are also required to maintain a minimum of 50% of our operating and investment account balances at all times with one of the lenders. At December 31, 2014, we were in compliance with the covenants contained in the Loan and Security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April 2014, the principal and accrued interest on the notes, which aggregated $2.2 million, were converted into 3.3 million shares of Series C-1 Preferred Stock. The unamortized discount of $405,000 at the date of conversion was recognized as interest expense. Total interest expense resulting from the amortization and write-off of the discount totaled $818,000 and $1.2 million during the years ended December 31, 2013 and 2014, respectively.</w:t>
      </w:r>
    </w:p>
    <w:p>
      <w:pPr>
        <w:spacing w:after="0" w:line="291"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52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6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5"/>
              </w:rPr>
              <w:t>Prices for</w:t>
            </w:r>
          </w:p>
        </w:tc>
        <w:tc>
          <w:tcPr>
            <w:tcW w:w="15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2013</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2,492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2,492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0"/>
                <w:szCs w:val="20"/>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At December 31, 2014</w:t>
            </w:r>
          </w:p>
        </w:tc>
        <w:tc>
          <w:tcPr>
            <w:tcW w:w="3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14,736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7,227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0.65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 w:type="dxa"/>
            <w:vAlign w:val="bottom"/>
          </w:tcPr>
          <w:p>
            <w:pPr>
              <w:spacing w:after="0"/>
              <w:rPr>
                <w:sz w:val="18"/>
                <w:szCs w:val="18"/>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2013 and 2014 would result in increases in the estimated fair values of the preferred stock warrant liabilities of $58,000 and $89,000,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8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886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Series C Preferred Stock warrants converted to Common Stock warrants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gains included in other income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carrying amounts of certain of our financial instruments, including cash and cash equivalents, receivable from collaborative partner, accounts payable, accrued expenses and convertible promissory notes payable, approximate fair value due to their short-term nature. The carrying amount of our notes payable of $4.8 million at December 31, 2014 approximated fair value due to the close proximity of their issuance in December 2014.</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Amended and Restated Certificate of Incorporation, dated July 15, 2013, authorizes 59.2 million shares of preferred stock, which are designated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jc w:val="right"/>
              <w:spacing w:after="0"/>
              <w:rPr>
                <w:sz w:val="20"/>
                <w:szCs w:val="20"/>
                <w:color w:val="auto"/>
              </w:rPr>
            </w:pPr>
            <w:r>
              <w:rPr>
                <w:rFonts w:ascii="Arial" w:cs="Arial" w:eastAsia="Arial" w:hAnsi="Arial"/>
                <w:sz w:val="18"/>
                <w:szCs w:val="18"/>
                <w:color w:val="auto"/>
              </w:rPr>
              <w:t>25,525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B-2</w:t>
            </w: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12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Series C-1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9"/>
                <w:szCs w:val="19"/>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designated Preferred Stock</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59,240</w:t>
            </w:r>
          </w:p>
        </w:tc>
        <w:tc>
          <w:tcPr>
            <w:tcW w:w="120" w:type="dxa"/>
            <w:vAlign w:val="bottom"/>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20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54"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A, B, C, and C-1 Preferred Stock are entitled to receive noncumulative dividends at a rate of 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Series issue price per annum.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2014,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Liquidation Rights. </w:t>
      </w:r>
      <w:r>
        <w:rPr>
          <w:rFonts w:ascii="Arial" w:cs="Arial" w:eastAsia="Arial" w:hAnsi="Arial"/>
          <w:sz w:val="18"/>
          <w:szCs w:val="18"/>
          <w:color w:val="auto"/>
        </w:rPr>
        <w:t>Upon liquidation, dissolution or winding up of the Company, the holders of Preferred Stock are entitled to receive distributions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out of the assets of the Company, before any distributions are made to the holders of common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The shares of Series A Preferred Stock are convertible into shares of common stock at a conversion price of $0.90 per share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B, C and C-1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per share price is at least $1.63 (as adjusted), and the gross cash proceeds are at least $30.0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Shares and Warrants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conjunction with the issuance of the convertible promissory notes in August 2013, and pursuant to the Purchase Agreement which required the parties to the Purchase Agreement to “pay to play,” one of the existing investors, and a related party, was not a participant in the debt financing and, as a result, the investor’s existing preferred shares and warrants to purchase shares of Series C Preferred Stock converted into common shares and warrants to purchase shares of common stock, respectively. The investor’s 3,000,000 shares of Series A Preferred Stock were converted at a price of $0.90 per share into 3,333,333 shares of common stock, and 10,925,197 shares of Series B and Series C Preferred Stock were converted into the same number of shares of common stock. The investor’s warrants to purchase 822,386 shares of Series C Preferred Stock at an exercise price of $0.65 per share were converted into the same number of warrants to purchase shares of common stock at the same warrant price per share, which resulted in an increase to additional paid-in capital of $14,000 at the time of the conversion. The fair value of the warrants for shares of common stock was determined using the Black-Scholes option pricing model with the following assumptions: a stock price volatility of 67.4%, an expected life equal to the remaining contractual term of the warrants of five years and a risk-free interest rate of 1.46%. The warrants are exercisable at any time through November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have authorized 79.0 million shares of common stock, of which 17.4 million shares were issued and outstanding at December 31, 2014. Common shares reserved for future issuance upon the exercise, issuance or conversion of the respective equity instruments at December 31, 2014 are as follows: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Issued and Outstanding: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Warrants for shares of convertible preferred stock and common stock</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4620"/>
              <w:spacing w:after="0"/>
              <w:rPr>
                <w:sz w:val="20"/>
                <w:szCs w:val="20"/>
                <w:color w:val="auto"/>
              </w:rPr>
            </w:pPr>
            <w:r>
              <w:rPr>
                <w:rFonts w:ascii="Arial" w:cs="Arial" w:eastAsia="Arial" w:hAnsi="Arial"/>
                <w:sz w:val="18"/>
                <w:szCs w:val="18"/>
                <w:color w:val="auto"/>
              </w:rPr>
              <w:t>F-19</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our warrants during the year ended December 31, 2014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Average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Warrants</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Warrant</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22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Outstanding at January 1,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1,775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0.65</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Outstanding and exercisable at December 31, 2014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32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Warrants to Purchase Shares of Common Stock</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2013 and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December 31, 2014, awards for up to 9.1 million shares of common stock are reserved for issuance under the Plan, of which 8.7 million are reserved for issuance upon exercise of granted and outstanding options and 0.4 million shares are available for future grants. In April 2015, we increased the number of shares reserved and available for issuance under the Plan by 3.8 million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2014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00" w:type="dxa"/>
            <w:vAlign w:val="bottom"/>
          </w:tcPr>
          <w:p>
            <w:pPr>
              <w:spacing w:after="0"/>
              <w:rPr>
                <w:sz w:val="12"/>
                <w:szCs w:val="12"/>
                <w:color w:val="auto"/>
              </w:rPr>
            </w:pPr>
          </w:p>
        </w:tc>
        <w:tc>
          <w:tcPr>
            <w:tcW w:w="13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1,997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Forfeitures and cancellations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0.11</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Outstanding and exercisable at December 31, 2014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0.16</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or expected to vest at December 31, 2014</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$4,000 during the year ended December 31, 2013.</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assumptions for options granted to employees during the years ended December 31, 2013 and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71.0%-72.5%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6.1-9.9</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At December 31, 2014, there was $478,000 of unrecognized compensation cost related to unvested stock option awards, which is expected to be recognized over a remaining weighted average vesting period of 2.9 years.</w:t>
      </w:r>
    </w:p>
    <w:p>
      <w:pPr>
        <w:spacing w:after="0" w:line="315"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2013 or 2014.</w:t>
      </w:r>
    </w:p>
    <w:p>
      <w:pPr>
        <w:spacing w:after="0" w:line="331"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which expires in August 2016. The lease contains one option to renew for an additional five-year period.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Rent expense during each of the years ended December 31, 2013 and 2014 was $368,000. At December 31, 2014, deferred rent aggregated $222,000, of which $128,000 is included in other current liabilities and $94,000 is included in noncurrent liabilities in the accompanying balance sheet. At December 31, 2014, the future minimum annual obligations under non-cancellable operating lease commitments are $496,000 and $346,000,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 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during the years ended December 31, 2013 and 2014 was $239,000 and $162,000 and, respectively. Total cash paid under these agreements during the years ended December 31, 2013 and 2014 was $98,000 and $227,000,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guaranteed payment obligations for annual royalty payments under all such agreements at December 31, 2014 aggregated $208,000.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At December 31, 2013 and 2014, we were contingently liable for a standby letter of credit issued by a commercial bank for $110,000 and $85,000,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31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vMerge w:val="continue"/>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18,379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20,734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Convertible promissory note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940" w:type="dxa"/>
            <w:vAlign w:val="bottom"/>
          </w:tcPr>
          <w:p>
            <w:pPr>
              <w:ind w:left="1080"/>
              <w:spacing w:after="0"/>
              <w:rPr>
                <w:sz w:val="20"/>
                <w:szCs w:val="20"/>
                <w:color w:val="auto"/>
              </w:rPr>
            </w:pPr>
            <w:r>
              <w:rPr>
                <w:rFonts w:ascii="Arial" w:cs="Arial" w:eastAsia="Arial" w:hAnsi="Arial"/>
                <w:sz w:val="18"/>
                <w:szCs w:val="18"/>
                <w:color w:val="auto"/>
              </w:rPr>
              <w:t>Net deferred tax assets</w:t>
            </w:r>
          </w:p>
        </w:tc>
        <w:tc>
          <w:tcPr>
            <w:tcW w:w="3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20,071</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Less: valuation allowance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(20,071)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(18,836)</w:t>
            </w:r>
          </w:p>
        </w:tc>
        <w:tc>
          <w:tcPr>
            <w:tcW w:w="0" w:type="dxa"/>
            <w:vAlign w:val="bottom"/>
          </w:tcPr>
          <w:p>
            <w:pPr>
              <w:spacing w:after="0"/>
              <w:rPr>
                <w:sz w:val="1"/>
                <w:szCs w:val="1"/>
                <w:color w:val="auto"/>
              </w:rPr>
            </w:pPr>
          </w:p>
        </w:tc>
      </w:tr>
      <w:tr>
        <w:trPr>
          <w:trHeight w:val="223"/>
        </w:trPr>
        <w:tc>
          <w:tcPr>
            <w:tcW w:w="4940" w:type="dxa"/>
            <w:vAlign w:val="bottom"/>
          </w:tcPr>
          <w:p>
            <w:pPr>
              <w:ind w:left="1440"/>
              <w:spacing w:after="0"/>
              <w:rPr>
                <w:sz w:val="20"/>
                <w:szCs w:val="20"/>
                <w:color w:val="auto"/>
              </w:rPr>
            </w:pPr>
            <w:r>
              <w:rPr>
                <w:rFonts w:ascii="Arial" w:cs="Arial" w:eastAsia="Arial" w:hAnsi="Arial"/>
                <w:sz w:val="18"/>
                <w:szCs w:val="18"/>
                <w:color w:val="auto"/>
                <w:w w:val="93"/>
              </w:rPr>
              <w:t>Deferred tax assets, net of valuation allowance</w:t>
            </w:r>
          </w:p>
        </w:tc>
        <w:tc>
          <w:tcPr>
            <w:tcW w:w="3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3620" w:type="dxa"/>
            <w:vAlign w:val="bottom"/>
            <w:gridSpan w:val="2"/>
          </w:tcPr>
          <w:p>
            <w:pPr>
              <w:jc w:val="right"/>
              <w:ind w:right="3050"/>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2014, we have federal and state net operating loss carryforwards (“NOL”)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carryforward indefinitely.</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382/382 analysis.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differences between the United States federal statutory tax rate and our effective tax rate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8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Statutory United States federal income tax rate</w:t>
            </w: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credits</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Valuation allowance</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(46.7)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r>
      <w:tr>
        <w:trPr>
          <w:trHeight w:val="27"/>
        </w:trPr>
        <w:tc>
          <w:tcPr>
            <w:tcW w:w="6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income tax rate</w:t>
            </w:r>
          </w:p>
        </w:tc>
        <w:tc>
          <w:tcPr>
            <w:tcW w:w="1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2013 and 2014,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10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As of December 31, 2013 and 2014, there were no interest or penalties on uncertain tax benefits.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file income tax returns in the United States and California. Due to our losses incurred, we are essentially subject to income tax examination by tax authorities from inception to date.</w:t>
      </w:r>
    </w:p>
    <w:p>
      <w:pPr>
        <w:spacing w:after="0" w:line="315"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June 5, 2015, the date at which the financial statements were originally issued, except for the split of Series B and Series B-1 Preferred Stock described in the following paragraph.</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July 13, 2015, we amended and restated our certificate of incorporation to effect the split of Series B and Series B-1 Preferred Stock into ten shares for every nine shares outstanding. The financial statements and accompanying footnotes have been retroactively restated to reflect the Series B and Series B-1 Preferred Stock splits.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Equity at</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right"/>
              <w:ind w:right="642"/>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22,188</w:t>
            </w:r>
          </w:p>
        </w:tc>
        <w:tc>
          <w:tcPr>
            <w:tcW w:w="3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Receivable from collaborative partner</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24,401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22,104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25,065</w:t>
            </w:r>
          </w:p>
        </w:tc>
        <w:tc>
          <w:tcPr>
            <w:tcW w:w="3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1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415</w:t>
            </w:r>
          </w:p>
        </w:tc>
        <w:tc>
          <w:tcPr>
            <w:tcW w:w="380" w:type="dxa"/>
            <w:vAlign w:val="bottom"/>
          </w:tcPr>
          <w:p>
            <w:pPr>
              <w:spacing w:after="0"/>
              <w:rPr>
                <w:sz w:val="17"/>
                <w:szCs w:val="17"/>
                <w:color w:val="auto"/>
              </w:rPr>
            </w:pP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Notes payable, current portion</w:t>
            </w:r>
          </w:p>
        </w:tc>
        <w:tc>
          <w:tcPr>
            <w:tcW w:w="18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11,284</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Notes payable, net of current portion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4,793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4,569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warrant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Series A convertible preferred stock, $0.001 par value, 3,015 shares authorized, no shares issued or</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at December 31, 2014 or March 31, 2015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620" w:type="dxa"/>
            <w:vAlign w:val="bottom"/>
          </w:tcPr>
          <w:p>
            <w:pPr>
              <w:spacing w:after="0"/>
              <w:rPr>
                <w:sz w:val="20"/>
                <w:szCs w:val="20"/>
                <w:color w:val="auto"/>
              </w:rPr>
            </w:pPr>
            <w:r>
              <w:rPr>
                <w:rFonts w:ascii="Arial" w:cs="Arial" w:eastAsia="Arial" w:hAnsi="Arial"/>
                <w:sz w:val="16"/>
                <w:szCs w:val="16"/>
                <w:color w:val="auto"/>
                <w:w w:val="99"/>
              </w:rPr>
              <w:t>Series B convertible preferred stock, $0.001 par value, 27,743 shares authorized, 27,743 shares issued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80"/>
              <w:spacing w:after="0"/>
              <w:rPr>
                <w:sz w:val="20"/>
                <w:szCs w:val="20"/>
                <w:color w:val="auto"/>
              </w:rPr>
            </w:pPr>
            <w:r>
              <w:rPr>
                <w:rFonts w:ascii="Arial" w:cs="Arial" w:eastAsia="Arial" w:hAnsi="Arial"/>
                <w:sz w:val="16"/>
                <w:szCs w:val="16"/>
                <w:color w:val="auto"/>
              </w:rPr>
              <w:t>outstanding at December 31, 2014 and March 31, 2015; aggregate liquidation preference of $24,991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180"/>
              <w:spacing w:after="0"/>
              <w:rPr>
                <w:sz w:val="20"/>
                <w:szCs w:val="20"/>
                <w:color w:val="auto"/>
              </w:rPr>
            </w:pPr>
            <w:r>
              <w:rPr>
                <w:rFonts w:ascii="Arial" w:cs="Arial" w:eastAsia="Arial" w:hAnsi="Arial"/>
                <w:sz w:val="16"/>
                <w:szCs w:val="16"/>
                <w:color w:val="auto"/>
              </w:rPr>
              <w:t>March 31, 2015</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28,220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28,220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C convertible preferred stock, $0.001 par value, 17,982 shares authorized, 11,147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at December 31, 2014 and March 31, 2015; aggregate liquidation preference of $7,246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March 31,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620" w:type="dxa"/>
            <w:vAlign w:val="bottom"/>
          </w:tcPr>
          <w:p>
            <w:pPr>
              <w:spacing w:after="0"/>
              <w:rPr>
                <w:sz w:val="20"/>
                <w:szCs w:val="20"/>
                <w:color w:val="auto"/>
              </w:rPr>
            </w:pPr>
            <w:r>
              <w:rPr>
                <w:rFonts w:ascii="Arial" w:cs="Arial" w:eastAsia="Arial" w:hAnsi="Arial"/>
                <w:sz w:val="16"/>
                <w:szCs w:val="16"/>
                <w:color w:val="auto"/>
                <w:w w:val="98"/>
              </w:rPr>
              <w:t>Series C-1 convertible preferred stock, $0.001 par value, 10,500 shares authorized, 3,318 shares issued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80"/>
              <w:spacing w:after="0"/>
              <w:rPr>
                <w:sz w:val="20"/>
                <w:szCs w:val="20"/>
                <w:color w:val="auto"/>
              </w:rPr>
            </w:pPr>
            <w:r>
              <w:rPr>
                <w:rFonts w:ascii="Arial" w:cs="Arial" w:eastAsia="Arial" w:hAnsi="Arial"/>
                <w:sz w:val="16"/>
                <w:szCs w:val="16"/>
                <w:color w:val="auto"/>
              </w:rPr>
              <w:t>outstanding at December 31, 2014 and March 31, 2015; aggregate liquidation preference of $6,470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180"/>
              <w:spacing w:after="0"/>
              <w:rPr>
                <w:sz w:val="20"/>
                <w:szCs w:val="20"/>
                <w:color w:val="auto"/>
              </w:rPr>
            </w:pPr>
            <w:r>
              <w:rPr>
                <w:rFonts w:ascii="Arial" w:cs="Arial" w:eastAsia="Arial" w:hAnsi="Arial"/>
                <w:sz w:val="16"/>
                <w:szCs w:val="16"/>
                <w:color w:val="auto"/>
              </w:rPr>
              <w:t>March 31, 2015</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2,156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20" w:type="dxa"/>
            <w:vAlign w:val="bottom"/>
          </w:tcPr>
          <w:p>
            <w:pPr>
              <w:spacing w:after="0"/>
              <w:rPr>
                <w:sz w:val="20"/>
                <w:szCs w:val="20"/>
                <w:color w:val="auto"/>
              </w:rPr>
            </w:pPr>
            <w:r>
              <w:rPr>
                <w:rFonts w:ascii="Arial" w:cs="Arial" w:eastAsia="Arial" w:hAnsi="Arial"/>
                <w:sz w:val="16"/>
                <w:szCs w:val="16"/>
                <w:color w:val="auto"/>
              </w:rPr>
              <w:t>Common stock, $0.001 par value, 79,000 shares authorized, 17,368 and 17,640 shares issued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80"/>
              <w:spacing w:after="0"/>
              <w:rPr>
                <w:sz w:val="20"/>
                <w:szCs w:val="20"/>
                <w:color w:val="auto"/>
              </w:rPr>
            </w:pPr>
            <w:r>
              <w:rPr>
                <w:rFonts w:ascii="Arial" w:cs="Arial" w:eastAsia="Arial" w:hAnsi="Arial"/>
                <w:sz w:val="16"/>
                <w:szCs w:val="16"/>
                <w:color w:val="auto"/>
              </w:rPr>
              <w:t>outstanding at December 31, 2014 and March 31, 2015, respectively; pro forma shares of 59,847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180"/>
              <w:spacing w:after="0"/>
              <w:rPr>
                <w:sz w:val="20"/>
                <w:szCs w:val="20"/>
                <w:color w:val="auto"/>
              </w:rPr>
            </w:pPr>
            <w:r>
              <w:rPr>
                <w:rFonts w:ascii="Arial" w:cs="Arial" w:eastAsia="Arial" w:hAnsi="Arial"/>
                <w:sz w:val="16"/>
                <w:szCs w:val="16"/>
                <w:color w:val="auto"/>
              </w:rPr>
              <w:t>March 31, 2015</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 in capital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(45,259)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(45,635)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(45,635)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 (deficit)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(30,835)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(31,118)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98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20" w:type="dxa"/>
            <w:vAlign w:val="bottom"/>
            <w:vMerge w:val="continue"/>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25,065</w:t>
            </w:r>
          </w:p>
        </w:tc>
        <w:tc>
          <w:tcPr>
            <w:tcW w:w="380" w:type="dxa"/>
            <w:vAlign w:val="bottom"/>
          </w:tcPr>
          <w:p>
            <w:pPr>
              <w:spacing w:after="0"/>
              <w:rPr>
                <w:sz w:val="16"/>
                <w:szCs w:val="16"/>
                <w:color w:val="auto"/>
              </w:rPr>
            </w:pP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22,804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ind w:left="142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shares outstanding, 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59,652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(1,193)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(2,500)</w:t>
            </w: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costs to issue</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(2,581)</w:t>
            </w: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22,188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19,607</w:t>
            </w: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have incurred losses and negative cash flows from operations and have an accumulated deficit at March 31, 2015 of $45.6 million. All of our financial support has been provided primarily from the sale of our common and preferred stock and proceeds from the issuance of convertible debt and notes payable. As of March 31, 2015, however, following the execution of a significant strategic collaboration in 2014,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GAAP. These adjustments consist primarily of normal recurring accruals and estimates that impact the carrying value of assets and liabilities. Actual results may materially differ from these estimates. Operating results for the three months ended March 31, 2015 are not necessarily indicative of the results that may be expected for the year ending December 31, 2015. The financial statements should be read in conjunction with our audited financial statements for the year ended December 31, 2014, included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March 31, 2015.</w:t>
      </w:r>
    </w:p>
    <w:p>
      <w:pPr>
        <w:spacing w:after="0" w:line="326"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GAAP. The preparation of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At December 31, 2014 and March 31, 2015 and, we held restricted cash of $85,000, used to secure a letter of credit provided as security to for our operating leases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1) persuasive evidence that an arrangement exists; 2) delivery has occurred and title and the risks and rewards of ownership have been transferred to the client or services have been rendered; 3) the price is fixed or determinable; and 4)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developments services.</w:t>
      </w:r>
    </w:p>
    <w:p>
      <w:pPr>
        <w:spacing w:after="0" w:line="89"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may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cash flows. We have not recognized, and do not expect to recognize in the near future, any tax benefit related to stock-based compensation cost as a result of our full valuation allowance on our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 and Pro Forma Net Loss Per Common Share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Basic and diluted net loss per common share is computed by dividing net loss by the weighted-average number of common shares outstanding during the period without consideration of common stock equivalents.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Computations for basic and diluted net loss per common share are below. The unaudited pro forma basic and diluted net loss per common share calculation assumes the conversion of all outstanding shares of convertible preferred stock into common stock as if such conversion had occurred on January 1, 2015 or the original issuance date, if later.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Net Loss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(Denominator)</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2014</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(1,193)</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(0.07)</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(376)</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17,444</w:t>
            </w:r>
          </w:p>
        </w:tc>
        <w:tc>
          <w:tcPr>
            <w:tcW w:w="620" w:type="dxa"/>
            <w:vAlign w:val="bottom"/>
            <w:gridSpan w:val="2"/>
          </w:tcPr>
          <w:p>
            <w:pPr>
              <w:spacing w:after="0"/>
              <w:rPr>
                <w:sz w:val="20"/>
                <w:szCs w:val="20"/>
                <w:color w:val="auto"/>
              </w:rPr>
            </w:pPr>
            <w:r>
              <w:rPr>
                <w:rFonts w:ascii="Arial" w:cs="Arial" w:eastAsia="Arial" w:hAnsi="Arial"/>
                <w:sz w:val="18"/>
                <w:szCs w:val="18"/>
                <w:color w:val="auto"/>
                <w:w w:val="96"/>
              </w:rPr>
              <w:t>$ (0.02)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Three Months Ended March 31,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(376)</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 forma basic and diluted net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(376)</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59,652</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Common stock equivalents issuable upon the conversion or exercise of dilutive securities that could potentially reduce net income per common share in the future that were excluded from the determination of diluted net loss per common share as their effects were antidilutive are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7,336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822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52,064</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which outlines a single comprehensive model for entities to use in accounting for revenue from contracts with customers and supersedes</w:t>
      </w:r>
      <w:r>
        <w:rPr>
          <w:rFonts w:ascii="Arial" w:cs="Arial" w:eastAsia="Arial" w:hAnsi="Arial"/>
          <w:sz w:val="18"/>
          <w:szCs w:val="18"/>
          <w:i w:val="1"/>
          <w:iCs w:val="1"/>
          <w:color w:val="auto"/>
        </w:rPr>
        <w:t xml:space="preserve"> </w:t>
      </w:r>
      <w:r>
        <w:rPr>
          <w:rFonts w:ascii="Arial" w:cs="Arial" w:eastAsia="Arial" w:hAnsi="Arial"/>
          <w:sz w:val="18"/>
          <w:szCs w:val="18"/>
          <w:color w:val="auto"/>
        </w:rPr>
        <w:t>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not permitted.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9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980" w:type="dxa"/>
            <w:vAlign w:val="bottom"/>
            <w:gridSpan w:val="3"/>
          </w:tcPr>
          <w:p>
            <w:pPr>
              <w:ind w:left="160"/>
              <w:spacing w:after="0"/>
              <w:rPr>
                <w:sz w:val="20"/>
                <w:szCs w:val="20"/>
                <w:color w:val="auto"/>
              </w:rPr>
            </w:pPr>
            <w:r>
              <w:rPr>
                <w:rFonts w:ascii="Arial" w:cs="Arial" w:eastAsia="Arial" w:hAnsi="Arial"/>
                <w:sz w:val="18"/>
                <w:szCs w:val="18"/>
                <w:b w:val="1"/>
                <w:bCs w:val="1"/>
                <w:color w:val="auto"/>
              </w:rPr>
              <w:t>Balance Sheet Accounts and Supplemental Disclosures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2780" w:type="dxa"/>
            <w:vAlign w:val="bottom"/>
            <w:gridSpan w:val="6"/>
          </w:tcPr>
          <w:p>
            <w:pPr>
              <w:ind w:left="138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4"/>
          </w:tcPr>
          <w:p>
            <w:pPr>
              <w:ind w:left="2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22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3,031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5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(3,425)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3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80" w:type="dxa"/>
            <w:vAlign w:val="bottom"/>
            <w:gridSpan w:val="4"/>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60" w:type="dxa"/>
            <w:vAlign w:val="bottom"/>
            <w:tcBorders>
              <w:bottom w:val="single" w:sz="8" w:color="CCEEFF"/>
            </w:tcBorders>
            <w:gridSpan w:val="2"/>
            <w:vMerge w:val="continue"/>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7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royalties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7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Revenue from the contingent milestone payments will be recognized if and when such payments become due, subject to satisfaction of all of the criteria necessary to recognize revenue at that time.</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Revenue recognized during the three months ended March 31, 2014 aggregated $724,000, which includes $480,000 for the amortization of the upfront fee and $244,000 in funding for research and development services. Revenue recognized under this agreement aggregated $4.1 million during the three months ended March 31, 2015, which includes $2.5 million for the amortization of the upfront fee and $1.6 million in funding for research and development services, of which $1.6 million was receivable at March 31, 2015. Deferred revenue for this agreement was $12.0 million and $9.5 million at December 31, 2014 and March 31, 2015,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upfront payment was recognized as revenue ratably over the estimated time to project completion through February 2014. Revenue recognized under this agreement for funding of research and development was $92,000 during the three months ended March 31,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which expired in 2014,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during the three months ended March 31, 2014 aggregated $367,000, which represents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During the three months ended March 31, 2014, we recognized revenue from other collaborative partners aggregating $599,000, for the development of antibodies for specified targets. Revenue from these agreements consisted of a final payment and the amortization of upfront payments that were recognized as the related services were provided. Our obligations under these collaborative agreements were completed by the end of 2014.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December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twelve monthly interest-only payments through January 2016, followed by 36 equal monthly principal and interest payments, with final maturity in January 2019.</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At December 31, 2014 and March 31, 2015, the carrying amounts of the Term A Loans were both $4.8 million, which are net of discounts of $209,000 and $180,000, respectively. The effective interest rate on the Term A Loans at March 31, 2015 was 9.25%. As of March 31, 2015, future maturities of the Term A Loans were $1.4 million, $1.7 million, $1.8 million, and $153,000 in 2016, 2017, 2018 and 2019, respectively.</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with a net book value of $5.7 million at March 31, 2015. We are also required to maintain a minimum of 50% of our operating and investment account balances at all times with one of lenders. At March 31, 2015, we were in compliance with the covenants contained in the Loan and Security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5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00" w:type="dxa"/>
            <w:vAlign w:val="bottom"/>
            <w:gridSpan w:val="4"/>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4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$ 14,736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5800" w:type="dxa"/>
            <w:vAlign w:val="bottom"/>
            <w:gridSpan w:val="4"/>
          </w:tcPr>
          <w:p>
            <w:pPr>
              <w:spacing w:after="0"/>
              <w:rPr>
                <w:sz w:val="20"/>
                <w:szCs w:val="20"/>
                <w:color w:val="auto"/>
              </w:rPr>
            </w:pPr>
            <w:r>
              <w:rPr>
                <w:rFonts w:ascii="Arial" w:cs="Arial" w:eastAsia="Arial" w:hAnsi="Arial"/>
                <w:sz w:val="18"/>
                <w:szCs w:val="18"/>
                <w:b w:val="1"/>
                <w:bCs w:val="1"/>
                <w:color w:val="auto"/>
              </w:rPr>
              <w:t>At March 31, 2015</w:t>
            </w: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1"/>
              </w:rPr>
              <w:t>$ 10,736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8,866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1,182</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 as of the following dates: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CCEEFF"/>
            </w:tcBorders>
            <w:vMerge w:val="continue"/>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Exercise price</w:t>
            </w:r>
          </w:p>
        </w:tc>
        <w:tc>
          <w:tcPr>
            <w:tcW w:w="272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measurement date fair value per share</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2720" w:type="dxa"/>
            <w:vAlign w:val="bottom"/>
            <w:gridSpan w:val="2"/>
          </w:tcPr>
          <w:p>
            <w:pPr>
              <w:ind w:left="260"/>
              <w:spacing w:after="0"/>
              <w:rPr>
                <w:sz w:val="20"/>
                <w:szCs w:val="20"/>
                <w:color w:val="auto"/>
              </w:rPr>
            </w:pPr>
            <w:r>
              <w:rPr>
                <w:rFonts w:ascii="Arial" w:cs="Arial" w:eastAsia="Arial" w:hAnsi="Arial"/>
                <w:sz w:val="18"/>
                <w:szCs w:val="18"/>
                <w:color w:val="auto"/>
              </w:rPr>
              <w:t>F-35</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Prior to 2015, we determined the fair value of our preferred stock warrants on an annual basis. In accordance with accounting guidance for interim reporting, we have recognized $15,000 as a ratable portion of the annual expense for the change in fair value in the statement of operations for the three months ended March 31, 2014.</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March 31, 2015 would result in increases in the estimated fair values of the preferred stock warrant liabilities of $89,000 and $163,000,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(386)</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 The carrying amount of our notes payable of $4.8 million at March 31, 2015 approximates fair value due to the close proximity of their issuance in December 2014.</w:t>
      </w:r>
    </w:p>
    <w:p>
      <w:pPr>
        <w:spacing w:after="0" w:line="326"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March 31, 2015, awards for up to 8.8 million shares of common stock are reserved for issuance under the Plan, of which 8.3 million are reserved for issuance upon exercise of granted and outstanding options and 0.5 million shares are available for future grants. In April 2015, we increased the number of shares reserved and available for issuance under the Plan by 3.8 million shares.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three months ended March 31, 2015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3"/>
            <w:vMerge w:val="continue"/>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Options</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years)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0.15</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Forfeitures and cancellations</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color w:val="auto"/>
              </w:rPr>
              <w:t>Outstanding and exercisable at March 31, 2015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8,318</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0.16</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or expected to vest at March 31, 2015</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0.16</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$43,000 during the three months ended March 31, 2015.</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stock options were granted during the three months ended March 31, 2015. For options granted to employees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2014, the estimated fair value of each stock option award was determined on the date of grant using the Black-Scholes option valuation model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440" w:type="dxa"/>
            <w:vAlign w:val="bottom"/>
          </w:tcPr>
          <w:p>
            <w:pPr>
              <w:jc w:val="right"/>
              <w:ind w:right="130"/>
              <w:spacing w:after="0"/>
              <w:rPr>
                <w:sz w:val="20"/>
                <w:szCs w:val="20"/>
                <w:color w:val="auto"/>
              </w:rPr>
            </w:pPr>
            <w:r>
              <w:rPr>
                <w:rFonts w:ascii="Arial" w:cs="Arial" w:eastAsia="Arial" w:hAnsi="Arial"/>
                <w:sz w:val="18"/>
                <w:szCs w:val="18"/>
                <w:color w:val="auto"/>
              </w:rPr>
              <w:t>6.1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$0.15</w:t>
            </w:r>
          </w:p>
        </w:tc>
      </w:tr>
    </w:tbl>
    <w:p>
      <w:pPr>
        <w:spacing w:after="0" w:line="202"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vMerge w:val="continue"/>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9"/>
              </w:rPr>
              <w:t>16</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At March 31, 2015, there was $417,000 of unrecognized compensation cost related to unvested stock option awards, which is expected to be recognized over a remaining weighted average vesting period of 2.7 years.</w:t>
      </w:r>
    </w:p>
    <w:p>
      <w:pPr>
        <w:spacing w:after="0" w:line="315"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have evaluated subsequent events from the balance sheet date through July 17, 2015, the date at which the financial statements were issued.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13, 2015, we amended our amended and restated certificate of incorporation to:</w:t>
      </w:r>
    </w:p>
    <w:p>
      <w:pPr>
        <w:spacing w:after="0" w:line="131" w:lineRule="exact"/>
        <w:rPr>
          <w:sz w:val="20"/>
          <w:szCs w:val="20"/>
          <w:color w:val="auto"/>
        </w:rPr>
      </w:pPr>
    </w:p>
    <w:p>
      <w:pPr>
        <w:ind w:left="900" w:right="40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increase the total number of shares authorized for issuance from 141,506,903 shares to 203,208,537 shares, of which 120,500,000 shares are designated as common stock and 82,708,537 shares are designated as preferred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eliminate the designation of Series A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number of shares designated as Series B Preferred Stock from 28,991,125 shares to 25,524,510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number of shares designated as Series C Preferred Stock from 17,982,024 to 13,210,753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number of shares designated as Series C-1 Preferred stock from 10,500,000 shares to 3,318,054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authorize the issuance of 38,436,851 shares Series D Convertible Preferred stock,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provide for the split of Series B and Series B-1 Preferred Stock into ten shares for every nine shares outstanding.</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consolidated financial statements and accompanying footnotes have been retroactively restated to reflect the Series B and Series B-1Preferred stock splits.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the Series D Preferred Stock are entitled to: 1) one vote for each share of common stock into which the Series D Preferred Stock could then be converted, 2) receive noncumulative dividends at a rate of 8% per annum, which are in priority and preference to all other series of preferred stock and common stock, 3) in preference to all other series of preferred stock and common stock, distributions upon liquidation of $1.06 per share plus all declared and unpaid dividends, and 4) convert into an equal number of shares of common stock.</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July 9, 2015, we amended our 2006 Equity Incentive Plan to increase the number of shares reserved for issuance under the plan by 4,766,852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July 13, 2015, we issued and sold 38,436,851 shares of Series D Convertible Preferred Stock at $1.06 per share for net proceeds of $40.6 million, which is net of $130,000 in estimated costs incurred to issue the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Stock Options</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Subsequent to March 31, 2015, on June 10, 2015 we granted options to purchase 533,764 shares of common stock at an exercise price of $0.65 per share and on July 6, 2015 we granted options to purchase 286,478 shares of common stock at an exercise price of $0.65 per share.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Milestone</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In June 2015, TESARO notified us that they had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our anti-PD-1 antagonist antibody (TSR-042), which resulted in us earning a $1.0 million milestone. Payment for this milestone was received in July 2015.</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561340</wp:posOffset>
            </wp:positionV>
            <wp:extent cx="2118360" cy="5918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681355</wp:posOffset>
            </wp:positionV>
            <wp:extent cx="43478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759"/>
        <w:spacing w:after="0"/>
        <w:rPr>
          <w:sz w:val="20"/>
          <w:szCs w:val="20"/>
          <w:color w:val="auto"/>
        </w:rPr>
      </w:pPr>
      <w:r>
        <w:rPr>
          <w:rFonts w:ascii="Arial" w:cs="Arial" w:eastAsia="Arial" w:hAnsi="Arial"/>
          <w:sz w:val="25"/>
          <w:szCs w:val="25"/>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193675</wp:posOffset>
            </wp:positionV>
            <wp:extent cx="43478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BMO Capital Markets</w:t>
      </w: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Stifel</w:t>
      </w: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Paid or</w:t>
            </w:r>
          </w:p>
        </w:tc>
      </w:t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to be Paid</w:t>
            </w: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listing fee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58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5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60" w:type="dxa"/>
            <w:vAlign w:val="bottom"/>
            <w:gridSpan w:val="3"/>
          </w:tcPr>
          <w:p>
            <w:pPr>
              <w:ind w:left="180"/>
              <w:spacing w:after="0"/>
              <w:rPr>
                <w:sz w:val="20"/>
                <w:szCs w:val="20"/>
                <w:color w:val="auto"/>
              </w:rPr>
            </w:pPr>
            <w:r>
              <w:rPr>
                <w:rFonts w:ascii="Arial" w:cs="Arial" w:eastAsia="Arial" w:hAnsi="Arial"/>
                <w:sz w:val="18"/>
                <w:szCs w:val="18"/>
                <w:color w:val="auto"/>
              </w:rPr>
              <w:t>To be completed by amendment.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7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w w:val="96"/>
              </w:rPr>
              <w:t>Amended and Restated Investors’ Rights Agreement dated July 13, 2015 among the Registrant and certain of its stockholders, as amended.</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60" w:firstLine="464"/>
        <w:spacing w:after="0" w:line="254"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Between July 15, 2012 and July 15, 2015, the Registrant granted options to purchase 4,242,419 shares of common stock under our 2006 Equity Incentive Plan to our directors, officers, employees, consultants, and other service providers with per share exercise prices ranging from $0.10 to $0.65. In this same period, the Registrant issued 521,828 shares of common stock upon exercise of stock options previously issued under the 2006 Equity Incentive Plan to our directors, officers, employees, consultants, and other service providers for cash consideration in the aggregate amount of $88,348.51.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Common Stock</w:t>
      </w:r>
    </w:p>
    <w:p>
      <w:pPr>
        <w:spacing w:after="0" w:line="117" w:lineRule="exact"/>
        <w:rPr>
          <w:sz w:val="20"/>
          <w:szCs w:val="20"/>
          <w:color w:val="auto"/>
        </w:rPr>
      </w:pPr>
    </w:p>
    <w:p>
      <w:pPr>
        <w:ind w:right="40" w:firstLine="464"/>
        <w:spacing w:after="0" w:line="259"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August 2013, the Registrant issued a warrant to an accredited investor to purchase 822,386 shares of Registrant’s common stock upon the conversion of warrant to purchase 822,386 shares of the Registrant’s Series C convertible preferred stock The common stock warrant has a per share exercise price of $0.65. The securities issued in this transaction were exempt from the registration requirements of the Securities Act in reliance upon Section 4(2) under the Securities Act.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Sales and Conversion of Preferred Stock</w:t>
      </w:r>
    </w:p>
    <w:p>
      <w:pPr>
        <w:spacing w:after="0" w:line="117" w:lineRule="exact"/>
        <w:rPr>
          <w:sz w:val="20"/>
          <w:szCs w:val="20"/>
          <w:color w:val="auto"/>
        </w:rPr>
      </w:pPr>
    </w:p>
    <w:p>
      <w:pPr>
        <w:jc w:val="both"/>
        <w:ind w:firstLine="464"/>
        <w:spacing w:after="0" w:line="259"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186" w:lineRule="exact"/>
        <w:rPr>
          <w:rFonts w:ascii="Arial" w:cs="Arial" w:eastAsia="Arial" w:hAnsi="Arial"/>
          <w:sz w:val="18"/>
          <w:szCs w:val="18"/>
          <w:color w:val="auto"/>
        </w:rPr>
      </w:pPr>
    </w:p>
    <w:p>
      <w:pPr>
        <w:ind w:right="120" w:firstLine="464"/>
        <w:spacing w:after="0" w:line="312" w:lineRule="auto"/>
        <w:tabs>
          <w:tab w:leader="none" w:pos="63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August 2013, the Registrant issued a warrant to purchase 822,386 shares of Registrant’s common stock upon the conversion of warrant to purchase 822,386 shares of the Registrant’s Series C convertible preferred stock The warrant has a per share exercise price of $0.65. The securities issued in this transaction were exempt from the registration requirements of the Securities Act in reliance upon on Rule 506 promulgated under the Securities Act.</w:t>
      </w:r>
    </w:p>
    <w:p>
      <w:pPr>
        <w:spacing w:after="0" w:line="146" w:lineRule="exact"/>
        <w:rPr>
          <w:rFonts w:ascii="Arial" w:cs="Arial" w:eastAsia="Arial" w:hAnsi="Arial"/>
          <w:sz w:val="16"/>
          <w:szCs w:val="16"/>
          <w:color w:val="auto"/>
        </w:rPr>
      </w:pPr>
    </w:p>
    <w:p>
      <w:pPr>
        <w:ind w:right="20" w:firstLine="464"/>
        <w:spacing w:after="0" w:line="259"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6" w:lineRule="exact"/>
        <w:rPr>
          <w:rFonts w:ascii="Arial" w:cs="Arial" w:eastAsia="Arial" w:hAnsi="Arial"/>
          <w:sz w:val="18"/>
          <w:szCs w:val="18"/>
          <w:color w:val="auto"/>
        </w:rPr>
      </w:pPr>
    </w:p>
    <w:p>
      <w:pPr>
        <w:jc w:val="both"/>
        <w:ind w:right="20" w:firstLine="464"/>
        <w:spacing w:after="0" w:line="259"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252"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 II-5</w:t>
      </w:r>
    </w:p>
    <w:p>
      <w:pPr>
        <w:sectPr>
          <w:pgSz w:w="11900" w:h="16838" w:orient="portrait"/>
          <w:cols w:equalWidth="0" w:num="1">
            <w:col w:w="11300"/>
          </w:cols>
          <w:pgMar w:left="240" w:top="460"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1"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on Form S-1 to be signed on its behalf by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w w:val="97"/>
              </w:rPr>
              <w:t>the undersigned, thereunto duly authorized, in San Diego, California, on the   day of</w:t>
            </w:r>
          </w:p>
        </w:tc>
        <w:tc>
          <w:tcPr>
            <w:tcW w:w="4900" w:type="dxa"/>
            <w:vAlign w:val="bottom"/>
            <w:gridSpan w:val="2"/>
          </w:tcPr>
          <w:p>
            <w:pPr>
              <w:jc w:val="right"/>
              <w:ind w:right="3690"/>
              <w:spacing w:after="0"/>
              <w:rPr>
                <w:sz w:val="20"/>
                <w:szCs w:val="20"/>
                <w:color w:val="auto"/>
              </w:rPr>
            </w:pPr>
            <w:r>
              <w:rPr>
                <w:rFonts w:ascii="Arial" w:cs="Arial" w:eastAsia="Arial" w:hAnsi="Arial"/>
                <w:sz w:val="18"/>
                <w:szCs w:val="18"/>
                <w:color w:val="auto"/>
              </w:rPr>
              <w:t>, 2015.</w:t>
            </w:r>
          </w:p>
        </w:tc>
      </w:tr>
      <w:tr>
        <w:trPr>
          <w:trHeight w:val="445"/>
        </w:trPr>
        <w:tc>
          <w:tcPr>
            <w:tcW w:w="6520" w:type="dxa"/>
            <w:vAlign w:val="bottom"/>
          </w:tcPr>
          <w:p>
            <w:pPr>
              <w:spacing w:after="0"/>
              <w:rPr>
                <w:sz w:val="24"/>
                <w:szCs w:val="24"/>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6520" w:type="dxa"/>
            <w:vAlign w:val="bottom"/>
          </w:tcPr>
          <w:p>
            <w:pPr>
              <w:spacing w:after="0"/>
              <w:rPr>
                <w:sz w:val="24"/>
                <w:szCs w:val="24"/>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By:</w:t>
            </w:r>
          </w:p>
        </w:tc>
      </w:tr>
      <w:tr>
        <w:trPr>
          <w:trHeight w:val="195"/>
        </w:trPr>
        <w:tc>
          <w:tcPr>
            <w:tcW w:w="6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Hamza Suria</w:t>
            </w:r>
          </w:p>
        </w:tc>
      </w:tr>
      <w:tr>
        <w:trPr>
          <w:trHeight w:val="230"/>
        </w:trPr>
        <w:tc>
          <w:tcPr>
            <w:tcW w:w="6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KNOW ALL PERSONS BY THESE PRESENTS, </w:t>
      </w:r>
      <w:r>
        <w:rPr>
          <w:rFonts w:ascii="Arial" w:cs="Arial" w:eastAsia="Arial" w:hAnsi="Arial"/>
          <w:sz w:val="17"/>
          <w:szCs w:val="17"/>
          <w:color w:val="auto"/>
        </w:rPr>
        <w:t>that each person whose signature appears below hereby constitutes and appoints Hamza Suria and</w:t>
      </w:r>
      <w:r>
        <w:rPr>
          <w:rFonts w:ascii="Arial" w:cs="Arial" w:eastAsia="Arial" w:hAnsi="Arial"/>
          <w:sz w:val="17"/>
          <w:szCs w:val="17"/>
          <w:i w:val="1"/>
          <w:iCs w:val="1"/>
          <w:color w:val="auto"/>
        </w:rPr>
        <w:t xml:space="preserve"> </w:t>
      </w:r>
      <w:r>
        <w:rPr>
          <w:rFonts w:ascii="Arial" w:cs="Arial" w:eastAsia="Arial" w:hAnsi="Arial"/>
          <w:sz w:val="17"/>
          <w:szCs w:val="17"/>
          <w:color w:val="auto"/>
        </w:rPr>
        <w:t>Robert E. Hoffman,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her might or could do in person, hereby ratifying and confirming all that said attorneys-in-fact, proxies and agents, or their or his or her substitute or substitutes, may lawfully do or cause to be done by virtue hereof.</w:t>
      </w:r>
    </w:p>
    <w:p>
      <w:pPr>
        <w:spacing w:after="0" w:line="17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6"/>
                <w:szCs w:val="16"/>
                <w:color w:val="auto"/>
              </w:rPr>
            </w:pPr>
          </w:p>
        </w:tc>
      </w:tr>
      <w:tr>
        <w:trPr>
          <w:trHeight w:val="196"/>
        </w:trPr>
        <w:tc>
          <w:tcPr>
            <w:tcW w:w="1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840" w:type="dxa"/>
            <w:vAlign w:val="bottom"/>
            <w:gridSpan w:val="2"/>
          </w:tcPr>
          <w:p>
            <w:pPr>
              <w:ind w:left="980"/>
              <w:spacing w:after="0" w:line="196" w:lineRule="exact"/>
              <w:rPr>
                <w:sz w:val="20"/>
                <w:szCs w:val="20"/>
                <w:color w:val="auto"/>
              </w:rPr>
            </w:pPr>
            <w:r>
              <w:rPr>
                <w:rFonts w:ascii="Arial" w:cs="Arial" w:eastAsia="Arial" w:hAnsi="Arial"/>
                <w:sz w:val="18"/>
                <w:szCs w:val="18"/>
                <w:color w:val="auto"/>
                <w:w w:val="87"/>
              </w:rPr>
              <w:t>President, Chief Executive</w:t>
            </w: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Officer and Director</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Hamza Suria</w:t>
            </w:r>
          </w:p>
        </w:tc>
        <w:tc>
          <w:tcPr>
            <w:tcW w:w="6240" w:type="dxa"/>
            <w:vAlign w:val="bottom"/>
            <w:gridSpan w:val="3"/>
          </w:tcPr>
          <w:p>
            <w:pPr>
              <w:jc w:val="center"/>
              <w:ind w:right="770"/>
              <w:spacing w:after="0"/>
              <w:rPr>
                <w:sz w:val="20"/>
                <w:szCs w:val="20"/>
                <w:color w:val="auto"/>
              </w:rPr>
            </w:pPr>
            <w:r>
              <w:rPr>
                <w:rFonts w:ascii="Arial" w:cs="Arial" w:eastAsia="Arial" w:hAnsi="Arial"/>
                <w:sz w:val="18"/>
                <w:szCs w:val="18"/>
                <w:color w:val="auto"/>
                <w:w w:val="94"/>
              </w:rPr>
              <w:t>(Principal Executive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4"/>
              </w:rPr>
              <w:t>Chief Financial Officer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Robert E. Hoffman</w:t>
            </w: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3"/>
              </w:rPr>
              <w:t>(Principal Accounting and Financial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Tiba Aynechi, Ph.D.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Carol G. Gallagher, Pharm.D.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Nicholas B. Lydon, Ph.D., FRS</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Hollings Renton</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John Schmid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James N. Topper, M.D., Ph.D.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436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85"/>
        </w:trPr>
        <w:tc>
          <w:tcPr>
            <w:tcW w:w="1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920" w:type="dxa"/>
            <w:vAlign w:val="bottom"/>
          </w:tcPr>
          <w:p>
            <w:pPr>
              <w:spacing w:after="0"/>
              <w:rPr>
                <w:sz w:val="16"/>
                <w:szCs w:val="16"/>
                <w:color w:val="auto"/>
              </w:rPr>
            </w:pPr>
          </w:p>
        </w:tc>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6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91"/>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8"/>
              </w:rPr>
              <w:t>Fourth Amended and Restated Investors’ Rights Agreement, dated July 13, 2015, by and among the Registrant and certain of its</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stockholders.</w:t>
            </w: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2006 Equity Incentive Plan and forms of award agreements.</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89"/>
              </w:rPr>
              <w:t>2015 Equity Incentive Plan, to become effective on the date the registration statement is declared effective, and forms of award agreements.</w:t>
            </w:r>
          </w:p>
        </w:tc>
      </w:tr>
      <w:tr>
        <w:trPr>
          <w:trHeight w:val="310"/>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1"/>
              </w:rPr>
              <w:t>2015 Employee Stock Purchase Plan, to become effective on the date the registration statement is declared effective, and forms of award</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agreements.</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Employment Agreement, effective as of January 1, 2012, by and between the Registrant and David King, as amended.</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Consulting Agreement, dated as of May 1, 2015, by and between the Registrant and David King.</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10.8</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10.9</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Office Lease, dated April 19, 2011, by and between the Registrant and Kilroy Realty, L.P.</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6"/>
              </w:rPr>
              <w:t>Antibody Generation Agreement, dated December 22, 2011, by and between the Registrant and Celgene Corporation, as modified.</w:t>
            </w:r>
          </w:p>
        </w:tc>
      </w:tr>
      <w:tr>
        <w:trPr>
          <w:trHeight w:val="310"/>
        </w:trPr>
        <w:tc>
          <w:tcPr>
            <w:tcW w:w="6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6"/>
              </w:rPr>
              <w:t>Collaboration and Exclusive License Agreement, dated March 10, 2014, by and among the Registrant, TESARO, Inc. and TESARO</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Development, Ltd., as amended.</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10"/>
        </w:trPr>
        <w:tc>
          <w:tcPr>
            <w:tcW w:w="6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8"/>
              </w:rPr>
              <w:t>Non-Exclusive Research and Commercial License Agreement, dated May 15, 2009, by and between the Registrant and Millipore</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Corporation.</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w w:val="94"/>
              </w:rPr>
              <w:t>Loan and Security Agreement, dated December 24, 2014, by and among the Registrant, Oxford Finance LLC and Silicon Valley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21.1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23.1†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23.2†</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24.1†</w:t>
            </w:r>
          </w:p>
        </w:tc>
        <w:tc>
          <w:tcPr>
            <w:tcW w:w="10660" w:type="dxa"/>
            <w:vAlign w:val="bottom"/>
            <w:gridSpan w:val="3"/>
          </w:tcPr>
          <w:p>
            <w:pPr>
              <w:ind w:left="600"/>
              <w:spacing w:after="0"/>
              <w:rPr>
                <w:sz w:val="20"/>
                <w:szCs w:val="20"/>
                <w:color w:val="auto"/>
              </w:rPr>
            </w:pPr>
            <w:r>
              <w:rPr>
                <w:rFonts w:ascii="Arial" w:cs="Arial" w:eastAsia="Arial" w:hAnsi="Arial"/>
                <w:sz w:val="18"/>
                <w:szCs w:val="18"/>
                <w:color w:val="auto"/>
              </w:rPr>
              <w:t>Power of Attorney. Reference is made to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220" w:right="100" w:hanging="212"/>
        <w:spacing w:after="0" w:line="261" w:lineRule="auto"/>
        <w:tabs>
          <w:tab w:leader="none" w:pos="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320"/>
          </w:cols>
          <w:pgMar w:left="240" w:top="460"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Hamza Suria hereby certifies that:</w:t>
      </w:r>
    </w:p>
    <w:p>
      <w:pPr>
        <w:spacing w:after="0" w:line="221"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date of filing the original Certificate of Incorporation of this company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16, 2005 under the name of Anaptys Bioscience, Inc., and a Corrected Certificate of Certificate of Incorporation was filed with the Secretary of State of the State of Delaware on November 17, 2005 correcting the name to Anaptys Biosciences, Inc.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Chief Executive Officer of AnaptysBio, Inc., 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 The Certificate of Incorporation of this company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company is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address of the registered office of this Company in the State of Delaware is 1209 Orange Street, City of Wilmington. County of New Castle, Zip Code 19801, and the name of the registered agent of this Corporation in the State of Delaware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is authorized to issue two classes of stock to be designated, respectively, “Common Stock” and “Preferred Stock.” The total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which the Company is authorized to issue is 203,208,537 shares, 120,500,000 shares of which shall be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82,708,537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$0.001 per share and the Common Stock shall have a par value of $0.001 per share.</w:t>
      </w:r>
    </w:p>
    <w:p>
      <w:pPr>
        <w:spacing w:after="0" w:line="180"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number of authorized shares of Common Stock may be increased or decreased (but not below the number of shares of Common Stock then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by the</w:t>
      </w:r>
    </w:p>
    <w:p>
      <w:pPr>
        <w:sectPr>
          <w:pgSz w:w="11900" w:h="16838" w:orient="portrait"/>
          <w:cols w:equalWidth="0" w:num="1">
            <w:col w:w="11420"/>
          </w:cols>
          <w:pgMar w:left="240" w:top="121" w:right="2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affirmative vote of the holders of a majority of the stock of the Company entitled to vote (voting together as a single class on an as-if-converted basis).</w:t>
      </w:r>
    </w:p>
    <w:p>
      <w:pPr>
        <w:spacing w:after="0" w:line="23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25,524,510 of the authorized shares of Preferred Stock are hereby designated “Series B Preferred Stock” (the “</w:t>
      </w:r>
      <w:r>
        <w:rPr>
          <w:rFonts w:ascii="Arial" w:cs="Arial" w:eastAsia="Arial" w:hAnsi="Arial"/>
          <w:sz w:val="18"/>
          <w:szCs w:val="18"/>
          <w:b w:val="1"/>
          <w:bCs w:val="1"/>
          <w:i w:val="1"/>
          <w:iCs w:val="1"/>
          <w:color w:val="auto"/>
        </w:rPr>
        <w:t>Series B Preferred</w:t>
      </w:r>
      <w:r>
        <w:rPr>
          <w:rFonts w:ascii="Arial" w:cs="Arial" w:eastAsia="Arial" w:hAnsi="Arial"/>
          <w:sz w:val="18"/>
          <w:szCs w:val="18"/>
          <w:color w:val="auto"/>
        </w:rPr>
        <w:t>”). 1,996,153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authorized shares of Preferred Stock are hereby designated “Series B-1 Preferred Stock” (the “</w:t>
      </w:r>
      <w:r>
        <w:rPr>
          <w:rFonts w:ascii="Arial" w:cs="Arial" w:eastAsia="Arial" w:hAnsi="Arial"/>
          <w:sz w:val="18"/>
          <w:szCs w:val="18"/>
          <w:b w:val="1"/>
          <w:bCs w:val="1"/>
          <w:i w:val="1"/>
          <w:iCs w:val="1"/>
          <w:color w:val="auto"/>
        </w:rPr>
        <w:t>Series B-1 Preferred</w:t>
      </w:r>
      <w:r>
        <w:rPr>
          <w:rFonts w:ascii="Arial" w:cs="Arial" w:eastAsia="Arial" w:hAnsi="Arial"/>
          <w:sz w:val="18"/>
          <w:szCs w:val="18"/>
          <w:color w:val="auto"/>
        </w:rPr>
        <w:t>”). 222,216 of the authorized shares of Preferred Stock are hereby designated “Series B-2 Preferred Stock” (the “</w:t>
      </w:r>
      <w:r>
        <w:rPr>
          <w:rFonts w:ascii="Arial" w:cs="Arial" w:eastAsia="Arial" w:hAnsi="Arial"/>
          <w:sz w:val="18"/>
          <w:szCs w:val="18"/>
          <w:b w:val="1"/>
          <w:bCs w:val="1"/>
          <w:i w:val="1"/>
          <w:iCs w:val="1"/>
          <w:color w:val="auto"/>
        </w:rPr>
        <w:t>Series B-2 Preferred</w:t>
      </w:r>
      <w:r>
        <w:rPr>
          <w:rFonts w:ascii="Arial" w:cs="Arial" w:eastAsia="Arial" w:hAnsi="Arial"/>
          <w:sz w:val="18"/>
          <w:szCs w:val="18"/>
          <w:color w:val="auto"/>
        </w:rPr>
        <w:t>”). 13,210,753 of the authorized shares of Preferred Stock are hereby designated “Series C Preferred Stock”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 3,318,054 of the authorized shares of Preferred Stock are hereby designated “Series C-1 Preferred” (the “</w:t>
      </w:r>
      <w:r>
        <w:rPr>
          <w:rFonts w:ascii="Arial" w:cs="Arial" w:eastAsia="Arial" w:hAnsi="Arial"/>
          <w:sz w:val="18"/>
          <w:szCs w:val="18"/>
          <w:b w:val="1"/>
          <w:bCs w:val="1"/>
          <w:i w:val="1"/>
          <w:iCs w:val="1"/>
          <w:color w:val="auto"/>
        </w:rPr>
        <w:t>Series C-1 Preferred</w:t>
      </w:r>
      <w:r>
        <w:rPr>
          <w:rFonts w:ascii="Arial" w:cs="Arial" w:eastAsia="Arial" w:hAnsi="Arial"/>
          <w:sz w:val="18"/>
          <w:szCs w:val="18"/>
          <w:color w:val="auto"/>
        </w:rPr>
        <w:t>”). 38,436,851 of the authorized shares of Preferred Stock are hereby designated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Contingent and effective upon the filing of this Amended and Restated Certificate of Incorporation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every nine (9) outstanding shares of Series B Preferred will be split into and automatically, without any further action by the Corporation or the stockholders thereof, become ten (10) outstanding shares of Series B Preferred and every nine (9) outstanding shares of Series B-1 Preferred will be split into and automatically, without any further action by the Corporation or the stockholders thereof, become ten (10) outstanding shares of Series B-1 Preferred of the Corporation (the “</w:t>
      </w:r>
      <w:r>
        <w:rPr>
          <w:rFonts w:ascii="Arial" w:cs="Arial" w:eastAsia="Arial" w:hAnsi="Arial"/>
          <w:sz w:val="18"/>
          <w:szCs w:val="18"/>
          <w:b w:val="1"/>
          <w:bCs w:val="1"/>
          <w:i w:val="1"/>
          <w:iCs w:val="1"/>
          <w:color w:val="auto"/>
        </w:rPr>
        <w:t>Forward Stock Split</w:t>
      </w:r>
      <w:r>
        <w:rPr>
          <w:rFonts w:ascii="Arial" w:cs="Arial" w:eastAsia="Arial" w:hAnsi="Arial"/>
          <w:sz w:val="18"/>
          <w:szCs w:val="18"/>
          <w:color w:val="auto"/>
        </w:rPr>
        <w:t>”).</w:t>
      </w:r>
    </w:p>
    <w:p>
      <w:pPr>
        <w:spacing w:after="0" w:line="184"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color w:val="auto"/>
        </w:rPr>
        <w:t>No fractional shares shall be issued pursuant to the Forward Stock Split. The Corporation will pay in cash the fair value of such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interest and as determined in good faith by the Corporation’s board of directors when those entitled to receive such fractional shares are determined. The shares issued pursuant to the Forward Stock Split shall be entered in the books of the Corporation, without the need for surrender or exchange of any stock certificate outstanding immediately prior to the Effective Time. No further adjustment of the Series Preferred Conversion Price pursuant to Article IV, Section 5(c) of this Restated Certificate shall be made in connection with the Forward Stock Split, as all share amounts set forth in this Restated Certificate of Incorporation have been appropriately adjusted to reflect the Forward Stock Split.</w:t>
      </w:r>
    </w:p>
    <w:p>
      <w:pPr>
        <w:spacing w:after="0" w:line="174"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b w:val="1"/>
          <w:bCs w:val="1"/>
          <w:color w:val="auto"/>
        </w:rPr>
        <w:t xml:space="preserve">F. </w:t>
      </w:r>
      <w:r>
        <w:rPr>
          <w:rFonts w:ascii="Arial" w:cs="Arial" w:eastAsia="Arial" w:hAnsi="Arial"/>
          <w:sz w:val="17"/>
          <w:szCs w:val="17"/>
          <w:color w:val="auto"/>
        </w:rPr>
        <w:t>The rights, preferences, privileges, restrictions and other matters relating to the Series B Preferred, the Series B-1 Preferred, the Series B-2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the Series C Preferred the Series C-1 Preferred and the Series D Preferred (collectively, the “</w:t>
      </w:r>
      <w:r>
        <w:rPr>
          <w:rFonts w:ascii="Arial" w:cs="Arial" w:eastAsia="Arial" w:hAnsi="Arial"/>
          <w:sz w:val="17"/>
          <w:szCs w:val="17"/>
          <w:b w:val="1"/>
          <w:bCs w:val="1"/>
          <w:i w:val="1"/>
          <w:iCs w:val="1"/>
          <w:color w:val="auto"/>
        </w:rPr>
        <w:t>Series Preferred</w:t>
      </w:r>
      <w:r>
        <w:rPr>
          <w:rFonts w:ascii="Arial" w:cs="Arial" w:eastAsia="Arial" w:hAnsi="Arial"/>
          <w:sz w:val="17"/>
          <w:szCs w:val="17"/>
          <w:color w:val="auto"/>
        </w:rPr>
        <w:t>”) are as follows:</w:t>
      </w:r>
    </w:p>
    <w:p>
      <w:pPr>
        <w:spacing w:after="0" w:line="287" w:lineRule="exact"/>
        <w:rPr>
          <w:sz w:val="20"/>
          <w:szCs w:val="20"/>
          <w:color w:val="auto"/>
        </w:rPr>
      </w:pPr>
    </w:p>
    <w:p>
      <w:pPr>
        <w:ind w:left="1480" w:hanging="567"/>
        <w:spacing w:after="0"/>
        <w:tabs>
          <w:tab w:leader="none" w:pos="14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 w:firstLine="1492"/>
        <w:spacing w:after="0" w:line="257" w:lineRule="auto"/>
        <w:tabs>
          <w:tab w:leader="none" w:pos="1738"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First, holders of the Series D Preferred, in preference to the holders of the Series C-1 Preferred, Series C Preferred,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D Preferred. Such dividends shall be payable only when, as and if declared by the Board and shall be non-cumulative. Any partial payment pursuant to this Section 1(a) shall be made ratably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holders of Series D Preferred in proportion to the payment each such holder would receive if the full amount of such dividends were paid.</w:t>
      </w:r>
    </w:p>
    <w:p>
      <w:pPr>
        <w:spacing w:after="0" w:line="237" w:lineRule="exact"/>
        <w:rPr>
          <w:sz w:val="20"/>
          <w:szCs w:val="20"/>
          <w:color w:val="auto"/>
        </w:rPr>
      </w:pPr>
    </w:p>
    <w:p>
      <w:pPr>
        <w:ind w:right="20" w:firstLine="1492"/>
        <w:spacing w:after="0" w:line="273" w:lineRule="auto"/>
        <w:tabs>
          <w:tab w:leader="none" w:pos="1748"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Second, after payment of any amounts payable pursuant to Section 1(a) above, holders of the Series C-1 Preferred, in preference to the holders of the Series C Preferred,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C-1 Preferred. Such dividends shall be payable only when, as and if declared by the Board and shall be non-cumulative. Any partial payment pursuant to this Section 1(b) shall be made ratably among the holders of Series C-1 Preferred in proportion to the payment each such holder would receive if the full amount of such dividends were paid.</w:t>
      </w:r>
    </w:p>
    <w:p>
      <w:pPr>
        <w:spacing w:after="0" w:line="178" w:lineRule="exact"/>
        <w:rPr>
          <w:rFonts w:ascii="Arial" w:cs="Arial" w:eastAsia="Arial" w:hAnsi="Arial"/>
          <w:sz w:val="17"/>
          <w:szCs w:val="17"/>
          <w:b w:val="1"/>
          <w:bCs w:val="1"/>
          <w:color w:val="auto"/>
        </w:rPr>
      </w:pPr>
    </w:p>
    <w:p>
      <w:pPr>
        <w:ind w:right="20" w:firstLine="1492"/>
        <w:spacing w:after="0" w:line="273" w:lineRule="auto"/>
        <w:tabs>
          <w:tab w:leader="none" w:pos="1728"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After payment of any amounts payable pursuant to Sections 1(a) and 1(b) above, Holders of the Series C Preferred, in preference to the holders of the Series B Preferred, the Series B-1 Preferred, the Series B-2 Preferred and Common Stock, shall be entitled to receive, when, as and if declared by the Board, but only out of funds that are legally available therefore, cash dividends at the rate of 8% of the Original Issue Price (as defined below) per annum on each outstanding share of Series C Preferred. Such dividends shall be payable only when, as and if declared by the Board and shall be non-cumulative. Any partial payment pursuant to this Section 1(c) shall be made ratably among the holders of Series C Preferred in proportion to the payment each such holder would receive if the full amount of such dividends were paid.</w:t>
      </w:r>
    </w:p>
    <w:p>
      <w:pPr>
        <w:spacing w:after="0" w:line="178" w:lineRule="exact"/>
        <w:rPr>
          <w:rFonts w:ascii="Arial" w:cs="Arial" w:eastAsia="Arial" w:hAnsi="Arial"/>
          <w:sz w:val="17"/>
          <w:szCs w:val="17"/>
          <w:b w:val="1"/>
          <w:bCs w:val="1"/>
          <w:color w:val="auto"/>
        </w:rPr>
      </w:pPr>
    </w:p>
    <w:p>
      <w:pPr>
        <w:ind w:firstLine="1492"/>
        <w:spacing w:after="0" w:line="255" w:lineRule="auto"/>
        <w:tabs>
          <w:tab w:leader="none" w:pos="1748"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After payment of any amounts payable pursuant to Sections 1(a), 1(b) and 1(c) above, holders of the Series B Preferred, the Series B-1 Preferred and the Series B-2 Preferred, on a pari passu basis and in preference to the holders of Common Stock, shall be entitled to receive, when, as and if declared by the Board, but only out of funds that are legally available therefore, cash dividends at the rate of 8% of the applicable Original Issue Price (as defined below) per annum on each outstanding share of Series B Preferred, Series B-1 Preferred and the Series B-2 Preferred. Such dividends shall be payable only when, as and if declared by the Board and shall be non-cumulative. Any partial payment pursuant to this Section 1(d) shall be made ratably among the holders of the Series B Preferred, the Series B-1 Preferred and the Series B-2 Preferred in proportion to the payment each such holder would receive if the full amount of such dividends were paid.</w:t>
      </w:r>
    </w:p>
    <w:p>
      <w:pPr>
        <w:spacing w:after="0" w:line="189" w:lineRule="exact"/>
        <w:rPr>
          <w:rFonts w:ascii="Arial" w:cs="Arial" w:eastAsia="Arial" w:hAnsi="Arial"/>
          <w:sz w:val="18"/>
          <w:szCs w:val="18"/>
          <w:b w:val="1"/>
          <w:bCs w:val="1"/>
          <w:color w:val="auto"/>
        </w:rPr>
      </w:pPr>
    </w:p>
    <w:p>
      <w:pPr>
        <w:ind w:right="80" w:firstLine="1492"/>
        <w:spacing w:after="0" w:line="259" w:lineRule="auto"/>
        <w:tabs>
          <w:tab w:leader="none" w:pos="1728"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Original Issue Price</w:t>
      </w:r>
      <w:r>
        <w:rPr>
          <w:rFonts w:ascii="Arial" w:cs="Arial" w:eastAsia="Arial" w:hAnsi="Arial"/>
          <w:sz w:val="18"/>
          <w:szCs w:val="18"/>
          <w:color w:val="auto"/>
        </w:rPr>
        <w:t>” of (i) the Series D Preferred shall be $1.06063, (ii) the Series C-1 Preferred shall be $0.65, (iii) the Series C Preferred shall be $0.65, (iv) the Series B Preferred shall be $0.90, (v) the Series B-1 Preferred shall be $0.90, and (vi) the Series B-2 Preferred shall be $1.00 (in each case as adjusted for any stock dividends, combinations, splits, recapitalizations and the like with respect to such shares after the filing date hereof (such date, the “</w:t>
      </w:r>
      <w:r>
        <w:rPr>
          <w:rFonts w:ascii="Arial" w:cs="Arial" w:eastAsia="Arial" w:hAnsi="Arial"/>
          <w:sz w:val="18"/>
          <w:szCs w:val="18"/>
          <w:b w:val="1"/>
          <w:bCs w:val="1"/>
          <w:i w:val="1"/>
          <w:iCs w:val="1"/>
          <w:color w:val="auto"/>
        </w:rPr>
        <w:t>Filing Date</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right="440" w:firstLine="1492"/>
        <w:spacing w:after="0" w:line="308" w:lineRule="auto"/>
        <w:tabs>
          <w:tab w:leader="none" w:pos="1708"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So long as any shares of Series Preferred are outstanding, the Company shall not pay or declare any dividend, whether in cash or property, or make any other distribution on the Common Stock, or purchase, redeem or otherwise acquire for value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04" w:name="page205"/>
    <w:bookmarkEnd w:id="20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until all dividends as set forth in Sections 1(a), 1(b), 1(c) and 1(d) above on the Series Preferred shall have been paid or declared and set apart, except for:</w:t>
      </w:r>
    </w:p>
    <w:p>
      <w:pPr>
        <w:spacing w:after="0" w:line="170" w:lineRule="exact"/>
        <w:rPr>
          <w:sz w:val="20"/>
          <w:szCs w:val="20"/>
          <w:color w:val="auto"/>
        </w:rPr>
      </w:pPr>
    </w:p>
    <w:p>
      <w:pPr>
        <w:ind w:firstLine="1948"/>
        <w:spacing w:after="0" w:line="277" w:lineRule="auto"/>
        <w:tabs>
          <w:tab w:leader="none" w:pos="2155" w:val="left"/>
        </w:tabs>
        <w:numPr>
          <w:ilvl w:val="2"/>
          <w:numId w:val="146"/>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pursuant to agreements which permit the Company to repurchase such shares at cost (or the lesser of cost or fair market value) upon termination of services to the Company;</w:t>
      </w:r>
    </w:p>
    <w:p>
      <w:pPr>
        <w:spacing w:after="0" w:line="170" w:lineRule="exact"/>
        <w:rPr>
          <w:rFonts w:ascii="Arial" w:cs="Arial" w:eastAsia="Arial" w:hAnsi="Arial"/>
          <w:sz w:val="18"/>
          <w:szCs w:val="18"/>
          <w:b w:val="1"/>
          <w:bCs w:val="1"/>
          <w:color w:val="auto"/>
        </w:rPr>
      </w:pPr>
    </w:p>
    <w:p>
      <w:pPr>
        <w:ind w:left="2220" w:hanging="272"/>
        <w:spacing w:after="0"/>
        <w:tabs>
          <w:tab w:leader="none" w:pos="2220" w:val="left"/>
        </w:tabs>
        <w:numPr>
          <w:ilvl w:val="2"/>
          <w:numId w:val="146"/>
        </w:numPr>
        <w:rPr>
          <w:rFonts w:ascii="Arial" w:cs="Arial" w:eastAsia="Arial" w:hAnsi="Arial"/>
          <w:sz w:val="16"/>
          <w:szCs w:val="16"/>
          <w:b w:val="1"/>
          <w:bCs w:val="1"/>
          <w:color w:val="auto"/>
        </w:rPr>
      </w:pPr>
      <w:r>
        <w:rPr>
          <w:rFonts w:ascii="Arial" w:cs="Arial" w:eastAsia="Arial" w:hAnsi="Arial"/>
          <w:sz w:val="16"/>
          <w:szCs w:val="16"/>
          <w:color w:val="auto"/>
        </w:rPr>
        <w:t>acquisitions of Common Stock in exercise of the Company’s right of first refusal to repurchase such shares approved by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Board; or</w:t>
      </w:r>
    </w:p>
    <w:p>
      <w:pPr>
        <w:spacing w:after="0" w:line="210" w:lineRule="exact"/>
        <w:rPr>
          <w:rFonts w:ascii="Arial" w:cs="Arial" w:eastAsia="Arial" w:hAnsi="Arial"/>
          <w:sz w:val="16"/>
          <w:szCs w:val="16"/>
          <w:b w:val="1"/>
          <w:bCs w:val="1"/>
          <w:color w:val="auto"/>
        </w:rPr>
      </w:pPr>
    </w:p>
    <w:p>
      <w:pPr>
        <w:ind w:left="2260" w:hanging="312"/>
        <w:spacing w:after="0"/>
        <w:tabs>
          <w:tab w:leader="none" w:pos="2260" w:val="left"/>
        </w:tabs>
        <w:numPr>
          <w:ilvl w:val="2"/>
          <w:numId w:val="146"/>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Sections 3 and 4.</w:t>
      </w:r>
    </w:p>
    <w:p>
      <w:pPr>
        <w:spacing w:after="0" w:line="225" w:lineRule="exact"/>
        <w:rPr>
          <w:rFonts w:ascii="Arial" w:cs="Arial" w:eastAsia="Arial" w:hAnsi="Arial"/>
          <w:sz w:val="18"/>
          <w:szCs w:val="18"/>
          <w:b w:val="1"/>
          <w:bCs w:val="1"/>
          <w:color w:val="auto"/>
        </w:rPr>
      </w:pPr>
    </w:p>
    <w:p>
      <w:pPr>
        <w:ind w:right="380" w:firstLine="1492"/>
        <w:spacing w:after="0" w:line="264" w:lineRule="auto"/>
        <w:tabs>
          <w:tab w:leader="none" w:pos="1738"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81" w:lineRule="exact"/>
        <w:rPr>
          <w:rFonts w:ascii="Arial" w:cs="Arial" w:eastAsia="Arial" w:hAnsi="Arial"/>
          <w:sz w:val="18"/>
          <w:szCs w:val="18"/>
          <w:b w:val="1"/>
          <w:bCs w:val="1"/>
          <w:color w:val="auto"/>
        </w:rPr>
      </w:pPr>
    </w:p>
    <w:p>
      <w:pPr>
        <w:ind w:right="300" w:firstLine="1492"/>
        <w:spacing w:after="0" w:line="264" w:lineRule="auto"/>
        <w:tabs>
          <w:tab w:leader="none" w:pos="1748"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The provisions of Sections 1(f) and 1(g) shall not apply to a dividend payable solely in Common Stock to which the provisions of Section 5(f) hereof are applicable, or any repurchase of any outstanding securities of the Company that is approved by (i) the Board and (ii) the Series Preferred as may be required by this Certificate of Incorporation.</w:t>
      </w:r>
    </w:p>
    <w:p>
      <w:pPr>
        <w:spacing w:after="0" w:line="181" w:lineRule="exact"/>
        <w:rPr>
          <w:rFonts w:ascii="Arial" w:cs="Arial" w:eastAsia="Arial" w:hAnsi="Arial"/>
          <w:sz w:val="18"/>
          <w:szCs w:val="18"/>
          <w:b w:val="1"/>
          <w:bCs w:val="1"/>
          <w:color w:val="auto"/>
        </w:rPr>
      </w:pPr>
    </w:p>
    <w:p>
      <w:pPr>
        <w:ind w:right="100" w:firstLine="1492"/>
        <w:spacing w:after="0" w:line="264" w:lineRule="auto"/>
        <w:tabs>
          <w:tab w:leader="none" w:pos="1698"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Distributions on shares junior to the Series Preferred as they relate to repurchases of shares of Common Stock upon termination of employment or service as a consultant or director may be made without regard to any preferential dividends arrears amount or any preferential rights amount (each as determined under applicable law).</w:t>
      </w:r>
    </w:p>
    <w:p>
      <w:pPr>
        <w:spacing w:after="0" w:line="325" w:lineRule="exact"/>
        <w:rPr>
          <w:rFonts w:ascii="Arial" w:cs="Arial" w:eastAsia="Arial" w:hAnsi="Arial"/>
          <w:sz w:val="18"/>
          <w:szCs w:val="18"/>
          <w:b w:val="1"/>
          <w:bCs w:val="1"/>
          <w:color w:val="auto"/>
        </w:rPr>
      </w:pPr>
    </w:p>
    <w:p>
      <w:pPr>
        <w:ind w:left="1480" w:hanging="567"/>
        <w:spacing w:after="0"/>
        <w:tabs>
          <w:tab w:leader="none" w:pos="14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1492"/>
        <w:spacing w:after="0" w:line="274" w:lineRule="auto"/>
        <w:tabs>
          <w:tab w:leader="none" w:pos="1738"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General Rights</w:t>
      </w:r>
      <w:r>
        <w:rPr>
          <w:rFonts w:ascii="Arial" w:cs="Arial" w:eastAsia="Arial" w:hAnsi="Arial"/>
          <w:sz w:val="17"/>
          <w:szCs w:val="17"/>
          <w:color w:val="auto"/>
        </w:rPr>
        <w:t>. Each holder of shares of the Series Preferred shall be entitled to the number of votes equal to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into which such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173" w:lineRule="exact"/>
        <w:rPr>
          <w:rFonts w:ascii="Arial" w:cs="Arial" w:eastAsia="Arial" w:hAnsi="Arial"/>
          <w:sz w:val="17"/>
          <w:szCs w:val="17"/>
          <w:b w:val="1"/>
          <w:bCs w:val="1"/>
          <w:color w:val="auto"/>
        </w:rPr>
      </w:pPr>
    </w:p>
    <w:p>
      <w:pPr>
        <w:ind w:right="80" w:firstLine="1492"/>
        <w:spacing w:after="0" w:line="303" w:lineRule="auto"/>
        <w:tabs>
          <w:tab w:leader="none" w:pos="1748"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Separate Vote of Series Preferred</w:t>
      </w:r>
      <w:r>
        <w:rPr>
          <w:rFonts w:ascii="Arial" w:cs="Arial" w:eastAsia="Arial" w:hAnsi="Arial"/>
          <w:sz w:val="16"/>
          <w:szCs w:val="16"/>
          <w:color w:val="auto"/>
        </w:rPr>
        <w:t>. For so long as at least 1,500,000 shares of Series Preferred remain outstanding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for any stock split, reverse stock split or similar event affecting the Series Preferred after the Filing Date), in addition to any other vote or consent required herein or by law, the vote or written consent of the holders of at least a majority of the outstanding Series Preferred, voting together as a single class on an as-if-converted basis, shall be necessary for effecting or validating the following actions (whether by merger, recapitalization or otherwise):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05" w:name="page206"/>
    <w:bookmarkEnd w:id="205"/>
    <w:p>
      <w:pPr>
        <w:ind w:right="60" w:firstLine="1948"/>
        <w:spacing w:after="0" w:line="277" w:lineRule="auto"/>
        <w:tabs>
          <w:tab w:leader="none" w:pos="2155"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alteration, repeal or waiver of any provision of the Certificate of Incorporation or the Bylaws of the Company (including any filing of a Certificate of Designation);</w:t>
      </w:r>
    </w:p>
    <w:p>
      <w:pPr>
        <w:spacing w:after="0" w:line="170"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Common Stock or Preferred Stock;</w:t>
      </w:r>
    </w:p>
    <w:p>
      <w:pPr>
        <w:spacing w:after="0" w:line="225" w:lineRule="exact"/>
        <w:rPr>
          <w:rFonts w:ascii="Arial" w:cs="Arial" w:eastAsia="Arial" w:hAnsi="Arial"/>
          <w:sz w:val="18"/>
          <w:szCs w:val="18"/>
          <w:b w:val="1"/>
          <w:bCs w:val="1"/>
          <w:color w:val="auto"/>
        </w:rPr>
      </w:pPr>
    </w:p>
    <w:p>
      <w:pPr>
        <w:ind w:right="20" w:firstLine="1948"/>
        <w:spacing w:after="0" w:line="286" w:lineRule="auto"/>
        <w:tabs>
          <w:tab w:leader="none" w:pos="2255" w:val="left"/>
        </w:tabs>
        <w:numPr>
          <w:ilvl w:val="1"/>
          <w:numId w:val="149"/>
        </w:numPr>
        <w:rPr>
          <w:rFonts w:ascii="Arial" w:cs="Arial" w:eastAsia="Arial" w:hAnsi="Arial"/>
          <w:sz w:val="17"/>
          <w:szCs w:val="17"/>
          <w:b w:val="1"/>
          <w:bCs w:val="1"/>
          <w:color w:val="auto"/>
        </w:rPr>
      </w:pPr>
      <w:r>
        <w:rPr>
          <w:rFonts w:ascii="Arial" w:cs="Arial" w:eastAsia="Arial" w:hAnsi="Arial"/>
          <w:sz w:val="17"/>
          <w:szCs w:val="17"/>
          <w:color w:val="auto"/>
        </w:rPr>
        <w:t>Any authorization or any designation, whether by reclassification or otherwise, of any new class or series of stock or any other securities convertible into equity securities of the Company ranking on a parity with or senior to the Series Preferred or any series thereof in right of redemption, liquidation preference, voting or dividend rights or any increase in the authorized or designated number of any such new class or series;</w:t>
      </w:r>
    </w:p>
    <w:p>
      <w:pPr>
        <w:spacing w:after="0" w:line="165" w:lineRule="exact"/>
        <w:rPr>
          <w:rFonts w:ascii="Arial" w:cs="Arial" w:eastAsia="Arial" w:hAnsi="Arial"/>
          <w:sz w:val="17"/>
          <w:szCs w:val="17"/>
          <w:b w:val="1"/>
          <w:bCs w:val="1"/>
          <w:color w:val="auto"/>
        </w:rPr>
      </w:pPr>
    </w:p>
    <w:p>
      <w:pPr>
        <w:ind w:right="380" w:firstLine="1948"/>
        <w:spacing w:after="0" w:line="308" w:lineRule="auto"/>
        <w:tabs>
          <w:tab w:leader="none" w:pos="2245" w:val="left"/>
        </w:tabs>
        <w:numPr>
          <w:ilvl w:val="1"/>
          <w:numId w:val="149"/>
        </w:numPr>
        <w:rPr>
          <w:rFonts w:ascii="Arial" w:cs="Arial" w:eastAsia="Arial" w:hAnsi="Arial"/>
          <w:sz w:val="17"/>
          <w:szCs w:val="17"/>
          <w:b w:val="1"/>
          <w:bCs w:val="1"/>
          <w:color w:val="auto"/>
        </w:rPr>
      </w:pPr>
      <w:r>
        <w:rPr>
          <w:rFonts w:ascii="Arial" w:cs="Arial" w:eastAsia="Arial" w:hAnsi="Arial"/>
          <w:sz w:val="17"/>
          <w:szCs w:val="17"/>
          <w:color w:val="auto"/>
        </w:rPr>
        <w:t>Any redemption, repurchase, payment or declaration of dividends or other distributions with respect to Common Stock or Preferred Stock (except for acquisitions of Common Stock by the Company permitted by Section 1(f)(i), (ii) and (iii) hereof;</w:t>
      </w:r>
    </w:p>
    <w:p>
      <w:pPr>
        <w:spacing w:after="0" w:line="146" w:lineRule="exact"/>
        <w:rPr>
          <w:rFonts w:ascii="Arial" w:cs="Arial" w:eastAsia="Arial" w:hAnsi="Arial"/>
          <w:sz w:val="17"/>
          <w:szCs w:val="17"/>
          <w:b w:val="1"/>
          <w:bCs w:val="1"/>
          <w:color w:val="auto"/>
        </w:rPr>
      </w:pPr>
    </w:p>
    <w:p>
      <w:pPr>
        <w:ind w:left="2200" w:hanging="252"/>
        <w:spacing w:after="0"/>
        <w:tabs>
          <w:tab w:leader="none" w:pos="2200"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Any Liquidation Event (as defined in Section 3 hereof); or</w:t>
      </w:r>
    </w:p>
    <w:p>
      <w:pPr>
        <w:spacing w:after="0" w:line="225" w:lineRule="exact"/>
        <w:rPr>
          <w:rFonts w:ascii="Arial" w:cs="Arial" w:eastAsia="Arial" w:hAnsi="Arial"/>
          <w:sz w:val="18"/>
          <w:szCs w:val="18"/>
          <w:b w:val="1"/>
          <w:bCs w:val="1"/>
          <w:color w:val="auto"/>
        </w:rPr>
      </w:pPr>
    </w:p>
    <w:p>
      <w:pPr>
        <w:ind w:left="2300" w:hanging="352"/>
        <w:spacing w:after="0"/>
        <w:tabs>
          <w:tab w:leader="none" w:pos="2300"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Any agreement by the Company or its stockholders regarding an Asset Transfer or Acquisition (each as defined in Section 4</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hereof).</w:t>
      </w:r>
    </w:p>
    <w:p>
      <w:pPr>
        <w:spacing w:after="0" w:line="206" w:lineRule="exact"/>
        <w:rPr>
          <w:rFonts w:ascii="Arial" w:cs="Arial" w:eastAsia="Arial" w:hAnsi="Arial"/>
          <w:sz w:val="16"/>
          <w:szCs w:val="16"/>
          <w:b w:val="1"/>
          <w:bCs w:val="1"/>
          <w:color w:val="auto"/>
        </w:rPr>
      </w:pPr>
    </w:p>
    <w:p>
      <w:pPr>
        <w:ind w:firstLine="1492"/>
        <w:spacing w:after="0" w:line="256" w:lineRule="auto"/>
        <w:tabs>
          <w:tab w:leader="none" w:pos="1728"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B Preferred, Series B-1 Preferred and Series B-2 Preferred</w:t>
      </w:r>
      <w:r>
        <w:rPr>
          <w:rFonts w:ascii="Arial" w:cs="Arial" w:eastAsia="Arial" w:hAnsi="Arial"/>
          <w:sz w:val="18"/>
          <w:szCs w:val="18"/>
          <w:color w:val="auto"/>
        </w:rPr>
        <w:t>. For so long as at least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3,200,000 shares of Series B Preferred, Series B-1 Preferred and Series B-2 Preferred remain outstanding (subject to adjustment for any stock split, reverse stock split or similar event affecting the Series B Preferred, the Series B-1 Preferred or the Series B-2 Preferred after the Filing Date), in addition to any other vote or consent required herein or by law, the vote or written consent of the holders of at least 55% of the outstanding Series B Preferred, Series B-1 Preferred and Series B-2 Preferred, voting together as a single class on an as-if-converted basis, shall be necessary for effecting or validating the following actions (whether by merger, recapitalization or otherwise):</w:t>
      </w:r>
    </w:p>
    <w:p>
      <w:pPr>
        <w:spacing w:after="0" w:line="191" w:lineRule="exact"/>
        <w:rPr>
          <w:rFonts w:ascii="Arial" w:cs="Arial" w:eastAsia="Arial" w:hAnsi="Arial"/>
          <w:sz w:val="18"/>
          <w:szCs w:val="18"/>
          <w:b w:val="1"/>
          <w:bCs w:val="1"/>
          <w:color w:val="auto"/>
        </w:rPr>
      </w:pPr>
    </w:p>
    <w:p>
      <w:pPr>
        <w:ind w:right="60" w:firstLine="1948"/>
        <w:spacing w:after="0" w:line="259" w:lineRule="auto"/>
        <w:tabs>
          <w:tab w:leader="none" w:pos="2155" w:val="left"/>
        </w:tabs>
        <w:numPr>
          <w:ilvl w:val="1"/>
          <w:numId w:val="150"/>
        </w:numPr>
        <w:rPr>
          <w:rFonts w:ascii="Arial" w:cs="Arial" w:eastAsia="Arial" w:hAnsi="Arial"/>
          <w:sz w:val="18"/>
          <w:szCs w:val="18"/>
          <w:b w:val="1"/>
          <w:bCs w:val="1"/>
          <w:color w:val="auto"/>
        </w:rPr>
      </w:pPr>
      <w:r>
        <w:rPr>
          <w:rFonts w:ascii="Arial" w:cs="Arial" w:eastAsia="Arial" w:hAnsi="Arial"/>
          <w:sz w:val="18"/>
          <w:szCs w:val="18"/>
          <w:color w:val="auto"/>
        </w:rPr>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B Preferred, the Series B-1 Preferred or the Series B-2 Preferred in a manner different than any other series of Preferred Stock; or</w:t>
      </w:r>
    </w:p>
    <w:p>
      <w:pPr>
        <w:spacing w:after="0" w:line="186"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50"/>
        </w:numPr>
        <w:rPr>
          <w:rFonts w:ascii="Arial" w:cs="Arial" w:eastAsia="Arial" w:hAnsi="Arial"/>
          <w:sz w:val="17"/>
          <w:szCs w:val="17"/>
          <w:b w:val="1"/>
          <w:bCs w:val="1"/>
          <w:color w:val="auto"/>
        </w:rPr>
      </w:pPr>
      <w:r>
        <w:rPr>
          <w:rFonts w:ascii="Arial" w:cs="Arial" w:eastAsia="Arial" w:hAnsi="Arial"/>
          <w:sz w:val="17"/>
          <w:szCs w:val="17"/>
          <w:color w:val="auto"/>
        </w:rPr>
        <w:t>Any increase or decrease in the authorized number of shares of Series B Preferred, Series B-1 Preferred or Series B-2</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Preferred.</w:t>
      </w:r>
    </w:p>
    <w:p>
      <w:pPr>
        <w:spacing w:after="0" w:line="206" w:lineRule="exact"/>
        <w:rPr>
          <w:rFonts w:ascii="Arial" w:cs="Arial" w:eastAsia="Arial" w:hAnsi="Arial"/>
          <w:sz w:val="17"/>
          <w:szCs w:val="17"/>
          <w:b w:val="1"/>
          <w:bCs w:val="1"/>
          <w:color w:val="auto"/>
        </w:rPr>
      </w:pPr>
    </w:p>
    <w:p>
      <w:pPr>
        <w:ind w:right="520" w:firstLine="1492"/>
        <w:spacing w:after="0" w:line="282" w:lineRule="auto"/>
        <w:tabs>
          <w:tab w:leader="none" w:pos="1748"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B Preferred, Series B-1 Preferred and Series B-2 Preferred</w:t>
      </w:r>
      <w:r>
        <w:rPr>
          <w:rFonts w:ascii="Arial" w:cs="Arial" w:eastAsia="Arial" w:hAnsi="Arial"/>
          <w:sz w:val="18"/>
          <w:szCs w:val="18"/>
          <w:color w:val="auto"/>
        </w:rPr>
        <w:t>. For so long as at least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3,200,000 shares of Series B Preferred, Series B-1 Preferred and Series B-2 Preferred remain outstanding (subject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06" w:name="page207"/>
    <w:bookmarkEnd w:id="20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for any stock split, reverse stock split or similar event affecting the Series B Preferred, the Series B-1 Preferred or Series B-2 Preferred after the Filing Date), in addition to any other vote or consent required herein or by law, the vote or written consent of the holders of at least 55% of the outstanding Series B Preferred, Series B-1 Preferred and Series B-2 Preferred, voting together as a single class on an as-if-converted basis, shall be necessary for effecting or validating the following actions (whether by merger, recapitalization or otherwise):</w:t>
      </w:r>
    </w:p>
    <w:p>
      <w:pPr>
        <w:spacing w:after="0" w:line="187" w:lineRule="exact"/>
        <w:rPr>
          <w:sz w:val="20"/>
          <w:szCs w:val="20"/>
          <w:color w:val="auto"/>
        </w:rPr>
      </w:pPr>
    </w:p>
    <w:p>
      <w:pPr>
        <w:ind w:left="2160" w:hanging="212"/>
        <w:spacing w:after="0"/>
        <w:tabs>
          <w:tab w:leader="none" w:pos="2160"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Any Liquidation Event; or</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Any agreement by the Company or its stockholders regarding an Asset Transfer or Acquisition.</w:t>
      </w:r>
    </w:p>
    <w:p>
      <w:pPr>
        <w:spacing w:after="0" w:line="221" w:lineRule="exact"/>
        <w:rPr>
          <w:rFonts w:ascii="Arial" w:cs="Arial" w:eastAsia="Arial" w:hAnsi="Arial"/>
          <w:sz w:val="18"/>
          <w:szCs w:val="18"/>
          <w:b w:val="1"/>
          <w:bCs w:val="1"/>
          <w:color w:val="auto"/>
        </w:rPr>
      </w:pPr>
    </w:p>
    <w:p>
      <w:pPr>
        <w:ind w:right="40" w:firstLine="1492"/>
        <w:spacing w:after="0" w:line="277" w:lineRule="auto"/>
        <w:tabs>
          <w:tab w:leader="none" w:pos="1728"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C-1 Preferred and Series C Preferred</w:t>
      </w:r>
      <w:r>
        <w:rPr>
          <w:rFonts w:ascii="Arial" w:cs="Arial" w:eastAsia="Arial" w:hAnsi="Arial"/>
          <w:sz w:val="17"/>
          <w:szCs w:val="17"/>
          <w:color w:val="auto"/>
        </w:rPr>
        <w:t>. For so long as at least 3,200,000 shares of Series C-1 Preferred and</w:t>
      </w:r>
      <w:r>
        <w:rPr>
          <w:rFonts w:ascii="Arial" w:cs="Arial" w:eastAsia="Arial" w:hAnsi="Arial"/>
          <w:sz w:val="17"/>
          <w:szCs w:val="17"/>
          <w:b w:val="1"/>
          <w:bCs w:val="1"/>
          <w:color w:val="auto"/>
        </w:rPr>
        <w:t xml:space="preserve"> </w:t>
      </w:r>
      <w:r>
        <w:rPr>
          <w:rFonts w:ascii="Arial" w:cs="Arial" w:eastAsia="Arial" w:hAnsi="Arial"/>
          <w:sz w:val="17"/>
          <w:szCs w:val="17"/>
          <w:color w:val="auto"/>
        </w:rPr>
        <w:t>Series C Preferred remain outstanding (subject to adjustment for any stock split, reverse stock split or similar event affecting the Series C-1 Preferred and Series C Preferred after the Filing Date), in addition to any other vote or consent required herein or by law, the vote or written consent of the holders of at least 55% of the outstanding Series C-1 Preferred and Series C Preferred, voting together as a single class on an as-if-converted basis, shall be necessary for effecting or validating the following actions (whether by merger, recapitalization or otherwise):</w:t>
      </w:r>
    </w:p>
    <w:p>
      <w:pPr>
        <w:spacing w:after="0" w:line="172" w:lineRule="exact"/>
        <w:rPr>
          <w:rFonts w:ascii="Arial" w:cs="Arial" w:eastAsia="Arial" w:hAnsi="Arial"/>
          <w:sz w:val="17"/>
          <w:szCs w:val="17"/>
          <w:b w:val="1"/>
          <w:bCs w:val="1"/>
          <w:color w:val="auto"/>
        </w:rPr>
      </w:pPr>
    </w:p>
    <w:p>
      <w:pPr>
        <w:ind w:firstLine="1948"/>
        <w:spacing w:after="0" w:line="259" w:lineRule="auto"/>
        <w:tabs>
          <w:tab w:leader="none" w:pos="2155"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C-1 Preferred or Series C Preferred in a manner different than any other series of Preferred Stock;</w:t>
      </w:r>
    </w:p>
    <w:p>
      <w:pPr>
        <w:spacing w:after="0" w:line="186" w:lineRule="exact"/>
        <w:rPr>
          <w:rFonts w:ascii="Arial" w:cs="Arial" w:eastAsia="Arial" w:hAnsi="Arial"/>
          <w:sz w:val="18"/>
          <w:szCs w:val="18"/>
          <w:b w:val="1"/>
          <w:bCs w:val="1"/>
          <w:color w:val="auto"/>
        </w:rPr>
      </w:pPr>
    </w:p>
    <w:p>
      <w:pPr>
        <w:ind w:left="2220" w:hanging="272"/>
        <w:spacing w:after="0"/>
        <w:tabs>
          <w:tab w:leader="none" w:pos="2220"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Series C-1 Preferred or Series C Preferred;</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Board;</w:t>
      </w:r>
    </w:p>
    <w:p>
      <w:pPr>
        <w:spacing w:after="0" w:line="225" w:lineRule="exact"/>
        <w:rPr>
          <w:rFonts w:ascii="Arial" w:cs="Arial" w:eastAsia="Arial" w:hAnsi="Arial"/>
          <w:sz w:val="18"/>
          <w:szCs w:val="18"/>
          <w:b w:val="1"/>
          <w:bCs w:val="1"/>
          <w:color w:val="auto"/>
        </w:rPr>
      </w:pPr>
    </w:p>
    <w:p>
      <w:pPr>
        <w:ind w:left="2260" w:hanging="312"/>
        <w:spacing w:after="0"/>
        <w:tabs>
          <w:tab w:leader="none" w:pos="2260"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Any Liquidation Event; or</w:t>
      </w:r>
    </w:p>
    <w:p>
      <w:pPr>
        <w:spacing w:after="0" w:line="225" w:lineRule="exact"/>
        <w:rPr>
          <w:rFonts w:ascii="Arial" w:cs="Arial" w:eastAsia="Arial" w:hAnsi="Arial"/>
          <w:sz w:val="18"/>
          <w:szCs w:val="18"/>
          <w:b w:val="1"/>
          <w:bCs w:val="1"/>
          <w:color w:val="auto"/>
        </w:rPr>
      </w:pPr>
    </w:p>
    <w:p>
      <w:pPr>
        <w:ind w:left="2200" w:hanging="252"/>
        <w:spacing w:after="0"/>
        <w:tabs>
          <w:tab w:leader="none" w:pos="2200"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Any agreement by the Company or its stockholders regarding an Asset Transfer or Acquisition.</w:t>
      </w:r>
    </w:p>
    <w:p>
      <w:pPr>
        <w:spacing w:after="0" w:line="221" w:lineRule="exact"/>
        <w:rPr>
          <w:rFonts w:ascii="Arial" w:cs="Arial" w:eastAsia="Arial" w:hAnsi="Arial"/>
          <w:sz w:val="18"/>
          <w:szCs w:val="18"/>
          <w:b w:val="1"/>
          <w:bCs w:val="1"/>
          <w:color w:val="auto"/>
        </w:rPr>
      </w:pPr>
    </w:p>
    <w:p>
      <w:pPr>
        <w:ind w:right="100" w:firstLine="1492"/>
        <w:spacing w:after="0" w:line="261" w:lineRule="auto"/>
        <w:tabs>
          <w:tab w:leader="none" w:pos="1708"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Series D Preferred</w:t>
      </w:r>
      <w:r>
        <w:rPr>
          <w:rFonts w:ascii="Arial" w:cs="Arial" w:eastAsia="Arial" w:hAnsi="Arial"/>
          <w:sz w:val="18"/>
          <w:szCs w:val="18"/>
          <w:color w:val="auto"/>
        </w:rPr>
        <w:t>. For so long as any shares of Series D Preferred remain outstanding, in addition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vote or consent required herein or by law, the vote or written consent of the holders of at least a majority of the outstanding Series D Preferred, voting together as a single class on an as-if-converted basis, shall be necessary for effecting or validating the following actions (whether by merger, recapitalization or otherwise):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07" w:name="page208"/>
    <w:bookmarkEnd w:id="207"/>
    <w:p>
      <w:pPr>
        <w:ind w:left="-20" w:firstLine="1948"/>
        <w:spacing w:after="0" w:line="259" w:lineRule="auto"/>
        <w:tabs>
          <w:tab w:leader="none" w:pos="2135" w:val="left"/>
        </w:tabs>
        <w:numPr>
          <w:ilvl w:val="1"/>
          <w:numId w:val="15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action (whether by merger, recapitalization or otherwise, including without limitation any amendment, alteration, repeal or waiver of any provision of the Certificate of Incorporation or the Bylaws of the Company (including any filing of a Certificate of Designation)) that alters or changes the voting or other powers, preferences, or other special rights, privileges or restrictions of the Series D Preferred in a manner different than any other series of Preferred Stock; or</w:t>
      </w:r>
    </w:p>
    <w:p>
      <w:pPr>
        <w:spacing w:after="0" w:line="186" w:lineRule="exact"/>
        <w:rPr>
          <w:rFonts w:ascii="Arial" w:cs="Arial" w:eastAsia="Arial" w:hAnsi="Arial"/>
          <w:sz w:val="18"/>
          <w:szCs w:val="18"/>
          <w:b w:val="1"/>
          <w:bCs w:val="1"/>
          <w:color w:val="auto"/>
        </w:rPr>
      </w:pPr>
    </w:p>
    <w:p>
      <w:pPr>
        <w:ind w:left="2200" w:hanging="272"/>
        <w:spacing w:after="0"/>
        <w:tabs>
          <w:tab w:leader="none" w:pos="2200" w:val="left"/>
        </w:tabs>
        <w:numPr>
          <w:ilvl w:val="1"/>
          <w:numId w:val="153"/>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Series D Preferred.</w:t>
      </w:r>
    </w:p>
    <w:p>
      <w:pPr>
        <w:spacing w:after="0" w:line="221" w:lineRule="exact"/>
        <w:rPr>
          <w:rFonts w:ascii="Arial" w:cs="Arial" w:eastAsia="Arial" w:hAnsi="Arial"/>
          <w:sz w:val="18"/>
          <w:szCs w:val="18"/>
          <w:b w:val="1"/>
          <w:bCs w:val="1"/>
          <w:color w:val="auto"/>
        </w:rPr>
      </w:pPr>
    </w:p>
    <w:p>
      <w:pPr>
        <w:ind w:left="1720" w:hanging="248"/>
        <w:spacing w:after="0"/>
        <w:tabs>
          <w:tab w:leader="none" w:pos="17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0" w:right="140" w:firstLine="1948"/>
        <w:spacing w:after="0" w:line="255" w:lineRule="auto"/>
        <w:tabs>
          <w:tab w:leader="none" w:pos="2135"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For so long as at least an aggregate of 3,200,000 shares of Series B Preferred, Series B-1 Preferred and Series B-2 Preferred remain outstanding (subject to adjustment for any stock split, reverse stock split or similar event affecting the Series B Preferred, the Series B-1 Preferred or the Series B-2 Preferred after the Filing Date), the holders of Series B Preferred, Series B-1 Preferred and Series B-2 Preferred, voting together as a single class on an as-if-converted basis, shall be entitled to elect two members of the Board (the “</w:t>
      </w:r>
      <w:r>
        <w:rPr>
          <w:rFonts w:ascii="Arial" w:cs="Arial" w:eastAsia="Arial" w:hAnsi="Arial"/>
          <w:sz w:val="18"/>
          <w:szCs w:val="18"/>
          <w:b w:val="1"/>
          <w:bCs w:val="1"/>
          <w:i w:val="1"/>
          <w:iCs w:val="1"/>
          <w:color w:val="auto"/>
        </w:rPr>
        <w:t>Series B/B-1/B-2 Directors</w:t>
      </w:r>
      <w:r>
        <w:rPr>
          <w:rFonts w:ascii="Arial" w:cs="Arial" w:eastAsia="Arial" w:hAnsi="Arial"/>
          <w:sz w:val="18"/>
          <w:szCs w:val="18"/>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93" w:lineRule="exact"/>
        <w:rPr>
          <w:rFonts w:ascii="Arial" w:cs="Arial" w:eastAsia="Arial" w:hAnsi="Arial"/>
          <w:sz w:val="18"/>
          <w:szCs w:val="18"/>
          <w:b w:val="1"/>
          <w:bCs w:val="1"/>
          <w:color w:val="auto"/>
        </w:rPr>
      </w:pPr>
    </w:p>
    <w:p>
      <w:pPr>
        <w:ind w:left="-20" w:right="40" w:firstLine="1948"/>
        <w:spacing w:after="0" w:line="264" w:lineRule="auto"/>
        <w:tabs>
          <w:tab w:leader="none" w:pos="2185"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one member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1" w:lineRule="exact"/>
        <w:rPr>
          <w:rFonts w:ascii="Arial" w:cs="Arial" w:eastAsia="Arial" w:hAnsi="Arial"/>
          <w:sz w:val="18"/>
          <w:szCs w:val="18"/>
          <w:b w:val="1"/>
          <w:bCs w:val="1"/>
          <w:color w:val="auto"/>
        </w:rPr>
      </w:pPr>
    </w:p>
    <w:p>
      <w:pPr>
        <w:ind w:left="-20" w:right="140" w:firstLine="1948"/>
        <w:spacing w:after="0" w:line="286" w:lineRule="auto"/>
        <w:tabs>
          <w:tab w:leader="none" w:pos="2235"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The holders of Common Stock and Series Preferred,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65" w:lineRule="exact"/>
        <w:rPr>
          <w:rFonts w:ascii="Arial" w:cs="Arial" w:eastAsia="Arial" w:hAnsi="Arial"/>
          <w:sz w:val="17"/>
          <w:szCs w:val="17"/>
          <w:b w:val="1"/>
          <w:bCs w:val="1"/>
          <w:color w:val="auto"/>
        </w:rPr>
      </w:pPr>
    </w:p>
    <w:p>
      <w:pPr>
        <w:ind w:left="-20" w:right="40" w:firstLine="1948"/>
        <w:spacing w:after="0" w:line="290" w:lineRule="auto"/>
        <w:tabs>
          <w:tab w:leader="none" w:pos="2225"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 s votes. If any stockholder has given proper notice to cumulate votes, all stockholders may cumulate their votes for any candidates who have been properly placed in nomination. Under cumulative voting,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candidates receiving the highest number of votes, up to the number of directors to be elected, are elected.</w:t>
      </w:r>
    </w:p>
    <w:p>
      <w:pPr>
        <w:spacing w:after="0" w:line="225" w:lineRule="exact"/>
        <w:rPr>
          <w:sz w:val="20"/>
          <w:szCs w:val="20"/>
          <w:color w:val="auto"/>
        </w:rPr>
      </w:pPr>
    </w:p>
    <w:p>
      <w:pPr>
        <w:ind w:right="20" w:firstLine="1948"/>
        <w:spacing w:after="0" w:line="255" w:lineRule="auto"/>
        <w:tabs>
          <w:tab w:leader="none" w:pos="2195" w:val="left"/>
        </w:tabs>
        <w:numPr>
          <w:ilvl w:val="2"/>
          <w:numId w:val="155"/>
        </w:numPr>
        <w:rPr>
          <w:rFonts w:ascii="Arial" w:cs="Arial" w:eastAsia="Arial" w:hAnsi="Arial"/>
          <w:sz w:val="18"/>
          <w:szCs w:val="18"/>
          <w:b w:val="1"/>
          <w:bCs w:val="1"/>
          <w:color w:val="auto"/>
        </w:rPr>
      </w:pPr>
      <w:r>
        <w:rPr>
          <w:rFonts w:ascii="Arial" w:cs="Arial" w:eastAsia="Arial" w:hAnsi="Arial"/>
          <w:sz w:val="18"/>
          <w:szCs w:val="18"/>
          <w:color w:val="auto"/>
        </w:rPr>
        <w:t xml:space="preserve">During such time or times that applicable law requires cumulative voting, one or more directors may be removed from office at any time without cause by the affirmative vote of the holders of at least a majority of the outstanding shares entitled to vote for that director as provided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337" w:lineRule="exact"/>
        <w:rPr>
          <w:rFonts w:ascii="Arial" w:cs="Arial" w:eastAsia="Arial" w:hAnsi="Arial"/>
          <w:sz w:val="18"/>
          <w:szCs w:val="18"/>
          <w:b w:val="1"/>
          <w:bCs w:val="1"/>
          <w:color w:val="auto"/>
        </w:rPr>
      </w:pPr>
    </w:p>
    <w:p>
      <w:pPr>
        <w:ind w:left="1480" w:hanging="567"/>
        <w:spacing w:after="0"/>
        <w:tabs>
          <w:tab w:leader="none" w:pos="14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40" w:firstLine="1492"/>
        <w:spacing w:after="0" w:line="264" w:lineRule="auto"/>
        <w:tabs>
          <w:tab w:leader="none" w:pos="1738" w:val="left"/>
        </w:tabs>
        <w:numPr>
          <w:ilvl w:val="1"/>
          <w:numId w:val="156"/>
        </w:numPr>
        <w:rPr>
          <w:rFonts w:ascii="Arial" w:cs="Arial" w:eastAsia="Arial" w:hAnsi="Arial"/>
          <w:sz w:val="18"/>
          <w:szCs w:val="18"/>
          <w:b w:val="1"/>
          <w:bCs w:val="1"/>
          <w:color w:val="auto"/>
        </w:rPr>
      </w:pPr>
      <w:r>
        <w:rPr>
          <w:rFonts w:ascii="Arial" w:cs="Arial" w:eastAsia="Arial" w:hAnsi="Arial"/>
          <w:sz w:val="18"/>
          <w:szCs w:val="18"/>
          <w:color w:val="auto"/>
        </w:rPr>
        <w:t>Upon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before any distribution or payment shall be made to the holders of any Common Stock, the Company shall make payment to the holders of Series Preferred as follows:</w:t>
      </w:r>
    </w:p>
    <w:p>
      <w:pPr>
        <w:spacing w:after="0" w:line="181" w:lineRule="exact"/>
        <w:rPr>
          <w:rFonts w:ascii="Arial" w:cs="Arial" w:eastAsia="Arial" w:hAnsi="Arial"/>
          <w:sz w:val="18"/>
          <w:szCs w:val="18"/>
          <w:b w:val="1"/>
          <w:bCs w:val="1"/>
          <w:color w:val="auto"/>
        </w:rPr>
      </w:pPr>
    </w:p>
    <w:p>
      <w:pPr>
        <w:ind w:right="20" w:firstLine="1948"/>
        <w:spacing w:after="0" w:line="255" w:lineRule="auto"/>
        <w:tabs>
          <w:tab w:leader="none" w:pos="2155" w:val="left"/>
        </w:tabs>
        <w:numPr>
          <w:ilvl w:val="2"/>
          <w:numId w:val="156"/>
        </w:numPr>
        <w:rPr>
          <w:rFonts w:ascii="Arial" w:cs="Arial" w:eastAsia="Arial" w:hAnsi="Arial"/>
          <w:sz w:val="18"/>
          <w:szCs w:val="18"/>
          <w:b w:val="1"/>
          <w:bCs w:val="1"/>
          <w:color w:val="auto"/>
        </w:rPr>
      </w:pPr>
      <w:r>
        <w:rPr>
          <w:rFonts w:ascii="Arial" w:cs="Arial" w:eastAsia="Arial" w:hAnsi="Arial"/>
          <w:sz w:val="18"/>
          <w:szCs w:val="18"/>
          <w:color w:val="auto"/>
        </w:rPr>
        <w:t>First, holders of Series D Preferred shall be entitled to be paid out of the assets of the Company legally available for distribution for each share of Series D Preferred held by them, an amount per share of Series D Preferred equal to the Original Issue Price of the Series D Preferred plus all declared and unpaid dividends on the Series D Preferred (the “</w:t>
      </w:r>
      <w:r>
        <w:rPr>
          <w:rFonts w:ascii="Arial" w:cs="Arial" w:eastAsia="Arial" w:hAnsi="Arial"/>
          <w:sz w:val="18"/>
          <w:szCs w:val="18"/>
          <w:b w:val="1"/>
          <w:bCs w:val="1"/>
          <w:i w:val="1"/>
          <w:iCs w:val="1"/>
          <w:color w:val="auto"/>
        </w:rPr>
        <w:t>Series D Liquidation Preference</w:t>
      </w:r>
      <w:r>
        <w:rPr>
          <w:rFonts w:ascii="Arial" w:cs="Arial" w:eastAsia="Arial" w:hAnsi="Arial"/>
          <w:sz w:val="18"/>
          <w:szCs w:val="18"/>
          <w:color w:val="auto"/>
        </w:rPr>
        <w:t>”). If, upon any such Liquidation Event, the assets of the Company shall be insufficient to make payment in full to all holders of Series D Preferred of the Series D Liquidation Preference, then such assets (or consideration) shall be distributed among the holders of Series D Preferred at the time outstanding, ratably in proportion to the full amounts to which they would otherwise be respectively entitled pursuant to this Section 3(a)(i).</w:t>
      </w:r>
    </w:p>
    <w:p>
      <w:pPr>
        <w:spacing w:after="0" w:line="193" w:lineRule="exact"/>
        <w:rPr>
          <w:sz w:val="20"/>
          <w:szCs w:val="20"/>
          <w:color w:val="auto"/>
        </w:rPr>
      </w:pPr>
    </w:p>
    <w:p>
      <w:pPr>
        <w:ind w:firstLine="1948"/>
        <w:spacing w:after="0" w:line="255" w:lineRule="auto"/>
        <w:tabs>
          <w:tab w:leader="none" w:pos="2205"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Second, after payment in full of the Series D Liquidation Preference, holders of Series C-1 Preferred shall be entitled to be paid out of the assets of the Company legally available for distribution for each share of Series C-1 Preferred held by them, an amount per share of Series C-1 Preferred equal to three (3) times the Original Issue Price of the Series C-1 Preferred plus all declared and unpaid dividends on the Series C-1 Preferred (the “</w:t>
      </w:r>
      <w:r>
        <w:rPr>
          <w:rFonts w:ascii="Arial" w:cs="Arial" w:eastAsia="Arial" w:hAnsi="Arial"/>
          <w:sz w:val="18"/>
          <w:szCs w:val="18"/>
          <w:b w:val="1"/>
          <w:bCs w:val="1"/>
          <w:i w:val="1"/>
          <w:iCs w:val="1"/>
          <w:color w:val="auto"/>
        </w:rPr>
        <w:t>Series C-1 Liquidation Preference</w:t>
      </w:r>
      <w:r>
        <w:rPr>
          <w:rFonts w:ascii="Arial" w:cs="Arial" w:eastAsia="Arial" w:hAnsi="Arial"/>
          <w:sz w:val="18"/>
          <w:szCs w:val="18"/>
          <w:color w:val="auto"/>
        </w:rPr>
        <w:t>”). If, upon any such Liquidation Event, the assets of the Company shall be insufficient to make payment in full to all holders of Series C-1 Preferred of the Series C-1 Liquidation Preference, then such assets (or consideration) shall be distributed among the holders of Series C-1 Preferred at the time outstanding, ratably in proportion to the full amounts to which they would otherwise be respectively entitled pursuant to this Section 3(a)(ii).</w:t>
      </w:r>
    </w:p>
    <w:p>
      <w:pPr>
        <w:spacing w:after="0" w:line="189" w:lineRule="exact"/>
        <w:rPr>
          <w:rFonts w:ascii="Arial" w:cs="Arial" w:eastAsia="Arial" w:hAnsi="Arial"/>
          <w:sz w:val="18"/>
          <w:szCs w:val="18"/>
          <w:b w:val="1"/>
          <w:bCs w:val="1"/>
          <w:color w:val="auto"/>
        </w:rPr>
      </w:pPr>
    </w:p>
    <w:p>
      <w:pPr>
        <w:ind w:firstLine="1948"/>
        <w:spacing w:after="0" w:line="312" w:lineRule="auto"/>
        <w:tabs>
          <w:tab w:leader="none" w:pos="2255"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After payment in full of the Series D Liquidation Preference and the Series C-1 Liquidation Preference, the holders of Series C Preferred shall be entitled to be paid out of the assets of the Company legally available for distribution for each share of Series C Preferred held by them, an amount per share of Series C Preferred equal to the Original Issue Price of the Series C Preferred plus all declared and unpaid dividends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9" w:name="page210"/>
    <w:bookmarkEnd w:id="20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C Preferred (the “</w:t>
      </w:r>
      <w:r>
        <w:rPr>
          <w:rFonts w:ascii="Arial" w:cs="Arial" w:eastAsia="Arial" w:hAnsi="Arial"/>
          <w:sz w:val="18"/>
          <w:szCs w:val="18"/>
          <w:b w:val="1"/>
          <w:bCs w:val="1"/>
          <w:i w:val="1"/>
          <w:iCs w:val="1"/>
          <w:color w:val="auto"/>
        </w:rPr>
        <w:t>Series C Liquidation Preference</w:t>
      </w:r>
      <w:r>
        <w:rPr>
          <w:rFonts w:ascii="Arial" w:cs="Arial" w:eastAsia="Arial" w:hAnsi="Arial"/>
          <w:sz w:val="18"/>
          <w:szCs w:val="18"/>
          <w:color w:val="auto"/>
        </w:rPr>
        <w:t>”). If, upon any such Liquidation Event, the assets of the Company shall be insufficient to make payment in full to all holders of Series C Preferred of the Series C Liquidation Preference, then such assets (or consideration) shall be distributed among the holders of Series C Preferred at the time outstanding, ratably in proportion to the full amounts to which they would otherwise be respectively entitled pursuant to this Section 3(a)(iii).</w:t>
      </w:r>
    </w:p>
    <w:p>
      <w:pPr>
        <w:spacing w:after="0" w:line="187" w:lineRule="exact"/>
        <w:rPr>
          <w:sz w:val="20"/>
          <w:szCs w:val="20"/>
          <w:color w:val="auto"/>
        </w:rPr>
      </w:pPr>
    </w:p>
    <w:p>
      <w:pPr>
        <w:ind w:right="80" w:firstLine="1948"/>
        <w:spacing w:after="0" w:line="268" w:lineRule="auto"/>
        <w:tabs>
          <w:tab w:leader="none" w:pos="2245" w:val="left"/>
        </w:tabs>
        <w:numPr>
          <w:ilvl w:val="1"/>
          <w:numId w:val="158"/>
        </w:numPr>
        <w:rPr>
          <w:rFonts w:ascii="Arial" w:cs="Arial" w:eastAsia="Arial" w:hAnsi="Arial"/>
          <w:sz w:val="17"/>
          <w:szCs w:val="17"/>
          <w:b w:val="1"/>
          <w:bCs w:val="1"/>
          <w:color w:val="auto"/>
        </w:rPr>
      </w:pPr>
      <w:r>
        <w:rPr>
          <w:rFonts w:ascii="Arial" w:cs="Arial" w:eastAsia="Arial" w:hAnsi="Arial"/>
          <w:sz w:val="17"/>
          <w:szCs w:val="17"/>
          <w:color w:val="auto"/>
        </w:rPr>
        <w:t>After payment in full of the Series D Liquidation Preference, Series C-1 Liquidation Preference and the Series C Liquidation Preference, the holders of Series B Preferred, Series B-1 Preferred and Series B-2 Preferred, on a pari passu basis and in preference to holders of Common Stock, shall be entitled to be paid out of the assets of the Company legally available for distribution for each share of Series B Preferred, Series B-1 Preferred or Series B-2 Preferred held by them, an amount per share of Series B Preferred, Series B-1 Preferred or Series B-2 Preferred equal to (i) with respect to the Series B Preferred, the Original Issue Price of the Series B Preferred plus all declared and unpaid dividends on the Series B Preferred (the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Liquidation Preference</w:t>
      </w:r>
      <w:r>
        <w:rPr>
          <w:rFonts w:ascii="Arial" w:cs="Arial" w:eastAsia="Arial" w:hAnsi="Arial"/>
          <w:sz w:val="17"/>
          <w:szCs w:val="17"/>
          <w:color w:val="auto"/>
        </w:rPr>
        <w:t>”), (ii) with respect to the Series B-1 Preferred, the Original Issue Price of the Series B-1 Preferred plus all declared and unpaid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on the Series B-1 Preferred (the “</w:t>
      </w:r>
      <w:r>
        <w:rPr>
          <w:rFonts w:ascii="Arial" w:cs="Arial" w:eastAsia="Arial" w:hAnsi="Arial"/>
          <w:sz w:val="17"/>
          <w:szCs w:val="17"/>
          <w:b w:val="1"/>
          <w:bCs w:val="1"/>
          <w:i w:val="1"/>
          <w:iCs w:val="1"/>
          <w:color w:val="auto"/>
        </w:rPr>
        <w:t>Series B-1 Liquidation Preference</w:t>
      </w:r>
      <w:r>
        <w:rPr>
          <w:rFonts w:ascii="Arial" w:cs="Arial" w:eastAsia="Arial" w:hAnsi="Arial"/>
          <w:sz w:val="17"/>
          <w:szCs w:val="17"/>
          <w:color w:val="auto"/>
        </w:rPr>
        <w:t>”) and (iii) with respect to the Series B-2 Preferred, the Original Issue Price of the Series B-2 Preferred plus all declared and unpaid dividends on the Series B-2 Preferred (the “</w:t>
      </w:r>
      <w:r>
        <w:rPr>
          <w:rFonts w:ascii="Arial" w:cs="Arial" w:eastAsia="Arial" w:hAnsi="Arial"/>
          <w:sz w:val="17"/>
          <w:szCs w:val="17"/>
          <w:b w:val="1"/>
          <w:bCs w:val="1"/>
          <w:i w:val="1"/>
          <w:iCs w:val="1"/>
          <w:color w:val="auto"/>
        </w:rPr>
        <w:t>Series B-2 Liquidation Preference</w:t>
      </w:r>
      <w:r>
        <w:rPr>
          <w:rFonts w:ascii="Arial" w:cs="Arial" w:eastAsia="Arial" w:hAnsi="Arial"/>
          <w:sz w:val="17"/>
          <w:szCs w:val="17"/>
          <w:color w:val="auto"/>
        </w:rPr>
        <w:t>”, and together with the Series B Liquidation Preference and the Series B-1 Liquidation Preference, the “</w:t>
      </w:r>
      <w:r>
        <w:rPr>
          <w:rFonts w:ascii="Arial" w:cs="Arial" w:eastAsia="Arial" w:hAnsi="Arial"/>
          <w:sz w:val="17"/>
          <w:szCs w:val="17"/>
          <w:b w:val="1"/>
          <w:bCs w:val="1"/>
          <w:i w:val="1"/>
          <w:iCs w:val="1"/>
          <w:color w:val="auto"/>
        </w:rPr>
        <w:t>Junior Preferred Liquidation Preference</w:t>
      </w:r>
      <w:r>
        <w:rPr>
          <w:rFonts w:ascii="Arial" w:cs="Arial" w:eastAsia="Arial" w:hAnsi="Arial"/>
          <w:sz w:val="17"/>
          <w:szCs w:val="17"/>
          <w:color w:val="auto"/>
        </w:rPr>
        <w:t>”). If, upon any such Liquidation Event and after payment in full of the Series D Liquidation Preference, Series C-1 Liquidation Preference and the Series C Liquidation Preference, the assets of the Company shall be insufficient to make payment in full to all holders of Series B Preferred, Series B-1 Preferred and Series B-2 Preferred of the Junior Preferred Liquidation Preference, then such assets (or consideration) shall be distributed among the holders of Series B Preferred, Series B-1 Preferred and Series B-2 Preferred at the time outstanding, ratably in proportion to the full amounts to which they would otherwise be respectively entitled pursuant to this Section (3)(a)(iv).</w:t>
      </w:r>
    </w:p>
    <w:p>
      <w:pPr>
        <w:spacing w:after="0" w:line="185" w:lineRule="exact"/>
        <w:rPr>
          <w:rFonts w:ascii="Arial" w:cs="Arial" w:eastAsia="Arial" w:hAnsi="Arial"/>
          <w:sz w:val="17"/>
          <w:szCs w:val="17"/>
          <w:b w:val="1"/>
          <w:bCs w:val="1"/>
          <w:color w:val="auto"/>
        </w:rPr>
      </w:pPr>
    </w:p>
    <w:p>
      <w:pPr>
        <w:ind w:right="120" w:firstLine="1492"/>
        <w:spacing w:after="0" w:line="270" w:lineRule="auto"/>
        <w:tabs>
          <w:tab w:leader="none" w:pos="1748"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After payment in full of the Series D Liquidation Preference, Series C-1 Liquidation Preference, the Series C Liquidation Preference and the Junior Preferred Liquidation Preference, the remaining assets of the Company legally available for distribution, if any, shall be distributed ratably to the holders of the Common Stock and the Series D Preferred Stock in proportion to the shares of Common Stock then held by them and the shares of Common Stock to which they have the right to acquire upon conversion of the shares of Series D Preferred Stock held by them; provided, however, that at such time as the distribution of assets of the Company to the holders of Series D Preferred pursuant to Section 3(a) and this Section 3(b) shall equal: (x) 1.5 times the Original Issue Price of the Series D Preferred, plus all declared and unpaid dividends on the Series D Preferred if such Liquidation Event is consummated on or before March 31, 2016 or (y) 2 times the Original Issue Price of the Series D Preferred, plus all declared and unpaid dividends on the Series D Preferred if such Liquidation Event is consummated after March 31, 2016, then the holders of Series D Preferred shall not be entitled to any further distribution pursuant to this Section 3(b) with respect to such shares of Series D Preferred.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10" w:name="page211"/>
    <w:bookmarkEnd w:id="210"/>
    <w:p>
      <w:pPr>
        <w:ind w:right="320" w:firstLine="1492"/>
        <w:spacing w:after="0" w:line="264" w:lineRule="auto"/>
        <w:tabs>
          <w:tab w:leader="none" w:pos="1728"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payment has been made to the holders of Preferred Stock and Common Stock pursuant to Section 3(a) and Section 3(b), any remaining assets of the Company legally available for distribution to the stockholders of the Company shall be distributed ratably among the holders of Common Stock based on the number of shares of Common Stock held by each.</w:t>
      </w:r>
    </w:p>
    <w:p>
      <w:pPr>
        <w:spacing w:after="0" w:line="181" w:lineRule="exact"/>
        <w:rPr>
          <w:rFonts w:ascii="Arial" w:cs="Arial" w:eastAsia="Arial" w:hAnsi="Arial"/>
          <w:sz w:val="18"/>
          <w:szCs w:val="18"/>
          <w:b w:val="1"/>
          <w:bCs w:val="1"/>
          <w:color w:val="auto"/>
        </w:rPr>
      </w:pPr>
    </w:p>
    <w:p>
      <w:pPr>
        <w:ind w:right="60" w:firstLine="1492"/>
        <w:spacing w:after="0" w:line="272" w:lineRule="auto"/>
        <w:tabs>
          <w:tab w:leader="none" w:pos="1748"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t>Shares of Series Preferred shall not be entitled to be converted into shares of Common Stock in order to participate in any distribution, or series of distributions, as shares of Common Stock, without first foregoing participation in the distribution, or series of distributions, as shares of Series Preferred. Notwithstanding the foregoing, in the event of a Liquidation Event, a holder of Series Preferred shall be entitled to receive, for each share of Series Preferred then held, out of the proceeds of such Liquidation Event, the greater of the amount of cash, securities or other property to which such holder would be entitled to receive in a Liquidation Event pursuant to (x) Section 3(a) and Section 3(b) above or (y) the amount of cash, securities or other property to which such holder would be entitled to receive in a Liquidation Event with respect to such shares if such shares had been converted to Common Stock immediately prior to such Liquidation Event.</w:t>
      </w:r>
    </w:p>
    <w:p>
      <w:pPr>
        <w:spacing w:after="0" w:line="322" w:lineRule="exact"/>
        <w:rPr>
          <w:rFonts w:ascii="Arial" w:cs="Arial" w:eastAsia="Arial" w:hAnsi="Arial"/>
          <w:sz w:val="17"/>
          <w:szCs w:val="17"/>
          <w:b w:val="1"/>
          <w:bCs w:val="1"/>
          <w:color w:val="auto"/>
        </w:rPr>
      </w:pPr>
    </w:p>
    <w:p>
      <w:pPr>
        <w:ind w:left="1480" w:hanging="567"/>
        <w:spacing w:after="0"/>
        <w:tabs>
          <w:tab w:leader="none" w:pos="14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RANSFER OR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1492"/>
        <w:spacing w:after="0" w:line="286" w:lineRule="auto"/>
        <w:tabs>
          <w:tab w:leader="none" w:pos="1738"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 a party to an Acquisition or Asset Transfer, then each holder of Series Preferred shall be entitled to receive, for each share of Series Preferred then held, out of the proceeds of such Acquisition or Asset Transfer, the amount of cash, securities or other property to which such holder would be entitled to receive in a Liquidation Event pursuant to Section 3(a) and Section 3(b) above.</w:t>
      </w:r>
    </w:p>
    <w:p>
      <w:pPr>
        <w:spacing w:after="0" w:line="165" w:lineRule="exact"/>
        <w:rPr>
          <w:rFonts w:ascii="Arial" w:cs="Arial" w:eastAsia="Arial" w:hAnsi="Arial"/>
          <w:sz w:val="17"/>
          <w:szCs w:val="17"/>
          <w:b w:val="1"/>
          <w:bCs w:val="1"/>
          <w:color w:val="auto"/>
        </w:rPr>
      </w:pPr>
    </w:p>
    <w:p>
      <w:pPr>
        <w:ind w:firstLine="1492"/>
        <w:spacing w:after="0" w:line="270" w:lineRule="auto"/>
        <w:tabs>
          <w:tab w:leader="none" w:pos="1748"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For the purposes of this Section 4: (i)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of all or substantially all of the assets of the Company or the exclusive license of substantially all of the rights to substantially all of the intellectual property of the Company material to its business.</w:t>
      </w:r>
    </w:p>
    <w:p>
      <w:pPr>
        <w:spacing w:after="0" w:line="181" w:lineRule="exact"/>
        <w:rPr>
          <w:rFonts w:ascii="Arial" w:cs="Arial" w:eastAsia="Arial" w:hAnsi="Arial"/>
          <w:sz w:val="17"/>
          <w:szCs w:val="17"/>
          <w:b w:val="1"/>
          <w:bCs w:val="1"/>
          <w:color w:val="auto"/>
        </w:rPr>
      </w:pPr>
    </w:p>
    <w:p>
      <w:pPr>
        <w:ind w:firstLine="1492"/>
        <w:spacing w:after="0" w:line="277" w:lineRule="auto"/>
        <w:tabs>
          <w:tab w:leader="none" w:pos="1728"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11" w:name="page212"/>
    <w:bookmarkEnd w:id="211"/>
    <w:p>
      <w:pPr>
        <w:ind w:left="1480" w:hanging="567"/>
        <w:spacing w:after="0"/>
        <w:tabs>
          <w:tab w:leader="none" w:pos="14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holders of the Series Preferred shall have the following rights with respect to the conversion of the Series Preferred into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207" w:lineRule="exact"/>
        <w:rPr>
          <w:sz w:val="20"/>
          <w:szCs w:val="20"/>
          <w:color w:val="auto"/>
        </w:rPr>
      </w:pPr>
    </w:p>
    <w:p>
      <w:pPr>
        <w:ind w:firstLine="1492"/>
        <w:spacing w:after="0" w:line="281" w:lineRule="auto"/>
        <w:tabs>
          <w:tab w:leader="none" w:pos="1738"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Optional Conversion</w:t>
      </w:r>
      <w:r>
        <w:rPr>
          <w:rFonts w:ascii="Arial" w:cs="Arial" w:eastAsia="Arial" w:hAnsi="Arial"/>
          <w:sz w:val="17"/>
          <w:szCs w:val="17"/>
          <w:color w:val="auto"/>
        </w:rPr>
        <w:t>. Subject to and in compliance with the provisions of this Section 5, any shares of Series Preferred may,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of the holder, be converted at any time into fully-paid and nonassessable shares of Common Stock. The number of shares of Common Stock to which a holder of Series Preferred shall be entitled upon conversion shall be the product obtained by multiplying the applicable “Series Preferred Conversion Rate” then in effect (determined as provided in Section 5(b)) by the number of shares of Series Preferred being converted.</w:t>
      </w:r>
    </w:p>
    <w:p>
      <w:pPr>
        <w:spacing w:after="0" w:line="164" w:lineRule="exact"/>
        <w:rPr>
          <w:rFonts w:ascii="Arial" w:cs="Arial" w:eastAsia="Arial" w:hAnsi="Arial"/>
          <w:sz w:val="17"/>
          <w:szCs w:val="17"/>
          <w:b w:val="1"/>
          <w:bCs w:val="1"/>
          <w:color w:val="auto"/>
        </w:rPr>
      </w:pPr>
    </w:p>
    <w:p>
      <w:pPr>
        <w:jc w:val="both"/>
        <w:ind w:right="160" w:firstLine="1492"/>
        <w:spacing w:after="0" w:line="266" w:lineRule="auto"/>
        <w:tabs>
          <w:tab w:leader="none" w:pos="1748"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Series Preferred Conversion Rate</w:t>
      </w:r>
      <w:r>
        <w:rPr>
          <w:rFonts w:ascii="Arial" w:cs="Arial" w:eastAsia="Arial" w:hAnsi="Arial"/>
          <w:sz w:val="18"/>
          <w:szCs w:val="18"/>
          <w:color w:val="auto"/>
        </w:rPr>
        <w:t>. The conversion rate in effect at any time for the conversion of the Series Preferred (the “</w:t>
      </w:r>
      <w:r>
        <w:rPr>
          <w:rFonts w:ascii="Arial" w:cs="Arial" w:eastAsia="Arial" w:hAnsi="Arial"/>
          <w:sz w:val="18"/>
          <w:szCs w:val="18"/>
          <w:b w:val="1"/>
          <w:bCs w:val="1"/>
          <w:i w:val="1"/>
          <w:iCs w:val="1"/>
          <w:color w:val="auto"/>
        </w:rPr>
        <w:t>Series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Preferred Conversion Rate</w:t>
      </w:r>
      <w:r>
        <w:rPr>
          <w:rFonts w:ascii="Arial" w:cs="Arial" w:eastAsia="Arial" w:hAnsi="Arial"/>
          <w:sz w:val="18"/>
          <w:szCs w:val="18"/>
          <w:color w:val="auto"/>
        </w:rPr>
        <w:t>”) shall be the quotient obtained by dividing the applicable Original Issue Price of the Series Preferred by the applicable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Conversion Price,” calculated as provided in Section 5(c).</w:t>
      </w:r>
    </w:p>
    <w:p>
      <w:pPr>
        <w:spacing w:after="0" w:line="176" w:lineRule="exact"/>
        <w:rPr>
          <w:rFonts w:ascii="Arial" w:cs="Arial" w:eastAsia="Arial" w:hAnsi="Arial"/>
          <w:sz w:val="18"/>
          <w:szCs w:val="18"/>
          <w:b w:val="1"/>
          <w:bCs w:val="1"/>
          <w:color w:val="auto"/>
        </w:rPr>
      </w:pPr>
    </w:p>
    <w:p>
      <w:pPr>
        <w:ind w:right="20" w:firstLine="1492"/>
        <w:spacing w:after="0" w:line="292" w:lineRule="auto"/>
        <w:tabs>
          <w:tab w:leader="none" w:pos="1728"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Series Preferred Conversion Price</w:t>
      </w:r>
      <w:r>
        <w:rPr>
          <w:rFonts w:ascii="Arial" w:cs="Arial" w:eastAsia="Arial" w:hAnsi="Arial"/>
          <w:sz w:val="16"/>
          <w:szCs w:val="16"/>
          <w:color w:val="auto"/>
        </w:rPr>
        <w:t>. The conversion price of the Series B Preferred shall initially be the Original Issue Price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Preferred; the conversion price of the Series B-1 Preferred shall initially be the Original Issue Price of the Series B-1 Preferred; the conversion price of the Series B-2 Preferred shall initially be the Original Issue Price of the Series B-2 Preferred; the conversion price of the Series C Preferred shall initially be the Original Issue Price of the Series C Preferred; the conversion price of the Series C-1 Preferred shall initially be the Original Issue Price of the Series C-1 Preferred and the conversion price of the Series D Preferred shall initially be the Original Issue Price of the Series D Preferred (each such conversion price, the “</w:t>
      </w:r>
      <w:r>
        <w:rPr>
          <w:rFonts w:ascii="Arial" w:cs="Arial" w:eastAsia="Arial" w:hAnsi="Arial"/>
          <w:sz w:val="16"/>
          <w:szCs w:val="16"/>
          <w:b w:val="1"/>
          <w:bCs w:val="1"/>
          <w:i w:val="1"/>
          <w:iCs w:val="1"/>
          <w:color w:val="auto"/>
        </w:rPr>
        <w:t>Series Preferred Conversion Price</w:t>
      </w:r>
      <w:r>
        <w:rPr>
          <w:rFonts w:ascii="Arial" w:cs="Arial" w:eastAsia="Arial" w:hAnsi="Arial"/>
          <w:sz w:val="16"/>
          <w:szCs w:val="16"/>
          <w:color w:val="auto"/>
        </w:rPr>
        <w:t>”). Such initial Series Preferred Conversion Prices shall be adjusted from time to time in accordance with this Section 5. All references to the Series Preferred Conversion Price herein shall mean the Series Preferred Conversion Price as so adjusted.</w:t>
      </w:r>
    </w:p>
    <w:p>
      <w:pPr>
        <w:spacing w:after="0" w:line="165" w:lineRule="exact"/>
        <w:rPr>
          <w:rFonts w:ascii="Arial" w:cs="Arial" w:eastAsia="Arial" w:hAnsi="Arial"/>
          <w:sz w:val="16"/>
          <w:szCs w:val="16"/>
          <w:b w:val="1"/>
          <w:bCs w:val="1"/>
          <w:color w:val="auto"/>
        </w:rPr>
      </w:pPr>
    </w:p>
    <w:p>
      <w:pPr>
        <w:ind w:right="20" w:firstLine="1492"/>
        <w:spacing w:after="0" w:line="270" w:lineRule="auto"/>
        <w:tabs>
          <w:tab w:leader="none" w:pos="1748"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Mechanics of Conversion</w:t>
      </w:r>
      <w:r>
        <w:rPr>
          <w:rFonts w:ascii="Arial" w:cs="Arial" w:eastAsia="Arial" w:hAnsi="Arial"/>
          <w:sz w:val="17"/>
          <w:szCs w:val="17"/>
          <w:color w:val="auto"/>
        </w:rPr>
        <w:t>. Each holder of Series Preferred who desires to convert the same into shares of Common Stock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Section 5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12" w:name="page213"/>
    <w:bookmarkEnd w:id="212"/>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43" w:lineRule="exact"/>
        <w:rPr>
          <w:sz w:val="20"/>
          <w:szCs w:val="20"/>
          <w:color w:val="auto"/>
        </w:rPr>
      </w:pPr>
    </w:p>
    <w:p>
      <w:pPr>
        <w:ind w:firstLine="1492"/>
        <w:spacing w:after="0" w:line="295" w:lineRule="auto"/>
        <w:tabs>
          <w:tab w:leader="none" w:pos="1728"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Stock Splits and Combinations</w:t>
      </w:r>
      <w:r>
        <w:rPr>
          <w:rFonts w:ascii="Arial" w:cs="Arial" w:eastAsia="Arial" w:hAnsi="Arial"/>
          <w:sz w:val="16"/>
          <w:szCs w:val="16"/>
          <w:color w:val="auto"/>
        </w:rPr>
        <w:t>. If at any time or from time to time on or after the Filing Date the Company effects</w:t>
      </w:r>
      <w:r>
        <w:rPr>
          <w:rFonts w:ascii="Arial" w:cs="Arial" w:eastAsia="Arial" w:hAnsi="Arial"/>
          <w:sz w:val="16"/>
          <w:szCs w:val="16"/>
          <w:b w:val="1"/>
          <w:bCs w:val="1"/>
          <w:color w:val="auto"/>
        </w:rPr>
        <w:t xml:space="preserve"> </w:t>
      </w:r>
      <w:r>
        <w:rPr>
          <w:rFonts w:ascii="Arial" w:cs="Arial" w:eastAsia="Arial" w:hAnsi="Arial"/>
          <w:sz w:val="16"/>
          <w:szCs w:val="16"/>
          <w:color w:val="auto"/>
        </w:rPr>
        <w:t>a subdivision of the outstanding Common Stock without a corresponding subdivision of the Series Preferred, the Series Preferred Conversion Price for such series in effect immediately before that subdivision shall be proportionately decreased. Conversely, if at any time or from time to time after the Filing Date the Company combines the outstanding shares of Common Stock into a smaller number of shares without a corresponding combination of the Series Preferred, the Series Preferred Conversion Price for such series in effect immediately before the combination shall be proportionately increased. Any adjustment under this Section 5(e) shall become effective at the close of business on the date the subdivision or combination becomes effective.</w:t>
      </w:r>
    </w:p>
    <w:p>
      <w:pPr>
        <w:spacing w:after="0" w:line="155" w:lineRule="exact"/>
        <w:rPr>
          <w:rFonts w:ascii="Arial" w:cs="Arial" w:eastAsia="Arial" w:hAnsi="Arial"/>
          <w:sz w:val="16"/>
          <w:szCs w:val="16"/>
          <w:b w:val="1"/>
          <w:bCs w:val="1"/>
          <w:color w:val="auto"/>
        </w:rPr>
      </w:pPr>
    </w:p>
    <w:p>
      <w:pPr>
        <w:ind w:right="40" w:firstLine="1492"/>
        <w:spacing w:after="0" w:line="261" w:lineRule="auto"/>
        <w:tabs>
          <w:tab w:leader="none" w:pos="1708"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for Common Stock Dividends and Distributions</w:t>
      </w:r>
      <w:r>
        <w:rPr>
          <w:rFonts w:ascii="Arial" w:cs="Arial" w:eastAsia="Arial" w:hAnsi="Arial"/>
          <w:sz w:val="18"/>
          <w:szCs w:val="18"/>
          <w:color w:val="auto"/>
        </w:rPr>
        <w:t>. If at any time or from time to time on or after the Filing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pays to holders of Common Stock a dividend or other distribution in additional shares of Common Stock without a corresponding dividend or other distribution to holders of Preferred Stock, the Series Preferred Conversion Price for such series then in effect shall be decreased as of the time of such issuance, as provided below:</w:t>
      </w:r>
    </w:p>
    <w:p>
      <w:pPr>
        <w:spacing w:after="0" w:line="184" w:lineRule="exact"/>
        <w:rPr>
          <w:rFonts w:ascii="Arial" w:cs="Arial" w:eastAsia="Arial" w:hAnsi="Arial"/>
          <w:sz w:val="18"/>
          <w:szCs w:val="18"/>
          <w:b w:val="1"/>
          <w:bCs w:val="1"/>
          <w:color w:val="auto"/>
        </w:rPr>
      </w:pPr>
    </w:p>
    <w:p>
      <w:pPr>
        <w:ind w:right="40" w:firstLine="1948"/>
        <w:spacing w:after="0" w:line="277" w:lineRule="auto"/>
        <w:tabs>
          <w:tab w:leader="none" w:pos="2155"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The Series Preferred Conversion Price for such series shall be adjusted by multiplying the Series Preferred Conversion Price for such series then in effect by a fraction equal to:</w:t>
      </w:r>
    </w:p>
    <w:p>
      <w:pPr>
        <w:spacing w:after="0" w:line="170" w:lineRule="exact"/>
        <w:rPr>
          <w:rFonts w:ascii="Arial" w:cs="Arial" w:eastAsia="Arial" w:hAnsi="Arial"/>
          <w:sz w:val="18"/>
          <w:szCs w:val="18"/>
          <w:b w:val="1"/>
          <w:bCs w:val="1"/>
          <w:color w:val="auto"/>
        </w:rPr>
      </w:pPr>
    </w:p>
    <w:p>
      <w:pPr>
        <w:ind w:left="2700" w:hanging="296"/>
        <w:spacing w:after="0"/>
        <w:tabs>
          <w:tab w:leader="none" w:pos="2700" w:val="left"/>
        </w:tabs>
        <w:numPr>
          <w:ilvl w:val="2"/>
          <w:numId w:val="164"/>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time of such issuance, and</w:t>
      </w:r>
    </w:p>
    <w:p>
      <w:pPr>
        <w:spacing w:after="0" w:line="210" w:lineRule="exact"/>
        <w:rPr>
          <w:rFonts w:ascii="Arial" w:cs="Arial" w:eastAsia="Arial" w:hAnsi="Arial"/>
          <w:sz w:val="16"/>
          <w:szCs w:val="16"/>
          <w:b w:val="1"/>
          <w:bCs w:val="1"/>
          <w:color w:val="auto"/>
        </w:rPr>
      </w:pPr>
    </w:p>
    <w:p>
      <w:pPr>
        <w:ind w:right="220" w:firstLine="2404"/>
        <w:spacing w:after="0" w:line="308" w:lineRule="auto"/>
        <w:tabs>
          <w:tab w:leader="none" w:pos="2681" w:val="left"/>
        </w:tabs>
        <w:numPr>
          <w:ilvl w:val="2"/>
          <w:numId w:val="164"/>
        </w:numPr>
        <w:rPr>
          <w:rFonts w:ascii="Arial" w:cs="Arial" w:eastAsia="Arial" w:hAnsi="Arial"/>
          <w:sz w:val="17"/>
          <w:szCs w:val="17"/>
          <w:b w:val="1"/>
          <w:bCs w:val="1"/>
          <w:color w:val="auto"/>
        </w:rPr>
      </w:pPr>
      <w:r>
        <w:rPr>
          <w:rFonts w:ascii="Arial" w:cs="Arial" w:eastAsia="Arial" w:hAnsi="Arial"/>
          <w:sz w:val="17"/>
          <w:szCs w:val="17"/>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146" w:lineRule="exact"/>
        <w:rPr>
          <w:rFonts w:ascii="Arial" w:cs="Arial" w:eastAsia="Arial" w:hAnsi="Arial"/>
          <w:sz w:val="17"/>
          <w:szCs w:val="17"/>
          <w:b w:val="1"/>
          <w:bCs w:val="1"/>
          <w:color w:val="auto"/>
        </w:rPr>
      </w:pPr>
    </w:p>
    <w:p>
      <w:pPr>
        <w:ind w:right="80" w:firstLine="1948"/>
        <w:spacing w:after="0" w:line="286" w:lineRule="auto"/>
        <w:tabs>
          <w:tab w:leader="none" w:pos="2205" w:val="left"/>
        </w:tabs>
        <w:numPr>
          <w:ilvl w:val="1"/>
          <w:numId w:val="164"/>
        </w:numPr>
        <w:rPr>
          <w:rFonts w:ascii="Arial" w:cs="Arial" w:eastAsia="Arial" w:hAnsi="Arial"/>
          <w:sz w:val="17"/>
          <w:szCs w:val="17"/>
          <w:b w:val="1"/>
          <w:bCs w:val="1"/>
          <w:color w:val="auto"/>
        </w:rPr>
      </w:pPr>
      <w:r>
        <w:rPr>
          <w:rFonts w:ascii="Arial" w:cs="Arial" w:eastAsia="Arial" w:hAnsi="Arial"/>
          <w:sz w:val="17"/>
          <w:szCs w:val="17"/>
          <w:color w:val="auto"/>
        </w:rPr>
        <w:t>If the Company fixes a record date to determine which holders of Common Stock are entitled to receive such dividend or other distribution, the Series Preferred Conversion Price for each series of Series Preferred shall be fixed as of the close of business on such record date and the number of shares of Common Stock shall be calculated immediately prior to the close of business on such record date; and</w:t>
      </w:r>
    </w:p>
    <w:p>
      <w:pPr>
        <w:spacing w:after="0" w:line="165" w:lineRule="exact"/>
        <w:rPr>
          <w:rFonts w:ascii="Arial" w:cs="Arial" w:eastAsia="Arial" w:hAnsi="Arial"/>
          <w:sz w:val="17"/>
          <w:szCs w:val="17"/>
          <w:b w:val="1"/>
          <w:bCs w:val="1"/>
          <w:color w:val="auto"/>
        </w:rPr>
      </w:pPr>
    </w:p>
    <w:p>
      <w:pPr>
        <w:ind w:right="120" w:firstLine="1948"/>
        <w:spacing w:after="0" w:line="259" w:lineRule="auto"/>
        <w:tabs>
          <w:tab w:leader="none" w:pos="2255"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If such record date is fixed and such dividend is not fully paid or if such distribution is not fully made on the date fixed therefor, the Series Preferred Conversion Price for each series of Series Preferred shall be recomputed accordingly as of the close of business on such record date and thereafter the Series Preferred Conversion Price for each series of Series Preferred shall be adjusted pursuant to this Section 5(f) to reflect the actual payment of such dividend or distribution.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13" w:name="page214"/>
    <w:bookmarkEnd w:id="213"/>
    <w:p>
      <w:pPr>
        <w:ind w:firstLine="1492"/>
        <w:spacing w:after="0" w:line="269" w:lineRule="auto"/>
        <w:tabs>
          <w:tab w:leader="none" w:pos="1738"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for Reclassification, Exchange, Substitution, Reorganization, Merger or Consolidation</w:t>
      </w:r>
      <w:r>
        <w:rPr>
          <w:rFonts w:ascii="Arial" w:cs="Arial" w:eastAsia="Arial" w:hAnsi="Arial"/>
          <w:sz w:val="17"/>
          <w:szCs w:val="17"/>
          <w:color w:val="auto"/>
        </w:rPr>
        <w:t>. If at any time on or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Filing Date the Common Stock issuable upon the conversion of a series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such series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such series of Series Preferred after the capital reorganization to the end that the provisions of this Section 5 (including adjustment of the Series Preferred Conversion Price for such series of Series Preferred then in effect and the number of shares issuable upon conversion of such series of Series Preferred) shall be applicable after that event and be as nearly equivalent as practicable.</w:t>
      </w:r>
    </w:p>
    <w:p>
      <w:pPr>
        <w:spacing w:after="0" w:line="179" w:lineRule="exact"/>
        <w:rPr>
          <w:rFonts w:ascii="Arial" w:cs="Arial" w:eastAsia="Arial" w:hAnsi="Arial"/>
          <w:sz w:val="17"/>
          <w:szCs w:val="17"/>
          <w:b w:val="1"/>
          <w:bCs w:val="1"/>
          <w:color w:val="auto"/>
        </w:rPr>
      </w:pPr>
    </w:p>
    <w:p>
      <w:pPr>
        <w:ind w:left="1760" w:hanging="268"/>
        <w:spacing w:after="0"/>
        <w:tabs>
          <w:tab w:leader="none" w:pos="17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948"/>
        <w:spacing w:after="0" w:line="255" w:lineRule="auto"/>
        <w:tabs>
          <w:tab w:leader="none" w:pos="2155"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after the Filing Date, the Company issues or sells, or is deemed by the express provisions of this Section 5(h) to have issued or sold, Additional Shares of Common Stock, other than as provided in Section 5(e), 5(f) or 5(g) above, for an Effective Price less than the then-effective Series Preferred Conversion Price for the Series D Preferred, Series C-1 Preferred, Series C Preferred, Series B Preferred and Series B-1 Preferred, as applicable (a “</w:t>
      </w:r>
      <w:r>
        <w:rPr>
          <w:rFonts w:ascii="Arial" w:cs="Arial" w:eastAsia="Arial" w:hAnsi="Arial"/>
          <w:sz w:val="18"/>
          <w:szCs w:val="18"/>
          <w:b w:val="1"/>
          <w:bCs w:val="1"/>
          <w:i w:val="1"/>
          <w:iCs w:val="1"/>
          <w:color w:val="auto"/>
        </w:rPr>
        <w:t>Qualifying Dilutive Issuance</w:t>
      </w:r>
      <w:r>
        <w:rPr>
          <w:rFonts w:ascii="Arial" w:cs="Arial" w:eastAsia="Arial" w:hAnsi="Arial"/>
          <w:sz w:val="18"/>
          <w:szCs w:val="18"/>
          <w:color w:val="auto"/>
        </w:rPr>
        <w:t>”), then and in each such case, the then-existing Series Preferred Conversion Price (other than the Conversion Price of the Series B-2 Preferred) for such series of Series Preferred shall be reduced, as of the opening of business on the date of such issue or sale, to a price determined by multiplying the Series Preferred Conversion Price for such series in effect immediately prior to such issuance or sale by a fraction equal to:</w:t>
      </w:r>
    </w:p>
    <w:p>
      <w:pPr>
        <w:spacing w:after="0" w:line="189" w:lineRule="exact"/>
        <w:rPr>
          <w:rFonts w:ascii="Arial" w:cs="Arial" w:eastAsia="Arial" w:hAnsi="Arial"/>
          <w:sz w:val="18"/>
          <w:szCs w:val="18"/>
          <w:b w:val="1"/>
          <w:bCs w:val="1"/>
          <w:color w:val="auto"/>
        </w:rPr>
      </w:pPr>
    </w:p>
    <w:p>
      <w:pPr>
        <w:ind w:right="40" w:firstLine="2404"/>
        <w:spacing w:after="0" w:line="259" w:lineRule="auto"/>
        <w:tabs>
          <w:tab w:leader="none" w:pos="2691" w:val="left"/>
        </w:tabs>
        <w:numPr>
          <w:ilvl w:val="2"/>
          <w:numId w:val="165"/>
        </w:numPr>
        <w:rPr>
          <w:rFonts w:ascii="Arial" w:cs="Arial" w:eastAsia="Arial" w:hAnsi="Arial"/>
          <w:sz w:val="18"/>
          <w:szCs w:val="18"/>
          <w:b w:val="1"/>
          <w:bCs w:val="1"/>
          <w:color w:val="auto"/>
        </w:rPr>
      </w:pPr>
      <w:r>
        <w:rPr>
          <w:rFonts w:ascii="Arial" w:cs="Arial" w:eastAsia="Arial" w:hAnsi="Arial"/>
          <w:sz w:val="18"/>
          <w:szCs w:val="18"/>
          <w:color w:val="auto"/>
        </w:rPr>
        <w:t>the numerator of which shall be (A) the number of shares of Common Stock deemed outstanding (as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Series Preferred Conversion Price, and</w:t>
      </w:r>
    </w:p>
    <w:p>
      <w:pPr>
        <w:spacing w:after="0" w:line="186" w:lineRule="exact"/>
        <w:rPr>
          <w:rFonts w:ascii="Arial" w:cs="Arial" w:eastAsia="Arial" w:hAnsi="Arial"/>
          <w:sz w:val="18"/>
          <w:szCs w:val="18"/>
          <w:b w:val="1"/>
          <w:bCs w:val="1"/>
          <w:color w:val="auto"/>
        </w:rPr>
      </w:pPr>
    </w:p>
    <w:p>
      <w:pPr>
        <w:ind w:right="180" w:firstLine="2404"/>
        <w:spacing w:after="0" w:line="277" w:lineRule="auto"/>
        <w:tabs>
          <w:tab w:leader="none" w:pos="2681" w:val="left"/>
        </w:tabs>
        <w:numPr>
          <w:ilvl w:val="2"/>
          <w:numId w:val="165"/>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purposes of the preceding sentence, the number of shares of Common Stock deemed to be outstanding as of a given date shall be the sum of (A) the number of shares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214" w:name="page215"/>
    <w:bookmarkEnd w:id="214"/>
    <w:p>
      <w:pPr>
        <w:jc w:val="both"/>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outstanding, (B) the number of shares of Common Stock into which the then outstanding shares of Series Preferred could be converted if fully converted on the day immediately preceding the given date, and (C) the number of shares of Common Stock which are issuable upon the exercise or conversion of all other rights, options and convertible securities outstanding on the day immediately preceding the given date.</w:t>
      </w:r>
    </w:p>
    <w:p>
      <w:pPr>
        <w:spacing w:after="0" w:line="166" w:lineRule="exact"/>
        <w:rPr>
          <w:sz w:val="20"/>
          <w:szCs w:val="20"/>
          <w:color w:val="auto"/>
        </w:rPr>
      </w:pPr>
    </w:p>
    <w:p>
      <w:pPr>
        <w:ind w:right="120" w:firstLine="1948"/>
        <w:spacing w:after="0" w:line="257" w:lineRule="auto"/>
        <w:tabs>
          <w:tab w:leader="none" w:pos="2205"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the Series Preferred Conversion Price for any series of Series Preferred in an amount less than $0.01 per share. Any adjustment required by this Section 5(h) shall be rounded to the nearest $0.01 per share. Any adjustment otherwise required by this Section 5(h) that is not required to be made due to the preceding two sentences shall be included in any subsequent adjustment to the Series Preferred Conversion Price for such series of Series Preferred. Further, no adjustment shall be made to the Series B-2 Preferred Conversion Price pursuant to this Section 5(h).</w:t>
      </w:r>
    </w:p>
    <w:p>
      <w:pPr>
        <w:spacing w:after="0" w:line="188" w:lineRule="exact"/>
        <w:rPr>
          <w:rFonts w:ascii="Arial" w:cs="Arial" w:eastAsia="Arial" w:hAnsi="Arial"/>
          <w:sz w:val="18"/>
          <w:szCs w:val="18"/>
          <w:b w:val="1"/>
          <w:bCs w:val="1"/>
          <w:color w:val="auto"/>
        </w:rPr>
      </w:pPr>
    </w:p>
    <w:p>
      <w:pPr>
        <w:ind w:firstLine="1948"/>
        <w:spacing w:after="0" w:line="270" w:lineRule="auto"/>
        <w:tabs>
          <w:tab w:leader="none" w:pos="2255"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For the purpose of making any adjustment required under this Section 5(h),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be computed at the fair market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to be allocable to such Additional Shares of Common Stock, Convertible Securities or rights or options.</w:t>
      </w:r>
    </w:p>
    <w:p>
      <w:pPr>
        <w:spacing w:after="0" w:line="181" w:lineRule="exact"/>
        <w:rPr>
          <w:rFonts w:ascii="Arial" w:cs="Arial" w:eastAsia="Arial" w:hAnsi="Arial"/>
          <w:sz w:val="17"/>
          <w:szCs w:val="17"/>
          <w:b w:val="1"/>
          <w:bCs w:val="1"/>
          <w:color w:val="auto"/>
        </w:rPr>
      </w:pPr>
    </w:p>
    <w:p>
      <w:pPr>
        <w:ind w:right="20" w:firstLine="1948"/>
        <w:spacing w:after="0" w:line="290" w:lineRule="auto"/>
        <w:tabs>
          <w:tab w:leader="none" w:pos="2245"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For the purpose of the adjustment required under this Section 5(h), if the Company issues or sells (x) Preferred Stock or other stock, options, warrants, purchase rights or other securities exercisable for or convertible into, Additional Shares of Common Stock (such convertible stock or securities being herein referred to as “</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or (y) rights or options for the purchase of Additional Shares of Common Stock or Convertible Securities and if the Effective Price of such Additional Shares of Common Stock is less than the Series Preferred Conversion Price for the Series D Preferred, Series C-1 Preferred, Series C Preferred, Series B Preferred or Series B-1 Preferred,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6" w:lineRule="exact"/>
        <w:rPr>
          <w:sz w:val="20"/>
          <w:szCs w:val="20"/>
          <w:color w:val="auto"/>
        </w:rPr>
      </w:pPr>
    </w:p>
    <w:p>
      <w:pPr>
        <w:ind w:right="240" w:firstLine="2404"/>
        <w:spacing w:after="0" w:line="277" w:lineRule="auto"/>
        <w:tabs>
          <w:tab w:leader="none" w:pos="2691"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in the case of such rights or options, the minimum amounts of consideration, if any, payable to the Company upon the exercise of such rights or options;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15" w:name="page216"/>
    <w:bookmarkEnd w:id="215"/>
    <w:p>
      <w:pPr>
        <w:ind w:firstLine="2404"/>
        <w:spacing w:after="0" w:line="259" w:lineRule="auto"/>
        <w:tabs>
          <w:tab w:leader="none" w:pos="2681"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86" w:lineRule="exact"/>
        <w:rPr>
          <w:rFonts w:ascii="Arial" w:cs="Arial" w:eastAsia="Arial" w:hAnsi="Arial"/>
          <w:sz w:val="18"/>
          <w:szCs w:val="18"/>
          <w:b w:val="1"/>
          <w:bCs w:val="1"/>
          <w:color w:val="auto"/>
        </w:rPr>
      </w:pPr>
    </w:p>
    <w:p>
      <w:pPr>
        <w:ind w:right="20" w:firstLine="2404"/>
        <w:spacing w:after="0" w:line="255" w:lineRule="auto"/>
        <w:tabs>
          <w:tab w:leader="none" w:pos="2691"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93" w:lineRule="exact"/>
        <w:rPr>
          <w:rFonts w:ascii="Arial" w:cs="Arial" w:eastAsia="Arial" w:hAnsi="Arial"/>
          <w:sz w:val="18"/>
          <w:szCs w:val="18"/>
          <w:b w:val="1"/>
          <w:bCs w:val="1"/>
          <w:color w:val="auto"/>
        </w:rPr>
      </w:pPr>
    </w:p>
    <w:p>
      <w:pPr>
        <w:ind w:right="20" w:firstLine="2404"/>
        <w:spacing w:after="0" w:line="269" w:lineRule="auto"/>
        <w:tabs>
          <w:tab w:leader="none" w:pos="2691" w:val="left"/>
        </w:tabs>
        <w:numPr>
          <w:ilvl w:val="1"/>
          <w:numId w:val="168"/>
        </w:numPr>
        <w:rPr>
          <w:rFonts w:ascii="Arial" w:cs="Arial" w:eastAsia="Arial" w:hAnsi="Arial"/>
          <w:sz w:val="17"/>
          <w:szCs w:val="17"/>
          <w:b w:val="1"/>
          <w:bCs w:val="1"/>
          <w:color w:val="auto"/>
        </w:rPr>
      </w:pPr>
      <w:r>
        <w:rPr>
          <w:rFonts w:ascii="Arial" w:cs="Arial" w:eastAsia="Arial" w:hAnsi="Arial"/>
          <w:sz w:val="17"/>
          <w:szCs w:val="17"/>
          <w:color w:val="auto"/>
        </w:rPr>
        <w:t>No further adjustment of the Series Preferred Conversion Price for a series of Series Preferred,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Series Preferred Conversion Price for such series as adjusted upon the issuance of such rights, options or Convertible Securities shall be readjusted to the Series Preferred Conversion Price for such series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provided that such readjustment shall not apply to prior conversions of Series Preferred.</w:t>
      </w:r>
    </w:p>
    <w:p>
      <w:pPr>
        <w:spacing w:after="0" w:line="179" w:lineRule="exact"/>
        <w:rPr>
          <w:rFonts w:ascii="Arial" w:cs="Arial" w:eastAsia="Arial" w:hAnsi="Arial"/>
          <w:sz w:val="17"/>
          <w:szCs w:val="17"/>
          <w:b w:val="1"/>
          <w:bCs w:val="1"/>
          <w:color w:val="auto"/>
        </w:rPr>
      </w:pPr>
    </w:p>
    <w:p>
      <w:pPr>
        <w:ind w:left="2200" w:hanging="252"/>
        <w:spacing w:after="0"/>
        <w:tabs>
          <w:tab w:leader="none" w:pos="220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For the purpose of making any adjustment to the Conversion Price of the Series Preferred required under this Section 5(h).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Shares of Common Stock</w:t>
      </w:r>
      <w:r>
        <w:rPr>
          <w:rFonts w:ascii="Arial" w:cs="Arial" w:eastAsia="Arial" w:hAnsi="Arial"/>
          <w:sz w:val="16"/>
          <w:szCs w:val="16"/>
          <w:color w:val="auto"/>
        </w:rPr>
        <w:t>” shall mean all shares of Common Stock issued by the Company or deemed to be issued pursuant to this Section 5(h)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shares of Common Stock subsequently reacquired or retired by the Company), other than:</w:t>
      </w:r>
    </w:p>
    <w:p>
      <w:pPr>
        <w:spacing w:after="0" w:line="211" w:lineRule="exact"/>
        <w:rPr>
          <w:sz w:val="20"/>
          <w:szCs w:val="20"/>
          <w:color w:val="auto"/>
        </w:rPr>
      </w:pPr>
    </w:p>
    <w:p>
      <w:pPr>
        <w:ind w:left="5620" w:right="3460" w:hanging="3216"/>
        <w:spacing w:after="0" w:line="449" w:lineRule="auto"/>
        <w:tabs>
          <w:tab w:leader="none" w:pos="2695"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 15</w:t>
      </w:r>
    </w:p>
    <w:p>
      <w:pPr>
        <w:sectPr>
          <w:pgSz w:w="11900" w:h="16838" w:orient="portrait"/>
          <w:cols w:equalWidth="0" w:num="1">
            <w:col w:w="11420"/>
          </w:cols>
          <w:pgMar w:left="240" w:top="274" w:right="239" w:bottom="1440" w:gutter="0" w:footer="0" w:header="0"/>
        </w:sectPr>
      </w:pPr>
    </w:p>
    <w:bookmarkStart w:id="216" w:name="page217"/>
    <w:bookmarkEnd w:id="216"/>
    <w:p>
      <w:pPr>
        <w:ind w:left="2680" w:hanging="276"/>
        <w:spacing w:after="0"/>
        <w:tabs>
          <w:tab w:leader="none" w:pos="268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issued in connection with a Qualified IPO (as defined below);</w:t>
      </w:r>
    </w:p>
    <w:p>
      <w:pPr>
        <w:spacing w:after="0" w:line="225" w:lineRule="exact"/>
        <w:rPr>
          <w:rFonts w:ascii="Arial" w:cs="Arial" w:eastAsia="Arial" w:hAnsi="Arial"/>
          <w:sz w:val="18"/>
          <w:szCs w:val="18"/>
          <w:b w:val="1"/>
          <w:bCs w:val="1"/>
          <w:color w:val="auto"/>
        </w:rPr>
      </w:pPr>
    </w:p>
    <w:p>
      <w:pPr>
        <w:ind w:firstLine="2404"/>
        <w:spacing w:after="0" w:line="264" w:lineRule="auto"/>
        <w:tabs>
          <w:tab w:leader="none" w:pos="2691"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Filing Date to employees, officers or directors of, or consultants or advisors to, the Company or any subsidiary pursuant to stock purchase or stock option plans or other arrangements that are approved by the Board;</w:t>
      </w:r>
    </w:p>
    <w:p>
      <w:pPr>
        <w:spacing w:after="0" w:line="181" w:lineRule="exact"/>
        <w:rPr>
          <w:rFonts w:ascii="Arial" w:cs="Arial" w:eastAsia="Arial" w:hAnsi="Arial"/>
          <w:sz w:val="18"/>
          <w:szCs w:val="18"/>
          <w:b w:val="1"/>
          <w:bCs w:val="1"/>
          <w:color w:val="auto"/>
        </w:rPr>
      </w:pPr>
    </w:p>
    <w:p>
      <w:pPr>
        <w:ind w:left="2700" w:hanging="296"/>
        <w:spacing w:after="0"/>
        <w:tabs>
          <w:tab w:leader="none" w:pos="2700"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shares of Common Stock issued pursuant to the exercise of Convertible Securities outstanding as of the Filing Date;</w:t>
      </w:r>
    </w:p>
    <w:p>
      <w:pPr>
        <w:spacing w:after="0" w:line="248" w:lineRule="exact"/>
        <w:rPr>
          <w:rFonts w:ascii="Arial" w:cs="Arial" w:eastAsia="Arial" w:hAnsi="Arial"/>
          <w:sz w:val="16"/>
          <w:szCs w:val="16"/>
          <w:b w:val="1"/>
          <w:bCs w:val="1"/>
          <w:color w:val="auto"/>
        </w:rPr>
      </w:pPr>
    </w:p>
    <w:p>
      <w:pPr>
        <w:ind w:right="200" w:firstLine="2404"/>
        <w:spacing w:after="0" w:line="342" w:lineRule="auto"/>
        <w:tabs>
          <w:tab w:leader="none" w:pos="2681"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 xml:space="preserve">shares of Common Stock or Convertible Securities issued for consideration other than cash pursuant to a merger, consolidation, acquisition, strategic alliance or similar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issuance of shares therein has been approved by the Board;</w:t>
      </w:r>
    </w:p>
    <w:p>
      <w:pPr>
        <w:spacing w:after="0" w:line="123" w:lineRule="exact"/>
        <w:rPr>
          <w:rFonts w:ascii="Arial" w:cs="Arial" w:eastAsia="Arial" w:hAnsi="Arial"/>
          <w:sz w:val="16"/>
          <w:szCs w:val="16"/>
          <w:b w:val="1"/>
          <w:bCs w:val="1"/>
          <w:color w:val="auto"/>
        </w:rPr>
      </w:pPr>
    </w:p>
    <w:p>
      <w:pPr>
        <w:ind w:firstLine="2404"/>
        <w:spacing w:after="0" w:line="264" w:lineRule="auto"/>
        <w:tabs>
          <w:tab w:leader="none" w:pos="2671"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 xml:space="preserve">shares of Common Stock or Convertible Securities issued pursuant to any equipment loan or leasing arrangement, real property leasing arrangement or debt financing from a bank or similar financial institution;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issuance of shares therein has been approved by the Board;</w:t>
      </w:r>
    </w:p>
    <w:p>
      <w:pPr>
        <w:spacing w:after="0" w:line="181" w:lineRule="exact"/>
        <w:rPr>
          <w:rFonts w:ascii="Arial" w:cs="Arial" w:eastAsia="Arial" w:hAnsi="Arial"/>
          <w:sz w:val="18"/>
          <w:szCs w:val="18"/>
          <w:b w:val="1"/>
          <w:bCs w:val="1"/>
          <w:color w:val="auto"/>
        </w:rPr>
      </w:pPr>
    </w:p>
    <w:p>
      <w:pPr>
        <w:ind w:right="100" w:firstLine="2404"/>
        <w:spacing w:after="0" w:line="308" w:lineRule="auto"/>
        <w:tabs>
          <w:tab w:leader="none" w:pos="2701"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 xml:space="preserve">shares of Common Stock or Convertible Securities issued to third-party service providers in exchange for or as partial consideration for services rendered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Board;</w:t>
      </w:r>
    </w:p>
    <w:p>
      <w:pPr>
        <w:spacing w:after="0" w:line="146" w:lineRule="exact"/>
        <w:rPr>
          <w:rFonts w:ascii="Arial" w:cs="Arial" w:eastAsia="Arial" w:hAnsi="Arial"/>
          <w:sz w:val="17"/>
          <w:szCs w:val="17"/>
          <w:b w:val="1"/>
          <w:bCs w:val="1"/>
          <w:color w:val="auto"/>
        </w:rPr>
      </w:pPr>
    </w:p>
    <w:p>
      <w:pPr>
        <w:ind w:right="140" w:firstLine="2404"/>
        <w:spacing w:after="0" w:line="264" w:lineRule="auto"/>
        <w:tabs>
          <w:tab w:leader="none" w:pos="2701"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any Common Stock or Convertible Securities issued in connection with strategic transactions involving the Company and other entities, including, without limitation, (i) joint ventures, manufacturing, marketing or distribution arrangements or (ii) technology transfer or development arrangements; provided that the issuance of shares therein has been approved by the Board; and</w:t>
      </w:r>
    </w:p>
    <w:p>
      <w:pPr>
        <w:spacing w:after="0" w:line="181" w:lineRule="exact"/>
        <w:rPr>
          <w:rFonts w:ascii="Arial" w:cs="Arial" w:eastAsia="Arial" w:hAnsi="Arial"/>
          <w:sz w:val="18"/>
          <w:szCs w:val="18"/>
          <w:b w:val="1"/>
          <w:bCs w:val="1"/>
          <w:color w:val="auto"/>
        </w:rPr>
      </w:pPr>
    </w:p>
    <w:p>
      <w:pPr>
        <w:ind w:right="20" w:firstLine="2404"/>
        <w:spacing w:after="0" w:line="308" w:lineRule="auto"/>
        <w:tabs>
          <w:tab w:leader="none" w:pos="2631"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pursuant to the that certain Series D Preferred Stock Purchase Agreement by and among the Company and the individuals and entities identified on Exhibit A thereto, dated on or around the date hereof;</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total number of shares excluded from the definition of Additional Shares of Common Stock pursuant to subsections (E), (F),</w:t>
      </w:r>
    </w:p>
    <w:p>
      <w:pPr>
        <w:spacing w:after="0" w:line="46" w:lineRule="exact"/>
        <w:rPr>
          <w:sz w:val="20"/>
          <w:szCs w:val="20"/>
          <w:color w:val="auto"/>
        </w:rPr>
      </w:pPr>
    </w:p>
    <w:p>
      <w:pPr>
        <w:ind w:firstLine="8"/>
        <w:spacing w:after="0" w:line="261" w:lineRule="auto"/>
        <w:tabs>
          <w:tab w:leader="none" w:pos="2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and (H) above shall not exceed 3,000,000 shares in the aggregate (as adjusted for any stock dividends, combinations, splits, recapitalizations and the like with respect to such shares after the Filing Date).</w:t>
      </w:r>
    </w:p>
    <w:p>
      <w:pPr>
        <w:spacing w:after="0" w:line="184" w:lineRule="exact"/>
        <w:rPr>
          <w:sz w:val="20"/>
          <w:szCs w:val="20"/>
          <w:color w:val="auto"/>
        </w:rPr>
      </w:pPr>
    </w:p>
    <w:p>
      <w:pPr>
        <w:ind w:right="340" w:firstLine="913"/>
        <w:spacing w:after="0" w:line="279"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74" w:right="359" w:bottom="1440" w:gutter="0" w:footer="0" w:header="0"/>
        </w:sectPr>
      </w:pPr>
    </w:p>
    <w:bookmarkStart w:id="217" w:name="page218"/>
    <w:bookmarkEnd w:id="21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under this Section 5(h), for such Additional Shares of Common Stock. In the event that the number of shares of Additional Shares of Common Stock or the Effective Price cannot be ascertained at the time of issuance (other than by virtue of antidilution provisions contained therein that have not yet been invoked), such Additional Shares of Common Stock shall be deemed issued immediately upon the occurrence of the first event that makes such number of shares or the Effective Price, as applicable, ascertainable.</w:t>
      </w:r>
    </w:p>
    <w:p>
      <w:pPr>
        <w:spacing w:after="0" w:line="187" w:lineRule="exact"/>
        <w:rPr>
          <w:sz w:val="20"/>
          <w:szCs w:val="20"/>
          <w:color w:val="auto"/>
        </w:rPr>
      </w:pPr>
    </w:p>
    <w:p>
      <w:pPr>
        <w:ind w:right="140" w:firstLine="1948"/>
        <w:spacing w:after="0" w:line="271" w:lineRule="auto"/>
        <w:tabs>
          <w:tab w:leader="none" w:pos="2245" w:val="left"/>
        </w:tabs>
        <w:numPr>
          <w:ilvl w:val="1"/>
          <w:numId w:val="173"/>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issues or sells, or is deemed to have issued or sold, Additional Shares of Common Stock in a Qualifying Dilutive Issuance (the “</w:t>
      </w:r>
      <w:r>
        <w:rPr>
          <w:rFonts w:ascii="Arial" w:cs="Arial" w:eastAsia="Arial" w:hAnsi="Arial"/>
          <w:sz w:val="17"/>
          <w:szCs w:val="17"/>
          <w:b w:val="1"/>
          <w:bCs w:val="1"/>
          <w:i w:val="1"/>
          <w:iCs w:val="1"/>
          <w:color w:val="auto"/>
        </w:rPr>
        <w:t>First Dilutive Issuance</w:t>
      </w:r>
      <w:r>
        <w:rPr>
          <w:rFonts w:ascii="Arial" w:cs="Arial" w:eastAsia="Arial" w:hAnsi="Arial"/>
          <w:sz w:val="17"/>
          <w:szCs w:val="17"/>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7"/>
          <w:szCs w:val="17"/>
          <w:b w:val="1"/>
          <w:bCs w:val="1"/>
          <w:i w:val="1"/>
          <w:iCs w:val="1"/>
          <w:color w:val="auto"/>
        </w:rPr>
        <w:t>Subsequent Dilutive Issuance</w:t>
      </w:r>
      <w:r>
        <w:rPr>
          <w:rFonts w:ascii="Arial" w:cs="Arial" w:eastAsia="Arial" w:hAnsi="Arial"/>
          <w:sz w:val="17"/>
          <w:szCs w:val="17"/>
          <w:color w:val="auto"/>
        </w:rPr>
        <w:t>”), then and in each such case upon a Subsequent Dilutive Issuance the applicable Series Preferred Conversion Price (other than the Series Preferred Conversion Price of the Series B-2 Preferred) shall be reduced to the Series Preferred Conversion Price that would have been in effect had the First Dilutive Issuance and each Subsequent Dilutive Issuance all occurred on the closing date of the First Dilutive Issuance. Qualifying Dilutive Issuances occurring within three months of each other shall be deemed to be part of the same transaction for the purposes of this subsection (vi).</w:t>
      </w:r>
    </w:p>
    <w:p>
      <w:pPr>
        <w:spacing w:after="0" w:line="174" w:lineRule="exact"/>
        <w:rPr>
          <w:rFonts w:ascii="Arial" w:cs="Arial" w:eastAsia="Arial" w:hAnsi="Arial"/>
          <w:sz w:val="17"/>
          <w:szCs w:val="17"/>
          <w:b w:val="1"/>
          <w:bCs w:val="1"/>
          <w:color w:val="auto"/>
        </w:rPr>
      </w:pPr>
    </w:p>
    <w:p>
      <w:pPr>
        <w:ind w:firstLine="1492"/>
        <w:spacing w:after="0" w:line="270" w:lineRule="auto"/>
        <w:tabs>
          <w:tab w:leader="none" w:pos="1698"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Certificate of Adjustment</w:t>
      </w:r>
      <w:r>
        <w:rPr>
          <w:rFonts w:ascii="Arial" w:cs="Arial" w:eastAsia="Arial" w:hAnsi="Arial"/>
          <w:sz w:val="17"/>
          <w:szCs w:val="17"/>
          <w:color w:val="auto"/>
        </w:rPr>
        <w:t>. In each case of an adjustment or readjustment of the Series Preferred Conversion Price for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or other securities issuable upon conversion of the Series Preferred, if such series of Series Preferred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such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Series Preferred Conversion Price for such series at the time in effect, (iii) the number of Additional Shares of Common Stock and (iv) the type and amount, if any, of other property which at the time would be received upon conversion of such series of Series Preferred. Failure to request or provide such notice shall have no effect on any such adjustment.</w:t>
      </w:r>
    </w:p>
    <w:p>
      <w:pPr>
        <w:spacing w:after="0" w:line="177" w:lineRule="exact"/>
        <w:rPr>
          <w:rFonts w:ascii="Arial" w:cs="Arial" w:eastAsia="Arial" w:hAnsi="Arial"/>
          <w:sz w:val="17"/>
          <w:szCs w:val="17"/>
          <w:b w:val="1"/>
          <w:bCs w:val="1"/>
          <w:color w:val="auto"/>
        </w:rPr>
      </w:pPr>
    </w:p>
    <w:p>
      <w:pPr>
        <w:ind w:right="20" w:firstLine="1492"/>
        <w:spacing w:after="0" w:line="295" w:lineRule="auto"/>
        <w:tabs>
          <w:tab w:leader="none" w:pos="1708"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Notices of Record Date</w:t>
      </w:r>
      <w:r>
        <w:rPr>
          <w:rFonts w:ascii="Arial" w:cs="Arial" w:eastAsia="Arial" w:hAnsi="Arial"/>
          <w:sz w:val="16"/>
          <w:szCs w:val="16"/>
          <w:color w:val="auto"/>
        </w:rPr>
        <w:t>. Upon (i) any taking by the Company of a record of the holders of any class of securities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Series Preferred at least 10 days prior to (a) the record date, if any, specified therein; or (b) if no record date is specified, the date upon which such action is to take effect (or., in either case, such shorter period approved by the holders of a</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18" w:name="page219"/>
    <w:bookmarkEnd w:id="218"/>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89" w:lineRule="exact"/>
        <w:rPr>
          <w:sz w:val="20"/>
          <w:szCs w:val="20"/>
          <w:color w:val="auto"/>
        </w:rPr>
      </w:pPr>
    </w:p>
    <w:p>
      <w:pPr>
        <w:ind w:left="1760" w:hanging="268"/>
        <w:spacing w:after="0"/>
        <w:tabs>
          <w:tab w:leader="none" w:pos="17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00" w:firstLine="1948"/>
        <w:spacing w:after="0" w:line="255" w:lineRule="auto"/>
        <w:tabs>
          <w:tab w:leader="none" w:pos="2155"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Each share of Series Preferred shall automatically be converted into shares of Common Stock, based on the then-effective Series Preferred Conversion Price for the applicable series, (A) at any time upon the affirmative election of the holders of at least a majority of the outstanding shares of the Series Preferred, voting together as a single class on an as-if-converted basis,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$50,000,000 (a “</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Upon such automatic conversion, any declared and unpaid dividends shall be paid in accordance with the provisions of Section 5(d).</w:t>
      </w:r>
    </w:p>
    <w:p>
      <w:pPr>
        <w:spacing w:after="0" w:line="189" w:lineRule="exact"/>
        <w:rPr>
          <w:rFonts w:ascii="Arial" w:cs="Arial" w:eastAsia="Arial" w:hAnsi="Arial"/>
          <w:sz w:val="18"/>
          <w:szCs w:val="18"/>
          <w:b w:val="1"/>
          <w:bCs w:val="1"/>
          <w:color w:val="auto"/>
        </w:rPr>
      </w:pPr>
    </w:p>
    <w:p>
      <w:pPr>
        <w:ind w:firstLine="1948"/>
        <w:spacing w:after="0" w:line="269" w:lineRule="auto"/>
        <w:tabs>
          <w:tab w:leader="none" w:pos="2205" w:val="left"/>
        </w:tabs>
        <w:numPr>
          <w:ilvl w:val="1"/>
          <w:numId w:val="175"/>
        </w:numPr>
        <w:rPr>
          <w:rFonts w:ascii="Arial" w:cs="Arial" w:eastAsia="Arial" w:hAnsi="Arial"/>
          <w:sz w:val="17"/>
          <w:szCs w:val="17"/>
          <w:b w:val="1"/>
          <w:bCs w:val="1"/>
          <w:color w:val="auto"/>
        </w:rPr>
      </w:pPr>
      <w:r>
        <w:rPr>
          <w:rFonts w:ascii="Arial" w:cs="Arial" w:eastAsia="Arial" w:hAnsi="Arial"/>
          <w:sz w:val="17"/>
          <w:szCs w:val="17"/>
          <w:color w:val="auto"/>
        </w:rPr>
        <w:t>Upon the occurrence of either of the events specified in Section 5(k)(i) above, the outstanding shares of Series Preferred shall be converted automatically without any further action by the holders of such shares and whether or not the certificates representing such shares are surrendered to the Company or its transfer agent; provided, however,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5(d).</w:t>
      </w:r>
    </w:p>
    <w:p>
      <w:pPr>
        <w:spacing w:after="0" w:line="178" w:lineRule="exact"/>
        <w:rPr>
          <w:rFonts w:ascii="Arial" w:cs="Arial" w:eastAsia="Arial" w:hAnsi="Arial"/>
          <w:sz w:val="17"/>
          <w:szCs w:val="17"/>
          <w:b w:val="1"/>
          <w:bCs w:val="1"/>
          <w:color w:val="auto"/>
        </w:rPr>
      </w:pPr>
    </w:p>
    <w:p>
      <w:pPr>
        <w:ind w:right="120" w:firstLine="1492"/>
        <w:spacing w:after="0" w:line="281" w:lineRule="auto"/>
        <w:tabs>
          <w:tab w:leader="none" w:pos="1698"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Fractional Shares</w:t>
      </w:r>
      <w:r>
        <w:rPr>
          <w:rFonts w:ascii="Arial" w:cs="Arial" w:eastAsia="Arial" w:hAnsi="Arial"/>
          <w:sz w:val="17"/>
          <w:szCs w:val="17"/>
          <w:color w:val="auto"/>
        </w:rPr>
        <w:t>. No fractional shares of Common Stock shall be issued upon conversion of Series Preferred. All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9" w:name="page220"/>
    <w:bookmarkEnd w:id="21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pay cash equal to the product of such fraction multiplied by the fair market value of one share of Common Stock (as determined by the Board) on the date of conversion.</w:t>
      </w:r>
    </w:p>
    <w:p>
      <w:pPr>
        <w:spacing w:after="0" w:line="166" w:lineRule="exact"/>
        <w:rPr>
          <w:sz w:val="20"/>
          <w:szCs w:val="20"/>
          <w:color w:val="auto"/>
        </w:rPr>
      </w:pPr>
    </w:p>
    <w:p>
      <w:pPr>
        <w:ind w:right="140" w:firstLine="1492"/>
        <w:spacing w:after="0" w:line="256" w:lineRule="auto"/>
        <w:tabs>
          <w:tab w:leader="none" w:pos="1798"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7" w:lineRule="exact"/>
        <w:rPr>
          <w:rFonts w:ascii="Arial" w:cs="Arial" w:eastAsia="Arial" w:hAnsi="Arial"/>
          <w:sz w:val="18"/>
          <w:szCs w:val="18"/>
          <w:b w:val="1"/>
          <w:bCs w:val="1"/>
          <w:color w:val="auto"/>
        </w:rPr>
      </w:pPr>
    </w:p>
    <w:p>
      <w:pPr>
        <w:ind w:firstLine="1492"/>
        <w:spacing w:after="0" w:line="298" w:lineRule="auto"/>
        <w:tabs>
          <w:tab w:leader="none" w:pos="1748"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required by the provisions of this Section 5 shall be in writing and shall be deemed effectively given: (i) upon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to the party to be notified, (ii) when sent by confirmed electronic transmission in compliance with the provisions of the DGCL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54" w:lineRule="exact"/>
        <w:rPr>
          <w:rFonts w:ascii="Arial" w:cs="Arial" w:eastAsia="Arial" w:hAnsi="Arial"/>
          <w:sz w:val="16"/>
          <w:szCs w:val="16"/>
          <w:b w:val="1"/>
          <w:bCs w:val="1"/>
          <w:color w:val="auto"/>
        </w:rPr>
      </w:pPr>
    </w:p>
    <w:p>
      <w:pPr>
        <w:ind w:right="40" w:firstLine="1492"/>
        <w:spacing w:after="0" w:line="261" w:lineRule="auto"/>
        <w:tabs>
          <w:tab w:leader="none" w:pos="1738"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The Company will pay all taxes (other than taxes based upon income) and other governmental charges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329" w:lineRule="exact"/>
        <w:rPr>
          <w:sz w:val="20"/>
          <w:szCs w:val="20"/>
          <w:color w:val="auto"/>
        </w:rPr>
      </w:pPr>
    </w:p>
    <w:p>
      <w:pPr>
        <w:ind w:left="1480" w:hanging="567"/>
        <w:spacing w:after="0"/>
        <w:tabs>
          <w:tab w:leader="none" w:pos="14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EISSUANCE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REFERRED</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shares or shares of Series Preferred acquired by the Company by reason of redemption, purchase, conversion or otherwise shall be reissued.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5" w:lineRule="exact"/>
        <w:rPr>
          <w:sz w:val="20"/>
          <w:szCs w:val="20"/>
          <w:color w:val="auto"/>
        </w:rPr>
      </w:pPr>
    </w:p>
    <w:p>
      <w:pPr>
        <w:jc w:val="both"/>
        <w:ind w:right="20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To the fullest extent permitted by the DGCL as the same exists or as may hereafter be amended, a director of the Company shall not be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liable to the Company or its stockholders for monetary damages for a breach of fiduciary duty as a director.</w:t>
      </w:r>
    </w:p>
    <w:p>
      <w:pPr>
        <w:spacing w:after="0" w:line="162" w:lineRule="exact"/>
        <w:rPr>
          <w:sz w:val="20"/>
          <w:szCs w:val="20"/>
          <w:color w:val="auto"/>
        </w:rPr>
      </w:pPr>
    </w:p>
    <w:p>
      <w:pPr>
        <w:jc w:val="both"/>
        <w:ind w:right="220" w:firstLine="456"/>
        <w:spacing w:after="0" w:line="261"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Company may indemnify to the fullest extent permitted by law any person made or threatened to be made a party to an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criminal, civil, administrative or investigative, by reason of the fact that he, his testator or intestate is or was a director, officer or employee of the Company or any predecessor of the Company or serves or served at any other enterprise as a director, officer or employee at the request of the Company or any predecessor to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0" w:name="page221"/>
    <w:bookmarkEnd w:id="220"/>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8"/>
          <w:szCs w:val="18"/>
          <w:color w:val="auto"/>
        </w:rPr>
        <w:t>The Company is authorized to provide indemnification of directors, officers, employees and other agents of the Company (and any other persons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applicable law permits the Company to provide indemnification) for breach of duty to the Company and its stockholders through bylaw provisions or through agreements with such directors, officers, employees or other agents, or through stockholder resolutions, or otherwise, in excess of the indemnification otherwise permitted by applicable law.</w:t>
      </w:r>
    </w:p>
    <w:p>
      <w:pPr>
        <w:spacing w:after="0" w:line="18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Any repeal or modification of this Article V shall only be prospective and shall not affect the rights under this Article V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occurrence of any action or omission to act giving rise to liability.</w:t>
      </w:r>
    </w:p>
    <w:p>
      <w:pPr>
        <w:spacing w:after="0" w:line="1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In the event that a member of the Board who is also a partner or employee of an entity that is a holder of Preferred Stock and that is in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investing and reinvesting in other entities, or an employee of an entity that manages such an entity (each, a “</w:t>
      </w:r>
      <w:r>
        <w:rPr>
          <w:rFonts w:ascii="Arial" w:cs="Arial" w:eastAsia="Arial" w:hAnsi="Arial"/>
          <w:sz w:val="18"/>
          <w:szCs w:val="18"/>
          <w:b w:val="1"/>
          <w:bCs w:val="1"/>
          <w:i w:val="1"/>
          <w:iCs w:val="1"/>
          <w:color w:val="auto"/>
        </w:rPr>
        <w:t>Fund</w:t>
      </w:r>
      <w:r>
        <w:rPr>
          <w:rFonts w:ascii="Arial" w:cs="Arial" w:eastAsia="Arial" w:hAnsi="Arial"/>
          <w:sz w:val="18"/>
          <w:szCs w:val="18"/>
          <w:color w:val="auto"/>
        </w:rPr>
        <w:t>”) acquires knowledge of a potential transaction or other matter in such individual’s capacity as a partner or employee of the Fund or the manager or general partner of the Fund (and other than directly in connection with such individual’ s service as a member of the Board) and that may be an opportunity of interest for both the Company and such Fund (a “</w:t>
      </w:r>
      <w:r>
        <w:rPr>
          <w:rFonts w:ascii="Arial" w:cs="Arial" w:eastAsia="Arial" w:hAnsi="Arial"/>
          <w:sz w:val="18"/>
          <w:szCs w:val="18"/>
          <w:b w:val="1"/>
          <w:bCs w:val="1"/>
          <w:i w:val="1"/>
          <w:iCs w:val="1"/>
          <w:color w:val="auto"/>
        </w:rPr>
        <w:t>Corporate Opportunity</w:t>
      </w:r>
      <w:r>
        <w:rPr>
          <w:rFonts w:ascii="Arial" w:cs="Arial" w:eastAsia="Arial" w:hAnsi="Arial"/>
          <w:sz w:val="18"/>
          <w:szCs w:val="18"/>
          <w:color w:val="auto"/>
        </w:rPr>
        <w:t>”), then the Company (i) renounces any expectancy that such director or Fund offer an opportunity to participate in such Corporate Opportunity to the Company and (ii) to the fullest extent permitted by law, waives any claim that such opportunity constituted a Corporate Opportunity that should have been presented by such director or Fund to the Company or any of its affiliates; provided, however, that such director acts in good faith.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66"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management of the business and the conduct of the affairs of the Company shall be vested in its Board. The number of directors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whole Board shall be fixed by the Board in the manner provided in the Bylaws, subject to any restrictions which may be set forth in this Restated Certificate.</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Board is expressly empowered to adopt, amend or repeal the Bylaws of the Company. The stockholders shall also have the power to adopt,</w:t>
      </w:r>
      <w:r>
        <w:rPr>
          <w:rFonts w:ascii="Arial" w:cs="Arial" w:eastAsia="Arial" w:hAnsi="Arial"/>
          <w:sz w:val="18"/>
          <w:szCs w:val="18"/>
          <w:b w:val="1"/>
          <w:bCs w:val="1"/>
          <w:color w:val="auto"/>
        </w:rPr>
        <w:t xml:space="preserve"> </w:t>
      </w:r>
      <w:r>
        <w:rPr>
          <w:rFonts w:ascii="Arial" w:cs="Arial" w:eastAsia="Arial" w:hAnsi="Arial"/>
          <w:sz w:val="18"/>
          <w:szCs w:val="18"/>
          <w:color w:val="auto"/>
        </w:rPr>
        <w:t>amend or repeal the Bylaws of the Company; provided however, that, in addition to any vote of the holders of any class or series of stock of the Company required by law or by this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directors of the Company need not be elected by written ballot unless the Bylaws so provide.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w:t>
      </w:r>
    </w:p>
    <w:p>
      <w:pPr>
        <w:ind w:firstLine="8"/>
        <w:spacing w:after="0" w:line="267" w:lineRule="auto"/>
        <w:tabs>
          <w:tab w:leader="none" w:pos="2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VII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 (including, without limitation, each portion of any sentence of this Article VII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5"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FOUR</w:t>
      </w:r>
      <w:r>
        <w:rPr>
          <w:rFonts w:ascii="Arial" w:cs="Arial" w:eastAsia="Arial" w:hAnsi="Arial"/>
          <w:sz w:val="18"/>
          <w:szCs w:val="18"/>
          <w:color w:val="auto"/>
        </w:rPr>
        <w:t>: This Amended and Restated Certificate of Incorporation has been duly approved by the Board.</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FIVE</w:t>
      </w:r>
      <w:r>
        <w:rPr>
          <w:rFonts w:ascii="Arial" w:cs="Arial" w:eastAsia="Arial" w:hAnsi="Arial"/>
          <w:sz w:val="18"/>
          <w:szCs w:val="18"/>
          <w:color w:val="auto"/>
        </w:rPr>
        <w:t>: This Amended and Restated Certificate of Incorporation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22" w:name="page223"/>
    <w:bookmarkEnd w:id="22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color w:val="auto"/>
        </w:rPr>
        <w:t>. has caused this Amended and Restated Certificate of Incorporation to be signed by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on July 10, 2015.</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r>
        <w:rPr>
          <w:rFonts w:ascii="Arial" w:cs="Arial" w:eastAsia="Arial" w:hAnsi="Arial"/>
          <w:sz w:val="18"/>
          <w:szCs w:val="18"/>
          <w:color w:val="auto"/>
        </w:rPr>
        <w:t>]</w:t>
      </w:r>
    </w:p>
    <w:p>
      <w:pPr>
        <w:sectPr>
          <w:pgSz w:w="11900" w:h="16838" w:orient="portrait"/>
          <w:cols w:equalWidth="0" w:num="1">
            <w:col w:w="11220"/>
          </w:cols>
          <w:pgMar w:left="240" w:top="270" w:right="4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BYLAWS OF</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9, 2015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sets forth the amendment to the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of AnaptysBio,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is adopted as of the date hereof:</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The first paragraph of the Bylaws’ Article XIV is hereby amended and restated to read, in its entirety, as follows: “</w:t>
      </w:r>
      <w:r>
        <w:rPr>
          <w:rFonts w:ascii="Arial" w:cs="Arial" w:eastAsia="Arial" w:hAnsi="Arial"/>
          <w:sz w:val="18"/>
          <w:szCs w:val="18"/>
          <w:b w:val="1"/>
          <w:bCs w:val="1"/>
          <w:color w:val="auto"/>
        </w:rPr>
        <w:t>Section 46. Right of First Refusal</w:t>
      </w:r>
      <w:r>
        <w:rPr>
          <w:rFonts w:ascii="Arial" w:cs="Arial" w:eastAsia="Arial" w:hAnsi="Arial"/>
          <w:sz w:val="18"/>
          <w:szCs w:val="18"/>
          <w:color w:val="auto"/>
        </w:rPr>
        <w:t>. No stockholder shall sell, assign, pledge, or in any manner transfer any of the shares of common stock (other than shares of common stock issued or issuable upon conversion of shares of the preferred stock) of the corporation or any right or interest therein, whether voluntarily or by operation of law, or by gift or otherwise, except by a transfer which meets the requirements hereinafter set forth in this bylaw:”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expressly modified hereby, the Bylaws and all the provisions thereof remain in full force and effect.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hereto subscribed his name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 Secretary</w:t>
      </w:r>
    </w:p>
    <w:p>
      <w:pPr>
        <w:sectPr>
          <w:pgSz w:w="11900" w:h="16838" w:orient="portrait"/>
          <w:cols w:equalWidth="0" w:num="1">
            <w:col w:w="11420"/>
          </w:cols>
          <w:pgMar w:left="240" w:top="121" w:right="23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BYLAWS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ANAPTYS BIOSCIENCES,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(A DELAWARE CORPORATION)</w:t>
      </w:r>
    </w:p>
    <w:p>
      <w:pPr>
        <w:sectPr>
          <w:pgSz w:w="11900" w:h="16838" w:orient="portrait"/>
          <w:cols w:equalWidth="0" w:num="1">
            <w:col w:w="9019"/>
          </w:cols>
          <w:pgMar w:left="1440" w:top="270" w:right="1440"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81"/>
        </w:trPr>
        <w:tc>
          <w:tcPr>
            <w:tcW w:w="1680" w:type="dxa"/>
            <w:vAlign w:val="bottom"/>
          </w:tcPr>
          <w:p>
            <w:pPr>
              <w:spacing w:after="0"/>
              <w:rPr>
                <w:sz w:val="24"/>
                <w:szCs w:val="24"/>
                <w:color w:val="auto"/>
              </w:rPr>
            </w:pPr>
          </w:p>
        </w:tc>
        <w:tc>
          <w:tcPr>
            <w:tcW w:w="7200" w:type="dxa"/>
            <w:vAlign w:val="bottom"/>
          </w:tcPr>
          <w:p>
            <w:pPr>
              <w:ind w:left="30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ONTENTS</w:t>
            </w:r>
          </w:p>
        </w:tc>
        <w:tc>
          <w:tcPr>
            <w:tcW w:w="2440" w:type="dxa"/>
            <w:vAlign w:val="bottom"/>
          </w:tcPr>
          <w:p>
            <w:pPr>
              <w:spacing w:after="0"/>
              <w:rPr>
                <w:sz w:val="24"/>
                <w:szCs w:val="24"/>
                <w:color w:val="auto"/>
              </w:rPr>
            </w:pPr>
          </w:p>
        </w:tc>
      </w:tr>
      <w:tr>
        <w:trPr>
          <w:trHeight w:val="367"/>
        </w:trPr>
        <w:tc>
          <w:tcPr>
            <w:tcW w:w="16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w w:val="98"/>
              </w:rPr>
              <w:t>ARTICLE I OFFICES</w:t>
            </w:r>
          </w:p>
        </w:tc>
        <w:tc>
          <w:tcPr>
            <w:tcW w:w="72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00" w:type="dxa"/>
            <w:vAlign w:val="bottom"/>
          </w:tcPr>
          <w:p>
            <w:pPr>
              <w:ind w:left="60"/>
              <w:spacing w:after="0"/>
              <w:rPr>
                <w:sz w:val="20"/>
                <w:szCs w:val="20"/>
                <w:color w:val="auto"/>
              </w:rPr>
            </w:pPr>
            <w:r>
              <w:rPr>
                <w:rFonts w:ascii="Arial" w:cs="Arial" w:eastAsia="Arial" w:hAnsi="Arial"/>
                <w:sz w:val="18"/>
                <w:szCs w:val="18"/>
                <w:color w:val="auto"/>
              </w:rPr>
              <w:t>Registered Office</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00" w:type="dxa"/>
            <w:vAlign w:val="bottom"/>
          </w:tcPr>
          <w:p>
            <w:pPr>
              <w:ind w:left="60"/>
              <w:spacing w:after="0"/>
              <w:rPr>
                <w:sz w:val="20"/>
                <w:szCs w:val="20"/>
                <w:color w:val="auto"/>
              </w:rPr>
            </w:pPr>
            <w:r>
              <w:rPr>
                <w:rFonts w:ascii="Arial" w:cs="Arial" w:eastAsia="Arial" w:hAnsi="Arial"/>
                <w:sz w:val="18"/>
                <w:szCs w:val="18"/>
                <w:color w:val="auto"/>
              </w:rPr>
              <w:t>Other Offices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 CORPORATE SEAL</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00" w:type="dxa"/>
            <w:vAlign w:val="bottom"/>
          </w:tcPr>
          <w:p>
            <w:pPr>
              <w:ind w:left="60"/>
              <w:spacing w:after="0"/>
              <w:rPr>
                <w:sz w:val="20"/>
                <w:szCs w:val="20"/>
                <w:color w:val="auto"/>
              </w:rPr>
            </w:pPr>
            <w:r>
              <w:rPr>
                <w:rFonts w:ascii="Arial" w:cs="Arial" w:eastAsia="Arial" w:hAnsi="Arial"/>
                <w:sz w:val="18"/>
                <w:szCs w:val="18"/>
                <w:color w:val="auto"/>
              </w:rPr>
              <w:t>Corporate Seal</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III STOCKHOLDERS’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00" w:type="dxa"/>
            <w:vAlign w:val="bottom"/>
          </w:tcPr>
          <w:p>
            <w:pPr>
              <w:ind w:left="60"/>
              <w:spacing w:after="0"/>
              <w:rPr>
                <w:sz w:val="20"/>
                <w:szCs w:val="20"/>
                <w:color w:val="auto"/>
              </w:rPr>
            </w:pPr>
            <w:r>
              <w:rPr>
                <w:rFonts w:ascii="Arial" w:cs="Arial" w:eastAsia="Arial" w:hAnsi="Arial"/>
                <w:sz w:val="18"/>
                <w:szCs w:val="18"/>
                <w:color w:val="auto"/>
              </w:rPr>
              <w:t>Place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20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20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20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200" w:type="dxa"/>
            <w:vAlign w:val="bottom"/>
          </w:tcPr>
          <w:p>
            <w:pPr>
              <w:ind w:left="60"/>
              <w:spacing w:after="0"/>
              <w:rPr>
                <w:sz w:val="20"/>
                <w:szCs w:val="20"/>
                <w:color w:val="auto"/>
              </w:rPr>
            </w:pPr>
            <w:r>
              <w:rPr>
                <w:rFonts w:ascii="Arial" w:cs="Arial" w:eastAsia="Arial" w:hAnsi="Arial"/>
                <w:sz w:val="18"/>
                <w:szCs w:val="18"/>
                <w:color w:val="auto"/>
              </w:rPr>
              <w:t>Quorum</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200" w:type="dxa"/>
            <w:vAlign w:val="bottom"/>
          </w:tcPr>
          <w:p>
            <w:pPr>
              <w:ind w:left="60"/>
              <w:spacing w:after="0"/>
              <w:rPr>
                <w:sz w:val="20"/>
                <w:szCs w:val="20"/>
                <w:color w:val="auto"/>
              </w:rPr>
            </w:pPr>
            <w:r>
              <w:rPr>
                <w:rFonts w:ascii="Arial" w:cs="Arial" w:eastAsia="Arial" w:hAnsi="Arial"/>
                <w:sz w:val="18"/>
                <w:szCs w:val="18"/>
                <w:color w:val="auto"/>
              </w:rPr>
              <w:t>Adjournment and Notice of Adjourned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200" w:type="dxa"/>
            <w:vAlign w:val="bottom"/>
          </w:tcPr>
          <w:p>
            <w:pPr>
              <w:ind w:left="60"/>
              <w:spacing w:after="0"/>
              <w:rPr>
                <w:sz w:val="20"/>
                <w:szCs w:val="20"/>
                <w:color w:val="auto"/>
              </w:rPr>
            </w:pPr>
            <w:r>
              <w:rPr>
                <w:rFonts w:ascii="Arial" w:cs="Arial" w:eastAsia="Arial" w:hAnsi="Arial"/>
                <w:sz w:val="18"/>
                <w:szCs w:val="18"/>
                <w:color w:val="auto"/>
              </w:rPr>
              <w:t>Voting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200" w:type="dxa"/>
            <w:vAlign w:val="bottom"/>
          </w:tcPr>
          <w:p>
            <w:pPr>
              <w:ind w:left="60"/>
              <w:spacing w:after="0"/>
              <w:rPr>
                <w:sz w:val="20"/>
                <w:szCs w:val="20"/>
                <w:color w:val="auto"/>
              </w:rPr>
            </w:pPr>
            <w:r>
              <w:rPr>
                <w:rFonts w:ascii="Arial" w:cs="Arial" w:eastAsia="Arial" w:hAnsi="Arial"/>
                <w:sz w:val="18"/>
                <w:szCs w:val="18"/>
                <w:color w:val="auto"/>
              </w:rPr>
              <w:t>Joint Owners of Stock</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200" w:type="dxa"/>
            <w:vAlign w:val="bottom"/>
          </w:tcPr>
          <w:p>
            <w:pPr>
              <w:ind w:left="60"/>
              <w:spacing w:after="0"/>
              <w:rPr>
                <w:sz w:val="20"/>
                <w:szCs w:val="20"/>
                <w:color w:val="auto"/>
              </w:rPr>
            </w:pPr>
            <w:r>
              <w:rPr>
                <w:rFonts w:ascii="Arial" w:cs="Arial" w:eastAsia="Arial" w:hAnsi="Arial"/>
                <w:sz w:val="18"/>
                <w:szCs w:val="18"/>
                <w:color w:val="auto"/>
              </w:rPr>
              <w:t>List of Stockholders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200" w:type="dxa"/>
            <w:vAlign w:val="bottom"/>
          </w:tcPr>
          <w:p>
            <w:pPr>
              <w:ind w:left="60"/>
              <w:spacing w:after="0"/>
              <w:rPr>
                <w:sz w:val="20"/>
                <w:szCs w:val="20"/>
                <w:color w:val="auto"/>
              </w:rPr>
            </w:pPr>
            <w:r>
              <w:rPr>
                <w:rFonts w:ascii="Arial" w:cs="Arial" w:eastAsia="Arial" w:hAnsi="Arial"/>
                <w:sz w:val="18"/>
                <w:szCs w:val="18"/>
                <w:color w:val="auto"/>
              </w:rPr>
              <w:t>Action Without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20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IV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6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200" w:type="dxa"/>
            <w:vAlign w:val="bottom"/>
          </w:tcPr>
          <w:p>
            <w:pPr>
              <w:ind w:left="60"/>
              <w:spacing w:after="0"/>
              <w:rPr>
                <w:sz w:val="20"/>
                <w:szCs w:val="20"/>
                <w:color w:val="auto"/>
              </w:rPr>
            </w:pPr>
            <w:r>
              <w:rPr>
                <w:rFonts w:ascii="Arial" w:cs="Arial" w:eastAsia="Arial" w:hAnsi="Arial"/>
                <w:sz w:val="18"/>
                <w:szCs w:val="18"/>
                <w:color w:val="auto"/>
              </w:rPr>
              <w:t>Number and Term of Office</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200" w:type="dxa"/>
            <w:vAlign w:val="bottom"/>
          </w:tcPr>
          <w:p>
            <w:pPr>
              <w:ind w:left="60"/>
              <w:spacing w:after="0"/>
              <w:rPr>
                <w:sz w:val="20"/>
                <w:szCs w:val="20"/>
                <w:color w:val="auto"/>
              </w:rPr>
            </w:pPr>
            <w:r>
              <w:rPr>
                <w:rFonts w:ascii="Arial" w:cs="Arial" w:eastAsia="Arial" w:hAnsi="Arial"/>
                <w:sz w:val="18"/>
                <w:szCs w:val="18"/>
                <w:color w:val="auto"/>
              </w:rPr>
              <w:t>Powers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200" w:type="dxa"/>
            <w:vAlign w:val="bottom"/>
          </w:tcPr>
          <w:p>
            <w:pPr>
              <w:ind w:left="60"/>
              <w:spacing w:after="0"/>
              <w:rPr>
                <w:sz w:val="20"/>
                <w:szCs w:val="20"/>
                <w:color w:val="auto"/>
              </w:rPr>
            </w:pPr>
            <w:r>
              <w:rPr>
                <w:rFonts w:ascii="Arial" w:cs="Arial" w:eastAsia="Arial" w:hAnsi="Arial"/>
                <w:sz w:val="18"/>
                <w:szCs w:val="18"/>
                <w:color w:val="auto"/>
              </w:rPr>
              <w:t>Term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200" w:type="dxa"/>
            <w:vAlign w:val="bottom"/>
          </w:tcPr>
          <w:p>
            <w:pPr>
              <w:ind w:left="60"/>
              <w:spacing w:after="0"/>
              <w:rPr>
                <w:sz w:val="20"/>
                <w:szCs w:val="20"/>
                <w:color w:val="auto"/>
              </w:rPr>
            </w:pPr>
            <w:r>
              <w:rPr>
                <w:rFonts w:ascii="Arial" w:cs="Arial" w:eastAsia="Arial" w:hAnsi="Arial"/>
                <w:sz w:val="18"/>
                <w:szCs w:val="18"/>
                <w:color w:val="auto"/>
              </w:rPr>
              <w:t>Vacancies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200" w:type="dxa"/>
            <w:vAlign w:val="bottom"/>
          </w:tcPr>
          <w:p>
            <w:pPr>
              <w:ind w:left="60"/>
              <w:spacing w:after="0"/>
              <w:rPr>
                <w:sz w:val="20"/>
                <w:szCs w:val="20"/>
                <w:color w:val="auto"/>
              </w:rPr>
            </w:pPr>
            <w:r>
              <w:rPr>
                <w:rFonts w:ascii="Arial" w:cs="Arial" w:eastAsia="Arial" w:hAnsi="Arial"/>
                <w:sz w:val="18"/>
                <w:szCs w:val="18"/>
                <w:color w:val="auto"/>
              </w:rPr>
              <w:t>Resignation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20.</w:t>
            </w:r>
          </w:p>
        </w:tc>
        <w:tc>
          <w:tcPr>
            <w:tcW w:w="7200" w:type="dxa"/>
            <w:vAlign w:val="bottom"/>
          </w:tcPr>
          <w:p>
            <w:pPr>
              <w:ind w:left="60"/>
              <w:spacing w:after="0"/>
              <w:rPr>
                <w:sz w:val="20"/>
                <w:szCs w:val="20"/>
                <w:color w:val="auto"/>
              </w:rPr>
            </w:pPr>
            <w:r>
              <w:rPr>
                <w:rFonts w:ascii="Arial" w:cs="Arial" w:eastAsia="Arial" w:hAnsi="Arial"/>
                <w:sz w:val="18"/>
                <w:szCs w:val="18"/>
                <w:color w:val="auto"/>
              </w:rPr>
              <w:t>Removal</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200" w:type="dxa"/>
            <w:vAlign w:val="bottom"/>
          </w:tcPr>
          <w:p>
            <w:pPr>
              <w:ind w:left="60"/>
              <w:spacing w:after="0"/>
              <w:rPr>
                <w:sz w:val="20"/>
                <w:szCs w:val="20"/>
                <w:color w:val="auto"/>
              </w:rPr>
            </w:pPr>
            <w:r>
              <w:rPr>
                <w:rFonts w:ascii="Arial" w:cs="Arial" w:eastAsia="Arial" w:hAnsi="Arial"/>
                <w:sz w:val="18"/>
                <w:szCs w:val="18"/>
                <w:color w:val="auto"/>
              </w:rPr>
              <w:t>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680" w:type="dxa"/>
            <w:vAlign w:val="bottom"/>
          </w:tcPr>
          <w:p>
            <w:pPr>
              <w:ind w:left="900"/>
              <w:spacing w:after="0"/>
              <w:rPr>
                <w:sz w:val="20"/>
                <w:szCs w:val="20"/>
                <w:color w:val="auto"/>
              </w:rPr>
            </w:pPr>
            <w:r>
              <w:rPr>
                <w:rFonts w:ascii="Arial" w:cs="Arial" w:eastAsia="Arial" w:hAnsi="Arial"/>
                <w:sz w:val="18"/>
                <w:szCs w:val="18"/>
                <w:color w:val="auto"/>
              </w:rPr>
              <w:t>(a)</w:t>
            </w:r>
          </w:p>
        </w:tc>
        <w:tc>
          <w:tcPr>
            <w:tcW w:w="720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680" w:type="dxa"/>
            <w:vAlign w:val="bottom"/>
          </w:tcPr>
          <w:p>
            <w:pPr>
              <w:spacing w:after="0"/>
              <w:rPr>
                <w:sz w:val="24"/>
                <w:szCs w:val="24"/>
                <w:color w:val="auto"/>
              </w:rPr>
            </w:pPr>
          </w:p>
        </w:tc>
        <w:tc>
          <w:tcPr>
            <w:tcW w:w="7200" w:type="dxa"/>
            <w:vAlign w:val="bottom"/>
          </w:tcPr>
          <w:p>
            <w:pPr>
              <w:ind w:left="4000"/>
              <w:spacing w:after="0"/>
              <w:rPr>
                <w:sz w:val="20"/>
                <w:szCs w:val="20"/>
                <w:color w:val="auto"/>
              </w:rPr>
            </w:pPr>
            <w:r>
              <w:rPr>
                <w:rFonts w:ascii="Arial" w:cs="Arial" w:eastAsia="Arial" w:hAnsi="Arial"/>
                <w:sz w:val="18"/>
                <w:szCs w:val="18"/>
                <w:color w:val="auto"/>
              </w:rPr>
              <w:t>i</w:t>
            </w:r>
          </w:p>
        </w:tc>
        <w:tc>
          <w:tcPr>
            <w:tcW w:w="2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6" w:name="page227"/>
    <w:bookmarkEnd w:id="226"/>
    <w:tbl>
      <w:tblPr>
        <w:tblLayout w:type="fixed"/>
        <w:tblInd w:w="0" w:type="dxa"/>
        <w:tblCellMar>
          <w:top w:w="0" w:type="dxa"/>
          <w:left w:w="0" w:type="dxa"/>
          <w:bottom w:w="0" w:type="dxa"/>
          <w:right w:w="0" w:type="dxa"/>
        </w:tblCellMar>
      </w:tblPr>
      <w:tr>
        <w:trPr>
          <w:trHeight w:val="230"/>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50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500" w:type="dxa"/>
            <w:vAlign w:val="bottom"/>
          </w:tcPr>
          <w:p>
            <w:pPr>
              <w:ind w:left="240"/>
              <w:spacing w:after="0"/>
              <w:rPr>
                <w:sz w:val="20"/>
                <w:szCs w:val="20"/>
                <w:color w:val="auto"/>
              </w:rPr>
            </w:pPr>
            <w:r>
              <w:rPr>
                <w:rFonts w:ascii="Arial" w:cs="Arial" w:eastAsia="Arial" w:hAnsi="Arial"/>
                <w:sz w:val="18"/>
                <w:szCs w:val="18"/>
                <w:color w:val="auto"/>
              </w:rPr>
              <w:t>Meetings by Electronic Communications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500" w:type="dxa"/>
            <w:vAlign w:val="bottom"/>
          </w:tcPr>
          <w:p>
            <w:pPr>
              <w:ind w:left="240"/>
              <w:spacing w:after="0"/>
              <w:rPr>
                <w:sz w:val="20"/>
                <w:szCs w:val="20"/>
                <w:color w:val="auto"/>
              </w:rPr>
            </w:pPr>
            <w:r>
              <w:rPr>
                <w:rFonts w:ascii="Arial" w:cs="Arial" w:eastAsia="Arial" w:hAnsi="Arial"/>
                <w:sz w:val="18"/>
                <w:szCs w:val="18"/>
                <w:color w:val="auto"/>
              </w:rPr>
              <w:t>Notice of Special 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850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500" w:type="dxa"/>
            <w:vAlign w:val="bottom"/>
          </w:tcPr>
          <w:p>
            <w:pPr>
              <w:ind w:left="240"/>
              <w:spacing w:after="0"/>
              <w:rPr>
                <w:sz w:val="20"/>
                <w:szCs w:val="20"/>
                <w:color w:val="auto"/>
              </w:rPr>
            </w:pPr>
            <w:r>
              <w:rPr>
                <w:rFonts w:ascii="Arial" w:cs="Arial" w:eastAsia="Arial" w:hAnsi="Arial"/>
                <w:sz w:val="18"/>
                <w:szCs w:val="18"/>
                <w:color w:val="auto"/>
              </w:rPr>
              <w:t>Quorum and Voting</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500" w:type="dxa"/>
            <w:vAlign w:val="bottom"/>
          </w:tcPr>
          <w:p>
            <w:pPr>
              <w:ind w:left="240"/>
              <w:spacing w:after="0"/>
              <w:rPr>
                <w:sz w:val="20"/>
                <w:szCs w:val="20"/>
                <w:color w:val="auto"/>
              </w:rPr>
            </w:pPr>
            <w:r>
              <w:rPr>
                <w:rFonts w:ascii="Arial" w:cs="Arial" w:eastAsia="Arial" w:hAnsi="Arial"/>
                <w:sz w:val="18"/>
                <w:szCs w:val="18"/>
                <w:color w:val="auto"/>
              </w:rPr>
              <w:t>Action Without Meeting</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500" w:type="dxa"/>
            <w:vAlign w:val="bottom"/>
          </w:tcPr>
          <w:p>
            <w:pPr>
              <w:ind w:left="240"/>
              <w:spacing w:after="0"/>
              <w:rPr>
                <w:sz w:val="20"/>
                <w:szCs w:val="20"/>
                <w:color w:val="auto"/>
              </w:rPr>
            </w:pPr>
            <w:r>
              <w:rPr>
                <w:rFonts w:ascii="Arial" w:cs="Arial" w:eastAsia="Arial" w:hAnsi="Arial"/>
                <w:sz w:val="18"/>
                <w:szCs w:val="18"/>
                <w:color w:val="auto"/>
              </w:rPr>
              <w:t>Fees and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50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500" w:type="dxa"/>
            <w:vAlign w:val="bottom"/>
          </w:tcPr>
          <w:p>
            <w:pPr>
              <w:ind w:left="240"/>
              <w:spacing w:after="0"/>
              <w:rPr>
                <w:sz w:val="20"/>
                <w:szCs w:val="20"/>
                <w:color w:val="auto"/>
              </w:rPr>
            </w:pPr>
            <w:r>
              <w:rPr>
                <w:rFonts w:ascii="Arial" w:cs="Arial" w:eastAsia="Arial" w:hAnsi="Arial"/>
                <w:sz w:val="18"/>
                <w:szCs w:val="18"/>
                <w:color w:val="auto"/>
              </w:rPr>
              <w:t>Executive Committee</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500" w:type="dxa"/>
            <w:vAlign w:val="bottom"/>
          </w:tcPr>
          <w:p>
            <w:pPr>
              <w:ind w:left="240"/>
              <w:spacing w:after="0"/>
              <w:rPr>
                <w:sz w:val="20"/>
                <w:szCs w:val="20"/>
                <w:color w:val="auto"/>
              </w:rPr>
            </w:pPr>
            <w:r>
              <w:rPr>
                <w:rFonts w:ascii="Arial" w:cs="Arial" w:eastAsia="Arial" w:hAnsi="Arial"/>
                <w:sz w:val="18"/>
                <w:szCs w:val="18"/>
                <w:color w:val="auto"/>
              </w:rPr>
              <w:t>Other Committees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500" w:type="dxa"/>
            <w:vAlign w:val="bottom"/>
          </w:tcPr>
          <w:p>
            <w:pPr>
              <w:ind w:left="240"/>
              <w:spacing w:after="0"/>
              <w:rPr>
                <w:sz w:val="20"/>
                <w:szCs w:val="20"/>
                <w:color w:val="auto"/>
              </w:rPr>
            </w:pPr>
            <w:r>
              <w:rPr>
                <w:rFonts w:ascii="Arial" w:cs="Arial" w:eastAsia="Arial" w:hAnsi="Arial"/>
                <w:sz w:val="18"/>
                <w:szCs w:val="18"/>
                <w:color w:val="auto"/>
              </w:rPr>
              <w:t>Term</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500" w:type="dxa"/>
            <w:vAlign w:val="bottom"/>
          </w:tcPr>
          <w:p>
            <w:pPr>
              <w:ind w:left="240"/>
              <w:spacing w:after="0"/>
              <w:rPr>
                <w:sz w:val="20"/>
                <w:szCs w:val="20"/>
                <w:color w:val="auto"/>
              </w:rPr>
            </w:pPr>
            <w:r>
              <w:rPr>
                <w:rFonts w:ascii="Arial" w:cs="Arial" w:eastAsia="Arial" w:hAnsi="Arial"/>
                <w:sz w:val="18"/>
                <w:szCs w:val="18"/>
                <w:color w:val="auto"/>
              </w:rPr>
              <w:t>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50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90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500" w:type="dxa"/>
            <w:vAlign w:val="bottom"/>
          </w:tcPr>
          <w:p>
            <w:pPr>
              <w:ind w:left="240"/>
              <w:spacing w:after="0"/>
              <w:rPr>
                <w:sz w:val="20"/>
                <w:szCs w:val="20"/>
                <w:color w:val="auto"/>
              </w:rPr>
            </w:pPr>
            <w:r>
              <w:rPr>
                <w:rFonts w:ascii="Arial" w:cs="Arial" w:eastAsia="Arial" w:hAnsi="Arial"/>
                <w:sz w:val="18"/>
                <w:szCs w:val="18"/>
                <w:color w:val="auto"/>
              </w:rPr>
              <w:t>Officers Designated</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500" w:type="dxa"/>
            <w:vAlign w:val="bottom"/>
          </w:tcPr>
          <w:p>
            <w:pPr>
              <w:ind w:left="240"/>
              <w:spacing w:after="0"/>
              <w:rPr>
                <w:sz w:val="20"/>
                <w:szCs w:val="20"/>
                <w:color w:val="auto"/>
              </w:rPr>
            </w:pPr>
            <w:r>
              <w:rPr>
                <w:rFonts w:ascii="Arial" w:cs="Arial" w:eastAsia="Arial" w:hAnsi="Arial"/>
                <w:sz w:val="18"/>
                <w:szCs w:val="18"/>
                <w:color w:val="auto"/>
              </w:rPr>
              <w:t>Tenure and Duties of Officers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500" w:type="dxa"/>
            <w:vAlign w:val="bottom"/>
          </w:tcPr>
          <w:p>
            <w:pPr>
              <w:ind w:left="240"/>
              <w:spacing w:after="0"/>
              <w:rPr>
                <w:sz w:val="20"/>
                <w:szCs w:val="20"/>
                <w:color w:val="auto"/>
              </w:rPr>
            </w:pPr>
            <w:r>
              <w:rPr>
                <w:rFonts w:ascii="Arial" w:cs="Arial" w:eastAsia="Arial" w:hAnsi="Arial"/>
                <w:sz w:val="18"/>
                <w:szCs w:val="18"/>
                <w:color w:val="auto"/>
              </w:rPr>
              <w:t>General</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Chairman of the Board of Directors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President</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Vice Presidents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Secretary</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(f)</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Chief Financial Officer</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50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30.</w:t>
            </w:r>
          </w:p>
        </w:tc>
        <w:tc>
          <w:tcPr>
            <w:tcW w:w="850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00" w:type="dxa"/>
            <w:vAlign w:val="bottom"/>
          </w:tcPr>
          <w:p>
            <w:pPr>
              <w:ind w:left="240"/>
              <w:spacing w:after="0"/>
              <w:rPr>
                <w:sz w:val="20"/>
                <w:szCs w:val="20"/>
                <w:color w:val="auto"/>
              </w:rPr>
            </w:pPr>
            <w:r>
              <w:rPr>
                <w:rFonts w:ascii="Arial" w:cs="Arial" w:eastAsia="Arial" w:hAnsi="Arial"/>
                <w:sz w:val="18"/>
                <w:szCs w:val="18"/>
                <w:color w:val="auto"/>
              </w:rPr>
              <w:t>Removal</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9900" w:type="dxa"/>
            <w:vAlign w:val="bottom"/>
            <w:gridSpan w:val="2"/>
          </w:tcPr>
          <w:p>
            <w:pPr>
              <w:spacing w:after="0"/>
              <w:rPr>
                <w:sz w:val="20"/>
                <w:szCs w:val="20"/>
                <w:color w:val="auto"/>
              </w:rPr>
            </w:pPr>
            <w:r>
              <w:rPr>
                <w:rFonts w:ascii="Arial" w:cs="Arial" w:eastAsia="Arial" w:hAnsi="Arial"/>
                <w:sz w:val="18"/>
                <w:szCs w:val="18"/>
                <w:color w:val="auto"/>
              </w:rPr>
              <w:t>ARTICLE VI EXECUTION OF CORPORATE INSTRUMENTS AND VOTING OF SECURITIES OWNED BY THE</w:t>
            </w:r>
          </w:p>
        </w:tc>
        <w:tc>
          <w:tcPr>
            <w:tcW w:w="1420" w:type="dxa"/>
            <w:vAlign w:val="bottom"/>
          </w:tcPr>
          <w:p>
            <w:pPr>
              <w:spacing w:after="0"/>
              <w:rPr>
                <w:sz w:val="24"/>
                <w:szCs w:val="24"/>
                <w:color w:val="auto"/>
              </w:rPr>
            </w:pPr>
          </w:p>
        </w:tc>
      </w:tr>
      <w:tr>
        <w:trPr>
          <w:trHeight w:val="244"/>
        </w:trPr>
        <w:tc>
          <w:tcPr>
            <w:tcW w:w="9900" w:type="dxa"/>
            <w:vAlign w:val="bottom"/>
            <w:gridSpan w:val="2"/>
          </w:tcPr>
          <w:p>
            <w:pPr>
              <w:ind w:left="1060"/>
              <w:spacing w:after="0"/>
              <w:rPr>
                <w:sz w:val="20"/>
                <w:szCs w:val="20"/>
                <w:color w:val="auto"/>
              </w:rPr>
            </w:pPr>
            <w:r>
              <w:rPr>
                <w:rFonts w:ascii="Arial" w:cs="Arial" w:eastAsia="Arial" w:hAnsi="Arial"/>
                <w:sz w:val="18"/>
                <w:szCs w:val="18"/>
                <w:color w:val="auto"/>
              </w:rPr>
              <w:t>CORPORATION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00" w:type="dxa"/>
            <w:vAlign w:val="bottom"/>
          </w:tcPr>
          <w:p>
            <w:pPr>
              <w:ind w:left="240"/>
              <w:spacing w:after="0"/>
              <w:rPr>
                <w:sz w:val="20"/>
                <w:szCs w:val="20"/>
                <w:color w:val="auto"/>
              </w:rPr>
            </w:pPr>
            <w:r>
              <w:rPr>
                <w:rFonts w:ascii="Arial" w:cs="Arial" w:eastAsia="Arial" w:hAnsi="Arial"/>
                <w:sz w:val="18"/>
                <w:szCs w:val="18"/>
                <w:color w:val="auto"/>
              </w:rPr>
              <w:t>Execution of Corporate Instruments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00" w:type="dxa"/>
            <w:vAlign w:val="bottom"/>
          </w:tcPr>
          <w:p>
            <w:pPr>
              <w:ind w:left="240"/>
              <w:spacing w:after="0"/>
              <w:rPr>
                <w:sz w:val="20"/>
                <w:szCs w:val="20"/>
                <w:color w:val="auto"/>
              </w:rPr>
            </w:pPr>
            <w:r>
              <w:rPr>
                <w:rFonts w:ascii="Arial" w:cs="Arial" w:eastAsia="Arial" w:hAnsi="Arial"/>
                <w:sz w:val="18"/>
                <w:szCs w:val="18"/>
                <w:color w:val="auto"/>
              </w:rPr>
              <w:t>Voting of Securities Owned by the Corporation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900" w:type="dxa"/>
            <w:vAlign w:val="bottom"/>
            <w:gridSpan w:val="2"/>
          </w:tcPr>
          <w:p>
            <w:pPr>
              <w:spacing w:after="0"/>
              <w:rPr>
                <w:sz w:val="20"/>
                <w:szCs w:val="20"/>
                <w:color w:val="auto"/>
              </w:rPr>
            </w:pPr>
            <w:r>
              <w:rPr>
                <w:rFonts w:ascii="Arial" w:cs="Arial" w:eastAsia="Arial" w:hAnsi="Arial"/>
                <w:sz w:val="18"/>
                <w:szCs w:val="18"/>
                <w:color w:val="auto"/>
              </w:rPr>
              <w:t>ARTICLE VII SHARES OF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1400" w:type="dxa"/>
            <w:vAlign w:val="bottom"/>
          </w:tcPr>
          <w:p>
            <w:pPr>
              <w:spacing w:after="0"/>
              <w:rPr>
                <w:sz w:val="24"/>
                <w:szCs w:val="24"/>
                <w:color w:val="auto"/>
              </w:rPr>
            </w:pPr>
          </w:p>
        </w:tc>
        <w:tc>
          <w:tcPr>
            <w:tcW w:w="8500" w:type="dxa"/>
            <w:vAlign w:val="bottom"/>
          </w:tcPr>
          <w:p>
            <w:pPr>
              <w:ind w:left="4260"/>
              <w:spacing w:after="0"/>
              <w:rPr>
                <w:sz w:val="20"/>
                <w:szCs w:val="20"/>
                <w:color w:val="auto"/>
              </w:rPr>
            </w:pPr>
            <w:r>
              <w:rPr>
                <w:rFonts w:ascii="Arial" w:cs="Arial" w:eastAsia="Arial" w:hAnsi="Arial"/>
                <w:sz w:val="18"/>
                <w:szCs w:val="18"/>
                <w:color w:val="auto"/>
              </w:rPr>
              <w:t>ii</w:t>
            </w: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7" w:name="page228"/>
    <w:bookmarkEnd w:id="227"/>
    <w:tbl>
      <w:tblPr>
        <w:tblLayout w:type="fixed"/>
        <w:tblInd w:w="0" w:type="dxa"/>
        <w:tblCellMar>
          <w:top w:w="0" w:type="dxa"/>
          <w:left w:w="0" w:type="dxa"/>
          <w:bottom w:w="0" w:type="dxa"/>
          <w:right w:w="0" w:type="dxa"/>
        </w:tblCellMar>
      </w:tblP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320" w:type="dxa"/>
            <w:vAlign w:val="bottom"/>
          </w:tcPr>
          <w:p>
            <w:pPr>
              <w:ind w:left="240"/>
              <w:spacing w:after="0"/>
              <w:rPr>
                <w:sz w:val="20"/>
                <w:szCs w:val="20"/>
                <w:color w:val="auto"/>
              </w:rPr>
            </w:pPr>
            <w:r>
              <w:rPr>
                <w:rFonts w:ascii="Arial" w:cs="Arial" w:eastAsia="Arial" w:hAnsi="Arial"/>
                <w:sz w:val="18"/>
                <w:szCs w:val="18"/>
                <w:color w:val="auto"/>
              </w:rPr>
              <w:t>Form and Execution of Certificates</w:t>
            </w: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320" w:type="dxa"/>
            <w:vAlign w:val="bottom"/>
          </w:tcPr>
          <w:p>
            <w:pPr>
              <w:ind w:left="240"/>
              <w:spacing w:after="0"/>
              <w:rPr>
                <w:sz w:val="20"/>
                <w:szCs w:val="20"/>
                <w:color w:val="auto"/>
              </w:rPr>
            </w:pPr>
            <w:r>
              <w:rPr>
                <w:rFonts w:ascii="Arial" w:cs="Arial" w:eastAsia="Arial" w:hAnsi="Arial"/>
                <w:sz w:val="18"/>
                <w:szCs w:val="18"/>
                <w:color w:val="auto"/>
              </w:rPr>
              <w:t>Lost Certificates</w:t>
            </w: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32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320" w:type="dxa"/>
            <w:vAlign w:val="bottom"/>
          </w:tcPr>
          <w:p>
            <w:pPr>
              <w:ind w:left="240"/>
              <w:spacing w:after="0"/>
              <w:rPr>
                <w:sz w:val="20"/>
                <w:szCs w:val="20"/>
                <w:color w:val="auto"/>
              </w:rPr>
            </w:pPr>
            <w:r>
              <w:rPr>
                <w:rFonts w:ascii="Arial" w:cs="Arial" w:eastAsia="Arial" w:hAnsi="Arial"/>
                <w:sz w:val="18"/>
                <w:szCs w:val="18"/>
                <w:color w:val="auto"/>
              </w:rPr>
              <w:t>Fixing Record Dates</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32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VIII OTHER SECURITIES OF THE CORPORATION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320" w:type="dxa"/>
            <w:vAlign w:val="bottom"/>
          </w:tcPr>
          <w:p>
            <w:pPr>
              <w:ind w:left="240"/>
              <w:spacing w:after="0"/>
              <w:rPr>
                <w:sz w:val="20"/>
                <w:szCs w:val="20"/>
                <w:color w:val="auto"/>
              </w:rPr>
            </w:pPr>
            <w:r>
              <w:rPr>
                <w:rFonts w:ascii="Arial" w:cs="Arial" w:eastAsia="Arial" w:hAnsi="Arial"/>
                <w:sz w:val="18"/>
                <w:szCs w:val="18"/>
                <w:color w:val="auto"/>
              </w:rPr>
              <w:t>Execution of Other Securities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IX DIVIDENDS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40.</w:t>
            </w:r>
          </w:p>
        </w:tc>
        <w:tc>
          <w:tcPr>
            <w:tcW w:w="8320" w:type="dxa"/>
            <w:vAlign w:val="bottom"/>
          </w:tcPr>
          <w:p>
            <w:pPr>
              <w:ind w:left="240"/>
              <w:spacing w:after="0"/>
              <w:rPr>
                <w:sz w:val="20"/>
                <w:szCs w:val="20"/>
                <w:color w:val="auto"/>
              </w:rPr>
            </w:pPr>
            <w:r>
              <w:rPr>
                <w:rFonts w:ascii="Arial" w:cs="Arial" w:eastAsia="Arial" w:hAnsi="Arial"/>
                <w:sz w:val="18"/>
                <w:szCs w:val="18"/>
                <w:color w:val="auto"/>
              </w:rPr>
              <w:t>Declaration of Dividends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320" w:type="dxa"/>
            <w:vAlign w:val="bottom"/>
          </w:tcPr>
          <w:p>
            <w:pPr>
              <w:ind w:left="240"/>
              <w:spacing w:after="0"/>
              <w:rPr>
                <w:sz w:val="20"/>
                <w:szCs w:val="20"/>
                <w:color w:val="auto"/>
              </w:rPr>
            </w:pPr>
            <w:r>
              <w:rPr>
                <w:rFonts w:ascii="Arial" w:cs="Arial" w:eastAsia="Arial" w:hAnsi="Arial"/>
                <w:sz w:val="18"/>
                <w:szCs w:val="18"/>
                <w:color w:val="auto"/>
              </w:rPr>
              <w:t>Dividend Reserve</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X FISCAL YEAR</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32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XI INDEMNIFICATION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720" w:type="dxa"/>
            <w:vAlign w:val="bottom"/>
            <w:gridSpan w:val="2"/>
          </w:tcPr>
          <w:p>
            <w:pPr>
              <w:ind w:left="360"/>
              <w:spacing w:after="0"/>
              <w:rPr>
                <w:sz w:val="20"/>
                <w:szCs w:val="20"/>
                <w:color w:val="auto"/>
              </w:rPr>
            </w:pPr>
            <w:r>
              <w:rPr>
                <w:rFonts w:ascii="Arial" w:cs="Arial" w:eastAsia="Arial" w:hAnsi="Arial"/>
                <w:sz w:val="18"/>
                <w:szCs w:val="18"/>
                <w:color w:val="auto"/>
              </w:rPr>
              <w:t>Section 43.   Indemnification of Directors, Executive Officers, Other Officers, Employees and Other Agents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320" w:type="dxa"/>
            <w:vAlign w:val="bottom"/>
          </w:tcPr>
          <w:p>
            <w:pPr>
              <w:ind w:left="240"/>
              <w:spacing w:after="0"/>
              <w:rPr>
                <w:sz w:val="20"/>
                <w:szCs w:val="20"/>
                <w:color w:val="auto"/>
              </w:rPr>
            </w:pPr>
            <w:r>
              <w:rPr>
                <w:rFonts w:ascii="Arial" w:cs="Arial" w:eastAsia="Arial" w:hAnsi="Arial"/>
                <w:sz w:val="18"/>
                <w:szCs w:val="18"/>
                <w:color w:val="auto"/>
              </w:rPr>
              <w:t>Directors and Executive Officers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320" w:type="dxa"/>
            <w:vAlign w:val="bottom"/>
          </w:tcPr>
          <w:p>
            <w:pPr>
              <w:ind w:left="240"/>
              <w:spacing w:after="0"/>
              <w:rPr>
                <w:sz w:val="20"/>
                <w:szCs w:val="20"/>
                <w:color w:val="auto"/>
              </w:rPr>
            </w:pPr>
            <w:r>
              <w:rPr>
                <w:rFonts w:ascii="Arial" w:cs="Arial" w:eastAsia="Arial" w:hAnsi="Arial"/>
                <w:sz w:val="18"/>
                <w:szCs w:val="18"/>
                <w:color w:val="auto"/>
              </w:rPr>
              <w:t>Other Officers, Employees and Other Agents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8320" w:type="dxa"/>
            <w:vAlign w:val="bottom"/>
          </w:tcPr>
          <w:p>
            <w:pPr>
              <w:ind w:left="240"/>
              <w:spacing w:after="0"/>
              <w:rPr>
                <w:sz w:val="20"/>
                <w:szCs w:val="20"/>
                <w:color w:val="auto"/>
              </w:rPr>
            </w:pPr>
            <w:r>
              <w:rPr>
                <w:rFonts w:ascii="Arial" w:cs="Arial" w:eastAsia="Arial" w:hAnsi="Arial"/>
                <w:sz w:val="18"/>
                <w:szCs w:val="18"/>
                <w:color w:val="auto"/>
              </w:rPr>
              <w:t>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8320" w:type="dxa"/>
            <w:vAlign w:val="bottom"/>
          </w:tcPr>
          <w:p>
            <w:pPr>
              <w:ind w:left="240"/>
              <w:spacing w:after="0"/>
              <w:rPr>
                <w:sz w:val="20"/>
                <w:szCs w:val="20"/>
                <w:color w:val="auto"/>
              </w:rPr>
            </w:pPr>
            <w:r>
              <w:rPr>
                <w:rFonts w:ascii="Arial" w:cs="Arial" w:eastAsia="Arial" w:hAnsi="Arial"/>
                <w:sz w:val="18"/>
                <w:szCs w:val="18"/>
                <w:color w:val="auto"/>
              </w:rPr>
              <w:t>Enforcement</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8320" w:type="dxa"/>
            <w:vAlign w:val="bottom"/>
          </w:tcPr>
          <w:p>
            <w:pPr>
              <w:ind w:left="240"/>
              <w:spacing w:after="0"/>
              <w:rPr>
                <w:sz w:val="20"/>
                <w:szCs w:val="20"/>
                <w:color w:val="auto"/>
              </w:rPr>
            </w:pPr>
            <w:r>
              <w:rPr>
                <w:rFonts w:ascii="Arial" w:cs="Arial" w:eastAsia="Arial" w:hAnsi="Arial"/>
                <w:sz w:val="18"/>
                <w:szCs w:val="18"/>
                <w:color w:val="auto"/>
              </w:rPr>
              <w:t>Non-Exclusivity of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(f)</w:t>
            </w:r>
          </w:p>
        </w:tc>
        <w:tc>
          <w:tcPr>
            <w:tcW w:w="8320" w:type="dxa"/>
            <w:vAlign w:val="bottom"/>
          </w:tcPr>
          <w:p>
            <w:pPr>
              <w:ind w:left="240"/>
              <w:spacing w:after="0"/>
              <w:rPr>
                <w:sz w:val="20"/>
                <w:szCs w:val="20"/>
                <w:color w:val="auto"/>
              </w:rPr>
            </w:pPr>
            <w:r>
              <w:rPr>
                <w:rFonts w:ascii="Arial" w:cs="Arial" w:eastAsia="Arial" w:hAnsi="Arial"/>
                <w:sz w:val="18"/>
                <w:szCs w:val="18"/>
                <w:color w:val="auto"/>
              </w:rPr>
              <w:t>Survival of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(g)</w:t>
            </w:r>
          </w:p>
        </w:tc>
        <w:tc>
          <w:tcPr>
            <w:tcW w:w="83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(h)</w:t>
            </w:r>
          </w:p>
        </w:tc>
        <w:tc>
          <w:tcPr>
            <w:tcW w:w="832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(i)</w:t>
            </w:r>
          </w:p>
        </w:tc>
        <w:tc>
          <w:tcPr>
            <w:tcW w:w="8320" w:type="dxa"/>
            <w:vAlign w:val="bottom"/>
          </w:tcPr>
          <w:p>
            <w:pPr>
              <w:ind w:left="240"/>
              <w:spacing w:after="0"/>
              <w:rPr>
                <w:sz w:val="20"/>
                <w:szCs w:val="20"/>
                <w:color w:val="auto"/>
              </w:rPr>
            </w:pPr>
            <w:r>
              <w:rPr>
                <w:rFonts w:ascii="Arial" w:cs="Arial" w:eastAsia="Arial" w:hAnsi="Arial"/>
                <w:sz w:val="18"/>
                <w:szCs w:val="18"/>
                <w:color w:val="auto"/>
              </w:rPr>
              <w:t>Saving Clause</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(j)</w:t>
            </w:r>
          </w:p>
        </w:tc>
        <w:tc>
          <w:tcPr>
            <w:tcW w:w="832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color w:val="auto"/>
              </w:rPr>
              <w:t>ARTICLE XII NOTICES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320" w:type="dxa"/>
            <w:vAlign w:val="bottom"/>
          </w:tcPr>
          <w:p>
            <w:pPr>
              <w:ind w:left="240"/>
              <w:spacing w:after="0"/>
              <w:rPr>
                <w:sz w:val="20"/>
                <w:szCs w:val="20"/>
                <w:color w:val="auto"/>
              </w:rPr>
            </w:pPr>
            <w:r>
              <w:rPr>
                <w:rFonts w:ascii="Arial" w:cs="Arial" w:eastAsia="Arial" w:hAnsi="Arial"/>
                <w:sz w:val="18"/>
                <w:szCs w:val="18"/>
                <w:color w:val="auto"/>
              </w:rPr>
              <w:t>Notices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(a)</w:t>
            </w:r>
          </w:p>
        </w:tc>
        <w:tc>
          <w:tcPr>
            <w:tcW w:w="8320" w:type="dxa"/>
            <w:vAlign w:val="bottom"/>
          </w:tcPr>
          <w:p>
            <w:pPr>
              <w:ind w:left="240"/>
              <w:spacing w:after="0"/>
              <w:rPr>
                <w:sz w:val="20"/>
                <w:szCs w:val="20"/>
                <w:color w:val="auto"/>
              </w:rPr>
            </w:pPr>
            <w:r>
              <w:rPr>
                <w:rFonts w:ascii="Arial" w:cs="Arial" w:eastAsia="Arial" w:hAnsi="Arial"/>
                <w:sz w:val="18"/>
                <w:szCs w:val="18"/>
                <w:color w:val="auto"/>
              </w:rPr>
              <w:t>Notice to Stockholders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(b)</w:t>
            </w:r>
          </w:p>
        </w:tc>
        <w:tc>
          <w:tcPr>
            <w:tcW w:w="8320" w:type="dxa"/>
            <w:vAlign w:val="bottom"/>
          </w:tcPr>
          <w:p>
            <w:pPr>
              <w:ind w:left="240"/>
              <w:spacing w:after="0"/>
              <w:rPr>
                <w:sz w:val="20"/>
                <w:szCs w:val="20"/>
                <w:color w:val="auto"/>
              </w:rPr>
            </w:pPr>
            <w:r>
              <w:rPr>
                <w:rFonts w:ascii="Arial" w:cs="Arial" w:eastAsia="Arial" w:hAnsi="Arial"/>
                <w:sz w:val="18"/>
                <w:szCs w:val="18"/>
                <w:color w:val="auto"/>
              </w:rPr>
              <w:t>Notice to Directors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400" w:type="dxa"/>
            <w:vAlign w:val="bottom"/>
          </w:tcPr>
          <w:p>
            <w:pPr>
              <w:spacing w:after="0"/>
              <w:rPr>
                <w:sz w:val="24"/>
                <w:szCs w:val="24"/>
                <w:color w:val="auto"/>
              </w:rPr>
            </w:pPr>
          </w:p>
        </w:tc>
        <w:tc>
          <w:tcPr>
            <w:tcW w:w="8320" w:type="dxa"/>
            <w:vAlign w:val="bottom"/>
          </w:tcPr>
          <w:p>
            <w:pPr>
              <w:ind w:left="4240"/>
              <w:spacing w:after="0"/>
              <w:rPr>
                <w:sz w:val="20"/>
                <w:szCs w:val="20"/>
                <w:color w:val="auto"/>
              </w:rPr>
            </w:pPr>
            <w:r>
              <w:rPr>
                <w:rFonts w:ascii="Arial" w:cs="Arial" w:eastAsia="Arial" w:hAnsi="Arial"/>
                <w:sz w:val="18"/>
                <w:szCs w:val="18"/>
                <w:color w:val="auto"/>
              </w:rPr>
              <w:t>iii</w:t>
            </w: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8" w:name="page229"/>
    <w:bookmarkEnd w:id="228"/>
    <w:tbl>
      <w:tblPr>
        <w:tblLayout w:type="fixed"/>
        <w:tblInd w:w="0" w:type="dxa"/>
        <w:tblCellMar>
          <w:top w:w="0" w:type="dxa"/>
          <w:left w:w="0" w:type="dxa"/>
          <w:bottom w:w="0" w:type="dxa"/>
          <w:right w:w="0" w:type="dxa"/>
        </w:tblCellMar>
      </w:tblPr>
      <w:tr>
        <w:trPr>
          <w:trHeight w:val="230"/>
        </w:trPr>
        <w:tc>
          <w:tcPr>
            <w:tcW w:w="1400" w:type="dxa"/>
            <w:vAlign w:val="bottom"/>
          </w:tcPr>
          <w:p>
            <w:pPr>
              <w:ind w:left="900"/>
              <w:spacing w:after="0"/>
              <w:rPr>
                <w:sz w:val="20"/>
                <w:szCs w:val="20"/>
                <w:color w:val="auto"/>
              </w:rPr>
            </w:pPr>
            <w:r>
              <w:rPr>
                <w:rFonts w:ascii="Arial" w:cs="Arial" w:eastAsia="Arial" w:hAnsi="Arial"/>
                <w:sz w:val="18"/>
                <w:szCs w:val="18"/>
                <w:color w:val="auto"/>
              </w:rPr>
              <w:t>(c)</w:t>
            </w:r>
          </w:p>
        </w:tc>
        <w:tc>
          <w:tcPr>
            <w:tcW w:w="7080" w:type="dxa"/>
            <w:vAlign w:val="bottom"/>
          </w:tcPr>
          <w:p>
            <w:pPr>
              <w:ind w:left="240"/>
              <w:spacing w:after="0"/>
              <w:rPr>
                <w:sz w:val="20"/>
                <w:szCs w:val="20"/>
                <w:color w:val="auto"/>
              </w:rPr>
            </w:pPr>
            <w:r>
              <w:rPr>
                <w:rFonts w:ascii="Arial" w:cs="Arial" w:eastAsia="Arial" w:hAnsi="Arial"/>
                <w:sz w:val="18"/>
                <w:szCs w:val="18"/>
                <w:color w:val="auto"/>
              </w:rPr>
              <w:t>Affidavit of Mailing</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(d)</w:t>
            </w:r>
          </w:p>
        </w:tc>
        <w:tc>
          <w:tcPr>
            <w:tcW w:w="7080" w:type="dxa"/>
            <w:vAlign w:val="bottom"/>
          </w:tcPr>
          <w:p>
            <w:pPr>
              <w:ind w:left="240"/>
              <w:spacing w:after="0"/>
              <w:rPr>
                <w:sz w:val="20"/>
                <w:szCs w:val="20"/>
                <w:color w:val="auto"/>
              </w:rPr>
            </w:pPr>
            <w:r>
              <w:rPr>
                <w:rFonts w:ascii="Arial" w:cs="Arial" w:eastAsia="Arial" w:hAnsi="Arial"/>
                <w:sz w:val="18"/>
                <w:szCs w:val="18"/>
                <w:color w:val="auto"/>
              </w:rPr>
              <w:t>Methods of Notice</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(e)</w:t>
            </w:r>
          </w:p>
        </w:tc>
        <w:tc>
          <w:tcPr>
            <w:tcW w:w="7080" w:type="dxa"/>
            <w:vAlign w:val="bottom"/>
          </w:tcPr>
          <w:p>
            <w:pPr>
              <w:ind w:left="240"/>
              <w:spacing w:after="0"/>
              <w:rPr>
                <w:sz w:val="20"/>
                <w:szCs w:val="20"/>
                <w:color w:val="auto"/>
              </w:rPr>
            </w:pPr>
            <w:r>
              <w:rPr>
                <w:rFonts w:ascii="Arial" w:cs="Arial" w:eastAsia="Arial" w:hAnsi="Arial"/>
                <w:sz w:val="18"/>
                <w:szCs w:val="18"/>
                <w:color w:val="auto"/>
              </w:rPr>
              <w:t>Notice to Person with Whom Communication Is Unlawful</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00" w:type="dxa"/>
            <w:vAlign w:val="bottom"/>
          </w:tcPr>
          <w:p>
            <w:pPr>
              <w:ind w:left="900"/>
              <w:spacing w:after="0"/>
              <w:rPr>
                <w:sz w:val="20"/>
                <w:szCs w:val="20"/>
                <w:color w:val="auto"/>
              </w:rPr>
            </w:pPr>
            <w:r>
              <w:rPr>
                <w:rFonts w:ascii="Arial" w:cs="Arial" w:eastAsia="Arial" w:hAnsi="Arial"/>
                <w:sz w:val="18"/>
                <w:szCs w:val="18"/>
                <w:color w:val="auto"/>
              </w:rPr>
              <w:t>(f)</w:t>
            </w:r>
          </w:p>
        </w:tc>
        <w:tc>
          <w:tcPr>
            <w:tcW w:w="7080" w:type="dxa"/>
            <w:vAlign w:val="bottom"/>
          </w:tcPr>
          <w:p>
            <w:pPr>
              <w:ind w:left="240"/>
              <w:spacing w:after="0"/>
              <w:rPr>
                <w:sz w:val="20"/>
                <w:szCs w:val="20"/>
                <w:color w:val="auto"/>
              </w:rPr>
            </w:pPr>
            <w:r>
              <w:rPr>
                <w:rFonts w:ascii="Arial" w:cs="Arial" w:eastAsia="Arial" w:hAnsi="Arial"/>
                <w:sz w:val="18"/>
                <w:szCs w:val="18"/>
                <w:color w:val="auto"/>
              </w:rPr>
              <w:t>Notice to Stockholders Sharing an Address</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XIII AMENDMENTS</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08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XIV RIGHT OF FIRST REFUSAL</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08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XV LOANS TO OFFICERS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080" w:type="dxa"/>
            <w:vAlign w:val="bottom"/>
          </w:tcPr>
          <w:p>
            <w:pPr>
              <w:ind w:left="240"/>
              <w:spacing w:after="0"/>
              <w:rPr>
                <w:sz w:val="20"/>
                <w:szCs w:val="20"/>
                <w:color w:val="auto"/>
              </w:rPr>
            </w:pPr>
            <w:r>
              <w:rPr>
                <w:rFonts w:ascii="Arial" w:cs="Arial" w:eastAsia="Arial" w:hAnsi="Arial"/>
                <w:sz w:val="18"/>
                <w:szCs w:val="18"/>
                <w:color w:val="auto"/>
              </w:rPr>
              <w:t>Loans to Officers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ARTICLE XVI MISCELLANEOUS</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4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080" w:type="dxa"/>
            <w:vAlign w:val="bottom"/>
          </w:tcPr>
          <w:p>
            <w:pPr>
              <w:ind w:left="240"/>
              <w:spacing w:after="0"/>
              <w:rPr>
                <w:sz w:val="20"/>
                <w:szCs w:val="20"/>
                <w:color w:val="auto"/>
              </w:rPr>
            </w:pPr>
            <w:r>
              <w:rPr>
                <w:rFonts w:ascii="Arial" w:cs="Arial" w:eastAsia="Arial" w:hAnsi="Arial"/>
                <w:sz w:val="18"/>
                <w:szCs w:val="18"/>
                <w:color w:val="auto"/>
              </w:rPr>
              <w:t>Annual Report</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1400" w:type="dxa"/>
            <w:vAlign w:val="bottom"/>
          </w:tcPr>
          <w:p>
            <w:pPr>
              <w:spacing w:after="0"/>
              <w:rPr>
                <w:sz w:val="24"/>
                <w:szCs w:val="24"/>
                <w:color w:val="auto"/>
              </w:rPr>
            </w:pPr>
          </w:p>
        </w:tc>
        <w:tc>
          <w:tcPr>
            <w:tcW w:w="7080" w:type="dxa"/>
            <w:vAlign w:val="bottom"/>
          </w:tcPr>
          <w:p>
            <w:pPr>
              <w:ind w:left="4240"/>
              <w:spacing w:after="0"/>
              <w:rPr>
                <w:sz w:val="20"/>
                <w:szCs w:val="20"/>
                <w:color w:val="auto"/>
              </w:rPr>
            </w:pPr>
            <w:r>
              <w:rPr>
                <w:rFonts w:ascii="Arial" w:cs="Arial" w:eastAsia="Arial" w:hAnsi="Arial"/>
                <w:sz w:val="18"/>
                <w:szCs w:val="18"/>
                <w:color w:val="auto"/>
              </w:rPr>
              <w:t>iv</w:t>
            </w:r>
          </w:p>
        </w:tc>
        <w:tc>
          <w:tcPr>
            <w:tcW w:w="2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ANAPTYS BIOSCIENCES,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in the City of Wilmington, County of New</w:t>
      </w:r>
      <w:r>
        <w:rPr>
          <w:rFonts w:ascii="Arial" w:cs="Arial" w:eastAsia="Arial" w:hAnsi="Arial"/>
          <w:sz w:val="18"/>
          <w:szCs w:val="18"/>
          <w:b w:val="1"/>
          <w:bCs w:val="1"/>
          <w:color w:val="auto"/>
        </w:rPr>
        <w:t xml:space="preserve"> </w:t>
      </w:r>
      <w:r>
        <w:rPr>
          <w:rFonts w:ascii="Arial" w:cs="Arial" w:eastAsia="Arial" w:hAnsi="Arial"/>
          <w:sz w:val="18"/>
          <w:szCs w:val="18"/>
          <w:color w:val="auto"/>
        </w:rPr>
        <w:t>Castle.</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580" w:firstLine="456"/>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Annual Meeting.</w:t>
      </w:r>
    </w:p>
    <w:p>
      <w:pPr>
        <w:spacing w:after="0" w:line="121" w:lineRule="exact"/>
        <w:rPr>
          <w:sz w:val="20"/>
          <w:szCs w:val="20"/>
          <w:color w:val="auto"/>
        </w:rPr>
      </w:pPr>
    </w:p>
    <w:p>
      <w:pPr>
        <w:ind w:firstLine="921"/>
        <w:spacing w:after="0" w:line="279" w:lineRule="auto"/>
        <w:tabs>
          <w:tab w:leader="none" w:pos="1168"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30" w:name="page231"/>
    <w:bookmarkEnd w:id="230"/>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147" w:lineRule="exact"/>
        <w:rPr>
          <w:sz w:val="20"/>
          <w:szCs w:val="20"/>
          <w:color w:val="auto"/>
        </w:rPr>
      </w:pPr>
    </w:p>
    <w:p>
      <w:pPr>
        <w:ind w:firstLine="921"/>
        <w:spacing w:after="0" w:line="284" w:lineRule="auto"/>
        <w:tabs>
          <w:tab w:leader="none" w:pos="1178"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1" w:name="page232"/>
    <w:bookmarkEnd w:id="231"/>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w:t>
      </w:r>
    </w:p>
    <w:p>
      <w:pPr>
        <w:spacing w:after="0" w:line="178" w:lineRule="exact"/>
        <w:rPr>
          <w:sz w:val="20"/>
          <w:szCs w:val="20"/>
          <w:color w:val="auto"/>
        </w:rPr>
      </w:pPr>
    </w:p>
    <w:p>
      <w:pPr>
        <w:ind w:right="20" w:firstLine="921"/>
        <w:spacing w:after="0" w:line="273" w:lineRule="auto"/>
        <w:tabs>
          <w:tab w:leader="none" w:pos="1158"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such public announcement is first made by the corporation.</w:t>
      </w:r>
    </w:p>
    <w:p>
      <w:pPr>
        <w:spacing w:after="0" w:line="178" w:lineRule="exact"/>
        <w:rPr>
          <w:rFonts w:ascii="Arial" w:cs="Arial" w:eastAsia="Arial" w:hAnsi="Arial"/>
          <w:sz w:val="17"/>
          <w:szCs w:val="17"/>
          <w:b w:val="1"/>
          <w:bCs w:val="1"/>
          <w:color w:val="auto"/>
        </w:rPr>
      </w:pPr>
    </w:p>
    <w:p>
      <w:pPr>
        <w:ind w:right="80" w:firstLine="921"/>
        <w:spacing w:after="0" w:line="273" w:lineRule="auto"/>
        <w:tabs>
          <w:tab w:leader="none" w:pos="1178"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78" w:lineRule="exact"/>
        <w:rPr>
          <w:rFonts w:ascii="Arial" w:cs="Arial" w:eastAsia="Arial" w:hAnsi="Arial"/>
          <w:sz w:val="17"/>
          <w:szCs w:val="17"/>
          <w:b w:val="1"/>
          <w:bCs w:val="1"/>
          <w:color w:val="auto"/>
        </w:rPr>
      </w:pPr>
    </w:p>
    <w:p>
      <w:pPr>
        <w:ind w:firstLine="921"/>
        <w:spacing w:after="0" w:line="259" w:lineRule="auto"/>
        <w:tabs>
          <w:tab w:leader="none" w:pos="1158"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ind w:right="380" w:firstLine="921"/>
        <w:spacing w:after="0" w:line="264" w:lineRule="auto"/>
        <w:tabs>
          <w:tab w:leader="none" w:pos="1138"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32" w:name="page233"/>
    <w:bookmarkEnd w:id="23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Special Meetings.</w:t>
      </w:r>
    </w:p>
    <w:p>
      <w:pPr>
        <w:spacing w:after="0" w:line="121" w:lineRule="exact"/>
        <w:rPr>
          <w:sz w:val="20"/>
          <w:szCs w:val="20"/>
          <w:color w:val="auto"/>
        </w:rPr>
      </w:pPr>
    </w:p>
    <w:p>
      <w:pPr>
        <w:ind w:right="20" w:firstLine="921"/>
        <w:spacing w:after="0" w:line="255" w:lineRule="auto"/>
        <w:tabs>
          <w:tab w:leader="none" w:pos="116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twenty percent (20%) of the votes at the meeting, and shall be held at such place, on such date, and at such time as the Board of Directors shall fix. At any time or times that the corporation is subject to Section 2115(b) of the California General Corporation Law (“</w:t>
      </w:r>
      <w:r>
        <w:rPr>
          <w:rFonts w:ascii="Arial" w:cs="Arial" w:eastAsia="Arial" w:hAnsi="Arial"/>
          <w:sz w:val="18"/>
          <w:szCs w:val="18"/>
          <w:b w:val="1"/>
          <w:bCs w:val="1"/>
          <w:i w:val="1"/>
          <w:iCs w:val="1"/>
          <w:color w:val="auto"/>
        </w:rPr>
        <w:t>CGCL</w:t>
      </w:r>
      <w:r>
        <w:rPr>
          <w:rFonts w:ascii="Arial" w:cs="Arial" w:eastAsia="Arial" w:hAnsi="Arial"/>
          <w:sz w:val="18"/>
          <w:szCs w:val="18"/>
          <w:color w:val="auto"/>
        </w:rPr>
        <w:t>”), stockholders holding five percent (5%) or more of the outstanding shares shall have the right to call a special meeting of stockholders as set forth in Section 18(b) herein.</w:t>
      </w:r>
    </w:p>
    <w:p>
      <w:pPr>
        <w:spacing w:after="0" w:line="189" w:lineRule="exact"/>
        <w:rPr>
          <w:rFonts w:ascii="Arial" w:cs="Arial" w:eastAsia="Arial" w:hAnsi="Arial"/>
          <w:sz w:val="18"/>
          <w:szCs w:val="18"/>
          <w:b w:val="1"/>
          <w:bCs w:val="1"/>
          <w:color w:val="auto"/>
        </w:rPr>
      </w:pPr>
    </w:p>
    <w:p>
      <w:pPr>
        <w:ind w:firstLine="921"/>
        <w:spacing w:after="0" w:line="290" w:lineRule="auto"/>
        <w:tabs>
          <w:tab w:leader="none" w:pos="1178" w:val="left"/>
        </w:tabs>
        <w:numPr>
          <w:ilvl w:val="0"/>
          <w:numId w:val="182"/>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27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color w:val="auto"/>
        </w:rPr>
        <w:t>Section 7. Notice of Meetings</w:t>
      </w:r>
      <w:r>
        <w:rPr>
          <w:rFonts w:ascii="Arial" w:cs="Arial" w:eastAsia="Arial" w:hAnsi="Arial"/>
          <w:sz w:val="16"/>
          <w:szCs w:val="16"/>
          <w:color w:val="auto"/>
        </w:rPr>
        <w:t>. 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33" w:name="page234"/>
    <w:bookmarkEnd w:id="233"/>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where otherwise provided by statute or by the Certificate of Incorporation,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Section 9. Adjournment and Notice of Adjourned Meetings</w:t>
      </w:r>
      <w:r>
        <w:rPr>
          <w:rFonts w:ascii="Arial" w:cs="Arial" w:eastAsia="Arial" w:hAnsi="Arial"/>
          <w:sz w:val="16"/>
          <w:szCs w:val="16"/>
          <w:color w:val="auto"/>
        </w:rPr>
        <w:t>. Any meeting of stockholders, whether annual or special, may be adjourned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No proxy shall be voted after three (3) years from its date of creation unless the proxy provides for a longer period.</w:t>
      </w:r>
    </w:p>
    <w:p>
      <w:pPr>
        <w:spacing w:after="0" w:line="2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Section 11. Joint Owners of Stock</w:t>
      </w:r>
      <w:r>
        <w:rPr>
          <w:rFonts w:ascii="Arial" w:cs="Arial" w:eastAsia="Arial" w:hAnsi="Arial"/>
          <w:sz w:val="16"/>
          <w:szCs w:val="16"/>
          <w:color w:val="auto"/>
        </w:rPr>
        <w:t>. If shares or other securities having voting power stand of record in the names of two (2) or more persons,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w:t>
      </w:r>
    </w:p>
    <w:p>
      <w:pPr>
        <w:spacing w:after="0" w:line="3" w:lineRule="exact"/>
        <w:rPr>
          <w:sz w:val="20"/>
          <w:szCs w:val="20"/>
          <w:color w:val="auto"/>
        </w:rPr>
      </w:pPr>
    </w:p>
    <w:p>
      <w:pPr>
        <w:ind w:right="60" w:firstLine="8"/>
        <w:spacing w:after="0" w:line="254"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color w:val="auto"/>
        </w:rPr>
        <w:t>Section 12. List of Stockholders</w:t>
      </w:r>
      <w:r>
        <w:rPr>
          <w:rFonts w:ascii="Arial" w:cs="Arial" w:eastAsia="Arial" w:hAnsi="Arial"/>
          <w:sz w:val="17"/>
          <w:szCs w:val="17"/>
          <w:color w:val="auto"/>
        </w:rPr>
        <w:t>. The Secretary shall prepare and make, at least ten (10) days before every meeting of stockholders, a complete list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 Action Without Meeting.</w:t>
      </w:r>
    </w:p>
    <w:p>
      <w:pPr>
        <w:spacing w:after="0" w:line="121" w:lineRule="exact"/>
        <w:rPr>
          <w:sz w:val="20"/>
          <w:szCs w:val="20"/>
          <w:color w:val="auto"/>
        </w:rPr>
      </w:pPr>
    </w:p>
    <w:p>
      <w:pPr>
        <w:ind w:firstLine="921"/>
        <w:spacing w:after="0" w:line="257" w:lineRule="auto"/>
        <w:tabs>
          <w:tab w:leader="none" w:pos="1168"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 to vote thereon were present and voted.</w:t>
      </w:r>
    </w:p>
    <w:p>
      <w:pPr>
        <w:spacing w:after="0" w:line="188" w:lineRule="exact"/>
        <w:rPr>
          <w:rFonts w:ascii="Arial" w:cs="Arial" w:eastAsia="Arial" w:hAnsi="Arial"/>
          <w:sz w:val="18"/>
          <w:szCs w:val="18"/>
          <w:b w:val="1"/>
          <w:bCs w:val="1"/>
          <w:color w:val="auto"/>
        </w:rPr>
      </w:pPr>
    </w:p>
    <w:p>
      <w:pPr>
        <w:ind w:right="100" w:firstLine="921"/>
        <w:spacing w:after="0" w:line="257" w:lineRule="auto"/>
        <w:tabs>
          <w:tab w:leader="none" w:pos="1178"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35" w:name="page236"/>
    <w:bookmarkEnd w:id="235"/>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book in which proceedings of meetings of stockholders are recorded. Delivery made to a corporation’s registered office shall be by hand or by certified or registered mail, return receipt requested.</w:t>
      </w:r>
    </w:p>
    <w:p>
      <w:pPr>
        <w:spacing w:after="0" w:line="170" w:lineRule="exact"/>
        <w:rPr>
          <w:sz w:val="20"/>
          <w:szCs w:val="20"/>
          <w:color w:val="auto"/>
        </w:rPr>
      </w:pPr>
    </w:p>
    <w:p>
      <w:pPr>
        <w:ind w:firstLine="921"/>
        <w:spacing w:after="0" w:line="255" w:lineRule="auto"/>
        <w:tabs>
          <w:tab w:leader="none" w:pos="1158"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9" w:lineRule="exact"/>
        <w:rPr>
          <w:rFonts w:ascii="Arial" w:cs="Arial" w:eastAsia="Arial" w:hAnsi="Arial"/>
          <w:sz w:val="18"/>
          <w:szCs w:val="18"/>
          <w:b w:val="1"/>
          <w:bCs w:val="1"/>
          <w:color w:val="auto"/>
        </w:rPr>
      </w:pPr>
    </w:p>
    <w:p>
      <w:pPr>
        <w:ind w:right="20" w:firstLine="921"/>
        <w:spacing w:after="0" w:line="268" w:lineRule="auto"/>
        <w:tabs>
          <w:tab w:leader="none" w:pos="1178"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 Organization.</w:t>
      </w:r>
    </w:p>
    <w:p>
      <w:pPr>
        <w:spacing w:after="0" w:line="121" w:lineRule="exact"/>
        <w:rPr>
          <w:sz w:val="20"/>
          <w:szCs w:val="20"/>
          <w:color w:val="auto"/>
        </w:rPr>
      </w:pPr>
    </w:p>
    <w:p>
      <w:pPr>
        <w:ind w:right="720" w:firstLine="921"/>
        <w:spacing w:after="0" w:line="342" w:lineRule="auto"/>
        <w:tabs>
          <w:tab w:leader="none" w:pos="1168"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36" w:name="page237"/>
    <w:bookmarkEnd w:id="23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in person or by proxy, shall act as chairman. The Secretary, or, in his absence, an Assistant Secretary directed to do so by the President, shall act as secretary of the meeting.</w:t>
      </w:r>
    </w:p>
    <w:p>
      <w:pPr>
        <w:spacing w:after="0" w:line="170" w:lineRule="exact"/>
        <w:rPr>
          <w:sz w:val="20"/>
          <w:szCs w:val="20"/>
          <w:color w:val="auto"/>
        </w:rPr>
      </w:pPr>
    </w:p>
    <w:p>
      <w:pPr>
        <w:ind w:firstLine="921"/>
        <w:spacing w:after="0" w:line="288" w:lineRule="auto"/>
        <w:tabs>
          <w:tab w:leader="none" w:pos="1178"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Directors need not be stockholders unless so required by the Certificate of Incorporation. If for any cause, the directors shall not have been elected at an annual meeting, they may be elected as soon thereafter as convenient.</w:t>
      </w:r>
    </w:p>
    <w:p>
      <w:pPr>
        <w:spacing w:after="0" w:line="176"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powers of the corporation shall be exercised, its business conducted and its property controlled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provided by statute or by the Certificate of Incorporation.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17. Term of Directors.</w:t>
      </w:r>
    </w:p>
    <w:p>
      <w:pPr>
        <w:spacing w:after="0" w:line="121" w:lineRule="exact"/>
        <w:rPr>
          <w:sz w:val="20"/>
          <w:szCs w:val="20"/>
          <w:color w:val="auto"/>
        </w:rPr>
      </w:pPr>
    </w:p>
    <w:p>
      <w:pPr>
        <w:jc w:val="both"/>
        <w:ind w:right="120" w:firstLine="921"/>
        <w:spacing w:after="0" w:line="312" w:lineRule="auto"/>
        <w:tabs>
          <w:tab w:leader="none" w:pos="1168"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46" w:lineRule="exact"/>
        <w:rPr>
          <w:rFonts w:ascii="Arial" w:cs="Arial" w:eastAsia="Arial" w:hAnsi="Arial"/>
          <w:sz w:val="16"/>
          <w:szCs w:val="16"/>
          <w:b w:val="1"/>
          <w:bCs w:val="1"/>
          <w:color w:val="auto"/>
        </w:rPr>
      </w:pPr>
    </w:p>
    <w:p>
      <w:pPr>
        <w:ind w:firstLine="921"/>
        <w:spacing w:after="0" w:line="277" w:lineRule="auto"/>
        <w:tabs>
          <w:tab w:leader="none" w:pos="1178"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37" w:name="page238"/>
    <w:bookmarkEnd w:id="23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18. Vacancies.</w:t>
      </w:r>
    </w:p>
    <w:p>
      <w:pPr>
        <w:spacing w:after="0" w:line="121" w:lineRule="exact"/>
        <w:rPr>
          <w:sz w:val="20"/>
          <w:szCs w:val="20"/>
          <w:color w:val="auto"/>
        </w:rPr>
      </w:pPr>
    </w:p>
    <w:p>
      <w:pPr>
        <w:ind w:right="40" w:firstLine="921"/>
        <w:spacing w:after="0" w:line="269" w:lineRule="auto"/>
        <w:tabs>
          <w:tab w:leader="none" w:pos="1168" w:val="left"/>
        </w:tabs>
        <w:numPr>
          <w:ilvl w:val="0"/>
          <w:numId w:val="189"/>
        </w:numPr>
        <w:rPr>
          <w:rFonts w:ascii="Arial" w:cs="Arial" w:eastAsia="Arial" w:hAnsi="Arial"/>
          <w:sz w:val="17"/>
          <w:szCs w:val="17"/>
          <w:b w:val="1"/>
          <w:bCs w:val="1"/>
          <w:color w:val="auto"/>
        </w:rPr>
      </w:pPr>
      <w:r>
        <w:rPr>
          <w:rFonts w:ascii="Arial" w:cs="Arial" w:eastAsia="Arial" w:hAnsi="Arial"/>
          <w:sz w:val="17"/>
          <w:szCs w:val="17"/>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82" w:lineRule="exact"/>
        <w:rPr>
          <w:rFonts w:ascii="Arial" w:cs="Arial" w:eastAsia="Arial" w:hAnsi="Arial"/>
          <w:sz w:val="17"/>
          <w:szCs w:val="17"/>
          <w:b w:val="1"/>
          <w:bCs w:val="1"/>
          <w:color w:val="auto"/>
        </w:rPr>
      </w:pPr>
    </w:p>
    <w:p>
      <w:pPr>
        <w:ind w:right="220" w:firstLine="921"/>
        <w:spacing w:after="0" w:line="277" w:lineRule="auto"/>
        <w:tabs>
          <w:tab w:leader="none" w:pos="1178"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70" w:lineRule="exact"/>
        <w:rPr>
          <w:rFonts w:ascii="Arial" w:cs="Arial" w:eastAsia="Arial" w:hAnsi="Arial"/>
          <w:sz w:val="18"/>
          <w:szCs w:val="18"/>
          <w:b w:val="1"/>
          <w:bCs w:val="1"/>
          <w:color w:val="auto"/>
        </w:rPr>
      </w:pPr>
    </w:p>
    <w:p>
      <w:pPr>
        <w:ind w:right="300" w:firstLine="1492"/>
        <w:spacing w:after="0" w:line="277" w:lineRule="auto"/>
        <w:tabs>
          <w:tab w:leader="none" w:pos="1698"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170" w:lineRule="exact"/>
        <w:rPr>
          <w:rFonts w:ascii="Arial" w:cs="Arial" w:eastAsia="Arial" w:hAnsi="Arial"/>
          <w:sz w:val="18"/>
          <w:szCs w:val="18"/>
          <w:b w:val="1"/>
          <w:bCs w:val="1"/>
          <w:color w:val="auto"/>
        </w:rPr>
      </w:pPr>
    </w:p>
    <w:p>
      <w:pPr>
        <w:ind w:right="260" w:firstLine="1492"/>
        <w:spacing w:after="0" w:line="264" w:lineRule="auto"/>
        <w:tabs>
          <w:tab w:leader="none" w:pos="1748"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38" w:name="page239"/>
    <w:bookmarkEnd w:id="238"/>
    <w:p>
      <w:pPr>
        <w:ind w:right="180" w:firstLine="456"/>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19. Resignation</w:t>
      </w:r>
      <w:r>
        <w:rPr>
          <w:rFonts w:ascii="Arial" w:cs="Arial" w:eastAsia="Arial" w:hAnsi="Arial"/>
          <w:sz w:val="16"/>
          <w:szCs w:val="16"/>
          <w:color w:val="auto"/>
        </w:rPr>
        <w:t>. Any director may resign at any time by delivering his or her notice in writing or by electronic transmission to 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 Removal.</w:t>
      </w:r>
    </w:p>
    <w:p>
      <w:pPr>
        <w:spacing w:after="0" w:line="121" w:lineRule="exact"/>
        <w:rPr>
          <w:sz w:val="20"/>
          <w:szCs w:val="20"/>
          <w:color w:val="auto"/>
        </w:rPr>
      </w:pPr>
    </w:p>
    <w:p>
      <w:pPr>
        <w:ind w:firstLine="921"/>
        <w:spacing w:after="0" w:line="257" w:lineRule="auto"/>
        <w:tabs>
          <w:tab w:leader="none" w:pos="116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vote generally at an election of directors.</w:t>
      </w:r>
    </w:p>
    <w:p>
      <w:pPr>
        <w:spacing w:after="0" w:line="188" w:lineRule="exact"/>
        <w:rPr>
          <w:rFonts w:ascii="Arial" w:cs="Arial" w:eastAsia="Arial" w:hAnsi="Arial"/>
          <w:sz w:val="18"/>
          <w:szCs w:val="18"/>
          <w:b w:val="1"/>
          <w:bCs w:val="1"/>
          <w:color w:val="auto"/>
        </w:rPr>
      </w:pPr>
    </w:p>
    <w:p>
      <w:pPr>
        <w:ind w:right="40" w:firstLine="921"/>
        <w:spacing w:after="0" w:line="273" w:lineRule="auto"/>
        <w:tabs>
          <w:tab w:leader="none" w:pos="1178"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21. Meetings</w:t>
      </w:r>
    </w:p>
    <w:p>
      <w:pPr>
        <w:spacing w:after="0" w:line="117" w:lineRule="exact"/>
        <w:rPr>
          <w:sz w:val="20"/>
          <w:szCs w:val="20"/>
          <w:color w:val="auto"/>
        </w:rPr>
      </w:pPr>
    </w:p>
    <w:p>
      <w:pPr>
        <w:ind w:right="80" w:firstLine="921"/>
        <w:spacing w:after="0" w:line="303" w:lineRule="auto"/>
        <w:tabs>
          <w:tab w:leader="none" w:pos="1168"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 held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w:t>
      </w:r>
    </w:p>
    <w:p>
      <w:pPr>
        <w:spacing w:after="0" w:line="151" w:lineRule="exact"/>
        <w:rPr>
          <w:rFonts w:ascii="Arial" w:cs="Arial" w:eastAsia="Arial" w:hAnsi="Arial"/>
          <w:sz w:val="16"/>
          <w:szCs w:val="16"/>
          <w:b w:val="1"/>
          <w:bCs w:val="1"/>
          <w:color w:val="auto"/>
        </w:rPr>
      </w:pPr>
    </w:p>
    <w:p>
      <w:pPr>
        <w:ind w:right="140" w:firstLine="921"/>
        <w:spacing w:after="0" w:line="313" w:lineRule="auto"/>
        <w:tabs>
          <w:tab w:leader="none" w:pos="1178"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Special Meetings</w:t>
      </w:r>
      <w:r>
        <w:rPr>
          <w:rFonts w:ascii="Arial" w:cs="Arial" w:eastAsia="Arial" w:hAnsi="Arial"/>
          <w:sz w:val="17"/>
          <w:szCs w:val="17"/>
          <w:color w:val="auto"/>
        </w:rPr>
        <w:t>. Unless otherwise restricted by the Certificate of Incorporation, special meetings of the Board of Directors may be held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and place within or without the State of Delaware whenever called by the Chairman of the Board, the President or any director.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39" w:name="page240"/>
    <w:bookmarkEnd w:id="239"/>
    <w:p>
      <w:pPr>
        <w:jc w:val="both"/>
        <w:ind w:right="20" w:firstLine="921"/>
        <w:spacing w:after="0" w:line="289" w:lineRule="auto"/>
        <w:tabs>
          <w:tab w:leader="none" w:pos="1158"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Meetings by Electronic Communications Equipment</w:t>
      </w:r>
      <w:r>
        <w:rPr>
          <w:rFonts w:ascii="Arial" w:cs="Arial" w:eastAsia="Arial" w:hAnsi="Arial"/>
          <w:sz w:val="17"/>
          <w:szCs w:val="17"/>
          <w:color w:val="auto"/>
        </w:rPr>
        <w:t>. Any member of the Board of Directors, or of any committee thereof, may participate</w:t>
      </w:r>
      <w:r>
        <w:rPr>
          <w:rFonts w:ascii="Arial" w:cs="Arial" w:eastAsia="Arial" w:hAnsi="Arial"/>
          <w:sz w:val="17"/>
          <w:szCs w:val="17"/>
          <w:b w:val="1"/>
          <w:bCs w:val="1"/>
          <w:color w:val="auto"/>
        </w:rPr>
        <w:t xml:space="preserve"> </w:t>
      </w:r>
      <w:r>
        <w:rPr>
          <w:rFonts w:ascii="Arial" w:cs="Arial" w:eastAsia="Arial" w:hAnsi="Arial"/>
          <w:sz w:val="17"/>
          <w:szCs w:val="17"/>
          <w:color w:val="auto"/>
        </w:rPr>
        <w:t>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8" w:lineRule="exact"/>
        <w:rPr>
          <w:rFonts w:ascii="Arial" w:cs="Arial" w:eastAsia="Arial" w:hAnsi="Arial"/>
          <w:sz w:val="17"/>
          <w:szCs w:val="17"/>
          <w:b w:val="1"/>
          <w:bCs w:val="1"/>
          <w:color w:val="auto"/>
        </w:rPr>
      </w:pPr>
    </w:p>
    <w:p>
      <w:pPr>
        <w:ind w:firstLine="921"/>
        <w:spacing w:after="0" w:line="255" w:lineRule="auto"/>
        <w:tabs>
          <w:tab w:leader="none" w:pos="1178"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Special Meetings</w:t>
      </w:r>
      <w:r>
        <w:rPr>
          <w:rFonts w:ascii="Arial" w:cs="Arial" w:eastAsia="Arial" w:hAnsi="Arial"/>
          <w:sz w:val="18"/>
          <w:szCs w:val="18"/>
          <w:color w:val="auto"/>
        </w:rPr>
        <w:t>. Notice of the time and place of all special meetings of the Board of Directors shall be orally or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 lawfully called or convened.</w:t>
      </w:r>
    </w:p>
    <w:p>
      <w:pPr>
        <w:spacing w:after="0" w:line="189" w:lineRule="exact"/>
        <w:rPr>
          <w:rFonts w:ascii="Arial" w:cs="Arial" w:eastAsia="Arial" w:hAnsi="Arial"/>
          <w:sz w:val="18"/>
          <w:szCs w:val="18"/>
          <w:b w:val="1"/>
          <w:bCs w:val="1"/>
          <w:color w:val="auto"/>
        </w:rPr>
      </w:pPr>
    </w:p>
    <w:p>
      <w:pPr>
        <w:ind w:right="220" w:firstLine="921"/>
        <w:spacing w:after="0" w:line="281" w:lineRule="auto"/>
        <w:tabs>
          <w:tab w:leader="none" w:pos="1158"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 or</w:t>
      </w:r>
      <w:r>
        <w:rPr>
          <w:rFonts w:ascii="Arial" w:cs="Arial" w:eastAsia="Arial" w:hAnsi="Arial"/>
          <w:sz w:val="17"/>
          <w:szCs w:val="17"/>
          <w:b w:val="1"/>
          <w:bCs w:val="1"/>
          <w:color w:val="auto"/>
        </w:rPr>
        <w:t xml:space="preserve"> </w:t>
      </w:r>
      <w:r>
        <w:rPr>
          <w:rFonts w:ascii="Arial" w:cs="Arial" w:eastAsia="Arial" w:hAnsi="Arial"/>
          <w:sz w:val="17"/>
          <w:szCs w:val="17"/>
          <w:color w:val="auto"/>
        </w:rPr>
        <w:t>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22. Quorum and Voting.</w:t>
      </w:r>
    </w:p>
    <w:p>
      <w:pPr>
        <w:spacing w:after="0" w:line="121" w:lineRule="exact"/>
        <w:rPr>
          <w:sz w:val="20"/>
          <w:szCs w:val="20"/>
          <w:color w:val="auto"/>
        </w:rPr>
      </w:pPr>
    </w:p>
    <w:p>
      <w:pPr>
        <w:ind w:right="40" w:firstLine="921"/>
        <w:spacing w:after="0" w:line="259" w:lineRule="auto"/>
        <w:tabs>
          <w:tab w:leader="none" w:pos="1168"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6" w:lineRule="exact"/>
        <w:rPr>
          <w:rFonts w:ascii="Arial" w:cs="Arial" w:eastAsia="Arial" w:hAnsi="Arial"/>
          <w:sz w:val="18"/>
          <w:szCs w:val="18"/>
          <w:b w:val="1"/>
          <w:bCs w:val="1"/>
          <w:color w:val="auto"/>
        </w:rPr>
      </w:pPr>
    </w:p>
    <w:p>
      <w:pPr>
        <w:ind w:right="320" w:firstLine="921"/>
        <w:spacing w:after="0" w:line="308" w:lineRule="auto"/>
        <w:tabs>
          <w:tab w:leader="none" w:pos="1178"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43"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b w:val="1"/>
          <w:bCs w:val="1"/>
          <w:color w:val="auto"/>
        </w:rPr>
        <w:t>Section 23. Action Without Meeting</w:t>
      </w:r>
      <w:r>
        <w:rPr>
          <w:rFonts w:ascii="Arial" w:cs="Arial" w:eastAsia="Arial" w:hAnsi="Arial"/>
          <w:sz w:val="16"/>
          <w:szCs w:val="16"/>
          <w:color w:val="auto"/>
        </w:rPr>
        <w:t>. Unless otherwise restricted by the Certificate of Incorporation or these Bylaws, any action required or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40" w:name="page241"/>
    <w:bookmarkEnd w:id="24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with the minutes of proceedings of the Board of Directors or committee. 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Section 24. Fees and Compensation</w:t>
      </w:r>
      <w:r>
        <w:rPr>
          <w:rFonts w:ascii="Arial" w:cs="Arial" w:eastAsia="Arial" w:hAnsi="Arial"/>
          <w:sz w:val="16"/>
          <w:szCs w:val="16"/>
          <w:color w:val="auto"/>
        </w:rPr>
        <w:t>. Directors shall be entitled to such compensation for their services as may be approved by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25. Committees.</w:t>
      </w:r>
    </w:p>
    <w:p>
      <w:pPr>
        <w:spacing w:after="0" w:line="117" w:lineRule="exact"/>
        <w:rPr>
          <w:sz w:val="20"/>
          <w:szCs w:val="20"/>
          <w:color w:val="auto"/>
        </w:rPr>
      </w:pPr>
    </w:p>
    <w:p>
      <w:pPr>
        <w:ind w:firstLine="921"/>
        <w:spacing w:after="0" w:line="256" w:lineRule="auto"/>
        <w:tabs>
          <w:tab w:leader="none" w:pos="1168"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Committee</w:t>
      </w:r>
      <w:r>
        <w:rPr>
          <w:rFonts w:ascii="Arial" w:cs="Arial" w:eastAsia="Arial" w:hAnsi="Arial"/>
          <w:sz w:val="18"/>
          <w:szCs w:val="18"/>
          <w:color w:val="auto"/>
        </w:rPr>
        <w:t>. The Board of Directors may appoint an Executive Committee to consist of one (1) or more members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w:t>
      </w:r>
    </w:p>
    <w:p>
      <w:pPr>
        <w:spacing w:after="0" w:line="187" w:lineRule="exact"/>
        <w:rPr>
          <w:rFonts w:ascii="Arial" w:cs="Arial" w:eastAsia="Arial" w:hAnsi="Arial"/>
          <w:sz w:val="18"/>
          <w:szCs w:val="18"/>
          <w:b w:val="1"/>
          <w:bCs w:val="1"/>
          <w:color w:val="auto"/>
        </w:rPr>
      </w:pPr>
    </w:p>
    <w:p>
      <w:pPr>
        <w:jc w:val="both"/>
        <w:ind w:right="100" w:firstLine="921"/>
        <w:spacing w:after="0" w:line="261" w:lineRule="auto"/>
        <w:tabs>
          <w:tab w:leader="none" w:pos="1178"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appointed by the Board of Directors shall consist of one (l)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0"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Board of Directors, subject to any requirements of any outstanding series of Preferred Stock and the provisions of subsections</w:t>
      </w:r>
    </w:p>
    <w:p>
      <w:pPr>
        <w:spacing w:after="0" w:line="50" w:lineRule="exact"/>
        <w:rPr>
          <w:rFonts w:ascii="Arial" w:cs="Arial" w:eastAsia="Arial" w:hAnsi="Arial"/>
          <w:sz w:val="16"/>
          <w:szCs w:val="16"/>
          <w:b w:val="1"/>
          <w:bCs w:val="1"/>
          <w:color w:val="auto"/>
        </w:rPr>
      </w:pPr>
    </w:p>
    <w:p>
      <w:pPr>
        <w:ind w:right="20" w:firstLine="8"/>
        <w:spacing w:after="0" w:line="252"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1" w:name="page242"/>
    <w:bookmarkEnd w:id="241"/>
    <w:p>
      <w:pPr>
        <w:ind w:firstLine="921"/>
        <w:spacing w:after="0" w:line="288" w:lineRule="auto"/>
        <w:tabs>
          <w:tab w:leader="none" w:pos="1178"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Meetings</w:t>
      </w:r>
      <w:r>
        <w:rPr>
          <w:rFonts w:ascii="Arial" w:cs="Arial" w:eastAsia="Arial" w:hAnsi="Arial"/>
          <w:sz w:val="16"/>
          <w:szCs w:val="16"/>
          <w:color w:val="auto"/>
        </w:rPr>
        <w:t>. 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4"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Section 26. Organization</w:t>
      </w:r>
      <w:r>
        <w:rPr>
          <w:rFonts w:ascii="Arial" w:cs="Arial" w:eastAsia="Arial" w:hAnsi="Arial"/>
          <w:sz w:val="18"/>
          <w:szCs w:val="18"/>
          <w:color w:val="auto"/>
        </w:rPr>
        <w:t>. At every meeting of the directors, the Chairman of the Board of Directors, or, if a Chairman has not been appointed or is</w:t>
      </w:r>
      <w:r>
        <w:rPr>
          <w:rFonts w:ascii="Arial" w:cs="Arial" w:eastAsia="Arial" w:hAnsi="Arial"/>
          <w:sz w:val="18"/>
          <w:szCs w:val="18"/>
          <w:b w:val="1"/>
          <w:bCs w:val="1"/>
          <w:color w:val="auto"/>
        </w:rPr>
        <w:t xml:space="preserve"> </w:t>
      </w:r>
      <w:r>
        <w:rPr>
          <w:rFonts w:ascii="Arial" w:cs="Arial" w:eastAsia="Arial" w:hAnsi="Arial"/>
          <w:sz w:val="18"/>
          <w:szCs w:val="18"/>
          <w:color w:val="auto"/>
        </w:rPr>
        <w:t>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Section 27. Officers Designated</w:t>
      </w:r>
      <w:r>
        <w:rPr>
          <w:rFonts w:ascii="Arial" w:cs="Arial" w:eastAsia="Arial" w:hAnsi="Arial"/>
          <w:sz w:val="18"/>
          <w:szCs w:val="18"/>
          <w:color w:val="auto"/>
        </w:rPr>
        <w:t>. The officers of the corporation shall include, if and when designated by the Board of Directors,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28. Tenure and Duties of Officers.</w:t>
      </w:r>
    </w:p>
    <w:p>
      <w:pPr>
        <w:spacing w:after="0" w:line="117" w:lineRule="exact"/>
        <w:rPr>
          <w:sz w:val="20"/>
          <w:szCs w:val="20"/>
          <w:color w:val="auto"/>
        </w:rPr>
      </w:pPr>
    </w:p>
    <w:p>
      <w:pPr>
        <w:ind w:right="320" w:firstLine="921"/>
        <w:spacing w:after="0" w:line="282" w:lineRule="auto"/>
        <w:tabs>
          <w:tab w:leader="none" w:pos="1168"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unless sooner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242" w:name="page243"/>
    <w:bookmarkEnd w:id="242"/>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removed. Any officer elected or appointed by the Board of Directors may be removed at any time by the Board of Directors. If the office of any officer becomes vacant for any reason, the vacancy may be filled by the Board of Directors.</w:t>
      </w:r>
    </w:p>
    <w:p>
      <w:pPr>
        <w:spacing w:after="0" w:line="166" w:lineRule="exact"/>
        <w:rPr>
          <w:sz w:val="20"/>
          <w:szCs w:val="20"/>
          <w:color w:val="auto"/>
        </w:rPr>
      </w:pPr>
    </w:p>
    <w:p>
      <w:pPr>
        <w:ind w:right="100" w:firstLine="921"/>
        <w:spacing w:after="0" w:line="287" w:lineRule="auto"/>
        <w:tabs>
          <w:tab w:leader="none" w:pos="1178"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Chairman of the Board of Directors</w:t>
      </w:r>
      <w:r>
        <w:rPr>
          <w:rFonts w:ascii="Arial" w:cs="Arial" w:eastAsia="Arial" w:hAnsi="Arial"/>
          <w:sz w:val="16"/>
          <w:szCs w:val="16"/>
          <w:color w:val="auto"/>
        </w:rPr>
        <w:t>. The Chairman of the Board of Directors, when present, shall preside at all meetings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of this Section 28.</w:t>
      </w:r>
    </w:p>
    <w:p>
      <w:pPr>
        <w:spacing w:after="0" w:line="206" w:lineRule="exact"/>
        <w:rPr>
          <w:rFonts w:ascii="Arial" w:cs="Arial" w:eastAsia="Arial" w:hAnsi="Arial"/>
          <w:sz w:val="18"/>
          <w:szCs w:val="18"/>
          <w:color w:val="auto"/>
        </w:rPr>
      </w:pPr>
    </w:p>
    <w:p>
      <w:pPr>
        <w:ind w:right="60" w:firstLine="921"/>
        <w:spacing w:after="0" w:line="277" w:lineRule="auto"/>
        <w:tabs>
          <w:tab w:leader="none" w:pos="1158" w:val="left"/>
        </w:tabs>
        <w:numPr>
          <w:ilvl w:val="1"/>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President</w:t>
      </w:r>
      <w:r>
        <w:rPr>
          <w:rFonts w:ascii="Arial" w:cs="Arial" w:eastAsia="Arial" w:hAnsi="Arial"/>
          <w:sz w:val="17"/>
          <w:szCs w:val="17"/>
          <w:color w:val="auto"/>
        </w:rPr>
        <w:t>. The President shall preside at all meetings of the stockholders and at all meetings of the Board of Directors,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68" w:lineRule="exact"/>
        <w:rPr>
          <w:rFonts w:ascii="Arial" w:cs="Arial" w:eastAsia="Arial" w:hAnsi="Arial"/>
          <w:sz w:val="17"/>
          <w:szCs w:val="17"/>
          <w:b w:val="1"/>
          <w:bCs w:val="1"/>
          <w:color w:val="auto"/>
        </w:rPr>
      </w:pPr>
    </w:p>
    <w:p>
      <w:pPr>
        <w:jc w:val="both"/>
        <w:ind w:right="560" w:firstLine="921"/>
        <w:spacing w:after="0" w:line="314" w:lineRule="auto"/>
        <w:tabs>
          <w:tab w:leader="none" w:pos="1178" w:val="left"/>
        </w:tabs>
        <w:numPr>
          <w:ilvl w:val="1"/>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2" w:lineRule="exact"/>
        <w:rPr>
          <w:rFonts w:ascii="Arial" w:cs="Arial" w:eastAsia="Arial" w:hAnsi="Arial"/>
          <w:sz w:val="16"/>
          <w:szCs w:val="16"/>
          <w:b w:val="1"/>
          <w:bCs w:val="1"/>
          <w:color w:val="auto"/>
        </w:rPr>
      </w:pPr>
    </w:p>
    <w:p>
      <w:pPr>
        <w:ind w:firstLine="921"/>
        <w:spacing w:after="0" w:line="273" w:lineRule="auto"/>
        <w:tabs>
          <w:tab w:leader="none" w:pos="1158" w:val="left"/>
        </w:tabs>
        <w:numPr>
          <w:ilvl w:val="1"/>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Secretary</w:t>
      </w:r>
      <w:r>
        <w:rPr>
          <w:rFonts w:ascii="Arial" w:cs="Arial" w:eastAsia="Arial" w:hAnsi="Arial"/>
          <w:sz w:val="17"/>
          <w:szCs w:val="17"/>
          <w:color w:val="auto"/>
        </w:rPr>
        <w:t>. The Secretary shall attend all meetings of the stockholders and of the Board of Directors and shall record all 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72" w:lineRule="exact"/>
        <w:rPr>
          <w:rFonts w:ascii="Arial" w:cs="Arial" w:eastAsia="Arial" w:hAnsi="Arial"/>
          <w:sz w:val="17"/>
          <w:szCs w:val="17"/>
          <w:b w:val="1"/>
          <w:bCs w:val="1"/>
          <w:color w:val="auto"/>
        </w:rPr>
      </w:pPr>
    </w:p>
    <w:p>
      <w:pPr>
        <w:ind w:right="100" w:firstLine="921"/>
        <w:spacing w:after="0" w:line="258" w:lineRule="auto"/>
        <w:tabs>
          <w:tab w:leader="none" w:pos="1138"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Chief Financial Officer</w:t>
      </w:r>
      <w:r>
        <w:rPr>
          <w:rFonts w:ascii="Arial" w:cs="Arial" w:eastAsia="Arial" w:hAnsi="Arial"/>
          <w:sz w:val="18"/>
          <w:szCs w:val="18"/>
          <w:color w:val="auto"/>
        </w:rPr>
        <w:t>. The Chief Financial Officer shall keep or cause to be kept the books of account of the corporation in a</w:t>
      </w:r>
      <w:r>
        <w:rPr>
          <w:rFonts w:ascii="Arial" w:cs="Arial" w:eastAsia="Arial" w:hAnsi="Arial"/>
          <w:sz w:val="18"/>
          <w:szCs w:val="18"/>
          <w:b w:val="1"/>
          <w:bCs w:val="1"/>
          <w:color w:val="auto"/>
        </w:rPr>
        <w:t xml:space="preserve"> </w:t>
      </w:r>
      <w:r>
        <w:rPr>
          <w:rFonts w:ascii="Arial" w:cs="Arial" w:eastAsia="Arial" w:hAnsi="Arial"/>
          <w:sz w:val="18"/>
          <w:szCs w:val="18"/>
          <w:color w:val="auto"/>
        </w:rPr>
        <w:t>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43" w:name="page244"/>
    <w:bookmarkEnd w:id="243"/>
    <w:p>
      <w:pPr>
        <w:jc w:val="both"/>
        <w:ind w:right="4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5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notwithstanding any provision hereof.</w:t>
      </w:r>
    </w:p>
    <w:p>
      <w:pPr>
        <w:spacing w:after="0" w:line="16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notice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office at the time, or by the unanimous written consent of the directors in office at the time, or by any committee or superior officers upon whom such power of removal may have been conferred by the Board of Directors.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Section 32. Execution of Corporate Instruments</w:t>
      </w:r>
      <w:r>
        <w:rPr>
          <w:rFonts w:ascii="Arial" w:cs="Arial" w:eastAsia="Arial" w:hAnsi="Arial"/>
          <w:sz w:val="17"/>
          <w:szCs w:val="17"/>
          <w:color w:val="auto"/>
        </w:rPr>
        <w:t>. The Board of Directors may, in its discretion, determine the method and designate the signatory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w:t>
      </w:r>
    </w:p>
    <w:p>
      <w:pPr>
        <w:spacing w:after="0" w:line="221"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 corporation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Section 34. Form and Execution of Certificates</w:t>
      </w:r>
      <w:r>
        <w:rPr>
          <w:rFonts w:ascii="Arial" w:cs="Arial" w:eastAsia="Arial" w:hAnsi="Arial"/>
          <w:sz w:val="16"/>
          <w:szCs w:val="16"/>
          <w:color w:val="auto"/>
        </w:rPr>
        <w:t>. Certificates for the shares of stock of the corporation shall be in such form as is 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and applicable law. Every holder of stock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35. Lost Certificates</w:t>
      </w:r>
      <w:r>
        <w:rPr>
          <w:rFonts w:ascii="Arial" w:cs="Arial" w:eastAsia="Arial" w:hAnsi="Arial"/>
          <w:sz w:val="18"/>
          <w:szCs w:val="18"/>
          <w:color w:val="auto"/>
        </w:rPr>
        <w:t>. 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45" w:name="page246"/>
    <w:bookmarkEnd w:id="24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and amount as it may direct as indemnity against any claim that may be made against the corporation with respect to the certificate alleged to have been lost, stolen, or destroyed.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36. Transfers.</w:t>
      </w:r>
    </w:p>
    <w:p>
      <w:pPr>
        <w:spacing w:after="0" w:line="121" w:lineRule="exact"/>
        <w:rPr>
          <w:sz w:val="20"/>
          <w:szCs w:val="20"/>
          <w:color w:val="auto"/>
        </w:rPr>
      </w:pPr>
    </w:p>
    <w:p>
      <w:pPr>
        <w:ind w:right="280" w:firstLine="921"/>
        <w:spacing w:after="0" w:line="277" w:lineRule="auto"/>
        <w:tabs>
          <w:tab w:leader="none" w:pos="1168"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w:t>
      </w:r>
    </w:p>
    <w:p>
      <w:pPr>
        <w:spacing w:after="0" w:line="170" w:lineRule="exact"/>
        <w:rPr>
          <w:rFonts w:ascii="Arial" w:cs="Arial" w:eastAsia="Arial" w:hAnsi="Arial"/>
          <w:sz w:val="18"/>
          <w:szCs w:val="18"/>
          <w:b w:val="1"/>
          <w:bCs w:val="1"/>
          <w:color w:val="auto"/>
        </w:rPr>
      </w:pPr>
    </w:p>
    <w:p>
      <w:pPr>
        <w:ind w:right="60" w:firstLine="921"/>
        <w:spacing w:after="0" w:line="264" w:lineRule="auto"/>
        <w:tabs>
          <w:tab w:leader="none" w:pos="1178"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37. Fixing Record Dates.</w:t>
      </w:r>
    </w:p>
    <w:p>
      <w:pPr>
        <w:spacing w:after="0" w:line="121" w:lineRule="exact"/>
        <w:rPr>
          <w:sz w:val="20"/>
          <w:szCs w:val="20"/>
          <w:color w:val="auto"/>
        </w:rPr>
      </w:pPr>
    </w:p>
    <w:p>
      <w:pPr>
        <w:ind w:right="100" w:firstLine="921"/>
        <w:spacing w:after="0" w:line="288" w:lineRule="auto"/>
        <w:tabs>
          <w:tab w:leader="none" w:pos="1168" w:val="left"/>
        </w:tabs>
        <w:numPr>
          <w:ilvl w:val="1"/>
          <w:numId w:val="201"/>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w:t>
      </w:r>
    </w:p>
    <w:p>
      <w:pPr>
        <w:ind w:right="20" w:firstLine="8"/>
        <w:spacing w:after="0" w:line="253" w:lineRule="auto"/>
        <w:tabs>
          <w:tab w:leader="none" w:pos="34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91" w:lineRule="exact"/>
        <w:rPr>
          <w:rFonts w:ascii="Arial" w:cs="Arial" w:eastAsia="Arial" w:hAnsi="Arial"/>
          <w:sz w:val="18"/>
          <w:szCs w:val="18"/>
          <w:color w:val="auto"/>
        </w:rPr>
      </w:pPr>
    </w:p>
    <w:p>
      <w:pPr>
        <w:ind w:firstLine="921"/>
        <w:spacing w:after="0" w:line="269" w:lineRule="auto"/>
        <w:tabs>
          <w:tab w:leader="none" w:pos="1178" w:val="left"/>
        </w:tabs>
        <w:numPr>
          <w:ilvl w:val="1"/>
          <w:numId w:val="202"/>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(l0)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(l0)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any officer or agent of the corporation having custody of the book in which proceedings of meetings of stockholders are recorded. Delivery made to the corporation’s registered office shall be by hand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46" w:name="page247"/>
    <w:bookmarkEnd w:id="246"/>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1" w:lineRule="exact"/>
        <w:rPr>
          <w:sz w:val="20"/>
          <w:szCs w:val="20"/>
          <w:color w:val="auto"/>
        </w:rPr>
      </w:pPr>
    </w:p>
    <w:p>
      <w:pPr>
        <w:ind w:firstLine="921"/>
        <w:spacing w:after="0" w:line="297" w:lineRule="auto"/>
        <w:tabs>
          <w:tab w:leader="none" w:pos="1158"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Section 38. Registered Stockholders</w:t>
      </w:r>
      <w:r>
        <w:rPr>
          <w:rFonts w:ascii="Arial" w:cs="Arial" w:eastAsia="Arial" w:hAnsi="Arial"/>
          <w:sz w:val="16"/>
          <w:szCs w:val="16"/>
          <w:color w:val="auto"/>
        </w:rPr>
        <w:t>. The corporation shall be entitled to recognize the exclusive right of a person registered on its books as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Section 39. Execution of Other Securities</w:t>
      </w:r>
      <w:r>
        <w:rPr>
          <w:rFonts w:ascii="Arial" w:cs="Arial" w:eastAsia="Arial" w:hAnsi="Arial"/>
          <w:sz w:val="17"/>
          <w:szCs w:val="17"/>
          <w:color w:val="auto"/>
        </w:rPr>
        <w:t>. All bonds, debentures and other corporate securities of the corporation ,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hear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whose facsimile signature shall have been used thereon had not ceased to be such officer of the corporation.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Section 41. Dividend Reserve</w:t>
      </w:r>
      <w:r>
        <w:rPr>
          <w:rFonts w:ascii="Arial" w:cs="Arial" w:eastAsia="Arial" w:hAnsi="Arial"/>
          <w:sz w:val="16"/>
          <w:szCs w:val="16"/>
          <w:color w:val="auto"/>
        </w:rPr>
        <w:t>. Before payment of any dividend, there may be set aside out of any funds of the corporation available for dividends such</w:t>
      </w:r>
      <w:r>
        <w:rPr>
          <w:rFonts w:ascii="Arial" w:cs="Arial" w:eastAsia="Arial" w:hAnsi="Arial"/>
          <w:sz w:val="16"/>
          <w:szCs w:val="16"/>
          <w:b w:val="1"/>
          <w:bCs w:val="1"/>
          <w:color w:val="auto"/>
        </w:rPr>
        <w:t xml:space="preserve"> </w:t>
      </w:r>
      <w:r>
        <w:rPr>
          <w:rFonts w:ascii="Arial" w:cs="Arial" w:eastAsia="Arial" w:hAnsi="Arial"/>
          <w:sz w:val="16"/>
          <w:szCs w:val="16"/>
          <w:color w:val="auto"/>
        </w:rPr>
        <w:t>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 and the Board of Directors may modify or abolish any such reserve in the manner in which it was created.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42. Fiscal Year</w:t>
      </w:r>
      <w:r>
        <w:rPr>
          <w:rFonts w:ascii="Arial" w:cs="Arial" w:eastAsia="Arial" w:hAnsi="Arial"/>
          <w:sz w:val="18"/>
          <w:szCs w:val="18"/>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43. Indemnification of Directors, Executive Officers, Other Officers, Employees and Other Agents.</w:t>
      </w:r>
    </w:p>
    <w:p>
      <w:pPr>
        <w:spacing w:after="0" w:line="225" w:lineRule="exact"/>
        <w:rPr>
          <w:sz w:val="20"/>
          <w:szCs w:val="20"/>
          <w:color w:val="auto"/>
        </w:rPr>
      </w:pPr>
    </w:p>
    <w:p>
      <w:pPr>
        <w:ind w:right="40" w:firstLine="921"/>
        <w:spacing w:after="0" w:line="295" w:lineRule="auto"/>
        <w:tabs>
          <w:tab w:leader="none" w:pos="1168"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Executive Officers</w:t>
      </w:r>
      <w:r>
        <w:rPr>
          <w:rFonts w:ascii="Arial" w:cs="Arial" w:eastAsia="Arial" w:hAnsi="Arial"/>
          <w:sz w:val="16"/>
          <w:szCs w:val="16"/>
          <w:color w:val="auto"/>
        </w:rPr>
        <w:t>. The corporation shall indemnify its directors and executive officers (for the purposes of this Article XI,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officers” shall have the meaning defined in Rule 3b-7 promulgated under the 1934 Act) to the fullest extent not prohibited by the DGCL or any other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corporation may modify the extent of such indemnification by individual contracts with its directors and executive officers;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8" w:name="page249"/>
    <w:bookmarkEnd w:id="24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vested in the corporation under the Delaware General Corporation Law or any other applicable law or (iv) such indemnification is required to be made under subsection (d).</w:t>
      </w:r>
    </w:p>
    <w:p>
      <w:pPr>
        <w:spacing w:after="0" w:line="166" w:lineRule="exact"/>
        <w:rPr>
          <w:sz w:val="20"/>
          <w:szCs w:val="20"/>
          <w:color w:val="auto"/>
        </w:rPr>
      </w:pPr>
    </w:p>
    <w:p>
      <w:pPr>
        <w:ind w:right="500" w:firstLine="921"/>
        <w:spacing w:after="0" w:line="289" w:lineRule="auto"/>
        <w:tabs>
          <w:tab w:leader="none" w:pos="1178"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Other Officers, Employees and Other Agents</w:t>
      </w:r>
      <w:r>
        <w:rPr>
          <w:rFonts w:ascii="Arial" w:cs="Arial" w:eastAsia="Arial" w:hAnsi="Arial"/>
          <w:sz w:val="17"/>
          <w:szCs w:val="17"/>
          <w:color w:val="auto"/>
        </w:rPr>
        <w:t>. The corporation shall have power to indemnify its other officers, employees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58" w:lineRule="exact"/>
        <w:rPr>
          <w:rFonts w:ascii="Arial" w:cs="Arial" w:eastAsia="Arial" w:hAnsi="Arial"/>
          <w:sz w:val="17"/>
          <w:szCs w:val="17"/>
          <w:b w:val="1"/>
          <w:bCs w:val="1"/>
          <w:color w:val="auto"/>
        </w:rPr>
      </w:pPr>
    </w:p>
    <w:p>
      <w:pPr>
        <w:ind w:firstLine="921"/>
        <w:spacing w:after="0" w:line="271" w:lineRule="auto"/>
        <w:tabs>
          <w:tab w:leader="none" w:pos="1158"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 pending or</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8" w:lineRule="exact"/>
        <w:rPr>
          <w:sz w:val="20"/>
          <w:szCs w:val="20"/>
          <w:color w:val="auto"/>
        </w:rPr>
      </w:pPr>
    </w:p>
    <w:p>
      <w:pPr>
        <w:ind w:right="20" w:firstLine="921"/>
        <w:spacing w:after="0" w:line="277" w:lineRule="auto"/>
        <w:tabs>
          <w:tab w:leader="none" w:pos="1178"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w:t>
      </w:r>
      <w:r>
        <w:rPr>
          <w:rFonts w:ascii="Arial" w:cs="Arial" w:eastAsia="Arial" w:hAnsi="Arial"/>
          <w:sz w:val="17"/>
          <w:szCs w:val="17"/>
          <w:color w:val="auto"/>
        </w:rPr>
        <w:t>. Without the necessity of entering into an express contract, all rights to indemnification and advances to directors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9" w:name="page250"/>
    <w:bookmarkEnd w:id="24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65" w:lineRule="exact"/>
        <w:rPr>
          <w:sz w:val="20"/>
          <w:szCs w:val="20"/>
          <w:color w:val="auto"/>
        </w:rPr>
      </w:pPr>
    </w:p>
    <w:p>
      <w:pPr>
        <w:ind w:right="40" w:firstLine="921"/>
        <w:spacing w:after="0" w:line="258" w:lineRule="auto"/>
        <w:tabs>
          <w:tab w:leader="none" w:pos="1158"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Rights</w:t>
      </w:r>
      <w:r>
        <w:rPr>
          <w:rFonts w:ascii="Arial" w:cs="Arial" w:eastAsia="Arial" w:hAnsi="Arial"/>
          <w:sz w:val="18"/>
          <w:szCs w:val="18"/>
          <w:color w:val="auto"/>
        </w:rPr>
        <w:t>. The rights conferred on any person by this Bylaw shall not be exclusive of any other right which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DGGL or any other applicable law.</w:t>
      </w:r>
    </w:p>
    <w:p>
      <w:pPr>
        <w:spacing w:after="0" w:line="183" w:lineRule="exact"/>
        <w:rPr>
          <w:rFonts w:ascii="Arial" w:cs="Arial" w:eastAsia="Arial" w:hAnsi="Arial"/>
          <w:sz w:val="18"/>
          <w:szCs w:val="18"/>
          <w:b w:val="1"/>
          <w:bCs w:val="1"/>
          <w:color w:val="auto"/>
        </w:rPr>
      </w:pPr>
    </w:p>
    <w:p>
      <w:pPr>
        <w:ind w:right="620" w:firstLine="921"/>
        <w:spacing w:after="0" w:line="282" w:lineRule="auto"/>
        <w:tabs>
          <w:tab w:leader="none" w:pos="1138"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right="680" w:firstLine="921"/>
        <w:spacing w:after="0" w:line="313" w:lineRule="auto"/>
        <w:tabs>
          <w:tab w:leader="none" w:pos="1168"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Bylaw.</w:t>
      </w:r>
    </w:p>
    <w:p>
      <w:pPr>
        <w:spacing w:after="0" w:line="138" w:lineRule="exact"/>
        <w:rPr>
          <w:rFonts w:ascii="Arial" w:cs="Arial" w:eastAsia="Arial" w:hAnsi="Arial"/>
          <w:sz w:val="17"/>
          <w:szCs w:val="17"/>
          <w:b w:val="1"/>
          <w:bCs w:val="1"/>
          <w:color w:val="auto"/>
        </w:rPr>
      </w:pPr>
    </w:p>
    <w:p>
      <w:pPr>
        <w:ind w:right="100" w:firstLine="921"/>
        <w:spacing w:after="0" w:line="313" w:lineRule="auto"/>
        <w:tabs>
          <w:tab w:leader="none" w:pos="1168"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Any repeal or modification of this Bylaw shall only be prospective and shall not affect the rights under this Bylaw in effect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the alleged occurrence of any action or omission to act that is the cause of any proceeding against any agent of the corporation.</w:t>
      </w:r>
    </w:p>
    <w:p>
      <w:pPr>
        <w:spacing w:after="0" w:line="138" w:lineRule="exact"/>
        <w:rPr>
          <w:rFonts w:ascii="Arial" w:cs="Arial" w:eastAsia="Arial" w:hAnsi="Arial"/>
          <w:sz w:val="17"/>
          <w:szCs w:val="17"/>
          <w:b w:val="1"/>
          <w:bCs w:val="1"/>
          <w:color w:val="auto"/>
        </w:rPr>
      </w:pPr>
    </w:p>
    <w:p>
      <w:pPr>
        <w:ind w:right="600" w:firstLine="921"/>
        <w:spacing w:after="0" w:line="313" w:lineRule="auto"/>
        <w:tabs>
          <w:tab w:leader="none" w:pos="1128"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executive officer to the full extent not prohibited by any applicable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0" w:name="page251"/>
    <w:bookmarkEnd w:id="250"/>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 of this Bylaw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applicable law.</w:t>
      </w:r>
    </w:p>
    <w:p>
      <w:pPr>
        <w:spacing w:after="0" w:line="177" w:lineRule="exact"/>
        <w:rPr>
          <w:sz w:val="20"/>
          <w:szCs w:val="20"/>
          <w:color w:val="auto"/>
        </w:rPr>
      </w:pPr>
    </w:p>
    <w:p>
      <w:pPr>
        <w:ind w:left="1140" w:hanging="219"/>
        <w:spacing w:after="0"/>
        <w:tabs>
          <w:tab w:leader="none" w:pos="11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Bylaw, the following definitions shall apply:</w:t>
      </w:r>
    </w:p>
    <w:p>
      <w:pPr>
        <w:spacing w:after="0" w:line="229" w:lineRule="exact"/>
        <w:rPr>
          <w:rFonts w:ascii="Arial" w:cs="Arial" w:eastAsia="Arial" w:hAnsi="Arial"/>
          <w:sz w:val="18"/>
          <w:szCs w:val="18"/>
          <w:b w:val="1"/>
          <w:bCs w:val="1"/>
          <w:color w:val="auto"/>
        </w:rPr>
      </w:pPr>
    </w:p>
    <w:p>
      <w:pPr>
        <w:jc w:val="both"/>
        <w:ind w:right="200" w:firstLine="1492"/>
        <w:spacing w:after="0" w:line="264" w:lineRule="auto"/>
        <w:tabs>
          <w:tab w:leader="none" w:pos="1738"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1" w:lineRule="exact"/>
        <w:rPr>
          <w:rFonts w:ascii="Arial" w:cs="Arial" w:eastAsia="Arial" w:hAnsi="Arial"/>
          <w:sz w:val="18"/>
          <w:szCs w:val="18"/>
          <w:b w:val="1"/>
          <w:bCs w:val="1"/>
          <w:color w:val="auto"/>
        </w:rPr>
      </w:pPr>
    </w:p>
    <w:p>
      <w:pPr>
        <w:ind w:right="120" w:firstLine="1492"/>
        <w:spacing w:after="0" w:line="308" w:lineRule="auto"/>
        <w:tabs>
          <w:tab w:leader="none" w:pos="1738"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46" w:lineRule="exact"/>
        <w:rPr>
          <w:rFonts w:ascii="Arial" w:cs="Arial" w:eastAsia="Arial" w:hAnsi="Arial"/>
          <w:sz w:val="17"/>
          <w:szCs w:val="17"/>
          <w:b w:val="1"/>
          <w:bCs w:val="1"/>
          <w:color w:val="auto"/>
        </w:rPr>
      </w:pPr>
    </w:p>
    <w:p>
      <w:pPr>
        <w:ind w:firstLine="1492"/>
        <w:spacing w:after="0" w:line="273" w:lineRule="auto"/>
        <w:tabs>
          <w:tab w:leader="none" w:pos="1738"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78" w:lineRule="exact"/>
        <w:rPr>
          <w:rFonts w:ascii="Arial" w:cs="Arial" w:eastAsia="Arial" w:hAnsi="Arial"/>
          <w:sz w:val="17"/>
          <w:szCs w:val="17"/>
          <w:b w:val="1"/>
          <w:bCs w:val="1"/>
          <w:color w:val="auto"/>
        </w:rPr>
      </w:pPr>
    </w:p>
    <w:p>
      <w:pPr>
        <w:ind w:right="120" w:firstLine="1492"/>
        <w:spacing w:after="0" w:line="264" w:lineRule="auto"/>
        <w:tabs>
          <w:tab w:leader="none" w:pos="1738"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1" w:lineRule="exact"/>
        <w:rPr>
          <w:rFonts w:ascii="Arial" w:cs="Arial" w:eastAsia="Arial" w:hAnsi="Arial"/>
          <w:sz w:val="18"/>
          <w:szCs w:val="18"/>
          <w:b w:val="1"/>
          <w:bCs w:val="1"/>
          <w:color w:val="auto"/>
        </w:rPr>
      </w:pPr>
    </w:p>
    <w:p>
      <w:pPr>
        <w:ind w:right="20" w:firstLine="1492"/>
        <w:spacing w:after="0" w:line="255" w:lineRule="auto"/>
        <w:tabs>
          <w:tab w:leader="none" w:pos="1738"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Notices.</w:t>
      </w:r>
    </w:p>
    <w:p>
      <w:pPr>
        <w:spacing w:after="0" w:line="117" w:lineRule="exact"/>
        <w:rPr>
          <w:sz w:val="20"/>
          <w:szCs w:val="20"/>
          <w:color w:val="auto"/>
        </w:rPr>
      </w:pPr>
    </w:p>
    <w:p>
      <w:pPr>
        <w:ind w:left="-20" w:right="40" w:firstLine="921"/>
        <w:spacing w:after="0" w:line="281" w:lineRule="auto"/>
        <w:tabs>
          <w:tab w:leader="none" w:pos="1148"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64" w:lineRule="exact"/>
        <w:rPr>
          <w:rFonts w:ascii="Arial" w:cs="Arial" w:eastAsia="Arial" w:hAnsi="Arial"/>
          <w:sz w:val="17"/>
          <w:szCs w:val="17"/>
          <w:b w:val="1"/>
          <w:bCs w:val="1"/>
          <w:color w:val="auto"/>
        </w:rPr>
      </w:pPr>
    </w:p>
    <w:p>
      <w:pPr>
        <w:ind w:left="-20" w:right="160" w:firstLine="921"/>
        <w:spacing w:after="0" w:line="266" w:lineRule="auto"/>
        <w:tabs>
          <w:tab w:leader="none" w:pos="115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Directors</w:t>
      </w:r>
      <w:r>
        <w:rPr>
          <w:rFonts w:ascii="Arial" w:cs="Arial" w:eastAsia="Arial" w:hAnsi="Arial"/>
          <w:sz w:val="18"/>
          <w:szCs w:val="18"/>
          <w:color w:val="auto"/>
        </w:rPr>
        <w:t>. Any notice required to be given to any director may be given by the method stated in subsection (a), or as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76" w:lineRule="exact"/>
        <w:rPr>
          <w:rFonts w:ascii="Arial" w:cs="Arial" w:eastAsia="Arial" w:hAnsi="Arial"/>
          <w:sz w:val="18"/>
          <w:szCs w:val="18"/>
          <w:b w:val="1"/>
          <w:bCs w:val="1"/>
          <w:color w:val="auto"/>
        </w:rPr>
      </w:pPr>
    </w:p>
    <w:p>
      <w:pPr>
        <w:ind w:left="-20" w:right="40" w:firstLine="921"/>
        <w:spacing w:after="0" w:line="261" w:lineRule="auto"/>
        <w:tabs>
          <w:tab w:leader="none" w:pos="113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rFonts w:ascii="Arial" w:cs="Arial" w:eastAsia="Arial" w:hAnsi="Arial"/>
          <w:sz w:val="18"/>
          <w:szCs w:val="18"/>
          <w:b w:val="1"/>
          <w:bCs w:val="1"/>
          <w:color w:val="auto"/>
        </w:rPr>
      </w:pPr>
    </w:p>
    <w:p>
      <w:pPr>
        <w:ind w:left="-20" w:right="80" w:firstLine="921"/>
        <w:spacing w:after="0" w:line="266" w:lineRule="auto"/>
        <w:tabs>
          <w:tab w:leader="none" w:pos="115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 but one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method may be employed in respect of any one or more, and any other permissible method or methods may be employed in respect of any other or others.</w:t>
      </w:r>
    </w:p>
    <w:p>
      <w:pPr>
        <w:spacing w:after="0" w:line="176" w:lineRule="exact"/>
        <w:rPr>
          <w:rFonts w:ascii="Arial" w:cs="Arial" w:eastAsia="Arial" w:hAnsi="Arial"/>
          <w:sz w:val="18"/>
          <w:szCs w:val="18"/>
          <w:b w:val="1"/>
          <w:bCs w:val="1"/>
          <w:color w:val="auto"/>
        </w:rPr>
      </w:pPr>
    </w:p>
    <w:p>
      <w:pPr>
        <w:ind w:left="-20" w:firstLine="921"/>
        <w:spacing w:after="0" w:line="255" w:lineRule="auto"/>
        <w:tabs>
          <w:tab w:leader="none" w:pos="113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Person with Whom Communication Is Unlawful</w:t>
      </w:r>
      <w:r>
        <w:rPr>
          <w:rFonts w:ascii="Arial" w:cs="Arial" w:eastAsia="Arial" w:hAnsi="Arial"/>
          <w:sz w:val="18"/>
          <w:szCs w:val="18"/>
          <w:color w:val="auto"/>
        </w:rPr>
        <w:t>. Whenever notice is required to be given, under any provision of law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9" w:lineRule="exact"/>
        <w:rPr>
          <w:rFonts w:ascii="Arial" w:cs="Arial" w:eastAsia="Arial" w:hAnsi="Arial"/>
          <w:sz w:val="18"/>
          <w:szCs w:val="18"/>
          <w:b w:val="1"/>
          <w:bCs w:val="1"/>
          <w:color w:val="auto"/>
        </w:rPr>
      </w:pPr>
    </w:p>
    <w:p>
      <w:pPr>
        <w:ind w:left="-20" w:right="120" w:firstLine="921"/>
        <w:spacing w:after="0" w:line="282" w:lineRule="auto"/>
        <w:tabs>
          <w:tab w:leader="none" w:pos="111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Stockholders Sharing an Address</w:t>
      </w:r>
      <w:r>
        <w:rPr>
          <w:rFonts w:ascii="Arial" w:cs="Arial" w:eastAsia="Arial" w:hAnsi="Arial"/>
          <w:sz w:val="18"/>
          <w:szCs w:val="18"/>
          <w:color w:val="auto"/>
        </w:rPr>
        <w:t>. Except as otherwise prohibited under DGCL, any notice given under the provisions of DGCL,</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70" w:right="239" w:bottom="1440" w:gutter="0" w:footer="0" w:header="0"/>
        </w:sectPr>
      </w:pPr>
    </w:p>
    <w:bookmarkStart w:id="252" w:name="page253"/>
    <w:bookmarkEnd w:id="25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Section 45. Amendments</w:t>
      </w:r>
      <w:r>
        <w:rPr>
          <w:rFonts w:ascii="Arial" w:cs="Arial" w:eastAsia="Arial" w:hAnsi="Arial"/>
          <w:sz w:val="18"/>
          <w:szCs w:val="18"/>
          <w:color w:val="auto"/>
        </w:rPr>
        <w:t>. The Board of Directors is expressly empowered to adopt, amend or repeal Bylaws of the corporation. The stockholders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also have power to adopt, amend or repeal the Bylaws of the corporation; provided, however, that, in addition to any vote of the holders of any class or series of stock of the corporation required by law or by the Certificate of Incorporation, such action by stockholders shall requite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500" w:firstLine="456"/>
        <w:spacing w:after="0" w:line="266" w:lineRule="auto"/>
        <w:rPr>
          <w:sz w:val="20"/>
          <w:szCs w:val="20"/>
          <w:color w:val="auto"/>
        </w:rPr>
      </w:pPr>
      <w:r>
        <w:rPr>
          <w:rFonts w:ascii="Arial" w:cs="Arial" w:eastAsia="Arial" w:hAnsi="Arial"/>
          <w:sz w:val="18"/>
          <w:szCs w:val="18"/>
          <w:b w:val="1"/>
          <w:bCs w:val="1"/>
          <w:color w:val="auto"/>
        </w:rPr>
        <w:t>Section 46. Right of First Refusal</w:t>
      </w:r>
      <w:r>
        <w:rPr>
          <w:rFonts w:ascii="Arial" w:cs="Arial" w:eastAsia="Arial" w:hAnsi="Arial"/>
          <w:sz w:val="18"/>
          <w:szCs w:val="18"/>
          <w:color w:val="auto"/>
        </w:rPr>
        <w:t>. No stockholder shall sell, assign, pledge, or in any manner transfer any of the shares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any right or interest therein, whether voluntarily or by operation of law, or by gift or otherwise, except by a transfer which meets the requirements hereinafter set forth in this bylaw:</w:t>
      </w:r>
    </w:p>
    <w:p>
      <w:pPr>
        <w:spacing w:after="0" w:line="180" w:lineRule="exact"/>
        <w:rPr>
          <w:sz w:val="20"/>
          <w:szCs w:val="20"/>
          <w:color w:val="auto"/>
        </w:rPr>
      </w:pPr>
    </w:p>
    <w:p>
      <w:pPr>
        <w:ind w:right="120" w:firstLine="921"/>
        <w:spacing w:after="0" w:line="264" w:lineRule="auto"/>
        <w:tabs>
          <w:tab w:leader="none" w:pos="1168"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shares of common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1" w:lineRule="exact"/>
        <w:rPr>
          <w:rFonts w:ascii="Arial" w:cs="Arial" w:eastAsia="Arial" w:hAnsi="Arial"/>
          <w:sz w:val="18"/>
          <w:szCs w:val="18"/>
          <w:b w:val="1"/>
          <w:bCs w:val="1"/>
          <w:color w:val="auto"/>
        </w:rPr>
      </w:pPr>
    </w:p>
    <w:p>
      <w:pPr>
        <w:ind w:right="40" w:firstLine="921"/>
        <w:spacing w:after="0" w:line="291" w:lineRule="auto"/>
        <w:tabs>
          <w:tab w:leader="none" w:pos="1178" w:val="left"/>
        </w:tabs>
        <w:numPr>
          <w:ilvl w:val="0"/>
          <w:numId w:val="210"/>
        </w:numPr>
        <w:rPr>
          <w:rFonts w:ascii="Arial" w:cs="Arial" w:eastAsia="Arial" w:hAnsi="Arial"/>
          <w:sz w:val="16"/>
          <w:szCs w:val="16"/>
          <w:b w:val="1"/>
          <w:bCs w:val="1"/>
          <w:color w:val="auto"/>
        </w:rPr>
      </w:pPr>
      <w:r>
        <w:rPr>
          <w:rFonts w:ascii="Arial" w:cs="Arial" w:eastAsia="Arial" w:hAnsi="Arial"/>
          <w:sz w:val="16"/>
          <w:szCs w:val="16"/>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3" w:name="page254"/>
    <w:bookmarkEnd w:id="253"/>
    <w:p>
      <w:pPr>
        <w:ind w:left="1140" w:hanging="239"/>
        <w:spacing w:after="0"/>
        <w:tabs>
          <w:tab w:leader="none" w:pos="114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may assign its rights hereunder.</w:t>
      </w:r>
    </w:p>
    <w:p>
      <w:pPr>
        <w:spacing w:after="0" w:line="225" w:lineRule="exact"/>
        <w:rPr>
          <w:rFonts w:ascii="Arial" w:cs="Arial" w:eastAsia="Arial" w:hAnsi="Arial"/>
          <w:sz w:val="18"/>
          <w:szCs w:val="18"/>
          <w:b w:val="1"/>
          <w:bCs w:val="1"/>
          <w:color w:val="auto"/>
        </w:rPr>
      </w:pPr>
    </w:p>
    <w:p>
      <w:pPr>
        <w:ind w:left="-20" w:right="140" w:firstLine="921"/>
        <w:spacing w:after="0" w:line="257" w:lineRule="auto"/>
        <w:tabs>
          <w:tab w:leader="none" w:pos="1158"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88" w:lineRule="exact"/>
        <w:rPr>
          <w:rFonts w:ascii="Arial" w:cs="Arial" w:eastAsia="Arial" w:hAnsi="Arial"/>
          <w:sz w:val="18"/>
          <w:szCs w:val="18"/>
          <w:b w:val="1"/>
          <w:bCs w:val="1"/>
          <w:color w:val="auto"/>
        </w:rPr>
      </w:pPr>
    </w:p>
    <w:p>
      <w:pPr>
        <w:ind w:left="-20" w:right="80" w:firstLine="921"/>
        <w:spacing w:after="0" w:line="257" w:lineRule="auto"/>
        <w:tabs>
          <w:tab w:leader="none" w:pos="1138"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88" w:lineRule="exact"/>
        <w:rPr>
          <w:rFonts w:ascii="Arial" w:cs="Arial" w:eastAsia="Arial" w:hAnsi="Arial"/>
          <w:sz w:val="18"/>
          <w:szCs w:val="18"/>
          <w:b w:val="1"/>
          <w:bCs w:val="1"/>
          <w:color w:val="auto"/>
        </w:rPr>
      </w:pPr>
    </w:p>
    <w:p>
      <w:pPr>
        <w:ind w:left="1120" w:hanging="219"/>
        <w:spacing w:after="0"/>
        <w:tabs>
          <w:tab w:leader="none" w:pos="1120" w:val="left"/>
        </w:tabs>
        <w:numPr>
          <w:ilvl w:val="0"/>
          <w:numId w:val="211"/>
        </w:numPr>
        <w:rPr>
          <w:rFonts w:ascii="Arial" w:cs="Arial" w:eastAsia="Arial" w:hAnsi="Arial"/>
          <w:sz w:val="17"/>
          <w:szCs w:val="17"/>
          <w:b w:val="1"/>
          <w:bCs w:val="1"/>
          <w:color w:val="auto"/>
        </w:rPr>
      </w:pPr>
      <w:r>
        <w:rPr>
          <w:rFonts w:ascii="Arial" w:cs="Arial" w:eastAsia="Arial" w:hAnsi="Arial"/>
          <w:sz w:val="17"/>
          <w:szCs w:val="17"/>
          <w:color w:val="auto"/>
        </w:rPr>
        <w:t>Anything to the contrary contained herein notwithstanding, the following transactions shall be exempt from the provisions of this bylaw:</w:t>
      </w:r>
    </w:p>
    <w:p>
      <w:pPr>
        <w:spacing w:after="0" w:line="236" w:lineRule="exact"/>
        <w:rPr>
          <w:rFonts w:ascii="Arial" w:cs="Arial" w:eastAsia="Arial" w:hAnsi="Arial"/>
          <w:sz w:val="17"/>
          <w:szCs w:val="17"/>
          <w:b w:val="1"/>
          <w:bCs w:val="1"/>
          <w:color w:val="auto"/>
        </w:rPr>
      </w:pPr>
    </w:p>
    <w:p>
      <w:pPr>
        <w:ind w:left="-20" w:firstLine="1492"/>
        <w:spacing w:after="0" w:line="257" w:lineRule="auto"/>
        <w:tabs>
          <w:tab w:leader="none" w:pos="1718" w:val="left"/>
        </w:tabs>
        <w:numPr>
          <w:ilvl w:val="1"/>
          <w:numId w:val="211"/>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shares held either during such stockholder’ s lifetime or on death by will or intestacy to such stockholder’s immediate family or to any custodian or trustee for the account of such stockholder or such stockholder’ s immediate family or to any limited partnership of which the stockholder, members of such stockholder’s immediate family or any trust for the account of such stockholder or such stockholder’s immediate family will be the general of limited partner(s) of such partnership. “Immediate family” as used herein shall mean spouse, lineal descendant, father, mother, brother, or sister of the stockholder making such transfer.</w:t>
      </w:r>
    </w:p>
    <w:p>
      <w:pPr>
        <w:spacing w:after="0" w:line="188" w:lineRule="exact"/>
        <w:rPr>
          <w:rFonts w:ascii="Arial" w:cs="Arial" w:eastAsia="Arial" w:hAnsi="Arial"/>
          <w:sz w:val="18"/>
          <w:szCs w:val="18"/>
          <w:b w:val="1"/>
          <w:bCs w:val="1"/>
          <w:color w:val="auto"/>
        </w:rPr>
      </w:pPr>
    </w:p>
    <w:p>
      <w:pPr>
        <w:ind w:left="-20" w:right="440" w:firstLine="1492"/>
        <w:spacing w:after="0" w:line="277" w:lineRule="auto"/>
        <w:tabs>
          <w:tab w:leader="none" w:pos="1718" w:val="left"/>
        </w:tabs>
        <w:numPr>
          <w:ilvl w:val="1"/>
          <w:numId w:val="211"/>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70" w:lineRule="exact"/>
        <w:rPr>
          <w:rFonts w:ascii="Arial" w:cs="Arial" w:eastAsia="Arial" w:hAnsi="Arial"/>
          <w:sz w:val="18"/>
          <w:szCs w:val="18"/>
          <w:b w:val="1"/>
          <w:bCs w:val="1"/>
          <w:color w:val="auto"/>
        </w:rPr>
      </w:pPr>
    </w:p>
    <w:p>
      <w:pPr>
        <w:ind w:left="1720" w:hanging="248"/>
        <w:spacing w:after="0"/>
        <w:tabs>
          <w:tab w:leader="none" w:pos="1720" w:val="left"/>
        </w:tabs>
        <w:numPr>
          <w:ilvl w:val="1"/>
          <w:numId w:val="211"/>
        </w:numPr>
        <w:rPr>
          <w:rFonts w:ascii="Arial" w:cs="Arial" w:eastAsia="Arial" w:hAnsi="Arial"/>
          <w:sz w:val="16"/>
          <w:szCs w:val="16"/>
          <w:b w:val="1"/>
          <w:bCs w:val="1"/>
          <w:color w:val="auto"/>
        </w:rPr>
      </w:pPr>
      <w:r>
        <w:rPr>
          <w:rFonts w:ascii="Arial" w:cs="Arial" w:eastAsia="Arial" w:hAnsi="Arial"/>
          <w:sz w:val="16"/>
          <w:szCs w:val="16"/>
          <w:color w:val="auto"/>
        </w:rPr>
        <w:t>A stockholder’s transfer of any or all of such stockholder’s shares to the corporation or to any other stockholder of the corporation.</w:t>
      </w:r>
    </w:p>
    <w:p>
      <w:pPr>
        <w:spacing w:after="0" w:line="248" w:lineRule="exact"/>
        <w:rPr>
          <w:rFonts w:ascii="Arial" w:cs="Arial" w:eastAsia="Arial" w:hAnsi="Arial"/>
          <w:sz w:val="16"/>
          <w:szCs w:val="16"/>
          <w:b w:val="1"/>
          <w:bCs w:val="1"/>
          <w:color w:val="auto"/>
        </w:rPr>
      </w:pPr>
    </w:p>
    <w:p>
      <w:pPr>
        <w:ind w:left="-20" w:right="600" w:firstLine="1492"/>
        <w:spacing w:after="0" w:line="277" w:lineRule="auto"/>
        <w:tabs>
          <w:tab w:leader="none" w:pos="1718" w:val="left"/>
        </w:tabs>
        <w:numPr>
          <w:ilvl w:val="1"/>
          <w:numId w:val="211"/>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70" w:lineRule="exact"/>
        <w:rPr>
          <w:rFonts w:ascii="Arial" w:cs="Arial" w:eastAsia="Arial" w:hAnsi="Arial"/>
          <w:sz w:val="18"/>
          <w:szCs w:val="18"/>
          <w:b w:val="1"/>
          <w:bCs w:val="1"/>
          <w:color w:val="auto"/>
        </w:rPr>
      </w:pPr>
    </w:p>
    <w:p>
      <w:pPr>
        <w:ind w:left="-20" w:right="20" w:firstLine="1492"/>
        <w:spacing w:after="0" w:line="264" w:lineRule="auto"/>
        <w:tabs>
          <w:tab w:leader="none" w:pos="1718" w:val="left"/>
        </w:tabs>
        <w:numPr>
          <w:ilvl w:val="1"/>
          <w:numId w:val="211"/>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60" w:top="274" w:right="239" w:bottom="1440" w:gutter="0" w:footer="0" w:header="0"/>
        </w:sectPr>
      </w:pPr>
    </w:p>
    <w:bookmarkStart w:id="254" w:name="page255"/>
    <w:bookmarkEnd w:id="254"/>
    <w:p>
      <w:pPr>
        <w:ind w:left="1740" w:hanging="248"/>
        <w:spacing w:after="0"/>
        <w:tabs>
          <w:tab w:leader="none" w:pos="174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corporate stockholder’s transfer of any or all of its shares to any or all of its stockholders.</w:t>
      </w:r>
    </w:p>
    <w:p>
      <w:pPr>
        <w:spacing w:after="0" w:line="225" w:lineRule="exact"/>
        <w:rPr>
          <w:rFonts w:ascii="Arial" w:cs="Arial" w:eastAsia="Arial" w:hAnsi="Arial"/>
          <w:sz w:val="18"/>
          <w:szCs w:val="18"/>
          <w:b w:val="1"/>
          <w:bCs w:val="1"/>
          <w:color w:val="auto"/>
        </w:rPr>
      </w:pPr>
    </w:p>
    <w:p>
      <w:pPr>
        <w:ind w:left="1740" w:hanging="248"/>
        <w:spacing w:after="0"/>
        <w:tabs>
          <w:tab w:leader="none" w:pos="174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firstLine="921"/>
        <w:spacing w:after="0" w:line="302" w:lineRule="auto"/>
        <w:tabs>
          <w:tab w:leader="none" w:pos="1168"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54" w:lineRule="exact"/>
        <w:rPr>
          <w:rFonts w:ascii="Arial" w:cs="Arial" w:eastAsia="Arial" w:hAnsi="Arial"/>
          <w:sz w:val="16"/>
          <w:szCs w:val="16"/>
          <w:b w:val="1"/>
          <w:bCs w:val="1"/>
          <w:color w:val="auto"/>
        </w:rPr>
      </w:pPr>
    </w:p>
    <w:p>
      <w:pPr>
        <w:ind w:right="400" w:firstLine="921"/>
        <w:spacing w:after="0" w:line="277" w:lineRule="auto"/>
        <w:tabs>
          <w:tab w:leader="none" w:pos="1178"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Any sale or transfer, or purported sale or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on either of the following dates, whichever shall first occur:</w:t>
      </w:r>
    </w:p>
    <w:p>
      <w:pPr>
        <w:spacing w:after="0" w:line="225" w:lineRule="exact"/>
        <w:rPr>
          <w:rFonts w:ascii="Arial" w:cs="Arial" w:eastAsia="Arial" w:hAnsi="Arial"/>
          <w:sz w:val="18"/>
          <w:szCs w:val="18"/>
          <w:b w:val="1"/>
          <w:bCs w:val="1"/>
          <w:color w:val="auto"/>
        </w:rPr>
      </w:pPr>
    </w:p>
    <w:p>
      <w:pPr>
        <w:ind w:left="1740" w:hanging="248"/>
        <w:spacing w:after="0"/>
        <w:tabs>
          <w:tab w:leader="none" w:pos="1740"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On February 21, 2016; or</w:t>
      </w:r>
    </w:p>
    <w:p>
      <w:pPr>
        <w:spacing w:after="0" w:line="225" w:lineRule="exact"/>
        <w:rPr>
          <w:rFonts w:ascii="Arial" w:cs="Arial" w:eastAsia="Arial" w:hAnsi="Arial"/>
          <w:sz w:val="18"/>
          <w:szCs w:val="18"/>
          <w:b w:val="1"/>
          <w:bCs w:val="1"/>
          <w:color w:val="auto"/>
        </w:rPr>
      </w:pPr>
    </w:p>
    <w:p>
      <w:pPr>
        <w:ind w:right="140" w:firstLine="1492"/>
        <w:spacing w:after="0" w:line="277" w:lineRule="auto"/>
        <w:tabs>
          <w:tab w:leader="none" w:pos="1738"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70" w:lineRule="exact"/>
        <w:rPr>
          <w:rFonts w:ascii="Arial" w:cs="Arial" w:eastAsia="Arial" w:hAnsi="Arial"/>
          <w:sz w:val="18"/>
          <w:szCs w:val="18"/>
          <w:b w:val="1"/>
          <w:bCs w:val="1"/>
          <w:color w:val="auto"/>
        </w:rPr>
      </w:pPr>
    </w:p>
    <w:p>
      <w:pPr>
        <w:ind w:right="160" w:firstLine="921"/>
        <w:spacing w:after="0" w:line="277" w:lineRule="auto"/>
        <w:tabs>
          <w:tab w:leader="none" w:pos="1138"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stock of the corp0ration shall bear on their face the following legend so long as the foregoing right of first refusal remains in effect:</w:t>
      </w:r>
    </w:p>
    <w:p>
      <w:pPr>
        <w:spacing w:after="0" w:line="62"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THEBYLAWS OF THE 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Section 47. Loans to Officers</w:t>
      </w:r>
      <w:r>
        <w:rPr>
          <w:rFonts w:ascii="Arial" w:cs="Arial" w:eastAsia="Arial" w:hAnsi="Arial"/>
          <w:sz w:val="18"/>
          <w:szCs w:val="18"/>
          <w:color w:val="auto"/>
        </w:rPr>
        <w:t>. Except as otherwise prohibited under applicable law, the corporation may lend money to, or guarantee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or otherwise assist any officer or other employee of the corporation or of its subsidiaries, including any officer or employee who is a Director of the corporation or its subsidiaries, whenever, in the judgment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55" w:name="page256"/>
    <w:bookmarkEnd w:id="255"/>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48. Annual Report.</w:t>
      </w:r>
    </w:p>
    <w:p>
      <w:pPr>
        <w:spacing w:after="0" w:line="229" w:lineRule="exact"/>
        <w:rPr>
          <w:sz w:val="20"/>
          <w:szCs w:val="20"/>
          <w:color w:val="auto"/>
        </w:rPr>
      </w:pPr>
    </w:p>
    <w:p>
      <w:pPr>
        <w:ind w:firstLine="921"/>
        <w:spacing w:after="0" w:line="284" w:lineRule="auto"/>
        <w:tabs>
          <w:tab w:leader="none" w:pos="1168" w:val="left"/>
        </w:tabs>
        <w:numPr>
          <w:ilvl w:val="1"/>
          <w:numId w:val="214"/>
        </w:numPr>
        <w:rPr>
          <w:rFonts w:ascii="Arial" w:cs="Arial" w:eastAsia="Arial" w:hAnsi="Arial"/>
          <w:sz w:val="16"/>
          <w:szCs w:val="16"/>
          <w:b w:val="1"/>
          <w:bCs w:val="1"/>
          <w:color w:val="auto"/>
        </w:rPr>
      </w:pPr>
      <w:r>
        <w:rPr>
          <w:rFonts w:ascii="Arial" w:cs="Arial" w:eastAsia="Arial" w:hAnsi="Arial"/>
          <w:sz w:val="16"/>
          <w:szCs w:val="16"/>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w:t>
      </w:r>
    </w:p>
    <w:p>
      <w:pPr>
        <w:spacing w:after="0" w:line="2" w:lineRule="exact"/>
        <w:rPr>
          <w:rFonts w:ascii="Arial" w:cs="Arial" w:eastAsia="Arial" w:hAnsi="Arial"/>
          <w:sz w:val="16"/>
          <w:szCs w:val="16"/>
          <w:b w:val="1"/>
          <w:bCs w:val="1"/>
          <w:color w:val="auto"/>
        </w:rPr>
      </w:pPr>
    </w:p>
    <w:p>
      <w:pPr>
        <w:ind w:left="360" w:hanging="352"/>
        <w:spacing w:after="0"/>
        <w:tabs>
          <w:tab w:leader="none" w:pos="3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days prior to the next annual meeting of stockholders after the end of the fiscal year to which it relates.</w:t>
      </w:r>
    </w:p>
    <w:p>
      <w:pPr>
        <w:spacing w:after="0" w:line="210" w:lineRule="exact"/>
        <w:rPr>
          <w:rFonts w:ascii="Arial" w:cs="Arial" w:eastAsia="Arial" w:hAnsi="Arial"/>
          <w:sz w:val="18"/>
          <w:szCs w:val="18"/>
          <w:color w:val="auto"/>
        </w:rPr>
      </w:pPr>
    </w:p>
    <w:p>
      <w:pPr>
        <w:ind w:right="120" w:firstLine="921"/>
        <w:spacing w:after="0" w:line="277" w:lineRule="auto"/>
        <w:tabs>
          <w:tab w:leader="none" w:pos="1178"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RIGHTS AGREEMENT</w:t>
      </w:r>
    </w:p>
    <w:p>
      <w:pPr>
        <w:spacing w:after="0" w:line="207"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July 13, 2015 by and among</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investors listed on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hereto, referred to hereinafter as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individually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certain of the Investors are purchasing shares of the Company’s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 pursuant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Series D Preferred Stock Purchase Agreement (as the same may be amended from time to time,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of even date herewith (the “</w:t>
      </w:r>
      <w:r>
        <w:rPr>
          <w:rFonts w:ascii="Arial" w:cs="Arial" w:eastAsia="Arial" w:hAnsi="Arial"/>
          <w:sz w:val="18"/>
          <w:szCs w:val="18"/>
          <w:b w:val="1"/>
          <w:bCs w:val="1"/>
          <w:i w:val="1"/>
          <w:iCs w:val="1"/>
          <w:color w:val="auto"/>
        </w:rPr>
        <w:t>Financing</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the obligations in the Purchase Agreement are conditioned upon the execution and delivery of this Agreement;</w:t>
      </w:r>
    </w:p>
    <w:p>
      <w:pPr>
        <w:spacing w:after="0" w:line="225"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certain of the Investors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are holders of the Company’s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Series B-1 Preferred Stock (the “</w:t>
      </w:r>
      <w:r>
        <w:rPr>
          <w:rFonts w:ascii="Arial" w:cs="Arial" w:eastAsia="Arial" w:hAnsi="Arial"/>
          <w:sz w:val="17"/>
          <w:szCs w:val="17"/>
          <w:b w:val="1"/>
          <w:bCs w:val="1"/>
          <w:i w:val="1"/>
          <w:iCs w:val="1"/>
          <w:color w:val="auto"/>
        </w:rPr>
        <w:t>Series B-1 Preferred</w:t>
      </w:r>
      <w:r>
        <w:rPr>
          <w:rFonts w:ascii="Arial" w:cs="Arial" w:eastAsia="Arial" w:hAnsi="Arial"/>
          <w:sz w:val="17"/>
          <w:szCs w:val="17"/>
          <w:color w:val="auto"/>
        </w:rPr>
        <w:t>”), the Company’s Series B-2 Preferred Stock (the “</w:t>
      </w:r>
      <w:r>
        <w:rPr>
          <w:rFonts w:ascii="Arial" w:cs="Arial" w:eastAsia="Arial" w:hAnsi="Arial"/>
          <w:sz w:val="17"/>
          <w:szCs w:val="17"/>
          <w:b w:val="1"/>
          <w:bCs w:val="1"/>
          <w:i w:val="1"/>
          <w:iCs w:val="1"/>
          <w:color w:val="auto"/>
        </w:rPr>
        <w:t>Series B-2 Preferred</w:t>
      </w:r>
      <w:r>
        <w:rPr>
          <w:rFonts w:ascii="Arial" w:cs="Arial" w:eastAsia="Arial" w:hAnsi="Arial"/>
          <w:sz w:val="17"/>
          <w:szCs w:val="17"/>
          <w:color w:val="auto"/>
        </w:rPr>
        <w:t>”), the Company’s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 and the Company’s Series C-1 Preferred Stock (the “</w:t>
      </w:r>
      <w:r>
        <w:rPr>
          <w:rFonts w:ascii="Arial" w:cs="Arial" w:eastAsia="Arial" w:hAnsi="Arial"/>
          <w:sz w:val="17"/>
          <w:szCs w:val="17"/>
          <w:b w:val="1"/>
          <w:bCs w:val="1"/>
          <w:i w:val="1"/>
          <w:iCs w:val="1"/>
          <w:color w:val="auto"/>
        </w:rPr>
        <w:t>Series C-1 Preferred</w:t>
      </w:r>
      <w:r>
        <w:rPr>
          <w:rFonts w:ascii="Arial" w:cs="Arial" w:eastAsia="Arial" w:hAnsi="Arial"/>
          <w:sz w:val="17"/>
          <w:szCs w:val="17"/>
          <w:color w:val="auto"/>
        </w:rPr>
        <w:t>,” and together with the Series B Preferred, Series B-1 Preferred, Series B-2 Preferred, Series C Preferred and Series D Preferred,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6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the Prior Investors and the Company are parties to that certain Third Amended and Restated Investor Rights Agreement dated July 15,</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the parties to the Prior Agreement desire to amend and restate the Prior Agreement and accept the rights and covenants hereof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rights and covenants under the Prior Agreement; and</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in connection with the consummation of the Financing, the Company and the Investors have agreed to the registration rights,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other rights as set forth below.</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color w:val="auto"/>
        </w:rPr>
        <w: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these premises and for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GENERAL.</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1.1 Amendment and Restatement of Prior Agreement. </w:t>
      </w:r>
      <w:r>
        <w:rPr>
          <w:rFonts w:ascii="Arial" w:cs="Arial" w:eastAsia="Arial" w:hAnsi="Arial"/>
          <w:sz w:val="18"/>
          <w:szCs w:val="18"/>
          <w:color w:val="auto"/>
        </w:rPr>
        <w:t>The Prior Agreement is hereby amended in its entirety and restated herein. Such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restatement is effective upon the execution of this Agreement by the Company and the holders of a majority of the</w:t>
      </w:r>
    </w:p>
    <w:p>
      <w:pPr>
        <w:sectPr>
          <w:pgSz w:w="11900" w:h="16838" w:orient="portrait"/>
          <w:cols w:equalWidth="0" w:num="1">
            <w:col w:w="11420"/>
          </w:cols>
          <w:pgMar w:left="240" w:top="121" w:right="239" w:bottom="1440" w:gutter="0" w:footer="0" w:header="0"/>
        </w:sectPr>
      </w:pPr>
    </w:p>
    <w:bookmarkStart w:id="257" w:name="page258"/>
    <w:bookmarkEnd w:id="25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(as defined in the Prior Agreement) held by the Prior Investors outstanding as of the date of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Definitions. </w:t>
      </w:r>
      <w:r>
        <w:rPr>
          <w:rFonts w:ascii="Arial" w:cs="Arial" w:eastAsia="Arial" w:hAnsi="Arial"/>
          <w:sz w:val="18"/>
          <w:szCs w:val="18"/>
          <w:color w:val="auto"/>
        </w:rPr>
        <w:t>As used in this Agreement the following terms shall have the following respective meanings:</w:t>
      </w:r>
    </w:p>
    <w:p>
      <w:pPr>
        <w:spacing w:after="0" w:line="229" w:lineRule="exact"/>
        <w:rPr>
          <w:sz w:val="20"/>
          <w:szCs w:val="20"/>
          <w:color w:val="auto"/>
        </w:rPr>
      </w:pPr>
    </w:p>
    <w:p>
      <w:pPr>
        <w:ind w:left="1180" w:hanging="259"/>
        <w:spacing w:after="0"/>
        <w:tabs>
          <w:tab w:leader="none" w:pos="118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b w:val="1"/>
          <w:bCs w:val="1"/>
          <w:color w:val="auto"/>
        </w:rPr>
      </w:pPr>
    </w:p>
    <w:p>
      <w:pPr>
        <w:ind w:right="60" w:firstLine="921"/>
        <w:spacing w:after="0" w:line="264" w:lineRule="auto"/>
        <w:tabs>
          <w:tab w:leader="none" w:pos="1178"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81" w:lineRule="exact"/>
        <w:rPr>
          <w:rFonts w:ascii="Arial" w:cs="Arial" w:eastAsia="Arial" w:hAnsi="Arial"/>
          <w:sz w:val="18"/>
          <w:szCs w:val="18"/>
          <w:b w:val="1"/>
          <w:bCs w:val="1"/>
          <w:color w:val="auto"/>
        </w:rPr>
      </w:pPr>
    </w:p>
    <w:p>
      <w:pPr>
        <w:ind w:firstLine="921"/>
        <w:spacing w:after="0" w:line="259" w:lineRule="auto"/>
        <w:tabs>
          <w:tab w:leader="none" w:pos="1157"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owning of record Registrable Securities that have not been sold to the public or any assignee of record of such Registrable Securities in accordance with Section 2.9 hereof. In addition, for purposes of Sections 2.11 and 2.12 hereof, the term “Holder” shall also include any person owning of record shares of Common Stock of the Company issued as the result of a Special Mandatory Conversion event described in clause (i) of the definition of Registrable Securities.</w:t>
      </w:r>
    </w:p>
    <w:p>
      <w:pPr>
        <w:spacing w:after="0" w:line="186"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Company’s first firm commitment underwritten public offering of its Common Stock registered under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Securities Act.</w:t>
      </w:r>
    </w:p>
    <w:p>
      <w:pPr>
        <w:spacing w:after="0" w:line="102" w:lineRule="exact"/>
        <w:rPr>
          <w:rFonts w:ascii="Arial" w:cs="Arial" w:eastAsia="Arial" w:hAnsi="Arial"/>
          <w:sz w:val="17"/>
          <w:szCs w:val="17"/>
          <w:b w:val="1"/>
          <w:bCs w:val="1"/>
          <w:color w:val="auto"/>
        </w:rPr>
      </w:pPr>
    </w:p>
    <w:p>
      <w:pPr>
        <w:ind w:left="1160" w:hanging="239"/>
        <w:spacing w:after="0"/>
        <w:tabs>
          <w:tab w:leader="none" w:pos="116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shall have the meaning set forth in the Restated Charter.</w:t>
      </w:r>
    </w:p>
    <w:p>
      <w:pPr>
        <w:spacing w:after="0" w:line="225" w:lineRule="exact"/>
        <w:rPr>
          <w:rFonts w:ascii="Arial" w:cs="Arial" w:eastAsia="Arial" w:hAnsi="Arial"/>
          <w:sz w:val="18"/>
          <w:szCs w:val="18"/>
          <w:b w:val="1"/>
          <w:bCs w:val="1"/>
          <w:color w:val="auto"/>
        </w:rPr>
      </w:pPr>
    </w:p>
    <w:p>
      <w:pPr>
        <w:ind w:right="60" w:firstLine="921"/>
        <w:spacing w:after="0" w:line="277" w:lineRule="auto"/>
        <w:tabs>
          <w:tab w:leader="none" w:pos="1138"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effectiveness of such registration statement or document.</w:t>
      </w:r>
    </w:p>
    <w:p>
      <w:pPr>
        <w:spacing w:after="0" w:line="170" w:lineRule="exact"/>
        <w:rPr>
          <w:rFonts w:ascii="Arial" w:cs="Arial" w:eastAsia="Arial" w:hAnsi="Arial"/>
          <w:sz w:val="18"/>
          <w:szCs w:val="18"/>
          <w:b w:val="1"/>
          <w:bCs w:val="1"/>
          <w:color w:val="auto"/>
        </w:rPr>
      </w:pPr>
    </w:p>
    <w:p>
      <w:pPr>
        <w:ind w:right="100" w:firstLine="921"/>
        <w:spacing w:after="0" w:line="293" w:lineRule="auto"/>
        <w:tabs>
          <w:tab w:leader="none" w:pos="1168"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(a) Common Stock of the Company issuable or issued upon conversion of the Shares and (b) 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issued upon the conversion of Shares pursuant to a Special Mandatory Conversion as set forth in Article IV.D, Section 5(i) of the Company’s Amended and Restated Certificate of Incorporation dated July 15, 2013, (ii) sold by a person to the public either pursuant to a registration statement or Rule 144 or (iii) sold in a private transaction in which the transferor’s rights under Section 2 of this Agreement are not assigned.</w:t>
      </w:r>
    </w:p>
    <w:p>
      <w:pPr>
        <w:spacing w:after="0" w:line="164" w:lineRule="exact"/>
        <w:rPr>
          <w:rFonts w:ascii="Arial" w:cs="Arial" w:eastAsia="Arial" w:hAnsi="Arial"/>
          <w:sz w:val="16"/>
          <w:szCs w:val="16"/>
          <w:b w:val="1"/>
          <w:bCs w:val="1"/>
          <w:color w:val="auto"/>
        </w:rPr>
      </w:pPr>
    </w:p>
    <w:p>
      <w:pPr>
        <w:ind w:firstLine="921"/>
        <w:spacing w:after="0" w:line="277" w:lineRule="auto"/>
        <w:tabs>
          <w:tab w:leader="none" w:pos="1178"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shall be the number of shares of the Company’s Common Stock that are Registrable Securities and either (a) are then issued and outstanding or (b) are issuable pursuant to then exercisable or convertible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58" w:name="page259"/>
    <w:bookmarkEnd w:id="258"/>
    <w:p>
      <w:pPr>
        <w:ind w:right="120" w:firstLine="921"/>
        <w:spacing w:after="0" w:line="302" w:lineRule="auto"/>
        <w:tabs>
          <w:tab w:leader="none" w:pos="1128" w:val="left"/>
        </w:tabs>
        <w:numPr>
          <w:ilvl w:val="0"/>
          <w:numId w:val="21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shall mean all expenses incurred by the Company in complying with Sections 2.2, 2.3 and 2.4 hereof, including, without limitation, all registration and filing fees, printing expenses, fees and disbursements of counsel for the Company, reasonable fees and disbursements not to exceed $35,000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54" w:lineRule="exact"/>
        <w:rPr>
          <w:rFonts w:ascii="Arial" w:cs="Arial" w:eastAsia="Arial" w:hAnsi="Arial"/>
          <w:sz w:val="16"/>
          <w:szCs w:val="16"/>
          <w:b w:val="1"/>
          <w:bCs w:val="1"/>
          <w:color w:val="auto"/>
        </w:rPr>
      </w:pPr>
    </w:p>
    <w:p>
      <w:pPr>
        <w:ind w:left="1140" w:hanging="219"/>
        <w:spacing w:after="0"/>
        <w:tabs>
          <w:tab w:leader="none" w:pos="114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Restated Charter</w:t>
      </w:r>
      <w:r>
        <w:rPr>
          <w:rFonts w:ascii="Arial" w:cs="Arial" w:eastAsia="Arial" w:hAnsi="Arial"/>
          <w:sz w:val="18"/>
          <w:szCs w:val="18"/>
          <w:color w:val="auto"/>
        </w:rPr>
        <w:t>” shall have the meaning set forth in the Purchase Agreement.</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b w:val="1"/>
          <w:bCs w:val="1"/>
          <w:color w:val="auto"/>
        </w:rPr>
      </w:pPr>
    </w:p>
    <w:p>
      <w:pPr>
        <w:ind w:left="1240" w:hanging="319"/>
        <w:spacing w:after="0"/>
        <w:tabs>
          <w:tab w:leader="none" w:pos="124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and selling commissions applicable to the sale.</w:t>
      </w:r>
    </w:p>
    <w:p>
      <w:pPr>
        <w:spacing w:after="0" w:line="221" w:lineRule="exact"/>
        <w:rPr>
          <w:rFonts w:ascii="Arial" w:cs="Arial" w:eastAsia="Arial" w:hAnsi="Arial"/>
          <w:sz w:val="18"/>
          <w:szCs w:val="18"/>
          <w:b w:val="1"/>
          <w:bCs w:val="1"/>
          <w:color w:val="auto"/>
        </w:rPr>
      </w:pPr>
    </w:p>
    <w:p>
      <w:pPr>
        <w:ind w:right="220" w:firstLine="921"/>
        <w:spacing w:after="0" w:line="282" w:lineRule="auto"/>
        <w:tabs>
          <w:tab w:leader="none" w:pos="1178"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shall mean the Preferred Stock held from time to time by the Investors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and their permitted assigns and the Preferred Stock issuable upon exercise of the Warrants.</w:t>
      </w:r>
    </w:p>
    <w:p>
      <w:pPr>
        <w:spacing w:after="0" w:line="165" w:lineRule="exact"/>
        <w:rPr>
          <w:rFonts w:ascii="Arial" w:cs="Arial" w:eastAsia="Arial" w:hAnsi="Arial"/>
          <w:sz w:val="18"/>
          <w:szCs w:val="18"/>
          <w:b w:val="1"/>
          <w:bCs w:val="1"/>
          <w:color w:val="auto"/>
        </w:rPr>
      </w:pPr>
    </w:p>
    <w:p>
      <w:pPr>
        <w:ind w:firstLine="921"/>
        <w:spacing w:after="0" w:line="264" w:lineRule="auto"/>
        <w:tabs>
          <w:tab w:leader="none" w:pos="1168"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Registration Statement</w:t>
      </w:r>
      <w:r>
        <w:rPr>
          <w:rFonts w:ascii="Arial" w:cs="Arial" w:eastAsia="Arial" w:hAnsi="Arial"/>
          <w:sz w:val="18"/>
          <w:szCs w:val="18"/>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shall mean the warrants to purchase Series C Preferred held by the Investors.</w:t>
      </w:r>
    </w:p>
    <w:p>
      <w:pPr>
        <w:spacing w:after="0" w:line="3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REGISTRATION; RESTRICTIONS ON TRANSFER.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Restrictions on Transfer.</w:t>
      </w:r>
    </w:p>
    <w:p>
      <w:pPr>
        <w:spacing w:after="0" w:line="229" w:lineRule="exact"/>
        <w:rPr>
          <w:sz w:val="20"/>
          <w:szCs w:val="20"/>
          <w:color w:val="auto"/>
        </w:rPr>
      </w:pPr>
    </w:p>
    <w:p>
      <w:pPr>
        <w:ind w:left="1180" w:hanging="259"/>
        <w:spacing w:after="0"/>
        <w:tabs>
          <w:tab w:leader="none" w:pos="118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Each Holder agrees not to make any disposition of all or any portion of the Shares or Registrable Securities unless and until:</w:t>
      </w:r>
    </w:p>
    <w:p>
      <w:pPr>
        <w:spacing w:after="0" w:line="225" w:lineRule="exact"/>
        <w:rPr>
          <w:rFonts w:ascii="Arial" w:cs="Arial" w:eastAsia="Arial" w:hAnsi="Arial"/>
          <w:sz w:val="18"/>
          <w:szCs w:val="18"/>
          <w:b w:val="1"/>
          <w:bCs w:val="1"/>
          <w:color w:val="auto"/>
        </w:rPr>
      </w:pPr>
    </w:p>
    <w:p>
      <w:pPr>
        <w:ind w:right="400" w:firstLine="1492"/>
        <w:spacing w:after="0" w:line="277" w:lineRule="auto"/>
        <w:tabs>
          <w:tab w:leader="none" w:pos="1698"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70" w:lineRule="exact"/>
        <w:rPr>
          <w:rFonts w:ascii="Arial" w:cs="Arial" w:eastAsia="Arial" w:hAnsi="Arial"/>
          <w:sz w:val="18"/>
          <w:szCs w:val="18"/>
          <w:b w:val="1"/>
          <w:bCs w:val="1"/>
          <w:color w:val="auto"/>
        </w:rPr>
      </w:pPr>
    </w:p>
    <w:p>
      <w:pPr>
        <w:jc w:val="both"/>
        <w:ind w:right="640" w:firstLine="1492"/>
        <w:spacing w:after="0" w:line="259" w:lineRule="auto"/>
        <w:tabs>
          <w:tab w:leader="none" w:pos="1748"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59" w:name="page260"/>
    <w:bookmarkEnd w:id="25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87" w:lineRule="exact"/>
        <w:rPr>
          <w:sz w:val="20"/>
          <w:szCs w:val="20"/>
          <w:color w:val="auto"/>
        </w:rPr>
      </w:pPr>
    </w:p>
    <w:p>
      <w:pPr>
        <w:ind w:right="40" w:firstLine="921"/>
        <w:spacing w:after="0" w:line="255" w:lineRule="auto"/>
        <w:tabs>
          <w:tab w:leader="none" w:pos="117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provisions of subsection (a) above, no such restriction shall apply to a transfer by a Holder that is (A) a partnership transferring to its partners or former partners in accordance with partnership interests, (B) a partnership or fund transferring Series D Preferred to one or more of its affiliated partnerships or funds managed by it or any of its respective directors, officers or partners, (C) a corporation transferring to a wholly-owned subsidiary or a parent corporation that owns all of the capital stock of the Holder, (D) a limited liability company transferring to its members or former members in accordance with their interest in the limited liability company, or (E) an individual transferring to the Holder’s family member or trust for the benefit of an individual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transferee will agree in writing to be subject to the terms of this Agreement to the same extent as if he were an original Holder hereunder.</w:t>
      </w:r>
    </w:p>
    <w:p>
      <w:pPr>
        <w:spacing w:after="0" w:line="189" w:lineRule="exact"/>
        <w:rPr>
          <w:rFonts w:ascii="Arial" w:cs="Arial" w:eastAsia="Arial" w:hAnsi="Arial"/>
          <w:sz w:val="18"/>
          <w:szCs w:val="18"/>
          <w:b w:val="1"/>
          <w:bCs w:val="1"/>
          <w:color w:val="auto"/>
        </w:rPr>
      </w:pPr>
    </w:p>
    <w:p>
      <w:pPr>
        <w:ind w:firstLine="921"/>
        <w:spacing w:after="0" w:line="277" w:lineRule="auto"/>
        <w:tabs>
          <w:tab w:leader="none" w:pos="115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62"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3"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SALE, PLEDGE, HYPOTHECATION OR TRANSFER OF THE SECURITIES REPRESENTED BY THIS CERTIFICATE IS SUBJECT TO THE TERMS AND CONDITIONS OF A CERTAIN AMENDED AND RESTATED INVESTOR RIGHTS AGREEMENT BY AND BETWEEN THE STOCKHOLDER AND THE COMPANY. COPIES OF SUCH AGREEMENT MAY BE OBTAINED UPON WRITTEN REQUEST TO THE SECRETARY OF THE COMPANY.</w:t>
      </w:r>
    </w:p>
    <w:p>
      <w:pPr>
        <w:spacing w:after="0" w:line="187" w:lineRule="exact"/>
        <w:rPr>
          <w:sz w:val="20"/>
          <w:szCs w:val="20"/>
          <w:color w:val="auto"/>
        </w:rPr>
      </w:pPr>
    </w:p>
    <w:p>
      <w:pPr>
        <w:ind w:right="200" w:firstLine="921"/>
        <w:spacing w:after="0" w:line="259" w:lineRule="auto"/>
        <w:tabs>
          <w:tab w:leader="none" w:pos="117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and legend;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60" w:name="page261"/>
    <w:bookmarkEnd w:id="260"/>
    <w:p>
      <w:pPr>
        <w:ind w:right="5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w:t>
      </w:r>
      <w:r>
        <w:rPr>
          <w:rFonts w:ascii="Arial" w:cs="Arial" w:eastAsia="Arial" w:hAnsi="Arial"/>
          <w:sz w:val="18"/>
          <w:szCs w:val="18"/>
          <w:color w:val="auto"/>
        </w:rPr>
        <w:t>the second legend listed above shall be removed only at such time as the Holder of such certificate is no longer subject to any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w:t>
      </w:r>
    </w:p>
    <w:p>
      <w:pPr>
        <w:spacing w:after="0" w:line="170" w:lineRule="exact"/>
        <w:rPr>
          <w:sz w:val="20"/>
          <w:szCs w:val="20"/>
          <w:color w:val="auto"/>
        </w:rPr>
      </w:pPr>
    </w:p>
    <w:p>
      <w:pPr>
        <w:ind w:right="460" w:firstLine="921"/>
        <w:spacing w:after="0" w:line="308" w:lineRule="auto"/>
        <w:tabs>
          <w:tab w:leader="none" w:pos="1158"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Demand Registration.</w:t>
      </w:r>
    </w:p>
    <w:p>
      <w:pPr>
        <w:spacing w:after="0" w:line="229" w:lineRule="exact"/>
        <w:rPr>
          <w:sz w:val="20"/>
          <w:szCs w:val="20"/>
          <w:color w:val="auto"/>
        </w:rPr>
      </w:pPr>
    </w:p>
    <w:p>
      <w:pPr>
        <w:ind w:right="80" w:firstLine="921"/>
        <w:spacing w:after="0" w:line="257" w:lineRule="auto"/>
        <w:tabs>
          <w:tab w:leader="none" w:pos="1168"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Subject to the conditions of this Section 2.2, if the Company shall receive a written request from the Holders of a majority of the Registrable Securities (the “</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that the Company file a registration statement under the Securities Act covering the registration of at least a majority of the Registrable Securities then outstanding, then the Company shall, within 30 days of the receipt thereof, give written notice of such request to all Holders, and subject to the limitations of this Section 2.2, effect, as expeditiously as possible, the registration under the Securities Act of all Registrable Securities that all Holders request to be registered.</w:t>
      </w:r>
    </w:p>
    <w:p>
      <w:pPr>
        <w:spacing w:after="0" w:line="188" w:lineRule="exact"/>
        <w:rPr>
          <w:rFonts w:ascii="Arial" w:cs="Arial" w:eastAsia="Arial" w:hAnsi="Arial"/>
          <w:sz w:val="18"/>
          <w:szCs w:val="18"/>
          <w:b w:val="1"/>
          <w:bCs w:val="1"/>
          <w:color w:val="auto"/>
        </w:rPr>
      </w:pPr>
    </w:p>
    <w:p>
      <w:pPr>
        <w:ind w:firstLine="921"/>
        <w:spacing w:after="0" w:line="268" w:lineRule="auto"/>
        <w:tabs>
          <w:tab w:leader="none" w:pos="1178"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number of shares of Registrable Securities to be included in such underwriting and registration shall not be reduced unless such underwriting and registration does not include shares of any other selling stockholders. Any Registrable Securities excluded or withdrawn from such underwriting shall be withdrawn from the registration.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1" w:name="page262"/>
    <w:bookmarkEnd w:id="261"/>
    <w:p>
      <w:pPr>
        <w:ind w:left="1160" w:hanging="239"/>
        <w:spacing w:after="0"/>
        <w:tabs>
          <w:tab w:leader="none" w:pos="116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be required to effect a registration pursuant to this Section 2.2:</w:t>
      </w:r>
    </w:p>
    <w:p>
      <w:pPr>
        <w:spacing w:after="0" w:line="225" w:lineRule="exact"/>
        <w:rPr>
          <w:rFonts w:ascii="Arial" w:cs="Arial" w:eastAsia="Arial" w:hAnsi="Arial"/>
          <w:sz w:val="18"/>
          <w:szCs w:val="18"/>
          <w:b w:val="1"/>
          <w:bCs w:val="1"/>
          <w:color w:val="auto"/>
        </w:rPr>
      </w:pPr>
    </w:p>
    <w:p>
      <w:pPr>
        <w:ind w:right="360" w:firstLine="1492"/>
        <w:spacing w:after="0" w:line="277" w:lineRule="auto"/>
        <w:tabs>
          <w:tab w:leader="none" w:pos="1698"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fifth anniversary of the date of this Agreement or (B) the expiration of the restrictions on transfer set forth in Section 2.11 following the Initial Offering;</w:t>
      </w:r>
    </w:p>
    <w:p>
      <w:pPr>
        <w:spacing w:after="0" w:line="170" w:lineRule="exact"/>
        <w:rPr>
          <w:rFonts w:ascii="Arial" w:cs="Arial" w:eastAsia="Arial" w:hAnsi="Arial"/>
          <w:sz w:val="18"/>
          <w:szCs w:val="18"/>
          <w:b w:val="1"/>
          <w:bCs w:val="1"/>
          <w:color w:val="auto"/>
        </w:rPr>
      </w:pPr>
    </w:p>
    <w:p>
      <w:pPr>
        <w:ind w:left="1760" w:hanging="268"/>
        <w:spacing w:after="0"/>
        <w:tabs>
          <w:tab w:leader="none" w:pos="1760" w:val="left"/>
        </w:tabs>
        <w:numPr>
          <w:ilvl w:val="1"/>
          <w:numId w:val="223"/>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two registrations pursuant to this Section 2.2, and such registrations have been declared or ordered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w:t>
      </w:r>
    </w:p>
    <w:p>
      <w:pPr>
        <w:spacing w:after="0" w:line="210" w:lineRule="exact"/>
        <w:rPr>
          <w:rFonts w:ascii="Arial" w:cs="Arial" w:eastAsia="Arial" w:hAnsi="Arial"/>
          <w:sz w:val="16"/>
          <w:szCs w:val="16"/>
          <w:b w:val="1"/>
          <w:bCs w:val="1"/>
          <w:color w:val="auto"/>
        </w:rPr>
      </w:pPr>
    </w:p>
    <w:p>
      <w:pPr>
        <w:jc w:val="both"/>
        <w:ind w:right="180" w:firstLine="1492"/>
        <w:spacing w:after="0" w:line="264" w:lineRule="auto"/>
        <w:tabs>
          <w:tab w:leader="none" w:pos="1798"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 xml:space="preserve">during the period starting with the date of filing of, and ending on the date 180 days following the effective date of the registration statement pertaining to the Initial Offering (or such longer period as may be determined pursuant to Section 2.11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w:t>
      </w:r>
    </w:p>
    <w:p>
      <w:pPr>
        <w:spacing w:after="0" w:line="181" w:lineRule="exact"/>
        <w:rPr>
          <w:rFonts w:ascii="Arial" w:cs="Arial" w:eastAsia="Arial" w:hAnsi="Arial"/>
          <w:sz w:val="18"/>
          <w:szCs w:val="18"/>
          <w:b w:val="1"/>
          <w:bCs w:val="1"/>
          <w:color w:val="auto"/>
        </w:rPr>
      </w:pPr>
    </w:p>
    <w:p>
      <w:pPr>
        <w:ind w:right="180" w:firstLine="1492"/>
        <w:spacing w:after="0" w:line="277" w:lineRule="auto"/>
        <w:tabs>
          <w:tab w:leader="none" w:pos="1788"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if within 30 days of receipt of a written request from Initiating Holders pursuant to Section 2.2(a), the Company gives notice to the Holders of the Company’s intention to file a registration statement for its Initial Offering within 90 days;</w:t>
      </w:r>
    </w:p>
    <w:p>
      <w:pPr>
        <w:spacing w:after="0" w:line="170" w:lineRule="exact"/>
        <w:rPr>
          <w:rFonts w:ascii="Arial" w:cs="Arial" w:eastAsia="Arial" w:hAnsi="Arial"/>
          <w:sz w:val="18"/>
          <w:szCs w:val="18"/>
          <w:b w:val="1"/>
          <w:bCs w:val="1"/>
          <w:color w:val="auto"/>
        </w:rPr>
      </w:pPr>
    </w:p>
    <w:p>
      <w:pPr>
        <w:ind w:right="60" w:firstLine="1492"/>
        <w:spacing w:after="0" w:line="257" w:lineRule="auto"/>
        <w:tabs>
          <w:tab w:leader="none" w:pos="1738"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if the Company shall furnish to Holders requesting a registration statement pursuant to this Section 2.2 a certificate signed by the Chairman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90 days after receipt of the request of the Initiating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 to delay a request shall be exercised by the Company not more than once in any 12 month period;</w:t>
      </w:r>
    </w:p>
    <w:p>
      <w:pPr>
        <w:spacing w:after="0" w:line="188" w:lineRule="exact"/>
        <w:rPr>
          <w:rFonts w:ascii="Arial" w:cs="Arial" w:eastAsia="Arial" w:hAnsi="Arial"/>
          <w:sz w:val="18"/>
          <w:szCs w:val="18"/>
          <w:b w:val="1"/>
          <w:bCs w:val="1"/>
          <w:color w:val="auto"/>
        </w:rPr>
      </w:pPr>
    </w:p>
    <w:p>
      <w:pPr>
        <w:ind w:right="480" w:firstLine="1492"/>
        <w:spacing w:after="0" w:line="277" w:lineRule="auto"/>
        <w:tabs>
          <w:tab w:leader="none" w:pos="1788"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170" w:lineRule="exact"/>
        <w:rPr>
          <w:rFonts w:ascii="Arial" w:cs="Arial" w:eastAsia="Arial" w:hAnsi="Arial"/>
          <w:sz w:val="18"/>
          <w:szCs w:val="18"/>
          <w:b w:val="1"/>
          <w:bCs w:val="1"/>
          <w:color w:val="auto"/>
        </w:rPr>
      </w:pPr>
    </w:p>
    <w:p>
      <w:pPr>
        <w:ind w:right="220" w:firstLine="1492"/>
        <w:spacing w:after="0" w:line="277" w:lineRule="auto"/>
        <w:tabs>
          <w:tab w:leader="none" w:pos="1838" w:val="left"/>
        </w:tabs>
        <w:numPr>
          <w:ilvl w:val="1"/>
          <w:numId w:val="223"/>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2.3 Piggyback Registrations. </w:t>
      </w:r>
      <w:r>
        <w:rPr>
          <w:rFonts w:ascii="Arial" w:cs="Arial" w:eastAsia="Arial" w:hAnsi="Arial"/>
          <w:sz w:val="17"/>
          <w:szCs w:val="17"/>
          <w:color w:val="auto"/>
        </w:rPr>
        <w:t>The Company shall notify all Holders of Registrable Securities in writing at least 15 days prior to the filing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62" w:name="page263"/>
    <w:bookmarkEnd w:id="26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43" w:lineRule="exact"/>
        <w:rPr>
          <w:sz w:val="20"/>
          <w:szCs w:val="20"/>
          <w:color w:val="auto"/>
        </w:rPr>
      </w:pPr>
    </w:p>
    <w:p>
      <w:pPr>
        <w:ind w:right="60" w:firstLine="921"/>
        <w:spacing w:after="0" w:line="285" w:lineRule="auto"/>
        <w:tabs>
          <w:tab w:leader="none" w:pos="1168"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Underwriting. </w:t>
      </w:r>
      <w:r>
        <w:rPr>
          <w:rFonts w:ascii="Arial" w:cs="Arial" w:eastAsia="Arial" w:hAnsi="Arial"/>
          <w:sz w:val="16"/>
          <w:szCs w:val="16"/>
          <w:color w:val="auto"/>
        </w:rPr>
        <w:t>If the registration statement of which the Company gives notice under this Section 2.3 is for an underwritten offering,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Company determines in good faith, based on consultation with the underwriter,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reduction shall reduce the amount of securities of the selling Holders included in the registration below 30% of the 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In no event will shares of any other selling stockholder be included in such registration that would reduce the number of shares which may be included by Holders without the written consent of Holders of not less than 60% of the Registrable Securities proposed to be sold in the offering. If any Holder disapproves of the terms of any such underwriting, such Holder may elect to withdraw therefrom by written notice to the Company and the underwriter, delivered at least 10 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68" w:lineRule="exact"/>
        <w:rPr>
          <w:rFonts w:ascii="Arial" w:cs="Arial" w:eastAsia="Arial" w:hAnsi="Arial"/>
          <w:sz w:val="16"/>
          <w:szCs w:val="16"/>
          <w:b w:val="1"/>
          <w:bCs w:val="1"/>
          <w:color w:val="auto"/>
        </w:rPr>
      </w:pPr>
    </w:p>
    <w:p>
      <w:pPr>
        <w:ind w:right="200" w:firstLine="921"/>
        <w:spacing w:after="0" w:line="261" w:lineRule="auto"/>
        <w:tabs>
          <w:tab w:leader="none" w:pos="1178"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Terminate Registration. </w:t>
      </w:r>
      <w:r>
        <w:rPr>
          <w:rFonts w:ascii="Arial" w:cs="Arial" w:eastAsia="Arial" w:hAnsi="Arial"/>
          <w:sz w:val="18"/>
          <w:szCs w:val="18"/>
          <w:color w:val="auto"/>
        </w:rPr>
        <w:t>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and shall promptly notify any Holder that has elected to include shares in such registration of such termination or withdrawal. The Registration Expenses of such withdrawn registration shall be borne by the Company in accordance with Section 2.5 hereof</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2.4 Form S-3 Registration. </w:t>
      </w:r>
      <w:r>
        <w:rPr>
          <w:rFonts w:ascii="Arial" w:cs="Arial" w:eastAsia="Arial" w:hAnsi="Arial"/>
          <w:sz w:val="18"/>
          <w:szCs w:val="18"/>
          <w:color w:val="auto"/>
        </w:rPr>
        <w:t>In case the Company shall receive from any Holder or Holders of Registrable Securities a written request or requests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effect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63" w:name="page264"/>
    <w:bookmarkEnd w:id="263"/>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170" w:lineRule="exact"/>
        <w:rPr>
          <w:sz w:val="20"/>
          <w:szCs w:val="20"/>
          <w:color w:val="auto"/>
        </w:rPr>
      </w:pPr>
    </w:p>
    <w:p>
      <w:pPr>
        <w:ind w:left="1180" w:hanging="259"/>
        <w:spacing w:after="0"/>
        <w:tabs>
          <w:tab w:leader="none" w:pos="1180"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t>promptly give written notice of the proposed registration, and any related qualification or compliance, to all other Holders of Registrable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7"/>
          <w:szCs w:val="17"/>
          <w:b w:val="1"/>
          <w:bCs w:val="1"/>
          <w:color w:val="auto"/>
        </w:rPr>
      </w:pPr>
    </w:p>
    <w:p>
      <w:pPr>
        <w:ind w:right="160" w:firstLine="921"/>
        <w:spacing w:after="0" w:line="257" w:lineRule="auto"/>
        <w:tabs>
          <w:tab w:leader="none" w:pos="1178"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days after receipt of such written notice from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to effect any such registration, qualification or compliance pursuant to this Section 2.4:</w:t>
      </w:r>
    </w:p>
    <w:p>
      <w:pPr>
        <w:spacing w:after="0" w:line="188" w:lineRule="exact"/>
        <w:rPr>
          <w:rFonts w:ascii="Arial" w:cs="Arial" w:eastAsia="Arial" w:hAnsi="Arial"/>
          <w:sz w:val="18"/>
          <w:szCs w:val="18"/>
          <w:b w:val="1"/>
          <w:bCs w:val="1"/>
          <w:color w:val="auto"/>
        </w:rPr>
      </w:pPr>
    </w:p>
    <w:p>
      <w:pPr>
        <w:ind w:left="1700" w:hanging="208"/>
        <w:spacing w:after="0"/>
        <w:tabs>
          <w:tab w:leader="none" w:pos="1700"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b w:val="1"/>
          <w:bCs w:val="1"/>
          <w:color w:val="auto"/>
        </w:rPr>
      </w:pPr>
    </w:p>
    <w:p>
      <w:pPr>
        <w:ind w:right="180" w:firstLine="1492"/>
        <w:spacing w:after="0" w:line="264" w:lineRule="auto"/>
        <w:tabs>
          <w:tab w:leader="none" w:pos="174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of less than $2,000,000, net of Registration Expenses and Selling Expenses;</w:t>
      </w:r>
    </w:p>
    <w:p>
      <w:pPr>
        <w:spacing w:after="0" w:line="181" w:lineRule="exact"/>
        <w:rPr>
          <w:rFonts w:ascii="Arial" w:cs="Arial" w:eastAsia="Arial" w:hAnsi="Arial"/>
          <w:sz w:val="18"/>
          <w:szCs w:val="18"/>
          <w:b w:val="1"/>
          <w:bCs w:val="1"/>
          <w:color w:val="auto"/>
        </w:rPr>
      </w:pPr>
    </w:p>
    <w:p>
      <w:pPr>
        <w:ind w:firstLine="1492"/>
        <w:spacing w:after="0" w:line="342" w:lineRule="auto"/>
        <w:tabs>
          <w:tab w:leader="none" w:pos="1798" w:val="left"/>
        </w:tabs>
        <w:numPr>
          <w:ilvl w:val="1"/>
          <w:numId w:val="225"/>
        </w:numPr>
        <w:rPr>
          <w:rFonts w:ascii="Arial" w:cs="Arial" w:eastAsia="Arial" w:hAnsi="Arial"/>
          <w:sz w:val="16"/>
          <w:szCs w:val="16"/>
          <w:b w:val="1"/>
          <w:bCs w:val="1"/>
          <w:color w:val="auto"/>
        </w:rPr>
      </w:pPr>
      <w:r>
        <w:rPr>
          <w:rFonts w:ascii="Arial" w:cs="Arial" w:eastAsia="Arial" w:hAnsi="Arial"/>
          <w:sz w:val="16"/>
          <w:szCs w:val="16"/>
          <w:color w:val="auto"/>
        </w:rPr>
        <w:t>if within 30 days of receipt of a written request from any Holder or Holders pursuant to this Section 2.4, the Company gives notice to such Holder or Holders of the Company’s intention to make a public offering within 90 days, other than pursuant to a Special Registration Statement;</w:t>
      </w:r>
    </w:p>
    <w:p>
      <w:pPr>
        <w:spacing w:after="0" w:line="123" w:lineRule="exact"/>
        <w:rPr>
          <w:rFonts w:ascii="Arial" w:cs="Arial" w:eastAsia="Arial" w:hAnsi="Arial"/>
          <w:sz w:val="16"/>
          <w:szCs w:val="16"/>
          <w:b w:val="1"/>
          <w:bCs w:val="1"/>
          <w:color w:val="auto"/>
        </w:rPr>
      </w:pPr>
    </w:p>
    <w:p>
      <w:pPr>
        <w:ind w:right="100" w:firstLine="1492"/>
        <w:spacing w:after="0" w:line="257" w:lineRule="auto"/>
        <w:tabs>
          <w:tab w:leader="none" w:pos="178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 xml:space="preserve">if the Company shall furnish to the Holders a certificate signed by the Chairman of the Board stating that in the good faith judgment of the Board, it would be materially detrimental to the Company and its stockholders for such Form S-3 registration to be effected at such time, in which event the Company shall have the right to defer the filing of the Form S-3 registration statement for a period of not more than 90 days after receipt of the request of the Holder or Holders under this Section 2.4; </w:t>
      </w:r>
      <w:r>
        <w:rPr>
          <w:rFonts w:ascii="Arial" w:cs="Arial" w:eastAsia="Arial" w:hAnsi="Arial"/>
          <w:sz w:val="18"/>
          <w:szCs w:val="18"/>
          <w:i w:val="1"/>
          <w:iCs w:val="1"/>
          <w:color w:val="auto"/>
        </w:rPr>
        <w:t>provided</w:t>
      </w:r>
      <w:r>
        <w:rPr>
          <w:rFonts w:ascii="Arial" w:cs="Arial" w:eastAsia="Arial" w:hAnsi="Arial"/>
          <w:sz w:val="18"/>
          <w:szCs w:val="18"/>
          <w:color w:val="auto"/>
        </w:rPr>
        <w:t>, that such right to delay a request shall be exercised by the Company not more than once in any 12 month period;</w:t>
      </w:r>
    </w:p>
    <w:p>
      <w:pPr>
        <w:spacing w:after="0" w:line="188" w:lineRule="exact"/>
        <w:rPr>
          <w:rFonts w:ascii="Arial" w:cs="Arial" w:eastAsia="Arial" w:hAnsi="Arial"/>
          <w:sz w:val="18"/>
          <w:szCs w:val="18"/>
          <w:b w:val="1"/>
          <w:bCs w:val="1"/>
          <w:color w:val="auto"/>
        </w:rPr>
      </w:pPr>
    </w:p>
    <w:p>
      <w:pPr>
        <w:ind w:firstLine="1492"/>
        <w:spacing w:after="0" w:line="277" w:lineRule="auto"/>
        <w:tabs>
          <w:tab w:leader="none" w:pos="173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12 month period preceding the date of such request, already effected two registrations on Form S-3 for the Holders pursuant to this Section 2.4; or</w:t>
      </w:r>
    </w:p>
    <w:p>
      <w:pPr>
        <w:spacing w:after="0" w:line="170" w:lineRule="exact"/>
        <w:rPr>
          <w:rFonts w:ascii="Arial" w:cs="Arial" w:eastAsia="Arial" w:hAnsi="Arial"/>
          <w:sz w:val="18"/>
          <w:szCs w:val="18"/>
          <w:b w:val="1"/>
          <w:bCs w:val="1"/>
          <w:color w:val="auto"/>
        </w:rPr>
      </w:pPr>
    </w:p>
    <w:p>
      <w:pPr>
        <w:ind w:right="260" w:firstLine="1492"/>
        <w:spacing w:after="0" w:line="277" w:lineRule="auto"/>
        <w:tabs>
          <w:tab w:leader="none" w:pos="1788"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rFonts w:ascii="Arial" w:cs="Arial" w:eastAsia="Arial" w:hAnsi="Arial"/>
          <w:sz w:val="18"/>
          <w:szCs w:val="18"/>
          <w:b w:val="1"/>
          <w:bCs w:val="1"/>
          <w:color w:val="auto"/>
        </w:rPr>
      </w:pPr>
    </w:p>
    <w:p>
      <w:pPr>
        <w:ind w:right="120" w:firstLine="921"/>
        <w:spacing w:after="0" w:line="308" w:lineRule="auto"/>
        <w:tabs>
          <w:tab w:leader="none" w:pos="1158"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2.4 shall not be counted as demands for registration or registrations effected pursuant to Section 2.2.</w:t>
      </w:r>
    </w:p>
    <w:p>
      <w:pPr>
        <w:spacing w:after="0" w:line="2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2.5 Expenses of Registration. </w:t>
      </w:r>
      <w:r>
        <w:rPr>
          <w:rFonts w:ascii="Arial" w:cs="Arial" w:eastAsia="Arial" w:hAnsi="Arial"/>
          <w:sz w:val="16"/>
          <w:szCs w:val="16"/>
          <w:color w:val="auto"/>
        </w:rPr>
        <w:t>Except as specifically provided herein, all Registration Expenses incurred in connection with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 or 2.4(b)(5),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2.4(b)(5), as applicable, to undertake any subsequent registration.</w:t>
      </w:r>
    </w:p>
    <w:p>
      <w:pPr>
        <w:spacing w:after="0" w:line="169"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2.6 Obligations of the Company. </w:t>
      </w:r>
      <w:r>
        <w:rPr>
          <w:rFonts w:ascii="Arial" w:cs="Arial" w:eastAsia="Arial" w:hAnsi="Arial"/>
          <w:sz w:val="18"/>
          <w:szCs w:val="18"/>
          <w:color w:val="auto"/>
        </w:rPr>
        <w:t>Whenever required to effect the registration of any Registrable Securities, the Company shall, as expeditiously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possible:</w:t>
      </w:r>
    </w:p>
    <w:p>
      <w:pPr>
        <w:spacing w:after="0" w:line="166" w:lineRule="exact"/>
        <w:rPr>
          <w:sz w:val="20"/>
          <w:szCs w:val="20"/>
          <w:color w:val="auto"/>
        </w:rPr>
      </w:pPr>
    </w:p>
    <w:p>
      <w:pPr>
        <w:ind w:right="60" w:firstLine="921"/>
        <w:spacing w:after="0" w:line="268" w:lineRule="auto"/>
        <w:tabs>
          <w:tab w:leader="none" w:pos="1168"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 xml:space="preserve">prepare and file with the SEC a registration statement with respect to such Registrable Securities and use all efforts to cause such registration statement to become effective, and, upon the request of the Holders of a majority of the Registrable Securities registered thereunder, keep such registration statement effective for up to 90 days or, if earlier, until the Holder or Holders have completed the distribution related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upon written notice to the participating Holders and for a period not to exceed 60 days thereafter (the “</w:t>
      </w:r>
      <w:r>
        <w:rPr>
          <w:rFonts w:ascii="Arial" w:cs="Arial" w:eastAsia="Arial" w:hAnsi="Arial"/>
          <w:sz w:val="17"/>
          <w:szCs w:val="17"/>
          <w:b w:val="1"/>
          <w:bCs w:val="1"/>
          <w:i w:val="1"/>
          <w:iCs w:val="1"/>
          <w:color w:val="auto"/>
        </w:rPr>
        <w:t>Suspension Period</w:t>
      </w:r>
      <w:r>
        <w:rPr>
          <w:rFonts w:ascii="Arial" w:cs="Arial" w:eastAsia="Arial" w:hAnsi="Arial"/>
          <w:sz w:val="17"/>
          <w:szCs w:val="17"/>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60 days with the consent of the holders of a majority of the Registrable Securities registered under the applicable registration statement, which consent shall not be unreasonably withheld. No more than two such Suspension Periods shall occur in any 12 month period. If so directed by the Company, all Holders registering shares under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65" w:name="page266"/>
    <w:bookmarkEnd w:id="26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93" w:lineRule="exact"/>
        <w:rPr>
          <w:sz w:val="20"/>
          <w:szCs w:val="20"/>
          <w:color w:val="auto"/>
        </w:rPr>
      </w:pPr>
    </w:p>
    <w:p>
      <w:pPr>
        <w:ind w:firstLine="921"/>
        <w:spacing w:after="0" w:line="264" w:lineRule="auto"/>
        <w:tabs>
          <w:tab w:leader="none" w:pos="1178"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1" w:lineRule="exact"/>
        <w:rPr>
          <w:rFonts w:ascii="Arial" w:cs="Arial" w:eastAsia="Arial" w:hAnsi="Arial"/>
          <w:sz w:val="18"/>
          <w:szCs w:val="18"/>
          <w:b w:val="1"/>
          <w:bCs w:val="1"/>
          <w:color w:val="auto"/>
        </w:rPr>
      </w:pPr>
    </w:p>
    <w:p>
      <w:pPr>
        <w:ind w:right="40" w:firstLine="921"/>
        <w:spacing w:after="0" w:line="342" w:lineRule="auto"/>
        <w:tabs>
          <w:tab w:leader="none" w:pos="1158"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23" w:lineRule="exact"/>
        <w:rPr>
          <w:rFonts w:ascii="Arial" w:cs="Arial" w:eastAsia="Arial" w:hAnsi="Arial"/>
          <w:sz w:val="16"/>
          <w:szCs w:val="16"/>
          <w:b w:val="1"/>
          <w:bCs w:val="1"/>
          <w:color w:val="auto"/>
        </w:rPr>
      </w:pPr>
    </w:p>
    <w:p>
      <w:pPr>
        <w:ind w:right="40" w:firstLine="921"/>
        <w:spacing w:after="0" w:line="286" w:lineRule="auto"/>
        <w:tabs>
          <w:tab w:leader="none" w:pos="1178"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65" w:lineRule="exact"/>
        <w:rPr>
          <w:rFonts w:ascii="Arial" w:cs="Arial" w:eastAsia="Arial" w:hAnsi="Arial"/>
          <w:sz w:val="17"/>
          <w:szCs w:val="17"/>
          <w:b w:val="1"/>
          <w:bCs w:val="1"/>
          <w:color w:val="auto"/>
        </w:rPr>
      </w:pPr>
    </w:p>
    <w:p>
      <w:pPr>
        <w:ind w:right="440" w:firstLine="921"/>
        <w:spacing w:after="0" w:line="264" w:lineRule="auto"/>
        <w:tabs>
          <w:tab w:leader="none" w:pos="1158"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1" w:lineRule="exact"/>
        <w:rPr>
          <w:rFonts w:ascii="Arial" w:cs="Arial" w:eastAsia="Arial" w:hAnsi="Arial"/>
          <w:sz w:val="18"/>
          <w:szCs w:val="18"/>
          <w:b w:val="1"/>
          <w:bCs w:val="1"/>
          <w:color w:val="auto"/>
        </w:rPr>
      </w:pPr>
    </w:p>
    <w:p>
      <w:pPr>
        <w:ind w:right="20" w:firstLine="921"/>
        <w:spacing w:after="0" w:line="273" w:lineRule="auto"/>
        <w:tabs>
          <w:tab w:leader="none" w:pos="1138"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78" w:lineRule="exact"/>
        <w:rPr>
          <w:rFonts w:ascii="Arial" w:cs="Arial" w:eastAsia="Arial" w:hAnsi="Arial"/>
          <w:sz w:val="17"/>
          <w:szCs w:val="17"/>
          <w:b w:val="1"/>
          <w:bCs w:val="1"/>
          <w:color w:val="auto"/>
        </w:rPr>
      </w:pPr>
    </w:p>
    <w:p>
      <w:pPr>
        <w:jc w:val="both"/>
        <w:ind w:right="180" w:firstLine="921"/>
        <w:spacing w:after="0" w:line="264" w:lineRule="auto"/>
        <w:tabs>
          <w:tab w:leader="none" w:pos="1168"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266" w:name="page267"/>
    <w:bookmarkEnd w:id="266"/>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Delay of Registration; Furnishing Information.</w:t>
      </w:r>
    </w:p>
    <w:p>
      <w:pPr>
        <w:spacing w:after="0" w:line="229" w:lineRule="exact"/>
        <w:rPr>
          <w:sz w:val="20"/>
          <w:szCs w:val="20"/>
          <w:color w:val="auto"/>
        </w:rPr>
      </w:pPr>
    </w:p>
    <w:p>
      <w:pPr>
        <w:ind w:right="380" w:firstLine="921"/>
        <w:spacing w:after="0" w:line="277" w:lineRule="auto"/>
        <w:tabs>
          <w:tab w:leader="none" w:pos="116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70" w:lineRule="exact"/>
        <w:rPr>
          <w:rFonts w:ascii="Arial" w:cs="Arial" w:eastAsia="Arial" w:hAnsi="Arial"/>
          <w:sz w:val="18"/>
          <w:szCs w:val="18"/>
          <w:b w:val="1"/>
          <w:bCs w:val="1"/>
          <w:color w:val="auto"/>
        </w:rPr>
      </w:pPr>
    </w:p>
    <w:p>
      <w:pPr>
        <w:ind w:right="60" w:firstLine="921"/>
        <w:spacing w:after="0" w:line="264" w:lineRule="auto"/>
        <w:tabs>
          <w:tab w:leader="none" w:pos="117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1" w:lineRule="exact"/>
        <w:rPr>
          <w:rFonts w:ascii="Arial" w:cs="Arial" w:eastAsia="Arial" w:hAnsi="Arial"/>
          <w:sz w:val="18"/>
          <w:szCs w:val="18"/>
          <w:b w:val="1"/>
          <w:bCs w:val="1"/>
          <w:color w:val="auto"/>
        </w:rPr>
      </w:pPr>
    </w:p>
    <w:p>
      <w:pPr>
        <w:ind w:right="20" w:firstLine="921"/>
        <w:spacing w:after="0" w:line="259" w:lineRule="auto"/>
        <w:tabs>
          <w:tab w:leader="none" w:pos="115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Indemnification. </w:t>
      </w:r>
      <w:r>
        <w:rPr>
          <w:rFonts w:ascii="Arial" w:cs="Arial" w:eastAsia="Arial" w:hAnsi="Arial"/>
          <w:sz w:val="18"/>
          <w:szCs w:val="18"/>
          <w:color w:val="auto"/>
        </w:rPr>
        <w:t>In the event any Registrable Securities are included in a registration statement under Sections 2.2, 2.3 or 2.4:</w:t>
      </w:r>
    </w:p>
    <w:p>
      <w:pPr>
        <w:spacing w:after="0" w:line="229" w:lineRule="exact"/>
        <w:rPr>
          <w:sz w:val="20"/>
          <w:szCs w:val="20"/>
          <w:color w:val="auto"/>
        </w:rPr>
      </w:pPr>
    </w:p>
    <w:p>
      <w:pPr>
        <w:ind w:firstLine="921"/>
        <w:spacing w:after="0" w:line="287" w:lineRule="auto"/>
        <w:tabs>
          <w:tab w:leader="none" w:pos="1168"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indemnity agreement contained in this Section 2.8(a) shall not apply to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67" w:name="page268"/>
    <w:bookmarkEnd w:id="267"/>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71" w:lineRule="exact"/>
        <w:rPr>
          <w:sz w:val="20"/>
          <w:szCs w:val="20"/>
          <w:color w:val="auto"/>
        </w:rPr>
      </w:pPr>
    </w:p>
    <w:p>
      <w:pPr>
        <w:ind w:firstLine="921"/>
        <w:spacing w:after="0" w:line="285" w:lineRule="auto"/>
        <w:tabs>
          <w:tab w:leader="none" w:pos="1178"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6"/>
          <w:szCs w:val="16"/>
          <w:b w:val="1"/>
          <w:bCs w:val="1"/>
          <w:i w:val="1"/>
          <w:iCs w:val="1"/>
          <w:color w:val="auto"/>
        </w:rPr>
        <w:t>Holder Violation</w:t>
      </w:r>
      <w:r>
        <w:rPr>
          <w:rFonts w:ascii="Arial" w:cs="Arial" w:eastAsia="Arial" w:hAnsi="Arial"/>
          <w:sz w:val="16"/>
          <w:szCs w:val="16"/>
          <w:color w:val="auto"/>
        </w:rPr>
        <w:t xml:space="preserve">”), in each case to the extent (and only to the extent) that such Holder Violation occurs in reliance upon and in conformity with written 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any indemnity under this Section 2.8 exceed the net proceeds from the offering received by such Holder.</w:t>
      </w:r>
    </w:p>
    <w:p>
      <w:pPr>
        <w:spacing w:after="0" w:line="172" w:lineRule="exact"/>
        <w:rPr>
          <w:rFonts w:ascii="Arial" w:cs="Arial" w:eastAsia="Arial" w:hAnsi="Arial"/>
          <w:sz w:val="16"/>
          <w:szCs w:val="16"/>
          <w:b w:val="1"/>
          <w:bCs w:val="1"/>
          <w:color w:val="auto"/>
        </w:rPr>
      </w:pPr>
    </w:p>
    <w:p>
      <w:pPr>
        <w:ind w:firstLine="921"/>
        <w:spacing w:after="0" w:line="276" w:lineRule="auto"/>
        <w:tabs>
          <w:tab w:leader="none" w:pos="1157" w:val="left"/>
        </w:tabs>
        <w:numPr>
          <w:ilvl w:val="0"/>
          <w:numId w:val="230"/>
        </w:numPr>
        <w:rPr>
          <w:rFonts w:ascii="Arial" w:cs="Arial" w:eastAsia="Arial" w:hAnsi="Arial"/>
          <w:sz w:val="17"/>
          <w:szCs w:val="17"/>
          <w:b w:val="1"/>
          <w:bCs w:val="1"/>
          <w:color w:val="auto"/>
        </w:rPr>
      </w:pPr>
      <w:r>
        <w:rPr>
          <w:rFonts w:ascii="Arial" w:cs="Arial" w:eastAsia="Arial" w:hAnsi="Arial"/>
          <w:sz w:val="17"/>
          <w:szCs w:val="17"/>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 indemnified party shall have the right to retain its own counsel, with the fees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68" w:name="page269"/>
    <w:bookmarkEnd w:id="26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93" w:lineRule="exact"/>
        <w:rPr>
          <w:sz w:val="20"/>
          <w:szCs w:val="20"/>
          <w:color w:val="auto"/>
        </w:rPr>
      </w:pPr>
    </w:p>
    <w:p>
      <w:pPr>
        <w:ind w:right="20" w:firstLine="921"/>
        <w:spacing w:after="0" w:line="253" w:lineRule="auto"/>
        <w:tabs>
          <w:tab w:leader="none" w:pos="1178"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in no event shall any contribution by a Holder hereunder exceed the net proceeds from the offering received by such Holder.</w:t>
      </w:r>
    </w:p>
    <w:p>
      <w:pPr>
        <w:spacing w:after="0" w:line="194" w:lineRule="exact"/>
        <w:rPr>
          <w:rFonts w:ascii="Arial" w:cs="Arial" w:eastAsia="Arial" w:hAnsi="Arial"/>
          <w:sz w:val="18"/>
          <w:szCs w:val="18"/>
          <w:b w:val="1"/>
          <w:bCs w:val="1"/>
          <w:color w:val="auto"/>
        </w:rPr>
      </w:pPr>
    </w:p>
    <w:p>
      <w:pPr>
        <w:ind w:right="60" w:firstLine="921"/>
        <w:spacing w:after="0" w:line="276" w:lineRule="auto"/>
        <w:tabs>
          <w:tab w:leader="none" w:pos="1158"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6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2.9 Assignment of Registration Rights. </w:t>
      </w:r>
      <w:r>
        <w:rPr>
          <w:rFonts w:ascii="Arial" w:cs="Arial" w:eastAsia="Arial" w:hAnsi="Arial"/>
          <w:sz w:val="17"/>
          <w:szCs w:val="17"/>
          <w:color w:val="auto"/>
        </w:rPr>
        <w:t>The rights to cause the Company to register Registrable Securities pursuant to this Section 2 may be assigned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 Holder to a transferee or assignee of Registrable Securities (for so long as such shares remain Registrable Securities) that (a) is a subsidiary, parent, general partner, limited partner, retired partner, member or retired member, or stockholder of a Holder that is a corporation, partnership or limited liability company, (b) is a Holder’s family member or trust for the benefit of an individual Holder, (c) is an entity affiliated by common control (or other related entity) with such Holder or (d) is a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 the transferor shall, within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69" w:name="page270"/>
    <w:bookmarkEnd w:id="269"/>
    <w:p>
      <w:pPr>
        <w:ind w:right="8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2.10 Limitation on Subsequent Registration Rights. </w:t>
      </w:r>
      <w:r>
        <w:rPr>
          <w:rFonts w:ascii="Arial" w:cs="Arial" w:eastAsia="Arial" w:hAnsi="Arial"/>
          <w:sz w:val="18"/>
          <w:szCs w:val="18"/>
          <w:color w:val="auto"/>
        </w:rPr>
        <w:t>Other than as provided in Section 5.10, after the date of this Agreement, the Company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2.11 “Market Stand-Off” Agreement. </w:t>
      </w:r>
      <w:r>
        <w:rPr>
          <w:rFonts w:ascii="Arial" w:cs="Arial" w:eastAsia="Arial" w:hAnsi="Arial"/>
          <w:sz w:val="17"/>
          <w:szCs w:val="17"/>
          <w:color w:val="auto"/>
        </w:rPr>
        <w:t>Each Holder hereby agrees that such Holder shall not sell, transfer, make any short sale of, grant any option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purchase of, or enter into any hedging or similar transaction with the same economic effect as a sale, any Common Stock (or other securities) of the Company held by such Holder (other than those included in the registration) during the 180-day period following the effective date of the Initial Offering (or such longer period as the underwriter of the Company shall request in order to facilitate compliance with NASD Rule 2711 or NYSE Member Rule 472 or any successor or similar rule or regulation);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officers and directors of the Company and all holders of 1.0% or more of the Company’s capital stock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7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2.12 Agreement to Furnish Information. </w:t>
      </w:r>
      <w:r>
        <w:rPr>
          <w:rFonts w:ascii="Arial" w:cs="Arial" w:eastAsia="Arial" w:hAnsi="Arial"/>
          <w:sz w:val="16"/>
          <w:szCs w:val="16"/>
          <w:color w:val="auto"/>
        </w:rPr>
        <w:t>Each Holder agrees to execute and deliver such other agreements as may be reasonably requested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6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2.13 Rule 144 Reporting. </w:t>
      </w:r>
      <w:r>
        <w:rPr>
          <w:rFonts w:ascii="Arial" w:cs="Arial" w:eastAsia="Arial" w:hAnsi="Arial"/>
          <w:sz w:val="18"/>
          <w:szCs w:val="18"/>
          <w:color w:val="auto"/>
        </w:rPr>
        <w:t>With a view to making available to the Holders the benefits of certain rules and regulations of the SEC which may permit</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Registrable Securities to the public without registration, the Company agrees to use its best efforts to:</w:t>
      </w:r>
    </w:p>
    <w:p>
      <w:pPr>
        <w:spacing w:after="0" w:line="166" w:lineRule="exact"/>
        <w:rPr>
          <w:sz w:val="20"/>
          <w:szCs w:val="20"/>
          <w:color w:val="auto"/>
        </w:rPr>
      </w:pPr>
    </w:p>
    <w:p>
      <w:pPr>
        <w:ind w:right="200" w:firstLine="921"/>
        <w:spacing w:after="0" w:line="264" w:lineRule="auto"/>
        <w:tabs>
          <w:tab w:leader="none" w:pos="1168"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270" w:name="page271"/>
    <w:bookmarkEnd w:id="270"/>
    <w:p>
      <w:pPr>
        <w:ind w:left="1180" w:hanging="259"/>
        <w:spacing w:after="0"/>
        <w:tabs>
          <w:tab w:leader="none" w:pos="118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 with the SEC, in a timely manner, all reports and other documents required of the Company under the Exchange Act; and</w:t>
      </w:r>
    </w:p>
    <w:p>
      <w:pPr>
        <w:spacing w:after="0" w:line="225" w:lineRule="exact"/>
        <w:rPr>
          <w:rFonts w:ascii="Arial" w:cs="Arial" w:eastAsia="Arial" w:hAnsi="Arial"/>
          <w:sz w:val="18"/>
          <w:szCs w:val="18"/>
          <w:b w:val="1"/>
          <w:bCs w:val="1"/>
          <w:color w:val="auto"/>
        </w:rPr>
      </w:pPr>
    </w:p>
    <w:p>
      <w:pPr>
        <w:ind w:firstLine="921"/>
        <w:spacing w:after="0" w:line="257" w:lineRule="auto"/>
        <w:tabs>
          <w:tab w:leader="none" w:pos="1158"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2.14 Termination of Registration Rights. </w:t>
      </w:r>
      <w:r>
        <w:rPr>
          <w:rFonts w:ascii="Arial" w:cs="Arial" w:eastAsia="Arial" w:hAnsi="Arial"/>
          <w:sz w:val="18"/>
          <w:szCs w:val="18"/>
          <w:color w:val="auto"/>
        </w:rPr>
        <w:t>The right of any Holder to request registration or inclusion of Registrable Securities in any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2.2, 2.3 or 2.4 hereof shall terminate upon the earlier of: (i) the date five years following the closing of a Qualified IPO; (ii) such time as such Holder holds less than 1% of the Company’s outstanding Common Stock (treating all shares of Preferred Stock on an as-if-converted basis), the Company has completed its Initial Offering and all Registrable Securities issuable or issued upon conversion of the Shares held by and issuable to such Holder (and its affiliates) may be sold pursuant to Rule 144 during any 90-day period. Upon such termination, such shares shall cease to be “Registrable Securities” hereunder for all purposes.</w:t>
      </w:r>
    </w:p>
    <w:p>
      <w:pPr>
        <w:spacing w:after="0" w:line="33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COVENANTS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Basic Financial Information and Reporting.</w:t>
      </w:r>
    </w:p>
    <w:p>
      <w:pPr>
        <w:spacing w:after="0" w:line="229" w:lineRule="exact"/>
        <w:rPr>
          <w:sz w:val="20"/>
          <w:szCs w:val="20"/>
          <w:color w:val="auto"/>
        </w:rPr>
      </w:pPr>
    </w:p>
    <w:p>
      <w:pPr>
        <w:ind w:right="160" w:firstLine="921"/>
        <w:spacing w:after="0" w:line="259" w:lineRule="auto"/>
        <w:tabs>
          <w:tab w:leader="none" w:pos="1168"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and will set aside on its books all such proper accruals and reserves as shall be required under generally accepted accounting principles consistently applied.</w:t>
      </w:r>
    </w:p>
    <w:p>
      <w:pPr>
        <w:spacing w:after="0" w:line="186" w:lineRule="exact"/>
        <w:rPr>
          <w:rFonts w:ascii="Arial" w:cs="Arial" w:eastAsia="Arial" w:hAnsi="Arial"/>
          <w:sz w:val="18"/>
          <w:szCs w:val="18"/>
          <w:b w:val="1"/>
          <w:bCs w:val="1"/>
          <w:color w:val="auto"/>
        </w:rPr>
      </w:pPr>
    </w:p>
    <w:p>
      <w:pPr>
        <w:ind w:right="120" w:firstLine="921"/>
        <w:spacing w:after="0" w:line="273" w:lineRule="auto"/>
        <w:tabs>
          <w:tab w:leader="none" w:pos="1178"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So long as an Investor (with its affiliates) owns not less than 1,000,000 Registrable Securities (as adjusted for stock splits and combinations) (a “</w:t>
      </w:r>
      <w:r>
        <w:rPr>
          <w:rFonts w:ascii="Arial" w:cs="Arial" w:eastAsia="Arial" w:hAnsi="Arial"/>
          <w:sz w:val="17"/>
          <w:szCs w:val="17"/>
          <w:b w:val="1"/>
          <w:bCs w:val="1"/>
          <w:i w:val="1"/>
          <w:iCs w:val="1"/>
          <w:color w:val="auto"/>
        </w:rPr>
        <w:t>Major Investor</w:t>
      </w:r>
      <w:r>
        <w:rPr>
          <w:rFonts w:ascii="Arial" w:cs="Arial" w:eastAsia="Arial" w:hAnsi="Arial"/>
          <w:sz w:val="17"/>
          <w:szCs w:val="17"/>
          <w:color w:val="auto"/>
        </w:rPr>
        <w:t>”), as soon as practicable after the end of each fiscal year of the Company, and in any event within 180 days thereafter, the Company will furnish each Major Investor a balance sheet of the Company, as at the end of such fiscal year, and a statement of income and a statement of cash flows of the Company, for such year, all prepared in accordance with generally accepted accounting principles consistently applied (except as noted therein) and setting forth in each case in comparative form the figures for the previous fiscal year, all in reasonable detail. Such financial statements shall be accompanied by a report and opinion thereon by independent public accountants selected by the Board.</w:t>
      </w:r>
    </w:p>
    <w:p>
      <w:pPr>
        <w:spacing w:after="0" w:line="178" w:lineRule="exact"/>
        <w:rPr>
          <w:rFonts w:ascii="Arial" w:cs="Arial" w:eastAsia="Arial" w:hAnsi="Arial"/>
          <w:sz w:val="17"/>
          <w:szCs w:val="17"/>
          <w:b w:val="1"/>
          <w:bCs w:val="1"/>
          <w:color w:val="auto"/>
        </w:rPr>
      </w:pPr>
    </w:p>
    <w:p>
      <w:pPr>
        <w:ind w:right="80" w:firstLine="921"/>
        <w:spacing w:after="0" w:line="264" w:lineRule="auto"/>
        <w:tabs>
          <w:tab w:leader="none" w:pos="1158"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Company will furnish each Major Investor, as soon as practicable after the end of the first, second and third quarterly accounting periods in each fiscal year of the Company, and in any event within 45 days thereafter, a balance sheet of the Company as of the end of each such quarterly period, and a statement of income and a statement of cash flows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1" w:name="page272"/>
    <w:bookmarkEnd w:id="271"/>
    <w:p>
      <w:pPr>
        <w:ind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for such period and for the current fiscal year to date, prepared in accordance with generally accepted accounting principles consistently applied (except as noted therein), with the exception that no notes need be attached to such statements and year-end audit adjustments may not have been made.</w:t>
      </w:r>
    </w:p>
    <w:p>
      <w:pPr>
        <w:spacing w:after="0" w:line="124" w:lineRule="exact"/>
        <w:rPr>
          <w:sz w:val="20"/>
          <w:szCs w:val="20"/>
          <w:color w:val="auto"/>
        </w:rPr>
      </w:pPr>
    </w:p>
    <w:p>
      <w:pPr>
        <w:ind w:firstLine="921"/>
        <w:spacing w:after="0" w:line="259" w:lineRule="auto"/>
        <w:tabs>
          <w:tab w:leader="none" w:pos="1178"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Company will furnish each Major Investor: (i) at least 30 days prior to the beginning of each fiscal year an annual budget and operating plans for such fiscal year (and as soon as available, any subsequent written revisions thereto); and (ii) as soon as practicable after the end of each fiscal year of the Company, and in any event within 180 days thereafter, a report setting forth a comparison of the prior fiscal year’s annual budget with the audited financial statements for the corresponding fiscal year.</w:t>
      </w:r>
    </w:p>
    <w:p>
      <w:pPr>
        <w:spacing w:after="0" w:line="18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3.2 Inspection Rights. </w:t>
      </w:r>
      <w:r>
        <w:rPr>
          <w:rFonts w:ascii="Arial" w:cs="Arial" w:eastAsia="Arial" w:hAnsi="Arial"/>
          <w:sz w:val="18"/>
          <w:szCs w:val="18"/>
          <w:color w:val="auto"/>
        </w:rPr>
        <w:t>Each Major Investor shall have the right to visit and inspect any of the properties of the Company or any of its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under this Section 3.2 with respect to a competitor of the Company or with respect to information which the Board determines in good faith is attorney-client privileged and should not, therefore, be disclosed.</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3.3 Confidentiality of Records. </w:t>
      </w:r>
      <w:r>
        <w:rPr>
          <w:rFonts w:ascii="Arial" w:cs="Arial" w:eastAsia="Arial" w:hAnsi="Arial"/>
          <w:sz w:val="17"/>
          <w:szCs w:val="17"/>
          <w:color w:val="auto"/>
        </w:rPr>
        <w:t>Each Investor agrees to use the same degree of care as such Investor uses to protect its own confidential information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keep confidential any information furnished to such Investor that the Company identifies as being confidential or proprietary (so long as such information is not in the public domain), except that such Investor may disclose such proprietary or confidential information: (i) to any partner, subsidiary or parent of such Investor as long as such partner, subsidiary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7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3.4 Reservation of Common Stock. </w:t>
      </w:r>
      <w:r>
        <w:rPr>
          <w:rFonts w:ascii="Arial" w:cs="Arial" w:eastAsia="Arial" w:hAnsi="Arial"/>
          <w:sz w:val="18"/>
          <w:szCs w:val="18"/>
          <w:color w:val="auto"/>
        </w:rPr>
        <w:t>The Company will at all times reserve and keep available, solely for issuance and delivery upon the conversion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all Common Stock issuable from time to time upon such conversion.</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3.5 Stock Vesting. </w:t>
      </w:r>
      <w:r>
        <w:rPr>
          <w:rFonts w:ascii="Arial" w:cs="Arial" w:eastAsia="Arial" w:hAnsi="Arial"/>
          <w:sz w:val="18"/>
          <w:szCs w:val="18"/>
          <w:color w:val="auto"/>
        </w:rPr>
        <w:t>Unless otherwise approved by the Board, all stock options, restricted stock and other stock equivalents issued after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to employees shall be subject to vesting as follows: (a) 25% of such stock shall vest at the end of the first year following the earlier of the date of issuance or such employee’s services commencement date with the company; and (b) 75% of such stock shall vest monthly over the remaining three years;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vesting shall be subject to a double trigger acceleration provision in the event of a change in control of the Company and,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stock options are subject to early exercise, the Company shall retain a repurchase option at cost (or the lesser of cost or fair market value) with respect to any unvested shares of the Company’s Common Stock issued upon early exercise of such stock option. For the avoidance of doubt, the vesting of stock options,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72" w:name="page273"/>
    <w:bookmarkEnd w:id="27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and stock equivalents issued to directors, consultants and other service providers of the Company, including any acceleration terms of such vesting, shall be as determined by the Board at the time of grant.</w:t>
      </w:r>
    </w:p>
    <w:p>
      <w:pPr>
        <w:spacing w:after="0" w:line="166"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3.6 Director and Officer Insurance. </w:t>
      </w:r>
      <w:r>
        <w:rPr>
          <w:rFonts w:ascii="Arial" w:cs="Arial" w:eastAsia="Arial" w:hAnsi="Arial"/>
          <w:sz w:val="18"/>
          <w:szCs w:val="18"/>
          <w:color w:val="auto"/>
        </w:rPr>
        <w:t>The Company will use its best efforts to obtain and maintain in full force and effect director and officer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available coverage limits of at least $5,000,000 and on terms reasonably acceptable to the Investors.</w:t>
      </w:r>
    </w:p>
    <w:p>
      <w:pPr>
        <w:spacing w:after="0" w:line="16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3.7 Proprietary Information and Inventions Agreement. </w:t>
      </w:r>
      <w:r>
        <w:rPr>
          <w:rFonts w:ascii="Arial" w:cs="Arial" w:eastAsia="Arial" w:hAnsi="Arial"/>
          <w:sz w:val="18"/>
          <w:szCs w:val="18"/>
          <w:color w:val="auto"/>
        </w:rPr>
        <w:t>The Company shall require all employees and consultants to execute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substantially in a form approved by the Company’s counsel or Board.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Assignment of Right of First Refusal.</w:t>
      </w:r>
    </w:p>
    <w:p>
      <w:pPr>
        <w:spacing w:after="0" w:line="229" w:lineRule="exact"/>
        <w:rPr>
          <w:sz w:val="20"/>
          <w:szCs w:val="20"/>
          <w:color w:val="auto"/>
        </w:rPr>
      </w:pPr>
    </w:p>
    <w:p>
      <w:pPr>
        <w:ind w:firstLine="921"/>
        <w:spacing w:after="0" w:line="255" w:lineRule="auto"/>
        <w:tabs>
          <w:tab w:leader="none" w:pos="1168"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the Company elects not to exercise any right of first refusal or right of first offer the Company may have on a proposed transfer of any of the Company’s outstanding capital stock pursuant to the Company’s Bylaws, by contract or otherwise, the Company shall assign such right of first refusal or right of first offer to each Major Investor. In the event of such assignment, each Major Investor shall have a right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capital stock proposed to be transferred. Each such Major Investor’s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shall be equal to the product obtained by multiplying (i) the aggregate number of shares proposed to be transferred by (ii) a fraction, the numerator of which is the number of shares of Registrable Securities held by such Major Investor at the time of the proposed transfer and the denominator of which is the total number of Registrable Securities owned by all Major Investors at the time of such proposed transfer.</w:t>
      </w:r>
    </w:p>
    <w:p>
      <w:pPr>
        <w:spacing w:after="0" w:line="189" w:lineRule="exact"/>
        <w:rPr>
          <w:rFonts w:ascii="Arial" w:cs="Arial" w:eastAsia="Arial" w:hAnsi="Arial"/>
          <w:sz w:val="18"/>
          <w:szCs w:val="18"/>
          <w:b w:val="1"/>
          <w:bCs w:val="1"/>
          <w:color w:val="auto"/>
        </w:rPr>
      </w:pPr>
    </w:p>
    <w:p>
      <w:pPr>
        <w:ind w:right="320" w:firstLine="921"/>
        <w:spacing w:after="0" w:line="257" w:lineRule="auto"/>
        <w:tabs>
          <w:tab w:leader="none" w:pos="1178"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that not all of the Major Investors elect to purchase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capital stock proposed to be transferred, each such Major Investor that does initially elect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shall also have the right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unsubscribed shares. For purposes of this Section 3.8(b), the denominator described in clause (ii) of subsection 3.8(a) above shall be the total number of shares of Registrable Securities owned by all such Major Investors who do initially elect to purchase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capital stock proposed to be transferred.</w:t>
      </w:r>
    </w:p>
    <w:p>
      <w:pPr>
        <w:spacing w:after="0" w:line="188" w:lineRule="exact"/>
        <w:rPr>
          <w:rFonts w:ascii="Arial" w:cs="Arial" w:eastAsia="Arial" w:hAnsi="Arial"/>
          <w:sz w:val="18"/>
          <w:szCs w:val="18"/>
          <w:b w:val="1"/>
          <w:bCs w:val="1"/>
          <w:color w:val="auto"/>
        </w:rPr>
      </w:pPr>
    </w:p>
    <w:p>
      <w:pPr>
        <w:ind w:right="80" w:firstLine="921"/>
        <w:spacing w:after="0" w:line="264" w:lineRule="auto"/>
        <w:tabs>
          <w:tab w:leader="none" w:pos="1158"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3.8 shall not apply to any transfer of stock by a stockholder of the Company that is governed by the provisions of that certain Amended and Restated Right of First Refusal and Co-Sale Agreement of even date herewith, as the same may be amended from time to time, where the provisions of such agreement would be in conflict with the provisions of this Section 3.8.</w:t>
      </w:r>
    </w:p>
    <w:p>
      <w:pPr>
        <w:spacing w:after="0" w:line="177"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 xml:space="preserve">3.9 Directors’ Liability and Indemnification. </w:t>
      </w:r>
      <w:r>
        <w:rPr>
          <w:rFonts w:ascii="Arial" w:cs="Arial" w:eastAsia="Arial" w:hAnsi="Arial"/>
          <w:sz w:val="17"/>
          <w:szCs w:val="17"/>
          <w:color w:val="auto"/>
        </w:rPr>
        <w:t>The Restated Charter and the Company’s Bylaws shall provide (a) for elimination of the liability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to the maximum extent permitted by law and (b) for indemnification of directors for acts on behalf of the Company to the maximum extent permitted by law. In addition, the Company shall enter into and use its best efforts to at all times maintain indemnification agreements reasonably acceptable to Investors with each of its directors to indemnify such directors to the maximum extent permissible under applicable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73" w:name="page274"/>
    <w:bookmarkEnd w:id="273"/>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3.10 Qualified Small Business. </w:t>
      </w:r>
      <w:r>
        <w:rPr>
          <w:rFonts w:ascii="Arial" w:cs="Arial" w:eastAsia="Arial" w:hAnsi="Arial"/>
          <w:sz w:val="18"/>
          <w:szCs w:val="18"/>
          <w:color w:val="auto"/>
        </w:rPr>
        <w:t>For so long as any of the Shares are held by an Investor (or a transferee in whose hands such Shares are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qualify as “Qualified Small Business Stock” as defined in Section 1202(c)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Company will use its reasonable efforts to comply with the reporting and recordkeeping requirements of Section 1202 of the Code, any regulations promulgated thereunder and any similar state laws and regulations.</w:t>
      </w:r>
    </w:p>
    <w:p>
      <w:pPr>
        <w:spacing w:after="0" w:line="180"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 xml:space="preserve">3.11 Directors’ Expenses. </w:t>
      </w:r>
      <w:r>
        <w:rPr>
          <w:rFonts w:ascii="Arial" w:cs="Arial" w:eastAsia="Arial" w:hAnsi="Arial"/>
          <w:sz w:val="16"/>
          <w:szCs w:val="16"/>
          <w:color w:val="auto"/>
        </w:rPr>
        <w:t>The Company shall reimburse members of the Board for reasonable out of pocket expenses (i) associated with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meeting attendance and (ii) for conducting other pre-approved Company business in such person’s capacity as a director of the Company.</w:t>
      </w:r>
    </w:p>
    <w:p>
      <w:pPr>
        <w:spacing w:after="0" w:line="116" w:lineRule="exact"/>
        <w:rPr>
          <w:sz w:val="20"/>
          <w:szCs w:val="20"/>
          <w:color w:val="auto"/>
        </w:rPr>
      </w:pPr>
    </w:p>
    <w:p>
      <w:pPr>
        <w:ind w:right="260" w:firstLine="456"/>
        <w:spacing w:after="0" w:line="289" w:lineRule="auto"/>
        <w:rPr>
          <w:sz w:val="20"/>
          <w:szCs w:val="20"/>
          <w:color w:val="auto"/>
        </w:rPr>
      </w:pPr>
      <w:r>
        <w:rPr>
          <w:rFonts w:ascii="Arial" w:cs="Arial" w:eastAsia="Arial" w:hAnsi="Arial"/>
          <w:sz w:val="17"/>
          <w:szCs w:val="17"/>
          <w:b w:val="1"/>
          <w:bCs w:val="1"/>
          <w:color w:val="auto"/>
        </w:rPr>
        <w:t xml:space="preserve">3.12 Board Committee Membership; Establishment of Compensation Committee. </w:t>
      </w:r>
      <w:r>
        <w:rPr>
          <w:rFonts w:ascii="Arial" w:cs="Arial" w:eastAsia="Arial" w:hAnsi="Arial"/>
          <w:sz w:val="17"/>
          <w:szCs w:val="17"/>
          <w:color w:val="auto"/>
        </w:rPr>
        <w:t>The member of the Board designated by Novo A/S (“</w:t>
      </w:r>
      <w:r>
        <w:rPr>
          <w:rFonts w:ascii="Arial" w:cs="Arial" w:eastAsia="Arial" w:hAnsi="Arial"/>
          <w:sz w:val="17"/>
          <w:szCs w:val="17"/>
          <w:b w:val="1"/>
          <w:bCs w:val="1"/>
          <w:i w:val="1"/>
          <w:iCs w:val="1"/>
          <w:color w:val="auto"/>
        </w:rPr>
        <w:t>Novo</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that certain Fourth Amended and Restated Voting Agreement of even date herewith, as the same may be amended from time to time, shall be offered the right to join any existing Board committee or any committee that the Board may constitute at any time in the future.</w:t>
      </w:r>
    </w:p>
    <w:p>
      <w:pPr>
        <w:spacing w:after="0" w:line="15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3.13 Drag Along Liability Limitation. </w:t>
      </w:r>
      <w:r>
        <w:rPr>
          <w:rFonts w:ascii="Arial" w:cs="Arial" w:eastAsia="Arial" w:hAnsi="Arial"/>
          <w:sz w:val="17"/>
          <w:szCs w:val="17"/>
          <w:color w:val="auto"/>
        </w:rPr>
        <w:t>In no event shall the Company enter into any agreement, nor permit any agreement to which the Company is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be amended in any manner, pursuant to which Novo, Frazier Healthcare V, L.P. (“</w:t>
      </w:r>
      <w:r>
        <w:rPr>
          <w:rFonts w:ascii="Arial" w:cs="Arial" w:eastAsia="Arial" w:hAnsi="Arial"/>
          <w:sz w:val="17"/>
          <w:szCs w:val="17"/>
          <w:b w:val="1"/>
          <w:bCs w:val="1"/>
          <w:i w:val="1"/>
          <w:iCs w:val="1"/>
          <w:color w:val="auto"/>
        </w:rPr>
        <w:t>Frazier</w:t>
      </w:r>
      <w:r>
        <w:rPr>
          <w:rFonts w:ascii="Arial" w:cs="Arial" w:eastAsia="Arial" w:hAnsi="Arial"/>
          <w:sz w:val="17"/>
          <w:szCs w:val="17"/>
          <w:color w:val="auto"/>
        </w:rPr>
        <w:t>”) or Alloy Ventures (“</w:t>
      </w:r>
      <w:r>
        <w:rPr>
          <w:rFonts w:ascii="Arial" w:cs="Arial" w:eastAsia="Arial" w:hAnsi="Arial"/>
          <w:sz w:val="17"/>
          <w:szCs w:val="17"/>
          <w:b w:val="1"/>
          <w:bCs w:val="1"/>
          <w:i w:val="1"/>
          <w:iCs w:val="1"/>
          <w:color w:val="auto"/>
        </w:rPr>
        <w:t>Alloy</w:t>
      </w:r>
      <w:r>
        <w:rPr>
          <w:rFonts w:ascii="Arial" w:cs="Arial" w:eastAsia="Arial" w:hAnsi="Arial"/>
          <w:sz w:val="17"/>
          <w:szCs w:val="17"/>
          <w:color w:val="auto"/>
        </w:rPr>
        <w:t xml:space="preserve">”) would be compelled to transfer its ownership interest in the Company (whether directly or indirectly by way of merger or otherwise) to any acquirer thereof, unless such agreement expressly provides (and requires to be binding on Novo, Frazier and Alloy) that in no event will any Investor be required to agree to sell, transfer, convey (whether by merger, operation of law or otherwise) its ownership interest in the Company unless the liability of stockholders for indemnification in connection with such transaction, if any, of such Investor in such sale of the Company is several, not joint, is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such Investor’s relative stock ownership of the Company, and will not exceed the consideration paid to such Investor, if any, in such transaction (except in the case of potential liability for fraud or willful misconduct by such Investor).</w:t>
      </w:r>
    </w:p>
    <w:p>
      <w:pPr>
        <w:spacing w:after="0" w:line="172"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3.14 Initial Offering. </w:t>
      </w:r>
      <w:r>
        <w:rPr>
          <w:rFonts w:ascii="Arial" w:cs="Arial" w:eastAsia="Arial" w:hAnsi="Arial"/>
          <w:sz w:val="18"/>
          <w:szCs w:val="18"/>
          <w:color w:val="auto"/>
        </w:rPr>
        <w:t>Unless otherwise determined by the Investors holding a majority of the outstanding shares of Series D Preferred,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Closing (as defined in the Purchase Agreement) the Company shall use its best efforts to consummate an Initial Offering that constitutes a Qualified IPO;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Section 3.14 shall only apply to the extent such Initial Offering is approved by the Board and determined to be in the best interests of the Company and the stockholders of the Company.</w:t>
      </w:r>
    </w:p>
    <w:p>
      <w:pPr>
        <w:spacing w:after="0" w:line="180"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 xml:space="preserve">3.15 FCPA. </w:t>
      </w:r>
      <w:r>
        <w:rPr>
          <w:rFonts w:ascii="Arial" w:cs="Arial" w:eastAsia="Arial" w:hAnsi="Arial"/>
          <w:sz w:val="17"/>
          <w:szCs w:val="17"/>
          <w:color w:val="auto"/>
        </w:rPr>
        <w:t>The Company represents that it shall not (and shall not permit any of its subsidiaries or affiliates or any of its or their respective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represents that it shall (and shall cause each of its subsidiaries and affiliates to) cease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74" w:name="page275"/>
    <w:bookmarkEnd w:id="27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allegation, voluntary disclosure, investigation, prosecution or other enforcement action related to the FCPA or any other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7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 xml:space="preserve">3.16 Observation Rights. </w:t>
      </w:r>
      <w:r>
        <w:rPr>
          <w:rFonts w:ascii="Arial" w:cs="Arial" w:eastAsia="Arial" w:hAnsi="Arial"/>
          <w:sz w:val="17"/>
          <w:szCs w:val="17"/>
          <w:color w:val="auto"/>
        </w:rPr>
        <w:t>In the event that any of Alloy, Frazier or Novo is a Major Investor but does not have a representative on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shall allow one representative designated by such Major Investor to attend all meetings of the Board and meetings of committees of the Board in a nonvoting capacity, and in connection therewith, the Company shall give such representatives copies of all notices, minutes, consents and other materials, financial or otherwise, which the Company provides to the Board or committee at the same time it provides such materials to the Board or committee,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reserves the right to exclude such representative from access to any material or meeting or portion thereof if the Company believes upon advice of counsel that such exclusion is reasonably necessary to preserve the attorney-client privilege or to protect confidential proprietary information. Each Major Investor agrees, and any representatives of such Major Investor will agree, to hold in confidence and trust and not use or disclose any confidential information provided to or learned by it in connection with the rights set forth in this Section 3.16. The Company shall not be responsible for reimbursement of any expenses incurred by such representatives in connection with attending meetings of the Board or committees of the Board.</w:t>
      </w:r>
    </w:p>
    <w:p>
      <w:pPr>
        <w:spacing w:after="0" w:line="17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3.17 Pay to Play Provisions</w:t>
      </w:r>
      <w:r>
        <w:rPr>
          <w:rFonts w:ascii="Arial" w:cs="Arial" w:eastAsia="Arial" w:hAnsi="Arial"/>
          <w:sz w:val="18"/>
          <w:szCs w:val="18"/>
          <w:color w:val="auto"/>
        </w:rPr>
        <w:t>. The Company hereby covenants and agrees that the holders of Series D Preferred will not be subject to any pay-to-play or</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obligations or provisions with respect to their shares of Series D Preferred.</w:t>
      </w:r>
    </w:p>
    <w:p>
      <w:pPr>
        <w:spacing w:after="0" w:line="162"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3.18 Right to Conduct Activities</w:t>
      </w:r>
      <w:r>
        <w:rPr>
          <w:rFonts w:ascii="Arial" w:cs="Arial" w:eastAsia="Arial" w:hAnsi="Arial"/>
          <w:sz w:val="17"/>
          <w:szCs w:val="17"/>
          <w:color w:val="auto"/>
        </w:rPr>
        <w:t>. The Company hereby agrees and acknowledges that each of Alloy, Frazier and Novo is a professional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fund, and as such invests in numerous portfolio companies, some of which may be deemed competitive with the Company’s business (as currently conducted or as currently proposed to be conducted). The Company hereby agrees that, to the extent permitted under applicable law, neither Alloy, nor Frazier nor Novo shall be liable to the Company for any claim arising out of, or based upon, (a) the investment by Alloy, Frazier or Novo, respectively, in any entity competitive with the Company, or (b) actions taken by any partner, officer or other representative of Alloy, Frazier or Novo, as applicable, to assist any such competitive company, whether or not such action was taken as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75" w:name="page276"/>
    <w:bookmarkEnd w:id="27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the board of directors of such competitive company or otherwise, and whether or not such action has a detrimental effect on the Company; provided, however that the foregoing shall not relieve (x) Alloy, Frazier or Novo or any party from liability associated with the willful misuse of the Company’s confidential information obtained pursuant to Section 3, or (ii) any director or officer of the Company from any liability associated with his or her fiduciary duties to the Company.</w:t>
      </w:r>
    </w:p>
    <w:p>
      <w:pPr>
        <w:spacing w:after="0" w:line="18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3.19 Termination of Covenants. </w:t>
      </w:r>
      <w:r>
        <w:rPr>
          <w:rFonts w:ascii="Arial" w:cs="Arial" w:eastAsia="Arial" w:hAnsi="Arial"/>
          <w:sz w:val="18"/>
          <w:szCs w:val="18"/>
          <w:color w:val="auto"/>
        </w:rPr>
        <w:t>All covenants of the Company contained in Section 3 of this Agreement (other than the provisions of Sections 3.3,</w:t>
      </w:r>
      <w:r>
        <w:rPr>
          <w:rFonts w:ascii="Arial" w:cs="Arial" w:eastAsia="Arial" w:hAnsi="Arial"/>
          <w:sz w:val="18"/>
          <w:szCs w:val="18"/>
          <w:b w:val="1"/>
          <w:bCs w:val="1"/>
          <w:color w:val="auto"/>
        </w:rPr>
        <w:t xml:space="preserve"> </w:t>
      </w:r>
      <w:r>
        <w:rPr>
          <w:rFonts w:ascii="Arial" w:cs="Arial" w:eastAsia="Arial" w:hAnsi="Arial"/>
          <w:sz w:val="18"/>
          <w:szCs w:val="18"/>
          <w:color w:val="auto"/>
        </w:rPr>
        <w:t>3.6, 3.9, 3.11, 3.13, 3.15 and 3.18) shall expire and terminate as to each Investor upon the earlier of the closing of (i) a Qualified IPO or (ii) an Asset Transfer or Acquisition (each as defined in the Restated Charter).</w:t>
      </w:r>
    </w:p>
    <w:p>
      <w:pPr>
        <w:spacing w:after="0" w:line="3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RIGHTS OF FIRST REFUSAL.</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4.1 Subsequent Offerings. </w:t>
      </w:r>
      <w:r>
        <w:rPr>
          <w:rFonts w:ascii="Arial" w:cs="Arial" w:eastAsia="Arial" w:hAnsi="Arial"/>
          <w:sz w:val="16"/>
          <w:szCs w:val="16"/>
          <w:color w:val="auto"/>
        </w:rPr>
        <w:t>Subject to applicable securities laws, each Major Investor shall have a right of first refusal to purchase its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Equity Securities, as defined below, that the Company may, from time to time, propose to sell and issue after the date of this Agreement, other than the Equity Securities excluded by Section 4.7 hereof. Each Major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is equal to the ratio of (a) the number of shares of the Company’s Common Stock (including all shares of Common Stock issuable or issued upon conversion of the Shares or upon the exercise of outstanding warrants or options) of which such Major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immediately prior to the issuance of the Equity Securities. The term “</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6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4.2 Exercise of Rights. </w:t>
      </w:r>
      <w:r>
        <w:rPr>
          <w:rFonts w:ascii="Arial" w:cs="Arial" w:eastAsia="Arial" w:hAnsi="Arial"/>
          <w:sz w:val="18"/>
          <w:szCs w:val="18"/>
          <w:color w:val="auto"/>
        </w:rPr>
        <w:t>If the Company proposes to issue any Equity Securities, it shall give each Major Investor written notice of its intention,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describing the Equity Securities, the price and the terms and conditions upon which the Company proposes to issue the same. Each Major Investor shall have 15 days from the giving of such notice to agree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88"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4.3 Issuance of Equity Securities to Other Persons. </w:t>
      </w:r>
      <w:r>
        <w:rPr>
          <w:rFonts w:ascii="Arial" w:cs="Arial" w:eastAsia="Arial" w:hAnsi="Arial"/>
          <w:sz w:val="16"/>
          <w:szCs w:val="16"/>
          <w:color w:val="auto"/>
        </w:rPr>
        <w:t>If not all of the Major Investors elect to purchase their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Equity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then the Company shall promptly notify in writing the Major Investors who do so elect and shall offer such Major Investors the right to acquire such unsubscribed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Major Investors shall have five days after receipt of such notice to notify the Company of its election to purchase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76" w:name="page277"/>
    <w:bookmarkEnd w:id="27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or a portion thereof of the unsubscribed shares. The Company shall have 90 days thereafter to sell the Equity Securities in respect of which the Major Investor’s rights were not exercised, at a price and upon general terms and conditions not materially more favorable to the purchasers thereof than specified in the Company’s notice to the Major Investors pursuant to Section 4.2 hereof. If the Company has not sold such Equity Securities within 90 days of the notice provided pursuant to Section 4.2, the Company shall not thereafter issue or sell any Equity Securities, without first offering such securities to the Major Investors in the manner provided above.</w:t>
      </w:r>
    </w:p>
    <w:p>
      <w:pPr>
        <w:spacing w:after="0" w:line="1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4.4 Sale Without Notice. </w:t>
      </w:r>
      <w:r>
        <w:rPr>
          <w:rFonts w:ascii="Arial" w:cs="Arial" w:eastAsia="Arial" w:hAnsi="Arial"/>
          <w:sz w:val="17"/>
          <w:szCs w:val="17"/>
          <w:color w:val="auto"/>
        </w:rPr>
        <w:t>In lieu of giving notice to the Major Investors prior to the issuance of Equity Securities as provided in Section 4.2,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may elect to give notice to the Major Investors within 30 days after the issuance of Equity Securities. Such notice shall describe the type, price and terms of the Equity Securities, which shall be the same as were offered in the prior issuance of Equity Securities in respect of which the notice if being given. Each Major Investor shall have 20 days from the date of receipt of such notice to elect to purchase up to the number of shares that would, if purchased by such Major Investor, maintain such Major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(as set forth in Section 4.1) of the Company’s equity securities after giving effect to all such purchases. The closing of such sale shall occur within 60 days of the date of notice to the Major Investors, subject to extension in the event that the Company is unable or unwilling to proceed with such sale.</w:t>
      </w:r>
    </w:p>
    <w:p>
      <w:pPr>
        <w:spacing w:after="0" w:line="17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4.5 Termination and Waiver of Rights of First Refusal. </w:t>
      </w:r>
      <w:r>
        <w:rPr>
          <w:rFonts w:ascii="Arial" w:cs="Arial" w:eastAsia="Arial" w:hAnsi="Arial"/>
          <w:sz w:val="18"/>
          <w:szCs w:val="18"/>
          <w:color w:val="auto"/>
        </w:rPr>
        <w:t>The rights of first refusal established by this Section 4 shall not apply to, and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earlier of the closing of (i) a Qualified IPO or (ii) an Asset Sale or Acquisition. Notwithstanding Section 5.5 hereof, the rights of first refusal established by this Section 4 may be amended, or any provision waived with and only with the written consent of the Company and the Major Investors holding a majority of the Registrable Securities held by all Major Investors, or as permitted by Section 5.5.</w:t>
      </w:r>
    </w:p>
    <w:p>
      <w:pPr>
        <w:spacing w:after="0" w:line="18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4.6 Assignment of Rights of First Refusal. </w:t>
      </w:r>
      <w:r>
        <w:rPr>
          <w:rFonts w:ascii="Arial" w:cs="Arial" w:eastAsia="Arial" w:hAnsi="Arial"/>
          <w:sz w:val="18"/>
          <w:szCs w:val="18"/>
          <w:color w:val="auto"/>
        </w:rPr>
        <w:t>The rights of first refusal of each Major Investor under this Section 4 may be assigned to the same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same restrictions as any transfer of registration rights pursuant to Section 2.9.</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4.7 Excluded Securities. </w:t>
      </w:r>
      <w:r>
        <w:rPr>
          <w:rFonts w:ascii="Arial" w:cs="Arial" w:eastAsia="Arial" w:hAnsi="Arial"/>
          <w:sz w:val="16"/>
          <w:szCs w:val="16"/>
          <w:color w:val="auto"/>
        </w:rPr>
        <w:t>The rights of first refusal established by this Section 4 shall have no application to any of the following Equity Securities:</w:t>
      </w:r>
    </w:p>
    <w:p>
      <w:pPr>
        <w:spacing w:after="0" w:line="252" w:lineRule="exact"/>
        <w:rPr>
          <w:sz w:val="20"/>
          <w:szCs w:val="20"/>
          <w:color w:val="auto"/>
        </w:rPr>
      </w:pPr>
    </w:p>
    <w:p>
      <w:pPr>
        <w:ind w:left="1180" w:hanging="259"/>
        <w:spacing w:after="0"/>
        <w:tabs>
          <w:tab w:leader="none" w:pos="118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Preferred Stock;</w:t>
      </w:r>
    </w:p>
    <w:p>
      <w:pPr>
        <w:spacing w:after="0" w:line="225" w:lineRule="exact"/>
        <w:rPr>
          <w:rFonts w:ascii="Arial" w:cs="Arial" w:eastAsia="Arial" w:hAnsi="Arial"/>
          <w:sz w:val="18"/>
          <w:szCs w:val="18"/>
          <w:b w:val="1"/>
          <w:bCs w:val="1"/>
          <w:color w:val="auto"/>
        </w:rPr>
      </w:pPr>
    </w:p>
    <w:p>
      <w:pPr>
        <w:ind w:right="140" w:firstLine="921"/>
        <w:spacing w:after="0" w:line="259" w:lineRule="auto"/>
        <w:tabs>
          <w:tab w:leader="none" w:pos="1178"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shares of Common Stock and/or options, warrants or other Common Stock purchase rights and the Common Stock issued pursuant to such options, warrants or other rights (as adjusted for any stock dividends, combinations, splits, recapitalizations and the like after the date hereof) issued or to be issued after the date hereof to employees, officers or directors of, or consultants or advisors to the Company or any subsidiary pursuant to stock purchase or stock option plans or other arrangements that are approved by the Board;</w:t>
      </w:r>
    </w:p>
    <w:p>
      <w:pPr>
        <w:spacing w:after="0" w:line="186" w:lineRule="exact"/>
        <w:rPr>
          <w:rFonts w:ascii="Arial" w:cs="Arial" w:eastAsia="Arial" w:hAnsi="Arial"/>
          <w:sz w:val="18"/>
          <w:szCs w:val="18"/>
          <w:b w:val="1"/>
          <w:bCs w:val="1"/>
          <w:color w:val="auto"/>
        </w:rPr>
      </w:pPr>
    </w:p>
    <w:p>
      <w:pPr>
        <w:ind w:right="60" w:firstLine="921"/>
        <w:spacing w:after="0" w:line="264" w:lineRule="auto"/>
        <w:tabs>
          <w:tab w:leader="none" w:pos="1158"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any Equity Securities issued or issuable pursuant to any rights or agreements, options, warrants or convertible securities outstanding as of the date of this Agreement; and Equity Securities issued pursuant to any such rights or agreements granted after the date of this Agreement, so long as the rights of first refusal established by this Section 4 were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77" w:name="page278"/>
    <w:bookmarkEnd w:id="277"/>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complied with, waived or were inapplicable pursuant to any provision of this Section 4.7 with respect to the initial sale or grant by the Company of such rights or agreements;</w:t>
      </w:r>
    </w:p>
    <w:p>
      <w:pPr>
        <w:spacing w:after="0" w:line="170" w:lineRule="exact"/>
        <w:rPr>
          <w:sz w:val="20"/>
          <w:szCs w:val="20"/>
          <w:color w:val="auto"/>
        </w:rPr>
      </w:pPr>
    </w:p>
    <w:p>
      <w:pPr>
        <w:ind w:right="260" w:firstLine="921"/>
        <w:spacing w:after="0" w:line="277" w:lineRule="auto"/>
        <w:tabs>
          <w:tab w:leader="none" w:pos="1178"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any Equity Securities issued for consideration other than cash pursuant to a merger, consolidation, acquisition, strategic alliance or similar business combination approved by the Board;</w:t>
      </w:r>
    </w:p>
    <w:p>
      <w:pPr>
        <w:spacing w:after="0" w:line="170"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any stock split, stock dividend or recapitalization by the Company;</w:t>
      </w:r>
    </w:p>
    <w:p>
      <w:pPr>
        <w:spacing w:after="0" w:line="225" w:lineRule="exact"/>
        <w:rPr>
          <w:rFonts w:ascii="Arial" w:cs="Arial" w:eastAsia="Arial" w:hAnsi="Arial"/>
          <w:sz w:val="18"/>
          <w:szCs w:val="18"/>
          <w:b w:val="1"/>
          <w:bCs w:val="1"/>
          <w:color w:val="auto"/>
        </w:rPr>
      </w:pPr>
    </w:p>
    <w:p>
      <w:pPr>
        <w:ind w:firstLine="921"/>
        <w:spacing w:after="0" w:line="277" w:lineRule="auto"/>
        <w:tabs>
          <w:tab w:leader="none" w:pos="1138"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any equipment loan or leasing arrangement, real property leasing arrangement or debt financing from a bank or similar financial or lending institution approved by the Board;</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38"/>
        </w:numPr>
        <w:rPr>
          <w:rFonts w:ascii="Arial" w:cs="Arial" w:eastAsia="Arial" w:hAnsi="Arial"/>
          <w:sz w:val="16"/>
          <w:szCs w:val="16"/>
          <w:b w:val="1"/>
          <w:bCs w:val="1"/>
          <w:color w:val="auto"/>
        </w:rPr>
      </w:pPr>
      <w:r>
        <w:rPr>
          <w:rFonts w:ascii="Arial" w:cs="Arial" w:eastAsia="Arial" w:hAnsi="Arial"/>
          <w:sz w:val="16"/>
          <w:szCs w:val="16"/>
          <w:color w:val="auto"/>
        </w:rPr>
        <w:t>any Equity Securities issued to third-party service providers in exchange for or as partial consideration for services rendered to the Company;</w:t>
      </w:r>
    </w:p>
    <w:p>
      <w:pPr>
        <w:spacing w:after="0" w:line="248" w:lineRule="exact"/>
        <w:rPr>
          <w:rFonts w:ascii="Arial" w:cs="Arial" w:eastAsia="Arial" w:hAnsi="Arial"/>
          <w:sz w:val="16"/>
          <w:szCs w:val="16"/>
          <w:b w:val="1"/>
          <w:bCs w:val="1"/>
          <w:color w:val="auto"/>
        </w:rPr>
      </w:pPr>
    </w:p>
    <w:p>
      <w:pPr>
        <w:ind w:left="1180" w:hanging="259"/>
        <w:spacing w:after="0"/>
        <w:tabs>
          <w:tab w:leader="none" w:pos="1180"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the Initial Offering;</w:t>
      </w:r>
    </w:p>
    <w:p>
      <w:pPr>
        <w:spacing w:after="0" w:line="225" w:lineRule="exact"/>
        <w:rPr>
          <w:rFonts w:ascii="Arial" w:cs="Arial" w:eastAsia="Arial" w:hAnsi="Arial"/>
          <w:sz w:val="18"/>
          <w:szCs w:val="18"/>
          <w:b w:val="1"/>
          <w:bCs w:val="1"/>
          <w:color w:val="auto"/>
        </w:rPr>
      </w:pPr>
    </w:p>
    <w:p>
      <w:pPr>
        <w:ind w:left="1140" w:hanging="219"/>
        <w:spacing w:after="0"/>
        <w:tabs>
          <w:tab w:leader="none" w:pos="1140" w:val="left"/>
        </w:tabs>
        <w:numPr>
          <w:ilvl w:val="1"/>
          <w:numId w:val="238"/>
        </w:numPr>
        <w:rPr>
          <w:rFonts w:ascii="Arial" w:cs="Arial" w:eastAsia="Arial" w:hAnsi="Arial"/>
          <w:sz w:val="16"/>
          <w:szCs w:val="16"/>
          <w:b w:val="1"/>
          <w:bCs w:val="1"/>
          <w:color w:val="auto"/>
        </w:rPr>
      </w:pPr>
      <w:r>
        <w:rPr>
          <w:rFonts w:ascii="Arial" w:cs="Arial" w:eastAsia="Arial" w:hAnsi="Arial"/>
          <w:sz w:val="16"/>
          <w:szCs w:val="16"/>
          <w:color w:val="auto"/>
        </w:rPr>
        <w:t>any Equity Securities issued in connection with strategic transactions involving the Company and other entities, including, without limitation,</w:t>
      </w:r>
    </w:p>
    <w:p>
      <w:pPr>
        <w:spacing w:after="0" w:line="46" w:lineRule="exact"/>
        <w:rPr>
          <w:rFonts w:ascii="Arial" w:cs="Arial" w:eastAsia="Arial" w:hAnsi="Arial"/>
          <w:sz w:val="16"/>
          <w:szCs w:val="16"/>
          <w:b w:val="1"/>
          <w:bCs w:val="1"/>
          <w:color w:val="auto"/>
        </w:rPr>
      </w:pPr>
    </w:p>
    <w:p>
      <w:pPr>
        <w:ind w:right="80" w:firstLine="8"/>
        <w:spacing w:after="0" w:line="261" w:lineRule="auto"/>
        <w:tabs>
          <w:tab w:leader="none" w:pos="21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joint ventures, manufacturing, marketing or distribution arrangements or (ii) technology transfer or development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issuance of shares therein has been approved by the Board;</w:t>
      </w:r>
    </w:p>
    <w:p>
      <w:pPr>
        <w:spacing w:after="0" w:line="183" w:lineRule="exact"/>
        <w:rPr>
          <w:rFonts w:ascii="Arial" w:cs="Arial" w:eastAsia="Arial" w:hAnsi="Arial"/>
          <w:sz w:val="18"/>
          <w:szCs w:val="18"/>
          <w:color w:val="auto"/>
        </w:rPr>
      </w:pPr>
    </w:p>
    <w:p>
      <w:pPr>
        <w:ind w:left="1140" w:hanging="219"/>
        <w:spacing w:after="0"/>
        <w:tabs>
          <w:tab w:leader="none" w:pos="1140"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the Purchase Agreement; or</w:t>
      </w:r>
    </w:p>
    <w:p>
      <w:pPr>
        <w:spacing w:after="0" w:line="225" w:lineRule="exact"/>
        <w:rPr>
          <w:rFonts w:ascii="Arial" w:cs="Arial" w:eastAsia="Arial" w:hAnsi="Arial"/>
          <w:sz w:val="18"/>
          <w:szCs w:val="18"/>
          <w:b w:val="1"/>
          <w:bCs w:val="1"/>
          <w:color w:val="auto"/>
        </w:rPr>
      </w:pPr>
    </w:p>
    <w:p>
      <w:pPr>
        <w:ind w:right="320" w:firstLine="921"/>
        <w:spacing w:after="0" w:line="277" w:lineRule="auto"/>
        <w:tabs>
          <w:tab w:leader="none" w:pos="1178"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any Equity Securities that the holders of at least a majority of the then-outstanding Registrable Securities agree shall not be subject to the rights of first refusal set forth in this Section 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total number of shares excluded from the rights of first refusal established by this Section 4 pursuant to subsections (d), (f),</w:t>
      </w:r>
    </w:p>
    <w:p>
      <w:pPr>
        <w:spacing w:after="0" w:line="35" w:lineRule="exact"/>
        <w:rPr>
          <w:sz w:val="20"/>
          <w:szCs w:val="20"/>
          <w:color w:val="auto"/>
        </w:rPr>
      </w:pPr>
    </w:p>
    <w:p>
      <w:pPr>
        <w:ind w:right="200" w:firstLine="8"/>
        <w:spacing w:after="0" w:line="261" w:lineRule="auto"/>
        <w:tabs>
          <w:tab w:leader="none" w:pos="2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and (i) above shall not exceed 3,000,000 shares in the aggregate (as adjusted for any stock dividends, combinations, splits, recapitalizations and the like after the date hereof).</w:t>
      </w:r>
    </w:p>
    <w:p>
      <w:pPr>
        <w:spacing w:after="0" w:line="32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5.1 Governing Law. </w:t>
      </w:r>
      <w:r>
        <w:rPr>
          <w:rFonts w:ascii="Arial" w:cs="Arial" w:eastAsia="Arial" w:hAnsi="Arial"/>
          <w:sz w:val="18"/>
          <w:szCs w:val="18"/>
          <w:color w:val="auto"/>
        </w:rPr>
        <w:t>This Agreement shall be governed by and construed under the laws of the State of California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California residents entered into and to be performed entirely within California, without reference to conflicts of laws or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the County of San Diego, California.</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78" w:name="page279"/>
    <w:bookmarkEnd w:id="278"/>
    <w:p>
      <w:pPr>
        <w:ind w:right="8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Successors and Assigns. </w:t>
      </w:r>
      <w:r>
        <w:rPr>
          <w:rFonts w:ascii="Arial" w:cs="Arial" w:eastAsia="Arial" w:hAnsi="Arial"/>
          <w:sz w:val="18"/>
          <w:szCs w:val="18"/>
          <w:color w:val="auto"/>
        </w:rPr>
        <w:t>Except as otherwise expressly provided herein, the provisions hereof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8" w:lineRule="exact"/>
        <w:rPr>
          <w:sz w:val="20"/>
          <w:szCs w:val="20"/>
          <w:color w:val="auto"/>
        </w:rPr>
      </w:pPr>
    </w:p>
    <w:p>
      <w:pPr>
        <w:ind w:right="400" w:firstLine="456"/>
        <w:spacing w:after="0" w:line="313" w:lineRule="auto"/>
        <w:rPr>
          <w:sz w:val="20"/>
          <w:szCs w:val="20"/>
          <w:color w:val="auto"/>
        </w:rPr>
      </w:pPr>
      <w:r>
        <w:rPr>
          <w:rFonts w:ascii="Arial" w:cs="Arial" w:eastAsia="Arial" w:hAnsi="Arial"/>
          <w:sz w:val="17"/>
          <w:szCs w:val="17"/>
          <w:b w:val="1"/>
          <w:bCs w:val="1"/>
          <w:color w:val="auto"/>
        </w:rPr>
        <w:t xml:space="preserve">5.3 Entire Agreement. </w:t>
      </w:r>
      <w:r>
        <w:rPr>
          <w:rFonts w:ascii="Arial" w:cs="Arial" w:eastAsia="Arial" w:hAnsi="Arial"/>
          <w:sz w:val="17"/>
          <w:szCs w:val="17"/>
          <w:color w:val="auto"/>
        </w:rPr>
        <w:t>This Agreement, the Exhibits and Schedules hereto, the Purchase Agreement and the other documents delivered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constitute the full and entire understanding and agreement between the parties with regard to the subjects hereof.</w:t>
      </w:r>
    </w:p>
    <w:p>
      <w:pPr>
        <w:spacing w:after="0" w:line="138"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5.4 Severability. </w:t>
      </w:r>
      <w:r>
        <w:rPr>
          <w:rFonts w:ascii="Arial" w:cs="Arial" w:eastAsia="Arial" w:hAnsi="Arial"/>
          <w:sz w:val="18"/>
          <w:szCs w:val="18"/>
          <w:color w:val="auto"/>
        </w:rPr>
        <w:t>In the event one or more of the provisions of this Agreement should, for any reason, be held to be invalid, illegal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respect, such invalidity, illegality, or unenforceability shall not affect any other provisions of this Agreement, and this Agreement shall be construed as if such invalid, illegal or unenforceable provision had never been contained herein.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Amendment, Termination or Waiver.</w:t>
      </w:r>
    </w:p>
    <w:p>
      <w:pPr>
        <w:spacing w:after="0" w:line="229" w:lineRule="exact"/>
        <w:rPr>
          <w:sz w:val="20"/>
          <w:szCs w:val="20"/>
          <w:color w:val="auto"/>
        </w:rPr>
      </w:pPr>
    </w:p>
    <w:p>
      <w:pPr>
        <w:ind w:right="140" w:firstLine="921"/>
        <w:spacing w:after="0" w:line="264" w:lineRule="auto"/>
        <w:tabs>
          <w:tab w:leader="none" w:pos="1168"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modified or terminated, and the obligations of the Company and the rights of the Holders under this Agreement may be waived, only upon the written consent of the Company and the holders of at least a majority of the then-outstanding Registrable Securities.</w:t>
      </w:r>
    </w:p>
    <w:p>
      <w:pPr>
        <w:spacing w:after="0" w:line="181" w:lineRule="exact"/>
        <w:rPr>
          <w:rFonts w:ascii="Arial" w:cs="Arial" w:eastAsia="Arial" w:hAnsi="Arial"/>
          <w:sz w:val="18"/>
          <w:szCs w:val="18"/>
          <w:b w:val="1"/>
          <w:bCs w:val="1"/>
          <w:color w:val="auto"/>
        </w:rPr>
      </w:pPr>
    </w:p>
    <w:p>
      <w:pPr>
        <w:ind w:right="140" w:firstLine="921"/>
        <w:spacing w:after="0" w:line="277" w:lineRule="auto"/>
        <w:tabs>
          <w:tab w:leader="none" w:pos="1178"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70" w:lineRule="exact"/>
        <w:rPr>
          <w:rFonts w:ascii="Arial" w:cs="Arial" w:eastAsia="Arial" w:hAnsi="Arial"/>
          <w:sz w:val="18"/>
          <w:szCs w:val="18"/>
          <w:b w:val="1"/>
          <w:bCs w:val="1"/>
          <w:color w:val="auto"/>
        </w:rPr>
      </w:pPr>
    </w:p>
    <w:p>
      <w:pPr>
        <w:ind w:right="120" w:firstLine="921"/>
        <w:spacing w:after="0" w:line="288" w:lineRule="auto"/>
        <w:tabs>
          <w:tab w:leader="none" w:pos="1158"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(1) Sections 5.5(a), (b) and (c), 3.13, 3.16 and 3.18 may not be amended without (i) compliance with Sections 5.5(a) and (b) and (ii) for so long as such party is a Holder, the express written consent of each of Novo, Frazier and Alloy, (2) Section 3.12 cannot be amended without (i) compliance with Sections 5.5(a) and (b) and (ii) the express consent of Novo, and (3) Section 3.17 cannot be amended without</w:t>
      </w:r>
    </w:p>
    <w:p>
      <w:pPr>
        <w:ind w:right="600" w:firstLine="8"/>
        <w:spacing w:after="0" w:line="261" w:lineRule="auto"/>
        <w:tabs>
          <w:tab w:leader="none" w:pos="21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compliance with Sections 5.5(a) and (b) and (ii) the express consent of the holders of at least a majority of the then-outstanding shares of Series D Preferred.</w:t>
      </w:r>
    </w:p>
    <w:p>
      <w:pPr>
        <w:spacing w:after="0" w:line="183" w:lineRule="exact"/>
        <w:rPr>
          <w:rFonts w:ascii="Arial" w:cs="Arial" w:eastAsia="Arial" w:hAnsi="Arial"/>
          <w:sz w:val="18"/>
          <w:szCs w:val="18"/>
          <w:color w:val="auto"/>
        </w:rPr>
      </w:pPr>
    </w:p>
    <w:p>
      <w:pPr>
        <w:ind w:firstLine="921"/>
        <w:spacing w:after="0" w:line="259" w:lineRule="auto"/>
        <w:tabs>
          <w:tab w:leader="none" w:pos="1178"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this Agreement may not be amended, modified or terminated, and the observance of any term hereunder may not be waived with respect to any Holder without the written consent of such Holder if such amendment, modification, termination or waiver adversely effects such Holder in a manner that is different than and disproportionate to the effect of such amendment, modification termination or waiver on the rights of all Holders hereunder.</w:t>
      </w:r>
    </w:p>
    <w:p>
      <w:pPr>
        <w:spacing w:after="0" w:line="18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5.6 Delays or Omissions. </w:t>
      </w:r>
      <w:r>
        <w:rPr>
          <w:rFonts w:ascii="Arial" w:cs="Arial" w:eastAsia="Arial" w:hAnsi="Arial"/>
          <w:sz w:val="18"/>
          <w:szCs w:val="18"/>
          <w:color w:val="auto"/>
        </w:rPr>
        <w:t>It is agreed that no delay or omission to exercise any right, power, or remedy accruing to any party, upon any breach,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or noncompliance by another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0" w:right="319" w:bottom="1440" w:gutter="0" w:footer="0" w:header="0"/>
        </w:sectPr>
      </w:pPr>
    </w:p>
    <w:bookmarkStart w:id="279" w:name="page280"/>
    <w:bookmarkEnd w:id="279"/>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b w:val="1"/>
          <w:bCs w:val="1"/>
          <w:color w:val="auto"/>
        </w:rPr>
        <w:t xml:space="preserve">5.7 Notices. </w:t>
      </w:r>
      <w:r>
        <w:rPr>
          <w:rFonts w:ascii="Arial" w:cs="Arial" w:eastAsia="Arial" w:hAnsi="Arial"/>
          <w:sz w:val="17"/>
          <w:szCs w:val="17"/>
          <w:color w:val="auto"/>
        </w:rPr>
        <w:t>All notices required or permitted hereunder shall be in writing and shall be deemed effectively given: (a) upon personal delivery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to be notified, (b) when sent by confirmed electronic mail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the party to be notified at the address as set forth on the signature pages hereof or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or at such other address or electronic mail address as such party may designate by 10 days advance written notice to the other parties hereto; provided, however, that if the notice being provided under this Section 5.7 is to an address outside the United States, such notice shall be set using the methods specified in (b) and (d) above.</w:t>
      </w:r>
    </w:p>
    <w:p>
      <w:pPr>
        <w:spacing w:after="0" w:line="17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5.8 Attorneys’ Fees. </w:t>
      </w:r>
      <w:r>
        <w:rPr>
          <w:rFonts w:ascii="Arial" w:cs="Arial" w:eastAsia="Arial" w:hAnsi="Arial"/>
          <w:sz w:val="18"/>
          <w:szCs w:val="18"/>
          <w:color w:val="auto"/>
        </w:rPr>
        <w:t>In the event that any suit or action is instituted under or in relation to this Agreement, including without limitation to enforce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5.9 Titles and Subtitles. </w:t>
      </w:r>
      <w:r>
        <w:rPr>
          <w:rFonts w:ascii="Arial" w:cs="Arial" w:eastAsia="Arial" w:hAnsi="Arial"/>
          <w:sz w:val="18"/>
          <w:szCs w:val="18"/>
          <w:color w:val="auto"/>
        </w:rPr>
        <w:t>The titles of the sections and subsections of this Agreement are for convenience of reference only and are not to be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construing this Agreement.</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5.10 Additional Investors. </w:t>
      </w:r>
      <w:r>
        <w:rPr>
          <w:rFonts w:ascii="Arial" w:cs="Arial" w:eastAsia="Arial" w:hAnsi="Arial"/>
          <w:sz w:val="18"/>
          <w:szCs w:val="18"/>
          <w:color w:val="auto"/>
        </w:rPr>
        <w:t>Notwithstanding anything to the contrary contained herein, if the Company shall issue Equity Securities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4.7(d), (f), (g), (i) or (j) of this Agreement, any purchaser of such Equity Securities may become a party to this Agreement by executing and delivering an additional counterpart signature page to this Agreement and shall be deemed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for issuances under Section 4.7(j) of this Agreement, such purchaser shall not be deemed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under Sections 2.3 and 2.4 hereof without the written consent of the holders of at least a majority of the then-outstanding Registrable Securities.</w:t>
      </w:r>
    </w:p>
    <w:p>
      <w:pPr>
        <w:spacing w:after="0" w:line="184" w:lineRule="exact"/>
        <w:rPr>
          <w:sz w:val="20"/>
          <w:szCs w:val="20"/>
          <w:color w:val="auto"/>
        </w:rPr>
      </w:pPr>
    </w:p>
    <w:p>
      <w:pPr>
        <w:jc w:val="both"/>
        <w:ind w:right="20" w:firstLine="456"/>
        <w:spacing w:after="0" w:line="281" w:lineRule="auto"/>
        <w:rPr>
          <w:sz w:val="20"/>
          <w:szCs w:val="20"/>
          <w:color w:val="auto"/>
        </w:rPr>
      </w:pPr>
      <w:r>
        <w:rPr>
          <w:rFonts w:ascii="Arial" w:cs="Arial" w:eastAsia="Arial" w:hAnsi="Arial"/>
          <w:sz w:val="17"/>
          <w:szCs w:val="17"/>
          <w:b w:val="1"/>
          <w:bCs w:val="1"/>
          <w:color w:val="auto"/>
        </w:rPr>
        <w:t xml:space="preserve">5.11 Counterparts; Facsimile and PDF Signatures. </w:t>
      </w:r>
      <w:r>
        <w:rPr>
          <w:rFonts w:ascii="Arial" w:cs="Arial" w:eastAsia="Arial" w:hAnsi="Arial"/>
          <w:sz w:val="17"/>
          <w:szCs w:val="17"/>
          <w:color w:val="auto"/>
        </w:rPr>
        <w:t>This Agreement may be executed in two (2) or more counterparts, each of which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0" w:name="page281"/>
    <w:bookmarkEnd w:id="280"/>
    <w:p>
      <w:pPr>
        <w:ind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5.12 Aggregation of Stock. </w:t>
      </w:r>
      <w:r>
        <w:rPr>
          <w:rFonts w:ascii="Arial" w:cs="Arial" w:eastAsia="Arial" w:hAnsi="Arial"/>
          <w:sz w:val="17"/>
          <w:szCs w:val="17"/>
          <w:color w:val="auto"/>
        </w:rPr>
        <w:t>All shares of Registrable Securities held or acquired by affiliated entities or persons or persons or entities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or control shall be aggregated together for the purpose of determining the availability of any rights under this Agreement.</w:t>
      </w:r>
    </w:p>
    <w:p>
      <w:pPr>
        <w:spacing w:after="0" w:line="13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5.13 Pronouns. </w:t>
      </w:r>
      <w:r>
        <w:rPr>
          <w:rFonts w:ascii="Arial" w:cs="Arial" w:eastAsia="Arial" w:hAnsi="Arial"/>
          <w:sz w:val="18"/>
          <w:szCs w:val="18"/>
          <w:color w:val="auto"/>
        </w:rPr>
        <w:t>All pronouns contained herein, and any variations thereof, shall be deemed to refer to the masculine, feminine or neutral, singular or</w:t>
      </w:r>
      <w:r>
        <w:rPr>
          <w:rFonts w:ascii="Arial" w:cs="Arial" w:eastAsia="Arial" w:hAnsi="Arial"/>
          <w:sz w:val="18"/>
          <w:szCs w:val="18"/>
          <w:b w:val="1"/>
          <w:bCs w:val="1"/>
          <w:color w:val="auto"/>
        </w:rPr>
        <w:t xml:space="preserve"> </w:t>
      </w:r>
      <w:r>
        <w:rPr>
          <w:rFonts w:ascii="Arial" w:cs="Arial" w:eastAsia="Arial" w:hAnsi="Arial"/>
          <w:sz w:val="18"/>
          <w:szCs w:val="18"/>
          <w:color w:val="auto"/>
        </w:rPr>
        <w:t>plural, as to the identity of the parties hereto may require.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5.14 Term. </w:t>
      </w:r>
      <w:r>
        <w:rPr>
          <w:rFonts w:ascii="Arial" w:cs="Arial" w:eastAsia="Arial" w:hAnsi="Arial"/>
          <w:sz w:val="16"/>
          <w:szCs w:val="16"/>
          <w:color w:val="auto"/>
        </w:rPr>
        <w:t>This Agreement shall terminate and be of no further force or effect upon the earlier of (i) the closing of an Asset Transfer or Acquisition,</w:t>
      </w:r>
    </w:p>
    <w:p>
      <w:pPr>
        <w:spacing w:after="0" w:line="50" w:lineRule="exact"/>
        <w:rPr>
          <w:sz w:val="20"/>
          <w:szCs w:val="20"/>
          <w:color w:val="auto"/>
        </w:rPr>
      </w:pPr>
    </w:p>
    <w:p>
      <w:pPr>
        <w:ind w:right="320" w:firstLine="8"/>
        <w:spacing w:after="0" w:line="261" w:lineRule="auto"/>
        <w:tabs>
          <w:tab w:leader="none" w:pos="26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the date five years following the closing of a Qualified IPO, or (ii) the date as of which this Agreement is terminated in accordance with Section 5.5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Sections 3.3, 3.6, 3.9, 3.11, 3.13, 3.15 and 3.18 shall survive such termination.</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270" w:right="419" w:bottom="1440" w:gutter="0" w:footer="0" w:header="0"/>
        </w:sectPr>
      </w:pPr>
    </w:p>
    <w:bookmarkStart w:id="281" w:name="page282"/>
    <w:bookmarkEnd w:id="28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Hamza Suria</w:t>
      </w:r>
    </w:p>
    <w:p>
      <w:pPr>
        <w:spacing w:after="0" w:line="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&amp; CEO</w:t>
      </w:r>
    </w:p>
    <w:p>
      <w:pPr>
        <w:spacing w:after="0" w:line="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10421 Pacific Center Court, Suite 200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San Diego, CA 92121</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2" w:name="page283"/>
    <w:bookmarkEnd w:id="28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OVO</w:t>
            </w:r>
            <w:r>
              <w:rPr>
                <w:rFonts w:ascii="Arial" w:cs="Arial" w:eastAsia="Arial" w:hAnsi="Arial"/>
                <w:sz w:val="18"/>
                <w:szCs w:val="18"/>
                <w:b w:val="1"/>
                <w:bCs w:val="1"/>
                <w:color w:val="auto"/>
              </w:rPr>
              <w:t xml:space="preserve"> A/S</w:t>
            </w:r>
          </w:p>
        </w:tc>
        <w:tc>
          <w:tcPr>
            <w:tcW w:w="342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Nielsen</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Jack B. Nielsen</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Partner</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3" w:name="page284"/>
    <w:bookmarkEnd w:id="28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RAZIER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EALTHCARE</w:t>
      </w:r>
      <w:r>
        <w:rPr>
          <w:rFonts w:ascii="Arial" w:cs="Arial" w:eastAsia="Arial" w:hAnsi="Arial"/>
          <w:sz w:val="18"/>
          <w:szCs w:val="18"/>
          <w:b w:val="1"/>
          <w:bCs w:val="1"/>
          <w:color w:val="auto"/>
        </w:rPr>
        <w:t xml:space="preserve">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FHM V, LP,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Topper, Authorized Representative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4" w:name="page285"/>
    <w:bookmarkEnd w:id="28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RAZIER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EALTHCARE</w:t>
      </w:r>
      <w:r>
        <w:rPr>
          <w:rFonts w:ascii="Arial" w:cs="Arial" w:eastAsia="Arial" w:hAnsi="Arial"/>
          <w:sz w:val="18"/>
          <w:szCs w:val="18"/>
          <w:b w:val="1"/>
          <w:bCs w:val="1"/>
          <w:color w:val="auto"/>
        </w:rPr>
        <w:t xml:space="preserve"> VII,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Topper, Authorized Representative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5" w:name="page286"/>
    <w:bookmarkEnd w:id="28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RAZIER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EALTHCARE</w:t>
      </w:r>
      <w:r>
        <w:rPr>
          <w:rFonts w:ascii="Arial" w:cs="Arial" w:eastAsia="Arial" w:hAnsi="Arial"/>
          <w:sz w:val="18"/>
          <w:szCs w:val="18"/>
          <w:b w:val="1"/>
          <w:bCs w:val="1"/>
          <w:color w:val="auto"/>
        </w:rPr>
        <w:t xml:space="preserve"> VII-A,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Topper, Authorized Representative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6" w:name="page287"/>
    <w:bookmarkEnd w:id="28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ALLOY VENTURES 2005,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Alloy Ventures 2005, LLC,</w:t>
            </w:r>
          </w:p>
        </w:tc>
      </w:tr>
      <w:tr>
        <w:trPr>
          <w:trHeight w:val="234"/>
        </w:trPr>
        <w:tc>
          <w:tcPr>
            <w:tcW w:w="660" w:type="dxa"/>
            <w:vAlign w:val="bottom"/>
          </w:tcPr>
          <w:p>
            <w:pPr>
              <w:spacing w:after="0"/>
              <w:rPr>
                <w:sz w:val="20"/>
                <w:szCs w:val="20"/>
                <w:color w:val="auto"/>
              </w:rPr>
            </w:pPr>
          </w:p>
        </w:tc>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its General Partner</w:t>
            </w:r>
          </w:p>
        </w:tc>
      </w:tr>
      <w:tr>
        <w:trPr>
          <w:trHeight w:val="44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C. Taylor</w:t>
            </w:r>
          </w:p>
        </w:tc>
        <w:tc>
          <w:tcPr>
            <w:tcW w:w="388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Craig C. Taylor</w:t>
            </w:r>
          </w:p>
        </w:tc>
        <w:tc>
          <w:tcPr>
            <w:tcW w:w="3880" w:type="dxa"/>
            <w:vAlign w:val="bottom"/>
          </w:tcPr>
          <w:p>
            <w:pPr>
              <w:spacing w:after="0"/>
              <w:rPr>
                <w:sz w:val="24"/>
                <w:szCs w:val="24"/>
                <w:color w:val="auto"/>
              </w:rPr>
            </w:pPr>
          </w:p>
        </w:tc>
      </w:tr>
      <w:tr>
        <w:trPr>
          <w:trHeight w:val="31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7800" w:type="dxa"/>
            <w:vAlign w:val="bottom"/>
            <w:gridSpan w:val="2"/>
          </w:tcPr>
          <w:p>
            <w:pPr>
              <w:spacing w:after="0"/>
              <w:rPr>
                <w:sz w:val="20"/>
                <w:szCs w:val="20"/>
                <w:color w:val="auto"/>
              </w:rPr>
            </w:pPr>
            <w:r>
              <w:rPr>
                <w:rFonts w:ascii="Arial" w:cs="Arial" w:eastAsia="Arial" w:hAnsi="Arial"/>
                <w:sz w:val="18"/>
                <w:szCs w:val="18"/>
                <w:color w:val="auto"/>
              </w:rPr>
              <w:t>Managing Member of Alloy Ventures</w:t>
            </w:r>
          </w:p>
        </w:tc>
      </w:tr>
      <w:tr>
        <w:trPr>
          <w:trHeight w:val="216"/>
        </w:trPr>
        <w:tc>
          <w:tcPr>
            <w:tcW w:w="66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2005, LLC, the General Partner of Alloy</w:t>
            </w:r>
          </w:p>
        </w:tc>
      </w:tr>
      <w:tr>
        <w:trPr>
          <w:trHeight w:val="230"/>
        </w:trPr>
        <w:tc>
          <w:tcPr>
            <w:tcW w:w="660" w:type="dxa"/>
            <w:vAlign w:val="bottom"/>
          </w:tcPr>
          <w:p>
            <w:pPr>
              <w:spacing w:after="0"/>
              <w:rPr>
                <w:sz w:val="20"/>
                <w:szCs w:val="20"/>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Ventures 2005, L.P.</w:t>
            </w:r>
          </w:p>
        </w:tc>
      </w:tr>
      <w:tr>
        <w:trPr>
          <w:trHeight w:val="378"/>
        </w:trPr>
        <w:tc>
          <w:tcPr>
            <w:tcW w:w="660" w:type="dxa"/>
            <w:vAlign w:val="bottom"/>
          </w:tcPr>
          <w:p>
            <w:pPr>
              <w:spacing w:after="0"/>
              <w:rPr>
                <w:sz w:val="24"/>
                <w:szCs w:val="24"/>
                <w:color w:val="auto"/>
              </w:rPr>
            </w:pP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w w:val="89"/>
              </w:rPr>
              <w:t>Signature Page to Fourth Amended and Restated Investor Rights Agreement</w:t>
            </w:r>
          </w:p>
        </w:tc>
      </w:tr>
    </w:tbl>
    <w:p>
      <w:pPr>
        <w:sectPr>
          <w:pgSz w:w="11900" w:h="16838" w:orient="portrait"/>
          <w:cols w:equalWidth="0" w:num="1">
            <w:col w:w="11260"/>
          </w:cols>
          <w:pgMar w:left="240" w:top="270" w:right="399" w:bottom="1440" w:gutter="0" w:footer="0" w:header="0"/>
        </w:sectPr>
      </w:pPr>
    </w:p>
    <w:bookmarkStart w:id="287" w:name="page288"/>
    <w:bookmarkEnd w:id="287"/>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Nicholas B. Lydon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ICHOLAS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YDON</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8" w:name="page289"/>
    <w:bookmarkEnd w:id="28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89" w:name="page290"/>
    <w:bookmarkEnd w:id="28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Carol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AROL</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ALLAGHER</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0" w:name="page291"/>
    <w:bookmarkEnd w:id="29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Stephen Turkowiak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 Turkowiak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1" w:name="page292"/>
    <w:bookmarkEnd w:id="29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Robert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Hoffman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2" w:name="page293"/>
    <w:bookmarkEnd w:id="29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BMV DIRECT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Wolfe</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Wolfe</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3" w:name="page294"/>
    <w:bookmarkEnd w:id="29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10,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Attorney-in-fact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MSI BVF SPV,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Partners L.P., Attorney-in-fact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BVF, Inc.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Lampert</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4" w:name="page295"/>
    <w:bookmarkEnd w:id="29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LONGWOOD VENTURES,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Manfred Yu</w:t>
            </w:r>
          </w:p>
        </w:tc>
        <w:tc>
          <w:tcPr>
            <w:tcW w:w="3880" w:type="dxa"/>
            <w:vAlign w:val="bottom"/>
          </w:tcPr>
          <w:p>
            <w:pPr>
              <w:spacing w:after="0"/>
              <w:rPr>
                <w:sz w:val="20"/>
                <w:szCs w:val="20"/>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Manfred Yu</w:t>
            </w:r>
          </w:p>
        </w:tc>
        <w:tc>
          <w:tcPr>
            <w:tcW w:w="3880" w:type="dxa"/>
            <w:vAlign w:val="bottom"/>
          </w:tcPr>
          <w:p>
            <w:pPr>
              <w:spacing w:after="0"/>
              <w:rPr>
                <w:sz w:val="24"/>
                <w:szCs w:val="24"/>
                <w:color w:val="auto"/>
              </w:rPr>
            </w:pP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7300" w:type="dxa"/>
            <w:vAlign w:val="bottom"/>
            <w:gridSpan w:val="2"/>
          </w:tcPr>
          <w:p>
            <w:pPr>
              <w:spacing w:after="0"/>
              <w:rPr>
                <w:sz w:val="20"/>
                <w:szCs w:val="20"/>
                <w:color w:val="auto"/>
              </w:rPr>
            </w:pPr>
            <w:r>
              <w:rPr>
                <w:rFonts w:ascii="Arial" w:cs="Arial" w:eastAsia="Arial" w:hAnsi="Arial"/>
                <w:sz w:val="18"/>
                <w:szCs w:val="18"/>
                <w:color w:val="auto"/>
              </w:rPr>
              <w:t>Chief Operation Officer of Longwood Capital</w:t>
            </w:r>
          </w:p>
        </w:tc>
      </w:tr>
      <w:tr>
        <w:trPr>
          <w:trHeight w:val="230"/>
        </w:trPr>
        <w:tc>
          <w:tcPr>
            <w:tcW w:w="116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Partners, LLC, its general partner</w:t>
            </w:r>
          </w:p>
        </w:tc>
      </w:tr>
      <w:tr>
        <w:trPr>
          <w:trHeight w:val="365"/>
        </w:trPr>
        <w:tc>
          <w:tcPr>
            <w:tcW w:w="1160" w:type="dxa"/>
            <w:vAlign w:val="bottom"/>
          </w:tcPr>
          <w:p>
            <w:pPr>
              <w:spacing w:after="0"/>
              <w:rPr>
                <w:sz w:val="24"/>
                <w:szCs w:val="24"/>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color w:val="auto"/>
                <w:w w:val="89"/>
              </w:rPr>
              <w:t>Signature Page to Fourth Amended and Restated Investor Rights Agreement</w:t>
            </w:r>
          </w:p>
        </w:tc>
      </w:tr>
    </w:tbl>
    <w:p>
      <w:pPr>
        <w:sectPr>
          <w:pgSz w:w="11900" w:h="16838" w:orient="portrait"/>
          <w:cols w:equalWidth="0" w:num="1">
            <w:col w:w="11260"/>
          </w:cols>
          <w:pgMar w:left="240" w:top="270" w:right="399" w:bottom="1440" w:gutter="0" w:footer="0" w:header="0"/>
        </w:sectPr>
      </w:pPr>
    </w:p>
    <w:bookmarkStart w:id="295" w:name="page296"/>
    <w:bookmarkEnd w:id="29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CORMORANT GLOBAL HEALTHCARE MASTER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6" w:name="page297"/>
    <w:bookmarkEnd w:id="29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BIOBRIT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Bradbury</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M. Bradbury</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7" w:name="page298"/>
    <w:bookmarkEnd w:id="297"/>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w:t>
      </w:r>
      <w:r>
        <w:rPr>
          <w:rFonts w:ascii="Arial" w:cs="Arial" w:eastAsia="Arial" w:hAnsi="Arial"/>
          <w:sz w:val="15"/>
          <w:szCs w:val="15"/>
          <w:b w:val="1"/>
          <w:bCs w:val="1"/>
          <w:color w:val="auto"/>
        </w:rPr>
        <w:t>AUL</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ETTY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Williams</w:t>
            </w:r>
          </w:p>
        </w:tc>
        <w:tc>
          <w:tcPr>
            <w:tcW w:w="3880" w:type="dxa"/>
            <w:vAlign w:val="bottom"/>
          </w:tcPr>
          <w:p>
            <w:pPr>
              <w:spacing w:after="0"/>
              <w:rPr>
                <w:sz w:val="20"/>
                <w:szCs w:val="20"/>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M. Williams</w:t>
            </w:r>
          </w:p>
        </w:tc>
        <w:tc>
          <w:tcPr>
            <w:tcW w:w="3880" w:type="dxa"/>
            <w:vAlign w:val="bottom"/>
          </w:tcPr>
          <w:p>
            <w:pPr>
              <w:spacing w:after="0"/>
              <w:rPr>
                <w:sz w:val="24"/>
                <w:szCs w:val="24"/>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Investment Officer + V.P.</w:t>
            </w:r>
          </w:p>
        </w:tc>
        <w:tc>
          <w:tcPr>
            <w:tcW w:w="3880" w:type="dxa"/>
            <w:vAlign w:val="bottom"/>
          </w:tcPr>
          <w:p>
            <w:pPr>
              <w:spacing w:after="0"/>
              <w:rPr>
                <w:sz w:val="24"/>
                <w:szCs w:val="24"/>
                <w:color w:val="auto"/>
              </w:rPr>
            </w:pPr>
          </w:p>
        </w:tc>
      </w:tr>
      <w:tr>
        <w:trPr>
          <w:trHeight w:val="372"/>
        </w:trPr>
        <w:tc>
          <w:tcPr>
            <w:tcW w:w="1160" w:type="dxa"/>
            <w:vAlign w:val="bottom"/>
          </w:tcPr>
          <w:p>
            <w:pPr>
              <w:spacing w:after="0"/>
              <w:rPr>
                <w:sz w:val="24"/>
                <w:szCs w:val="24"/>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color w:val="auto"/>
                <w:w w:val="89"/>
              </w:rPr>
              <w:t>Signature Page to Fourth Amended and Restated Investor Rights Agreement</w:t>
            </w:r>
          </w:p>
        </w:tc>
      </w:tr>
    </w:tbl>
    <w:p>
      <w:pPr>
        <w:sectPr>
          <w:pgSz w:w="11900" w:h="16838" w:orient="portrait"/>
          <w:cols w:equalWidth="0" w:num="1">
            <w:col w:w="11260"/>
          </w:cols>
          <w:pgMar w:left="240" w:top="270" w:right="399" w:bottom="1440" w:gutter="0" w:footer="0" w:header="0"/>
        </w:sectPr>
      </w:pPr>
    </w:p>
    <w:bookmarkStart w:id="298" w:name="page299"/>
    <w:bookmarkEnd w:id="29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Marco Londei</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299" w:name="page300"/>
    <w:bookmarkEnd w:id="29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first paragraph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LeSieur</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Jean-Marc LeSieur</w:t>
            </w: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Fourth Amended and Restated Investor Rights Agreement</w:t>
      </w:r>
    </w:p>
    <w:p>
      <w:pPr>
        <w:sectPr>
          <w:pgSz w:w="11900" w:h="16838" w:orient="portrait"/>
          <w:cols w:equalWidth="0" w:num="1">
            <w:col w:w="11260"/>
          </w:cols>
          <w:pgMar w:left="240" w:top="270" w:right="399" w:bottom="1440" w:gutter="0" w:footer="0" w:header="0"/>
        </w:sectPr>
      </w:pPr>
    </w:p>
    <w:bookmarkStart w:id="300" w:name="page301"/>
    <w:bookmarkEnd w:id="30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22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AFOS,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Alloy Ventures 2005,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Avalon Ventures VII,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CFO Connect,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Rhonda Frank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Frazier Healthcare V,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Frazier Healthcare VII,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Frazier Healthcare VII-A,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Carol Gallagher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GC&amp;H Investments,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 Scott Greer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301" w:name="page302"/>
    <w:bookmarkEnd w:id="301"/>
    <w:p>
      <w:pPr>
        <w:ind w:left="38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Guise Management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Nick Lydon</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Granite Biopharma LLC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John Macomber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Michael Neuberger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Novo A/S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Numenor Ventures,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Michael O’Donnell</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Wilson Sonsini Goodrich &amp; Rosati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Maria Grazia Roncarolo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Square 1 Bank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Mary Ann Stretch</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Wilson Sonsini Goodrich &amp; Rosati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Hamza Suria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019"/>
          </w:cols>
          <w:pgMar w:left="1440" w:top="266" w:right="1440" w:bottom="1440" w:gutter="0" w:footer="0" w:header="0"/>
        </w:sectPr>
      </w:pPr>
    </w:p>
    <w:bookmarkStart w:id="302" w:name="page303"/>
    <w:bookmarkEnd w:id="302"/>
    <w:p>
      <w:pPr>
        <w:jc w:val="center"/>
        <w:ind w:right="-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Geoff Tomlinson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WS Investment Company (2007A),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WS Investment Company (2007C),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BMV Direct 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BioBrit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Marco Londei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Steve Turkowiak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Robert Hoffman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Biotechnology Value Fund,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Biotechnology Value Fund II, 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Investment 10,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MSI BVP SPV,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 Paul Getty Trust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019"/>
          </w:cols>
          <w:pgMar w:left="1440" w:top="265" w:right="1440" w:bottom="1440" w:gutter="0" w:footer="0" w:header="0"/>
        </w:sectPr>
      </w:pPr>
    </w:p>
    <w:bookmarkStart w:id="303" w:name="page304"/>
    <w:bookmarkEnd w:id="303"/>
    <w:p>
      <w:pPr>
        <w:ind w:left="38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1"/>
          <w:szCs w:val="11"/>
          <w:b w:val="1"/>
          <w:bCs w:val="1"/>
          <w:u w:val="single" w:color="auto"/>
          <w:color w:val="auto"/>
        </w:rPr>
        <w:t>AME AND</w:t>
      </w:r>
      <w:r>
        <w:rPr>
          <w:rFonts w:ascii="Arial" w:cs="Arial" w:eastAsia="Arial" w:hAnsi="Arial"/>
          <w:sz w:val="14"/>
          <w:szCs w:val="14"/>
          <w:b w:val="1"/>
          <w:bCs w:val="1"/>
          <w:u w:val="single" w:color="auto"/>
          <w:color w:val="auto"/>
        </w:rPr>
        <w:t xml:space="preserve"> A</w:t>
      </w:r>
      <w:r>
        <w:rPr>
          <w:rFonts w:ascii="Arial" w:cs="Arial" w:eastAsia="Arial" w:hAnsi="Arial"/>
          <w:sz w:val="11"/>
          <w:szCs w:val="11"/>
          <w:b w:val="1"/>
          <w:bCs w:val="1"/>
          <w:u w:val="single" w:color="auto"/>
          <w:color w:val="auto"/>
        </w:rPr>
        <w:t>DDRESS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HBM Healthcare Investments (Cayman) Ltd.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Longwood Ventures, LP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 Longwood Capital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Cormorant Global Healthcare Master Fund,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9019"/>
          </w:cols>
          <w:pgMar w:left="1440" w:top="266"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APRIL 24, 2006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MAY 26,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MARCH 19,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MAY 18,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JUNE 28,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JUNE 28,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JULY 11,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APRIL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JULY 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JULY 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DATE: APRIL 24, 2016</w:t>
      </w:r>
    </w:p>
    <w:p>
      <w:pPr>
        <w:spacing w:after="0" w:line="234"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The persons eligible to receive Stock Awards are Employees, Directors, and Consultants.</w:t>
      </w:r>
    </w:p>
    <w:p>
      <w:pPr>
        <w:spacing w:after="0" w:line="117" w:lineRule="exact"/>
        <w:rPr>
          <w:rFonts w:ascii="Arial" w:cs="Arial" w:eastAsia="Arial" w:hAnsi="Arial"/>
          <w:sz w:val="18"/>
          <w:szCs w:val="18"/>
          <w:b w:val="1"/>
          <w:bCs w:val="1"/>
          <w:color w:val="auto"/>
        </w:rPr>
      </w:pPr>
    </w:p>
    <w:p>
      <w:pPr>
        <w:ind w:right="480" w:firstLine="464"/>
        <w:spacing w:after="0" w:line="282" w:lineRule="auto"/>
        <w:tabs>
          <w:tab w:leader="none" w:pos="721"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Restricted Stock Awards, and (iv) Stock Appreciation Rights.</w:t>
      </w:r>
    </w:p>
    <w:p>
      <w:pPr>
        <w:spacing w:after="0" w:line="53" w:lineRule="exact"/>
        <w:rPr>
          <w:rFonts w:ascii="Arial" w:cs="Arial" w:eastAsia="Arial" w:hAnsi="Arial"/>
          <w:sz w:val="18"/>
          <w:szCs w:val="18"/>
          <w:b w:val="1"/>
          <w:bCs w:val="1"/>
          <w:color w:val="auto"/>
        </w:rPr>
      </w:pPr>
    </w:p>
    <w:p>
      <w:pPr>
        <w:ind w:right="20" w:firstLine="464"/>
        <w:spacing w:after="0" w:line="261" w:lineRule="auto"/>
        <w:tabs>
          <w:tab w:leader="none" w:pos="701"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Company, by means of the Plan, seeks to secure and retain the services of the group of persons eligible to receive Stock Awards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207" w:lineRule="exact"/>
        <w:rPr>
          <w:rFonts w:ascii="Arial" w:cs="Arial" w:eastAsia="Arial" w:hAnsi="Arial"/>
          <w:sz w:val="18"/>
          <w:szCs w:val="18"/>
          <w:b w:val="1"/>
          <w:bCs w:val="1"/>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in the Plan, the following definitions shall apply to the capitalized terms indicated below:</w:t>
      </w:r>
    </w:p>
    <w:p>
      <w:pPr>
        <w:spacing w:after="0" w:line="117" w:lineRule="exact"/>
        <w:rPr>
          <w:rFonts w:ascii="Arial" w:cs="Arial" w:eastAsia="Arial" w:hAnsi="Arial"/>
          <w:sz w:val="18"/>
          <w:szCs w:val="18"/>
          <w:b w:val="1"/>
          <w:bCs w:val="1"/>
          <w:color w:val="auto"/>
        </w:rPr>
      </w:pPr>
    </w:p>
    <w:p>
      <w:pPr>
        <w:ind w:right="20" w:firstLine="464"/>
        <w:spacing w:after="0" w:line="342" w:lineRule="auto"/>
        <w:tabs>
          <w:tab w:leader="none" w:pos="711" w:val="left"/>
        </w:tabs>
        <w:numPr>
          <w:ilvl w:val="1"/>
          <w:numId w:val="24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Securities Act. The Board shall have the authority to determine the time or times at which “parent” or “subsidiary” status is determined within the foregoing definition.</w:t>
      </w:r>
    </w:p>
    <w:p>
      <w:pPr>
        <w:spacing w:after="0" w:line="15" w:lineRule="exact"/>
        <w:rPr>
          <w:rFonts w:ascii="Arial" w:cs="Arial" w:eastAsia="Arial" w:hAnsi="Arial"/>
          <w:sz w:val="16"/>
          <w:szCs w:val="16"/>
          <w:b w:val="1"/>
          <w:bCs w:val="1"/>
          <w:color w:val="auto"/>
        </w:rPr>
      </w:pPr>
    </w:p>
    <w:p>
      <w:pPr>
        <w:ind w:left="720" w:hanging="256"/>
        <w:spacing w:after="0"/>
        <w:tabs>
          <w:tab w:leader="none" w:pos="720" w:val="left"/>
        </w:tabs>
        <w:numPr>
          <w:ilvl w:val="1"/>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has the meaning ascribed to that term in Section 10(a).</w:t>
      </w:r>
    </w:p>
    <w:p>
      <w:pPr>
        <w:spacing w:after="0" w:line="117" w:lineRule="exact"/>
        <w:rPr>
          <w:rFonts w:ascii="Arial" w:cs="Arial" w:eastAsia="Arial" w:hAnsi="Arial"/>
          <w:sz w:val="18"/>
          <w:szCs w:val="18"/>
          <w:b w:val="1"/>
          <w:bCs w:val="1"/>
          <w:color w:val="auto"/>
        </w:rPr>
      </w:pPr>
    </w:p>
    <w:p>
      <w:pPr>
        <w:ind w:left="5660" w:right="60" w:hanging="5196"/>
        <w:spacing w:after="0" w:line="449" w:lineRule="auto"/>
        <w:tabs>
          <w:tab w:leader="none" w:pos="720" w:val="left"/>
        </w:tabs>
        <w:numPr>
          <w:ilvl w:val="1"/>
          <w:numId w:val="2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 1</w:t>
      </w:r>
    </w:p>
    <w:p>
      <w:pPr>
        <w:sectPr>
          <w:pgSz w:w="11900" w:h="16838" w:orient="portrait"/>
          <w:cols w:equalWidth="0" w:num="1">
            <w:col w:w="11420"/>
          </w:cols>
          <w:pgMar w:left="240" w:top="121" w:right="239" w:bottom="1440" w:gutter="0" w:footer="0" w:header="0"/>
        </w:sectPr>
      </w:pPr>
    </w:p>
    <w:bookmarkStart w:id="305" w:name="page306"/>
    <w:bookmarkEnd w:id="305"/>
    <w:p>
      <w:pPr>
        <w:ind w:firstLine="921"/>
        <w:spacing w:after="0" w:line="269" w:lineRule="auto"/>
        <w:tabs>
          <w:tab w:leader="none" w:pos="1128" w:val="left"/>
        </w:tabs>
        <w:numPr>
          <w:ilvl w:val="0"/>
          <w:numId w:val="2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74" w:lineRule="exact"/>
        <w:rPr>
          <w:rFonts w:ascii="Arial" w:cs="Arial" w:eastAsia="Arial" w:hAnsi="Arial"/>
          <w:sz w:val="17"/>
          <w:szCs w:val="17"/>
          <w:b w:val="1"/>
          <w:bCs w:val="1"/>
          <w:color w:val="auto"/>
        </w:rPr>
      </w:pPr>
    </w:p>
    <w:p>
      <w:pPr>
        <w:ind w:firstLine="921"/>
        <w:spacing w:after="0" w:line="273" w:lineRule="auto"/>
        <w:tabs>
          <w:tab w:leader="none" w:pos="1178" w:val="left"/>
        </w:tabs>
        <w:numPr>
          <w:ilvl w:val="0"/>
          <w:numId w:val="245"/>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70" w:lineRule="exact"/>
        <w:rPr>
          <w:rFonts w:ascii="Arial" w:cs="Arial" w:eastAsia="Arial" w:hAnsi="Arial"/>
          <w:sz w:val="17"/>
          <w:szCs w:val="17"/>
          <w:b w:val="1"/>
          <w:bCs w:val="1"/>
          <w:color w:val="auto"/>
        </w:rPr>
      </w:pPr>
    </w:p>
    <w:p>
      <w:pPr>
        <w:ind w:right="40" w:firstLine="921"/>
        <w:spacing w:after="0" w:line="257" w:lineRule="auto"/>
        <w:tabs>
          <w:tab w:leader="none" w:pos="1228"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definition of Change in Control or any analogous term is set forth in such an individual written agreement, the foregoing definition shall apply.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06" w:name="page307"/>
    <w:bookmarkEnd w:id="306"/>
    <w:p>
      <w:pPr>
        <w:ind w:left="700" w:hanging="236"/>
        <w:spacing w:after="0"/>
        <w:tabs>
          <w:tab w:leader="none" w:pos="70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 3(c).</w:t>
      </w:r>
    </w:p>
    <w:p>
      <w:pPr>
        <w:spacing w:after="0" w:line="140" w:lineRule="exact"/>
        <w:rPr>
          <w:rFonts w:ascii="Arial" w:cs="Arial" w:eastAsia="Arial" w:hAnsi="Arial"/>
          <w:sz w:val="16"/>
          <w:szCs w:val="16"/>
          <w:b w:val="1"/>
          <w:bCs w:val="1"/>
          <w:color w:val="auto"/>
        </w:rPr>
      </w:pPr>
    </w:p>
    <w:p>
      <w:pPr>
        <w:ind w:left="720" w:hanging="256"/>
        <w:spacing w:after="0"/>
        <w:tabs>
          <w:tab w:leader="none" w:pos="72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Anaptys Biosciences, Inc., a Delaware corporation.</w:t>
      </w:r>
    </w:p>
    <w:p>
      <w:pPr>
        <w:spacing w:after="0" w:line="117" w:lineRule="exact"/>
        <w:rPr>
          <w:rFonts w:ascii="Arial" w:cs="Arial" w:eastAsia="Arial" w:hAnsi="Arial"/>
          <w:sz w:val="18"/>
          <w:szCs w:val="18"/>
          <w:b w:val="1"/>
          <w:bCs w:val="1"/>
          <w:color w:val="auto"/>
        </w:rPr>
      </w:pPr>
    </w:p>
    <w:p>
      <w:pPr>
        <w:ind w:right="160" w:firstLine="464"/>
        <w:spacing w:after="0" w:line="312" w:lineRule="auto"/>
        <w:tabs>
          <w:tab w:leader="none" w:pos="671"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38" w:lineRule="exact"/>
        <w:rPr>
          <w:rFonts w:ascii="Arial" w:cs="Arial" w:eastAsia="Arial" w:hAnsi="Arial"/>
          <w:sz w:val="16"/>
          <w:szCs w:val="16"/>
          <w:b w:val="1"/>
          <w:bCs w:val="1"/>
          <w:color w:val="auto"/>
        </w:rPr>
      </w:pPr>
    </w:p>
    <w:p>
      <w:pPr>
        <w:ind w:firstLine="464"/>
        <w:spacing w:after="0" w:line="269" w:lineRule="auto"/>
        <w:tabs>
          <w:tab w:leader="none" w:pos="681"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the corporation for which a Participant is rendering service ceases to qualify as an Affiliate, as determined by the Board in its sole discretion, such Participant’s Continuous Service shall be considered to have terminated on the date such corporation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or in the written terms of the Participant’s leave of absence.</w:t>
      </w:r>
    </w:p>
    <w:p>
      <w:pPr>
        <w:spacing w:after="0" w:line="74" w:lineRule="exact"/>
        <w:rPr>
          <w:rFonts w:ascii="Arial" w:cs="Arial" w:eastAsia="Arial" w:hAnsi="Arial"/>
          <w:sz w:val="17"/>
          <w:szCs w:val="17"/>
          <w:b w:val="1"/>
          <w:bCs w:val="1"/>
          <w:color w:val="auto"/>
        </w:rPr>
      </w:pPr>
    </w:p>
    <w:p>
      <w:pPr>
        <w:ind w:left="720" w:hanging="256"/>
        <w:spacing w:after="0"/>
        <w:tabs>
          <w:tab w:leader="none" w:pos="720"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right="680" w:firstLine="921"/>
        <w:spacing w:after="0" w:line="277" w:lineRule="auto"/>
        <w:tabs>
          <w:tab w:leader="none" w:pos="1128" w:val="left"/>
        </w:tabs>
        <w:numPr>
          <w:ilvl w:val="1"/>
          <w:numId w:val="24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4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07" w:name="page308"/>
    <w:bookmarkEnd w:id="307"/>
    <w:p>
      <w:pPr>
        <w:ind w:left="1240" w:hanging="319"/>
        <w:spacing w:after="0"/>
        <w:tabs>
          <w:tab w:leader="none" w:pos="1240" w:val="left"/>
        </w:tabs>
        <w:numPr>
          <w:ilvl w:val="2"/>
          <w:numId w:val="2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consolidation or similar transaction following which the Company is not the surviving corporation; or</w:t>
      </w:r>
    </w:p>
    <w:p>
      <w:pPr>
        <w:spacing w:after="0" w:line="128" w:lineRule="exact"/>
        <w:rPr>
          <w:rFonts w:ascii="Arial" w:cs="Arial" w:eastAsia="Arial" w:hAnsi="Arial"/>
          <w:sz w:val="17"/>
          <w:szCs w:val="17"/>
          <w:b w:val="1"/>
          <w:bCs w:val="1"/>
          <w:color w:val="auto"/>
        </w:rPr>
      </w:pPr>
    </w:p>
    <w:p>
      <w:pPr>
        <w:ind w:right="40" w:firstLine="921"/>
        <w:spacing w:after="0" w:line="264" w:lineRule="auto"/>
        <w:tabs>
          <w:tab w:leader="none" w:pos="1218" w:val="left"/>
        </w:tabs>
        <w:numPr>
          <w:ilvl w:val="2"/>
          <w:numId w:val="247"/>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680" w:hanging="216"/>
        <w:spacing w:after="0"/>
        <w:tabs>
          <w:tab w:leader="none" w:pos="680" w:val="left"/>
        </w:tabs>
        <w:numPr>
          <w:ilvl w:val="1"/>
          <w:numId w:val="2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right="40" w:firstLine="464"/>
        <w:spacing w:after="0" w:line="291" w:lineRule="auto"/>
        <w:tabs>
          <w:tab w:leader="none" w:pos="771" w:val="left"/>
        </w:tabs>
        <w:numPr>
          <w:ilvl w:val="1"/>
          <w:numId w:val="24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w:t>
      </w:r>
    </w:p>
    <w:p>
      <w:pPr>
        <w:ind w:left="360" w:hanging="352"/>
        <w:spacing w:after="0"/>
        <w:tabs>
          <w:tab w:leader="none" w:pos="3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months, and shall be determined by the Board on the basis of such medical evidence as the Board deems warranted under the circumstances.</w:t>
      </w:r>
    </w:p>
    <w:p>
      <w:pPr>
        <w:spacing w:after="0" w:line="114" w:lineRule="exact"/>
        <w:rPr>
          <w:rFonts w:ascii="Arial" w:cs="Arial" w:eastAsia="Arial" w:hAnsi="Arial"/>
          <w:sz w:val="17"/>
          <w:szCs w:val="17"/>
          <w:color w:val="auto"/>
        </w:rPr>
      </w:pPr>
    </w:p>
    <w:p>
      <w:pPr>
        <w:ind w:right="500" w:firstLine="464"/>
        <w:spacing w:after="0" w:line="277" w:lineRule="auto"/>
        <w:tabs>
          <w:tab w:leader="none" w:pos="721"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ind w:firstLine="464"/>
        <w:spacing w:after="0" w:line="254" w:lineRule="auto"/>
        <w:tabs>
          <w:tab w:leader="none" w:pos="721"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the Plan as set forth in Section 13, is the Owner, directly or indirectly, of securities of the Company representing more than fifty percent (50%) of the combined voting power of the Company’s then outstanding securities.</w:t>
      </w:r>
    </w:p>
    <w:p>
      <w:pPr>
        <w:spacing w:after="0" w:line="84" w:lineRule="exact"/>
        <w:rPr>
          <w:rFonts w:ascii="Arial" w:cs="Arial" w:eastAsia="Arial" w:hAnsi="Arial"/>
          <w:sz w:val="18"/>
          <w:szCs w:val="18"/>
          <w:b w:val="1"/>
          <w:bCs w:val="1"/>
          <w:color w:val="auto"/>
        </w:rPr>
      </w:pPr>
    </w:p>
    <w:p>
      <w:pPr>
        <w:ind w:left="700" w:hanging="236"/>
        <w:spacing w:after="0"/>
        <w:tabs>
          <w:tab w:leader="none" w:pos="700" w:val="left"/>
        </w:tabs>
        <w:numPr>
          <w:ilvl w:val="1"/>
          <w:numId w:val="24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by the Board and (i) in a manner consistent with</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Section 260.140.50 of Title 10 of the California Code of Regulations, and (ii) in compliance with Section 409A of the Code or, in the case of an Incentive Stock Option, in compliance with Section 422 of the Code.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08" w:name="page309"/>
    <w:bookmarkEnd w:id="308"/>
    <w:p>
      <w:pPr>
        <w:ind w:right="440" w:firstLine="464"/>
        <w:spacing w:after="0" w:line="277" w:lineRule="auto"/>
        <w:tabs>
          <w:tab w:leader="none" w:pos="691"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62" w:lineRule="exact"/>
        <w:rPr>
          <w:rFonts w:ascii="Arial" w:cs="Arial" w:eastAsia="Arial" w:hAnsi="Arial"/>
          <w:sz w:val="18"/>
          <w:szCs w:val="18"/>
          <w:b w:val="1"/>
          <w:bCs w:val="1"/>
          <w:color w:val="auto"/>
        </w:rPr>
      </w:pPr>
    </w:p>
    <w:p>
      <w:pPr>
        <w:ind w:left="680" w:hanging="216"/>
        <w:spacing w:after="0"/>
        <w:tabs>
          <w:tab w:leader="none" w:pos="68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5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140" w:lineRule="exact"/>
        <w:rPr>
          <w:rFonts w:ascii="Arial" w:cs="Arial" w:eastAsia="Arial" w:hAnsi="Arial"/>
          <w:sz w:val="16"/>
          <w:szCs w:val="16"/>
          <w:b w:val="1"/>
          <w:bCs w:val="1"/>
          <w:color w:val="auto"/>
        </w:rPr>
      </w:pPr>
    </w:p>
    <w:p>
      <w:pPr>
        <w:ind w:right="240" w:firstLine="464"/>
        <w:spacing w:after="0" w:line="277" w:lineRule="auto"/>
        <w:tabs>
          <w:tab w:leader="none" w:pos="751"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0"/>
          <w:numId w:val="25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2" w:lineRule="exact"/>
        <w:rPr>
          <w:rFonts w:ascii="Arial" w:cs="Arial" w:eastAsia="Arial" w:hAnsi="Arial"/>
          <w:sz w:val="16"/>
          <w:szCs w:val="16"/>
          <w:b w:val="1"/>
          <w:bCs w:val="1"/>
          <w:color w:val="auto"/>
        </w:rPr>
      </w:pPr>
    </w:p>
    <w:p>
      <w:pPr>
        <w:ind w:right="400" w:firstLine="464"/>
        <w:spacing w:after="0" w:line="286" w:lineRule="auto"/>
        <w:tabs>
          <w:tab w:leader="none" w:pos="711" w:val="left"/>
        </w:tabs>
        <w:numPr>
          <w:ilvl w:val="0"/>
          <w:numId w:val="25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firstLine="464"/>
        <w:spacing w:after="0" w:line="277" w:lineRule="auto"/>
        <w:tabs>
          <w:tab w:leader="none" w:pos="701"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62" w:lineRule="exact"/>
        <w:rPr>
          <w:sz w:val="20"/>
          <w:szCs w:val="20"/>
          <w:color w:val="auto"/>
        </w:rPr>
      </w:pPr>
    </w:p>
    <w:p>
      <w:pPr>
        <w:ind w:left="800" w:hanging="336"/>
        <w:spacing w:after="0"/>
        <w:tabs>
          <w:tab w:leader="none" w:pos="80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Anaptys Biosciences, Inc. 2006 Equity Incentive Plan.</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0"/>
          <w:numId w:val="25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7(a).</w:t>
      </w:r>
    </w:p>
    <w:p>
      <w:pPr>
        <w:spacing w:after="0" w:line="140" w:lineRule="exact"/>
        <w:rPr>
          <w:rFonts w:ascii="Arial" w:cs="Arial" w:eastAsia="Arial" w:hAnsi="Arial"/>
          <w:sz w:val="16"/>
          <w:szCs w:val="16"/>
          <w:b w:val="1"/>
          <w:bCs w:val="1"/>
          <w:color w:val="auto"/>
        </w:rPr>
      </w:pPr>
    </w:p>
    <w:p>
      <w:pPr>
        <w:ind w:right="20" w:firstLine="464"/>
        <w:spacing w:after="0" w:line="342" w:lineRule="auto"/>
        <w:tabs>
          <w:tab w:leader="none" w:pos="781" w:val="left"/>
        </w:tabs>
        <w:numPr>
          <w:ilvl w:val="0"/>
          <w:numId w:val="25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5" w:lineRule="exact"/>
        <w:rPr>
          <w:rFonts w:ascii="Arial" w:cs="Arial" w:eastAsia="Arial" w:hAnsi="Arial"/>
          <w:sz w:val="16"/>
          <w:szCs w:val="16"/>
          <w:b w:val="1"/>
          <w:bCs w:val="1"/>
          <w:color w:val="auto"/>
        </w:rPr>
      </w:pPr>
    </w:p>
    <w:p>
      <w:pPr>
        <w:ind w:left="820" w:hanging="356"/>
        <w:spacing w:after="0"/>
        <w:tabs>
          <w:tab w:leader="none" w:pos="82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right="140" w:firstLine="464"/>
        <w:spacing w:after="0" w:line="308" w:lineRule="auto"/>
        <w:tabs>
          <w:tab w:leader="none" w:pos="781" w:val="left"/>
        </w:tabs>
        <w:numPr>
          <w:ilvl w:val="0"/>
          <w:numId w:val="25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 right to receive the appreciation on Common Stock, that is granted pursuant to the terms and conditions of Section 7(b).</w:t>
      </w:r>
    </w:p>
    <w:p>
      <w:pPr>
        <w:spacing w:after="0" w:line="38" w:lineRule="exact"/>
        <w:rPr>
          <w:rFonts w:ascii="Arial" w:cs="Arial" w:eastAsia="Arial" w:hAnsi="Arial"/>
          <w:sz w:val="17"/>
          <w:szCs w:val="17"/>
          <w:b w:val="1"/>
          <w:bCs w:val="1"/>
          <w:color w:val="auto"/>
        </w:rPr>
      </w:pPr>
    </w:p>
    <w:p>
      <w:pPr>
        <w:ind w:right="40" w:firstLine="464"/>
        <w:spacing w:after="0" w:line="264" w:lineRule="auto"/>
        <w:tabs>
          <w:tab w:leader="none" w:pos="741"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4" w:right="379" w:bottom="1440" w:gutter="0" w:footer="0" w:header="0"/>
        </w:sectPr>
      </w:pPr>
    </w:p>
    <w:bookmarkStart w:id="309" w:name="page310"/>
    <w:bookmarkEnd w:id="309"/>
    <w:p>
      <w:pPr>
        <w:ind w:left="792" w:hanging="336"/>
        <w:spacing w:after="0"/>
        <w:tabs>
          <w:tab w:leader="none" w:pos="792"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granted under the Plan, including an Option, a Restricted Stock Award, and a Stock Appreciation Right.</w:t>
      </w:r>
    </w:p>
    <w:p>
      <w:pPr>
        <w:spacing w:after="0" w:line="128" w:lineRule="exact"/>
        <w:rPr>
          <w:rFonts w:ascii="Arial" w:cs="Arial" w:eastAsia="Arial" w:hAnsi="Arial"/>
          <w:sz w:val="17"/>
          <w:szCs w:val="17"/>
          <w:b w:val="1"/>
          <w:bCs w:val="1"/>
          <w:color w:val="auto"/>
        </w:rPr>
      </w:pPr>
    </w:p>
    <w:p>
      <w:pPr>
        <w:ind w:left="-8" w:right="300" w:firstLine="464"/>
        <w:spacing w:after="0" w:line="277" w:lineRule="auto"/>
        <w:tabs>
          <w:tab w:leader="none" w:pos="814"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62" w:lineRule="exact"/>
        <w:rPr>
          <w:rFonts w:ascii="Arial" w:cs="Arial" w:eastAsia="Arial" w:hAnsi="Arial"/>
          <w:sz w:val="18"/>
          <w:szCs w:val="18"/>
          <w:b w:val="1"/>
          <w:bCs w:val="1"/>
          <w:color w:val="auto"/>
        </w:rPr>
      </w:pPr>
    </w:p>
    <w:p>
      <w:pPr>
        <w:ind w:left="-8" w:firstLine="464"/>
        <w:spacing w:after="0" w:line="257" w:lineRule="auto"/>
        <w:tabs>
          <w:tab w:leader="none" w:pos="713"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80" w:lineRule="exact"/>
        <w:rPr>
          <w:rFonts w:ascii="Arial" w:cs="Arial" w:eastAsia="Arial" w:hAnsi="Arial"/>
          <w:sz w:val="18"/>
          <w:szCs w:val="18"/>
          <w:b w:val="1"/>
          <w:bCs w:val="1"/>
          <w:color w:val="auto"/>
        </w:rPr>
      </w:pPr>
    </w:p>
    <w:p>
      <w:pPr>
        <w:ind w:left="-8" w:right="160" w:firstLine="464"/>
        <w:spacing w:after="0" w:line="277" w:lineRule="auto"/>
        <w:tabs>
          <w:tab w:leader="none" w:pos="733"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17" w:lineRule="exact"/>
        <w:rPr>
          <w:rFonts w:ascii="Arial" w:cs="Arial" w:eastAsia="Arial" w:hAnsi="Arial"/>
          <w:sz w:val="18"/>
          <w:szCs w:val="18"/>
          <w:b w:val="1"/>
          <w:bCs w:val="1"/>
          <w:color w:val="auto"/>
        </w:rPr>
      </w:pPr>
    </w:p>
    <w:p>
      <w:pPr>
        <w:ind w:left="-8" w:right="100" w:firstLine="464"/>
        <w:spacing w:after="0" w:line="282" w:lineRule="auto"/>
        <w:tabs>
          <w:tab w:leader="none" w:pos="703"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shall administer the Plan unless and until the Board delegates administration of the Plan to a Committee,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3(c).</w:t>
      </w:r>
    </w:p>
    <w:p>
      <w:pPr>
        <w:spacing w:after="0" w:line="53" w:lineRule="exact"/>
        <w:rPr>
          <w:rFonts w:ascii="Arial" w:cs="Arial" w:eastAsia="Arial" w:hAnsi="Arial"/>
          <w:sz w:val="18"/>
          <w:szCs w:val="18"/>
          <w:b w:val="1"/>
          <w:bCs w:val="1"/>
          <w:color w:val="auto"/>
        </w:rPr>
      </w:pPr>
    </w:p>
    <w:p>
      <w:pPr>
        <w:ind w:left="712" w:hanging="256"/>
        <w:spacing w:after="0"/>
        <w:tabs>
          <w:tab w:leader="none" w:pos="712"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8" w:right="60" w:firstLine="921"/>
        <w:spacing w:after="0" w:line="279" w:lineRule="auto"/>
        <w:tabs>
          <w:tab w:leader="none" w:pos="1120" w:val="left"/>
        </w:tabs>
        <w:numPr>
          <w:ilvl w:val="2"/>
          <w:numId w:val="253"/>
        </w:numPr>
        <w:rPr>
          <w:rFonts w:ascii="Arial" w:cs="Arial" w:eastAsia="Arial" w:hAnsi="Arial"/>
          <w:sz w:val="17"/>
          <w:szCs w:val="17"/>
          <w:b w:val="1"/>
          <w:bCs w:val="1"/>
          <w:color w:val="auto"/>
        </w:rPr>
      </w:pPr>
      <w:r>
        <w:rPr>
          <w:rFonts w:ascii="Arial" w:cs="Arial" w:eastAsia="Arial" w:hAnsi="Arial"/>
          <w:sz w:val="17"/>
          <w:szCs w:val="17"/>
          <w:color w:val="auto"/>
        </w:rPr>
        <w:t>To determine from time to time (1) which of the persons eligible under the Plan shall be granted Stock Awards; (2) when and how each Stock Award shall be granted; (3) what type or combination of types of Stock Award shall be granted; (4) the provisions of each Stock Award granted (which need not be identical), including the time or times when a person shall be permitted to receive cash or Common Stock pursuant to a Stock Award; and (5) the number of shares of Common Stock with respect to which a Stock Award shall be granted to each such person.</w:t>
      </w:r>
    </w:p>
    <w:p>
      <w:pPr>
        <w:spacing w:after="0" w:line="63" w:lineRule="exact"/>
        <w:rPr>
          <w:rFonts w:ascii="Arial" w:cs="Arial" w:eastAsia="Arial" w:hAnsi="Arial"/>
          <w:sz w:val="17"/>
          <w:szCs w:val="17"/>
          <w:b w:val="1"/>
          <w:bCs w:val="1"/>
          <w:color w:val="auto"/>
        </w:rPr>
      </w:pPr>
    </w:p>
    <w:p>
      <w:pPr>
        <w:ind w:left="-8" w:firstLine="921"/>
        <w:spacing w:after="0" w:line="264" w:lineRule="auto"/>
        <w:tabs>
          <w:tab w:leader="none" w:pos="1170" w:val="left"/>
        </w:tabs>
        <w:numPr>
          <w:ilvl w:val="2"/>
          <w:numId w:val="253"/>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73" w:lineRule="exact"/>
        <w:rPr>
          <w:rFonts w:ascii="Arial" w:cs="Arial" w:eastAsia="Arial" w:hAnsi="Arial"/>
          <w:sz w:val="18"/>
          <w:szCs w:val="18"/>
          <w:b w:val="1"/>
          <w:bCs w:val="1"/>
          <w:color w:val="auto"/>
        </w:rPr>
      </w:pPr>
    </w:p>
    <w:p>
      <w:pPr>
        <w:ind w:left="-8" w:right="20" w:firstLine="921"/>
        <w:spacing w:after="0" w:line="264" w:lineRule="auto"/>
        <w:tabs>
          <w:tab w:leader="none" w:pos="1220" w:val="left"/>
        </w:tabs>
        <w:numPr>
          <w:ilvl w:val="2"/>
          <w:numId w:val="253"/>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3" w:right="279" w:bottom="1440" w:gutter="0" w:footer="0" w:header="0"/>
        </w:sectPr>
      </w:pPr>
    </w:p>
    <w:bookmarkStart w:id="310" w:name="page311"/>
    <w:bookmarkEnd w:id="310"/>
    <w:p>
      <w:pPr>
        <w:ind w:left="-8" w:right="100" w:firstLine="921"/>
        <w:spacing w:after="0" w:line="255" w:lineRule="auto"/>
        <w:tabs>
          <w:tab w:leader="none" w:pos="1210"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effect, at any time and from time to time, with the consent of any adversely affected Participant, (1) the reduction of the exercise price of any outstanding Option or the strike price of any outstanding Stock Appreciation Right under the Plan; (2) the cancellation of any outstanding Option or Stock Appreciation Right under the Plan and the grant in substitution therefor of (a) a new Option or Stock Appreciation Right under the Plan or another equity plan of the Company covering the same or a different number of shares of Common Stock, (b) a Restricted Stock Award, (c) cash, and/or (d) other valuable consideration (as determined by the Board, in its sole discretion); or (3) any other action that is treated as a repricing under generally accepted accounting principles.</w:t>
      </w:r>
    </w:p>
    <w:p>
      <w:pPr>
        <w:spacing w:after="0" w:line="85" w:lineRule="exact"/>
        <w:rPr>
          <w:rFonts w:ascii="Arial" w:cs="Arial" w:eastAsia="Arial" w:hAnsi="Arial"/>
          <w:sz w:val="18"/>
          <w:szCs w:val="18"/>
          <w:b w:val="1"/>
          <w:bCs w:val="1"/>
          <w:color w:val="auto"/>
        </w:rPr>
      </w:pPr>
    </w:p>
    <w:p>
      <w:pPr>
        <w:ind w:left="1172" w:hanging="259"/>
        <w:spacing w:after="0"/>
        <w:tabs>
          <w:tab w:leader="none" w:pos="1172"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To amend the Plan or a Stock Award as provided in Section 11.</w:t>
      </w:r>
    </w:p>
    <w:p>
      <w:pPr>
        <w:spacing w:after="0" w:line="117" w:lineRule="exact"/>
        <w:rPr>
          <w:rFonts w:ascii="Arial" w:cs="Arial" w:eastAsia="Arial" w:hAnsi="Arial"/>
          <w:sz w:val="18"/>
          <w:szCs w:val="18"/>
          <w:b w:val="1"/>
          <w:bCs w:val="1"/>
          <w:color w:val="auto"/>
        </w:rPr>
      </w:pPr>
    </w:p>
    <w:p>
      <w:pPr>
        <w:ind w:left="1212" w:hanging="299"/>
        <w:spacing w:after="0"/>
        <w:tabs>
          <w:tab w:leader="none" w:pos="1212"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To terminate or suspend the Plan as provided in Section 12.</w:t>
      </w:r>
    </w:p>
    <w:p>
      <w:pPr>
        <w:spacing w:after="0" w:line="117" w:lineRule="exact"/>
        <w:rPr>
          <w:rFonts w:ascii="Arial" w:cs="Arial" w:eastAsia="Arial" w:hAnsi="Arial"/>
          <w:sz w:val="18"/>
          <w:szCs w:val="18"/>
          <w:b w:val="1"/>
          <w:bCs w:val="1"/>
          <w:color w:val="auto"/>
        </w:rPr>
      </w:pPr>
    </w:p>
    <w:p>
      <w:pPr>
        <w:ind w:left="-8" w:right="140" w:firstLine="921"/>
        <w:spacing w:after="0" w:line="277" w:lineRule="auto"/>
        <w:tabs>
          <w:tab w:leader="none" w:pos="1260"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w:t>
      </w:r>
    </w:p>
    <w:p>
      <w:pPr>
        <w:spacing w:after="0" w:line="62" w:lineRule="exact"/>
        <w:rPr>
          <w:rFonts w:ascii="Arial" w:cs="Arial" w:eastAsia="Arial" w:hAnsi="Arial"/>
          <w:sz w:val="18"/>
          <w:szCs w:val="18"/>
          <w:b w:val="1"/>
          <w:bCs w:val="1"/>
          <w:color w:val="auto"/>
        </w:rPr>
      </w:pPr>
    </w:p>
    <w:p>
      <w:pPr>
        <w:ind w:left="-8" w:right="200" w:firstLine="921"/>
        <w:spacing w:after="0" w:line="277" w:lineRule="auto"/>
        <w:tabs>
          <w:tab w:leader="none" w:pos="1310"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individuals who are foreign nationals or employed outside the United States.</w:t>
      </w:r>
    </w:p>
    <w:p>
      <w:pPr>
        <w:spacing w:after="0" w:line="58" w:lineRule="exact"/>
        <w:rPr>
          <w:rFonts w:ascii="Arial" w:cs="Arial" w:eastAsia="Arial" w:hAnsi="Arial"/>
          <w:sz w:val="18"/>
          <w:szCs w:val="18"/>
          <w:b w:val="1"/>
          <w:bCs w:val="1"/>
          <w:color w:val="auto"/>
        </w:rPr>
      </w:pPr>
    </w:p>
    <w:p>
      <w:pPr>
        <w:ind w:left="-8" w:right="80" w:firstLine="464"/>
        <w:spacing w:after="0" w:line="295" w:lineRule="auto"/>
        <w:tabs>
          <w:tab w:leader="none" w:pos="693"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r>
        <w:rPr>
          <w:rFonts w:ascii="Arial" w:cs="Arial" w:eastAsia="Arial" w:hAnsi="Arial"/>
          <w:sz w:val="16"/>
          <w:szCs w:val="16"/>
          <w:color w:val="auto"/>
        </w:rPr>
        <w:t>. The Board may delegate some or all of the administration of the Plan to a Committee or Committees of the Board. If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47" w:lineRule="exact"/>
        <w:rPr>
          <w:rFonts w:ascii="Arial" w:cs="Arial" w:eastAsia="Arial" w:hAnsi="Arial"/>
          <w:sz w:val="16"/>
          <w:szCs w:val="16"/>
          <w:b w:val="1"/>
          <w:bCs w:val="1"/>
          <w:color w:val="auto"/>
        </w:rPr>
      </w:pPr>
    </w:p>
    <w:p>
      <w:pPr>
        <w:ind w:left="-8" w:right="40" w:firstLine="464"/>
        <w:spacing w:after="0" w:line="282" w:lineRule="auto"/>
        <w:tabs>
          <w:tab w:leader="none" w:pos="713"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shall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shall be final, binding and conclusive on all persons.</w:t>
      </w:r>
    </w:p>
    <w:p>
      <w:pPr>
        <w:spacing w:after="0" w:line="188" w:lineRule="exact"/>
        <w:rPr>
          <w:rFonts w:ascii="Arial" w:cs="Arial" w:eastAsia="Arial" w:hAnsi="Arial"/>
          <w:sz w:val="18"/>
          <w:szCs w:val="18"/>
          <w:b w:val="1"/>
          <w:bCs w:val="1"/>
          <w:color w:val="auto"/>
        </w:rPr>
      </w:pPr>
    </w:p>
    <w:p>
      <w:pPr>
        <w:ind w:left="452" w:hanging="452"/>
        <w:spacing w:after="0"/>
        <w:tabs>
          <w:tab w:leader="none" w:pos="452"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17" w:lineRule="exact"/>
        <w:rPr>
          <w:rFonts w:ascii="Arial" w:cs="Arial" w:eastAsia="Arial" w:hAnsi="Arial"/>
          <w:sz w:val="18"/>
          <w:szCs w:val="18"/>
          <w:b w:val="1"/>
          <w:bCs w:val="1"/>
          <w:color w:val="auto"/>
        </w:rPr>
      </w:pPr>
    </w:p>
    <w:p>
      <w:pPr>
        <w:ind w:left="-8" w:firstLine="464"/>
        <w:spacing w:after="0" w:line="282" w:lineRule="auto"/>
        <w:tabs>
          <w:tab w:leader="none" w:pos="703"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10(a) relating to Capitalization Adjustments, the Common Stock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shall not exceed in the aggregate 18,871,272 shares of Common Stock.</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3" w:right="259" w:bottom="1440" w:gutter="0" w:footer="0" w:header="0"/>
        </w:sectPr>
      </w:pPr>
    </w:p>
    <w:bookmarkStart w:id="311" w:name="page312"/>
    <w:bookmarkEnd w:id="311"/>
    <w:p>
      <w:pPr>
        <w:ind w:right="80" w:firstLine="464"/>
        <w:spacing w:after="0" w:line="255" w:lineRule="auto"/>
        <w:tabs>
          <w:tab w:leader="none" w:pos="721"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Reversion of Shares to the Share Reserve</w:t>
      </w:r>
      <w:r>
        <w:rPr>
          <w:rFonts w:ascii="Arial" w:cs="Arial" w:eastAsia="Arial" w:hAnsi="Arial"/>
          <w:sz w:val="18"/>
          <w:szCs w:val="18"/>
          <w:color w:val="auto"/>
        </w:rPr>
        <w:t>. If any Stock Award shall for any reason expire or otherwise terminate, in whole or in part,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having been exercised in full, or if any shares of Common Stock issued to a Participant pursuant to a Stock Award are forfeited back to or repurchased by the Company because of or in connection with the failure to meet a contingency or condition required to vest such shares in the Participant, the shares of Common Stock not acquired, such Stock Award or the shares of Common Stock forfeited or repurchased under such Stock Award shall revert to and again become available for issuance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 the provisions of Section 10(a) relating to Capitalization Adjustments, the aggregate maximum number of shares of Common Stock that may be issued as Incentive Stock Options shall be twice the number of shares reserved under the Plan at any particular time.</w:t>
      </w:r>
    </w:p>
    <w:p>
      <w:pPr>
        <w:spacing w:after="0" w:line="81" w:lineRule="exact"/>
        <w:rPr>
          <w:rFonts w:ascii="Arial" w:cs="Arial" w:eastAsia="Arial" w:hAnsi="Arial"/>
          <w:sz w:val="18"/>
          <w:szCs w:val="18"/>
          <w:b w:val="1"/>
          <w:bCs w:val="1"/>
          <w:color w:val="auto"/>
        </w:rPr>
      </w:pPr>
    </w:p>
    <w:p>
      <w:pPr>
        <w:ind w:right="420" w:firstLine="464"/>
        <w:spacing w:after="0" w:line="282" w:lineRule="auto"/>
        <w:tabs>
          <w:tab w:leader="none" w:pos="701"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w:t>
      </w:r>
    </w:p>
    <w:p>
      <w:pPr>
        <w:spacing w:after="0" w:line="53" w:lineRule="exact"/>
        <w:rPr>
          <w:rFonts w:ascii="Arial" w:cs="Arial" w:eastAsia="Arial" w:hAnsi="Arial"/>
          <w:sz w:val="18"/>
          <w:szCs w:val="18"/>
          <w:b w:val="1"/>
          <w:bCs w:val="1"/>
          <w:color w:val="auto"/>
        </w:rPr>
      </w:pPr>
    </w:p>
    <w:p>
      <w:pPr>
        <w:ind w:right="120" w:firstLine="464"/>
        <w:spacing w:after="0" w:line="258" w:lineRule="auto"/>
        <w:tabs>
          <w:tab w:leader="none" w:pos="721"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Limitation</w:t>
      </w:r>
      <w:r>
        <w:rPr>
          <w:rFonts w:ascii="Arial" w:cs="Arial" w:eastAsia="Arial" w:hAnsi="Arial"/>
          <w:sz w:val="18"/>
          <w:szCs w:val="18"/>
          <w:color w:val="auto"/>
        </w:rPr>
        <w:t>. To the extent required by Section 260.140.45 of Title 10 of the California Code of Regulations, the total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issuable upon exercise of all outstanding Options and the total number of shares of Common Stock provided for under any stock bonus or similar plan of the Company shall not exceed the applicable percentage as calculated in accordance with the conditions and exclusions of Section 260.140.45 of Title 10 of the California Code of Regulations, based on the shares of Common Stock of the Company that are outstanding at the time the calculation is made.</w:t>
      </w:r>
    </w:p>
    <w:p>
      <w:pPr>
        <w:spacing w:after="0" w:line="210" w:lineRule="exact"/>
        <w:rPr>
          <w:rFonts w:ascii="Arial" w:cs="Arial" w:eastAsia="Arial" w:hAnsi="Arial"/>
          <w:sz w:val="18"/>
          <w:szCs w:val="18"/>
          <w:b w:val="1"/>
          <w:bCs w:val="1"/>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7" w:lineRule="exact"/>
        <w:rPr>
          <w:rFonts w:ascii="Arial" w:cs="Arial" w:eastAsia="Arial" w:hAnsi="Arial"/>
          <w:sz w:val="18"/>
          <w:szCs w:val="18"/>
          <w:b w:val="1"/>
          <w:bCs w:val="1"/>
          <w:color w:val="auto"/>
        </w:rPr>
      </w:pPr>
    </w:p>
    <w:p>
      <w:pPr>
        <w:ind w:right="160" w:firstLine="464"/>
        <w:spacing w:after="0" w:line="266" w:lineRule="auto"/>
        <w:tabs>
          <w:tab w:leader="none" w:pos="711" w:val="left"/>
        </w:tabs>
        <w:numPr>
          <w:ilvl w:val="1"/>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Specific Stock Awards</w:t>
      </w:r>
      <w:r>
        <w:rPr>
          <w:rFonts w:ascii="Arial" w:cs="Arial" w:eastAsia="Arial" w:hAnsi="Arial"/>
          <w:sz w:val="18"/>
          <w:szCs w:val="18"/>
          <w:color w:val="auto"/>
        </w:rPr>
        <w:t>. Incentive Stock Options may be granted only to Employees of the Company or a “parent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corporation” thereof (as such terms are defined in Sections 424(e) and (f) of the Code. Stock Awards other than Incentive Stock Options may be granted to Employees, Directors and Consultants.</w:t>
      </w:r>
    </w:p>
    <w:p>
      <w:pPr>
        <w:spacing w:after="0" w:line="68" w:lineRule="exact"/>
        <w:rPr>
          <w:rFonts w:ascii="Arial" w:cs="Arial" w:eastAsia="Arial" w:hAnsi="Arial"/>
          <w:sz w:val="18"/>
          <w:szCs w:val="18"/>
          <w:b w:val="1"/>
          <w:bCs w:val="1"/>
          <w:color w:val="auto"/>
        </w:rPr>
      </w:pPr>
    </w:p>
    <w:p>
      <w:pPr>
        <w:ind w:left="720" w:hanging="256"/>
        <w:spacing w:after="0"/>
        <w:tabs>
          <w:tab w:leader="none" w:pos="720" w:val="left"/>
        </w:tabs>
        <w:numPr>
          <w:ilvl w:val="1"/>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00" w:firstLine="921"/>
        <w:spacing w:after="0" w:line="264" w:lineRule="auto"/>
        <w:tabs>
          <w:tab w:leader="none" w:pos="1128" w:val="left"/>
        </w:tabs>
        <w:numPr>
          <w:ilvl w:val="2"/>
          <w:numId w:val="258"/>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an Incentive Stock Option unless the exercise price of such Option is at least one hundred ten percent (110%) of the Fair Market Value of the Common Stock on the date of grant and the Option is not exercisable after the expiration of five (5) years from the date of grant.</w:t>
      </w:r>
    </w:p>
    <w:p>
      <w:pPr>
        <w:spacing w:after="0" w:line="73" w:lineRule="exact"/>
        <w:rPr>
          <w:rFonts w:ascii="Arial" w:cs="Arial" w:eastAsia="Arial" w:hAnsi="Arial"/>
          <w:sz w:val="18"/>
          <w:szCs w:val="18"/>
          <w:b w:val="1"/>
          <w:bCs w:val="1"/>
          <w:color w:val="auto"/>
        </w:rPr>
      </w:pPr>
    </w:p>
    <w:p>
      <w:pPr>
        <w:ind w:right="60" w:firstLine="921"/>
        <w:spacing w:after="0" w:line="259" w:lineRule="auto"/>
        <w:tabs>
          <w:tab w:leader="none" w:pos="1178" w:val="left"/>
        </w:tabs>
        <w:numPr>
          <w:ilvl w:val="2"/>
          <w:numId w:val="258"/>
        </w:numPr>
        <w:rPr>
          <w:rFonts w:ascii="Arial" w:cs="Arial" w:eastAsia="Arial" w:hAnsi="Arial"/>
          <w:sz w:val="18"/>
          <w:szCs w:val="18"/>
          <w:b w:val="1"/>
          <w:bCs w:val="1"/>
          <w:color w:val="auto"/>
        </w:rPr>
      </w:pPr>
      <w:r>
        <w:rPr>
          <w:rFonts w:ascii="Arial" w:cs="Arial" w:eastAsia="Arial" w:hAnsi="Arial"/>
          <w:sz w:val="18"/>
          <w:szCs w:val="18"/>
          <w:color w:val="auto"/>
        </w:rPr>
        <w:t>A Ten Percent Stockholder shall not be granted a Nonstatutory Stock Option unless the exercise price of such Option is at least (i) one hundred ten percent (110%) of the Fair Market Value of the Common Stock on the date of grant, or (ii) such lower percentage of the Fair Market Value of the Common Stock on the date of grant as is permitted by Section 260.140.41 of Title 10 of the California Code of Regulations at the time of the grant of the Option.</w:t>
      </w:r>
    </w:p>
    <w:p>
      <w:pPr>
        <w:spacing w:after="0" w:line="78" w:lineRule="exact"/>
        <w:rPr>
          <w:rFonts w:ascii="Arial" w:cs="Arial" w:eastAsia="Arial" w:hAnsi="Arial"/>
          <w:sz w:val="18"/>
          <w:szCs w:val="18"/>
          <w:b w:val="1"/>
          <w:bCs w:val="1"/>
          <w:color w:val="auto"/>
        </w:rPr>
      </w:pPr>
    </w:p>
    <w:p>
      <w:pPr>
        <w:ind w:firstLine="921"/>
        <w:spacing w:after="0" w:line="271" w:lineRule="auto"/>
        <w:tabs>
          <w:tab w:leader="none" w:pos="1228" w:val="left"/>
        </w:tabs>
        <w:numPr>
          <w:ilvl w:val="2"/>
          <w:numId w:val="258"/>
        </w:numPr>
        <w:rPr>
          <w:rFonts w:ascii="Arial" w:cs="Arial" w:eastAsia="Arial" w:hAnsi="Arial"/>
          <w:sz w:val="17"/>
          <w:szCs w:val="17"/>
          <w:b w:val="1"/>
          <w:bCs w:val="1"/>
          <w:color w:val="auto"/>
        </w:rPr>
      </w:pPr>
      <w:r>
        <w:rPr>
          <w:rFonts w:ascii="Arial" w:cs="Arial" w:eastAsia="Arial" w:hAnsi="Arial"/>
          <w:sz w:val="17"/>
          <w:szCs w:val="17"/>
          <w:color w:val="auto"/>
        </w:rPr>
        <w:t>A Ten Percent Stockholder shall not be granted a Restricted Stock Award or Stock Appreciation Right (if such award could be settled in shares of Common Stock), unless the purchase price of the restricted stock is at least (i) one hundred percent (100%) of the Fair Market Value of the Common Stock on the date of grant, or (ii) such lower percentage of the Fair Market Value of the Common Stock on the date of grant as is permitted by</w:t>
      </w: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260.140.42 of Title 10 of the California Code of Regulations at the time of the grant of the award.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312" w:name="page313"/>
    <w:bookmarkEnd w:id="312"/>
    <w:p>
      <w:pPr>
        <w:ind w:right="60" w:firstLine="464"/>
        <w:spacing w:after="0" w:line="258" w:lineRule="auto"/>
        <w:tabs>
          <w:tab w:leader="none" w:pos="701"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Consultants</w:t>
      </w:r>
      <w:r>
        <w:rPr>
          <w:rFonts w:ascii="Arial" w:cs="Arial" w:eastAsia="Arial" w:hAnsi="Arial"/>
          <w:sz w:val="18"/>
          <w:szCs w:val="18"/>
          <w:color w:val="auto"/>
        </w:rPr>
        <w:t>. A Consultant shall not be eligible for the grant of a Stock Award if, at the time of grant, either the offer or the sale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such Consultant is not exempt under Rule 701 of the Securities Act (“</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210" w:lineRule="exact"/>
        <w:rPr>
          <w:rFonts w:ascii="Arial" w:cs="Arial" w:eastAsia="Arial" w:hAnsi="Arial"/>
          <w:sz w:val="18"/>
          <w:szCs w:val="18"/>
          <w:b w:val="1"/>
          <w:bCs w:val="1"/>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PROVISIONS.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Each Option shall be in such form and shall contain such terms and conditions as the Board shall deem appropriate. All Options shall be separately</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designated Incentive Stock Options or Nonstatutory Stock Options at the time of grant, and, if certificates are issued, a separate certificate or certificates shall be issued for shares of Common Stock purchased on exercise of each type of Option. The provisions of separate Options need not be identical;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Option Agreement shall include (through incorporation of provisions hereof by reference in the Option or otherwise) the substance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 provisions:</w:t>
      </w:r>
    </w:p>
    <w:p>
      <w:pPr>
        <w:spacing w:after="0" w:line="78" w:lineRule="exact"/>
        <w:rPr>
          <w:sz w:val="20"/>
          <w:szCs w:val="20"/>
          <w:color w:val="auto"/>
        </w:rPr>
      </w:pPr>
    </w:p>
    <w:p>
      <w:pPr>
        <w:ind w:left="720" w:hanging="256"/>
        <w:spacing w:after="0"/>
        <w:tabs>
          <w:tab w:leader="none" w:pos="720" w:val="left"/>
        </w:tabs>
        <w:numPr>
          <w:ilvl w:val="1"/>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5(b) regarding Ten Percent Stockholders, no Option shall be exercisable after the expiration of ten</w:t>
      </w:r>
    </w:p>
    <w:p>
      <w:pPr>
        <w:spacing w:after="0" w:line="38" w:lineRule="exact"/>
        <w:rPr>
          <w:rFonts w:ascii="Arial" w:cs="Arial" w:eastAsia="Arial" w:hAnsi="Arial"/>
          <w:sz w:val="17"/>
          <w:szCs w:val="17"/>
          <w:b w:val="1"/>
          <w:bCs w:val="1"/>
          <w:color w:val="auto"/>
        </w:rPr>
      </w:pPr>
    </w:p>
    <w:p>
      <w:pPr>
        <w:ind w:left="360" w:hanging="352"/>
        <w:spacing w:after="0"/>
        <w:tabs>
          <w:tab w:leader="none" w:pos="3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years from the date of grant.</w:t>
      </w:r>
    </w:p>
    <w:p>
      <w:pPr>
        <w:spacing w:after="0" w:line="98" w:lineRule="exact"/>
        <w:rPr>
          <w:rFonts w:ascii="Arial" w:cs="Arial" w:eastAsia="Arial" w:hAnsi="Arial"/>
          <w:sz w:val="18"/>
          <w:szCs w:val="18"/>
          <w:color w:val="auto"/>
        </w:rPr>
      </w:pPr>
    </w:p>
    <w:p>
      <w:pPr>
        <w:ind w:right="200" w:firstLine="464"/>
        <w:spacing w:after="0" w:line="258" w:lineRule="auto"/>
        <w:tabs>
          <w:tab w:leader="none" w:pos="721"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 of an Incentive Stock Option</w:t>
      </w:r>
      <w:r>
        <w:rPr>
          <w:rFonts w:ascii="Arial" w:cs="Arial" w:eastAsia="Arial" w:hAnsi="Arial"/>
          <w:sz w:val="18"/>
          <w:szCs w:val="18"/>
          <w:color w:val="auto"/>
        </w:rPr>
        <w:t>. Subject to the provisions of Section 5(b) regarding Ten Percent Stockholders,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Incentive Stock Option shall be not less than one hundred percent (100%) of the Fair Market Value of the Common Stock subject to the Option on the date the Option is granted. Notwithstanding the foregoing, an Incentive Stock Option may be granted with an exercise price lower than that set forth in the preceding sentence if such Option is granted pursuant to an assumption or substitution for another option in a manner consistent with the provisions of Section 424(a) of the Code.</w:t>
      </w:r>
    </w:p>
    <w:p>
      <w:pPr>
        <w:spacing w:after="0" w:line="75" w:lineRule="exact"/>
        <w:rPr>
          <w:rFonts w:ascii="Arial" w:cs="Arial" w:eastAsia="Arial" w:hAnsi="Arial"/>
          <w:sz w:val="18"/>
          <w:szCs w:val="18"/>
          <w:b w:val="1"/>
          <w:bCs w:val="1"/>
          <w:color w:val="auto"/>
        </w:rPr>
      </w:pPr>
    </w:p>
    <w:p>
      <w:pPr>
        <w:ind w:firstLine="464"/>
        <w:spacing w:after="0" w:line="258" w:lineRule="auto"/>
        <w:tabs>
          <w:tab w:leader="none" w:pos="701"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 of a Nonstatutory Stock Option</w:t>
      </w:r>
      <w:r>
        <w:rPr>
          <w:rFonts w:ascii="Arial" w:cs="Arial" w:eastAsia="Arial" w:hAnsi="Arial"/>
          <w:sz w:val="18"/>
          <w:szCs w:val="18"/>
          <w:color w:val="auto"/>
        </w:rPr>
        <w:t>. Subject to the provisions of Section 5(b) regarding Ten Percent Stockholders,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Nonstatutory Stock Option shall be not less than one hundred percent (100%) of the Fair Market Value of the Common Stock subject to the Option on the date the Option is granted. Notwithstanding the foregoing, a Nonstatutory Stock Option may be granted with an exercise price lower than that set forth in the preceding sentence if such Option is granted pursuant to an assumption or substitution for another option in a manner consistent with the provisions of Section 424(a) of the Code.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9" w:right="239" w:bottom="1440" w:gutter="0" w:footer="0" w:header="0"/>
        </w:sectPr>
      </w:pPr>
    </w:p>
    <w:bookmarkStart w:id="313" w:name="page314"/>
    <w:bookmarkEnd w:id="313"/>
    <w:p>
      <w:pPr>
        <w:ind w:right="60" w:firstLine="464"/>
        <w:spacing w:after="0" w:line="303" w:lineRule="auto"/>
        <w:tabs>
          <w:tab w:leader="none" w:pos="721"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w:t>
      </w:r>
      <w:r>
        <w:rPr>
          <w:rFonts w:ascii="Arial" w:cs="Arial" w:eastAsia="Arial" w:hAnsi="Arial"/>
          <w:sz w:val="16"/>
          <w:szCs w:val="16"/>
          <w:color w:val="auto"/>
        </w:rPr>
        <w:t>. The purchase price of Common Stock acquired pursuant to the exercise of an Option shall be paid, to the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methods of payment permitted by this Section 6(d) are:</w:t>
      </w:r>
    </w:p>
    <w:p>
      <w:pPr>
        <w:spacing w:after="0" w:line="47" w:lineRule="exact"/>
        <w:rPr>
          <w:rFonts w:ascii="Arial" w:cs="Arial" w:eastAsia="Arial" w:hAnsi="Arial"/>
          <w:sz w:val="16"/>
          <w:szCs w:val="16"/>
          <w:b w:val="1"/>
          <w:bCs w:val="1"/>
          <w:color w:val="auto"/>
        </w:rPr>
      </w:pPr>
    </w:p>
    <w:p>
      <w:pPr>
        <w:ind w:left="1140" w:hanging="219"/>
        <w:spacing w:after="0"/>
        <w:tabs>
          <w:tab w:leader="none" w:pos="1140" w:val="left"/>
        </w:tabs>
        <w:numPr>
          <w:ilvl w:val="2"/>
          <w:numId w:val="263"/>
        </w:numPr>
        <w:rPr>
          <w:rFonts w:ascii="Arial" w:cs="Arial" w:eastAsia="Arial" w:hAnsi="Arial"/>
          <w:sz w:val="18"/>
          <w:szCs w:val="18"/>
          <w:b w:val="1"/>
          <w:bCs w:val="1"/>
          <w:color w:val="auto"/>
        </w:rPr>
      </w:pPr>
      <w:r>
        <w:rPr>
          <w:rFonts w:ascii="Arial" w:cs="Arial" w:eastAsia="Arial" w:hAnsi="Arial"/>
          <w:sz w:val="18"/>
          <w:szCs w:val="18"/>
          <w:color w:val="auto"/>
        </w:rPr>
        <w:t>by cash or check;</w:t>
      </w:r>
    </w:p>
    <w:p>
      <w:pPr>
        <w:spacing w:after="0" w:line="117" w:lineRule="exact"/>
        <w:rPr>
          <w:rFonts w:ascii="Arial" w:cs="Arial" w:eastAsia="Arial" w:hAnsi="Arial"/>
          <w:sz w:val="18"/>
          <w:szCs w:val="18"/>
          <w:b w:val="1"/>
          <w:bCs w:val="1"/>
          <w:color w:val="auto"/>
        </w:rPr>
      </w:pPr>
    </w:p>
    <w:p>
      <w:pPr>
        <w:ind w:right="320" w:firstLine="921"/>
        <w:spacing w:after="0" w:line="264" w:lineRule="auto"/>
        <w:tabs>
          <w:tab w:leader="none" w:pos="1178" w:val="left"/>
        </w:tabs>
        <w:numPr>
          <w:ilvl w:val="2"/>
          <w:numId w:val="263"/>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240" w:hanging="319"/>
        <w:spacing w:after="0"/>
        <w:tabs>
          <w:tab w:leader="none" w:pos="1240" w:val="left"/>
        </w:tabs>
        <w:numPr>
          <w:ilvl w:val="2"/>
          <w:numId w:val="263"/>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jc w:val="both"/>
        <w:ind w:firstLine="921"/>
        <w:spacing w:after="0" w:line="286" w:lineRule="auto"/>
        <w:tabs>
          <w:tab w:leader="none" w:pos="1218" w:val="left"/>
        </w:tabs>
        <w:numPr>
          <w:ilvl w:val="2"/>
          <w:numId w:val="263"/>
        </w:numPr>
        <w:rPr>
          <w:rFonts w:ascii="Arial" w:cs="Arial" w:eastAsia="Arial" w:hAnsi="Arial"/>
          <w:sz w:val="16"/>
          <w:szCs w:val="16"/>
          <w:b w:val="1"/>
          <w:bCs w:val="1"/>
          <w:color w:val="auto"/>
        </w:rPr>
      </w:pPr>
      <w:r>
        <w:rPr>
          <w:rFonts w:ascii="Arial" w:cs="Arial" w:eastAsia="Arial" w:hAnsi="Arial"/>
          <w:sz w:val="16"/>
          <w:szCs w:val="16"/>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Company shall accept a cash or other payment from the Participant to the extent of any remaining balance of the aggregate exercise price not satisfied by such holding back of whole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shares of Common Stock will no longer be outstanding under an Option and will not be exercisable thereafter to the extent that</w:t>
      </w:r>
    </w:p>
    <w:p>
      <w:pPr>
        <w:spacing w:after="0" w:line="1" w:lineRule="exact"/>
        <w:rPr>
          <w:rFonts w:ascii="Arial" w:cs="Arial" w:eastAsia="Arial" w:hAnsi="Arial"/>
          <w:sz w:val="16"/>
          <w:szCs w:val="16"/>
          <w:b w:val="1"/>
          <w:bCs w:val="1"/>
          <w:color w:val="auto"/>
        </w:rPr>
      </w:pPr>
    </w:p>
    <w:p>
      <w:pPr>
        <w:ind w:left="220" w:hanging="212"/>
        <w:spacing w:after="0"/>
        <w:tabs>
          <w:tab w:leader="none" w:pos="2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shares are used to pay the exercise price pursuant to the “net exercise,” (ii) shares are delivered to the Participant as a result of such exercise, and</w:t>
      </w:r>
    </w:p>
    <w:p>
      <w:pPr>
        <w:spacing w:after="0" w:line="21" w:lineRule="exact"/>
        <w:rPr>
          <w:sz w:val="20"/>
          <w:szCs w:val="20"/>
          <w:color w:val="auto"/>
        </w:rPr>
      </w:pPr>
    </w:p>
    <w:p>
      <w:pPr>
        <w:ind w:left="320" w:hanging="312"/>
        <w:spacing w:after="0"/>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shares are withheld to satisfy tax withholding obligations;</w:t>
      </w:r>
    </w:p>
    <w:p>
      <w:pPr>
        <w:spacing w:after="0" w:line="102" w:lineRule="exact"/>
        <w:rPr>
          <w:rFonts w:ascii="Arial" w:cs="Arial" w:eastAsia="Arial" w:hAnsi="Arial"/>
          <w:sz w:val="18"/>
          <w:szCs w:val="18"/>
          <w:color w:val="auto"/>
        </w:rPr>
      </w:pPr>
    </w:p>
    <w:p>
      <w:pPr>
        <w:jc w:val="both"/>
        <w:ind w:right="440" w:firstLine="921"/>
        <w:spacing w:after="0" w:line="259" w:lineRule="auto"/>
        <w:tabs>
          <w:tab w:leader="none" w:pos="1168" w:val="left"/>
        </w:tabs>
        <w:numPr>
          <w:ilvl w:val="2"/>
          <w:numId w:val="265"/>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interest shall compound at least annually and shall be charged at the minimum rate of interest necessary to avoid (i) the imputation of interest income to the Company and compensation income to the Optionholder under any applicable provisions of the Code, and (ii) the classification of the Option as a liability for financial accounting purposes; or</w:t>
      </w:r>
    </w:p>
    <w:p>
      <w:pPr>
        <w:spacing w:after="0" w:line="78" w:lineRule="exact"/>
        <w:rPr>
          <w:rFonts w:ascii="Arial" w:cs="Arial" w:eastAsia="Arial" w:hAnsi="Arial"/>
          <w:sz w:val="18"/>
          <w:szCs w:val="18"/>
          <w:b w:val="1"/>
          <w:bCs w:val="1"/>
          <w:color w:val="auto"/>
        </w:rPr>
      </w:pPr>
    </w:p>
    <w:p>
      <w:pPr>
        <w:ind w:left="1220" w:hanging="299"/>
        <w:spacing w:after="0"/>
        <w:tabs>
          <w:tab w:leader="none" w:pos="1220" w:val="left"/>
        </w:tabs>
        <w:numPr>
          <w:ilvl w:val="2"/>
          <w:numId w:val="265"/>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113" w:lineRule="exact"/>
        <w:rPr>
          <w:rFonts w:ascii="Arial" w:cs="Arial" w:eastAsia="Arial" w:hAnsi="Arial"/>
          <w:sz w:val="18"/>
          <w:szCs w:val="18"/>
          <w:b w:val="1"/>
          <w:bCs w:val="1"/>
          <w:color w:val="auto"/>
        </w:rPr>
      </w:pPr>
    </w:p>
    <w:p>
      <w:pPr>
        <w:ind w:right="480" w:firstLine="464"/>
        <w:spacing w:after="0" w:line="347" w:lineRule="auto"/>
        <w:tabs>
          <w:tab w:leader="none" w:pos="701" w:val="left"/>
        </w:tabs>
        <w:numPr>
          <w:ilvl w:val="1"/>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 of Options</w:t>
      </w:r>
      <w:r>
        <w:rPr>
          <w:rFonts w:ascii="Arial" w:cs="Arial" w:eastAsia="Arial" w:hAnsi="Arial"/>
          <w:sz w:val="16"/>
          <w:szCs w:val="16"/>
          <w:color w:val="auto"/>
        </w:rPr>
        <w:t>. 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8" w:lineRule="exact"/>
        <w:rPr>
          <w:rFonts w:ascii="Arial" w:cs="Arial" w:eastAsia="Arial" w:hAnsi="Arial"/>
          <w:sz w:val="16"/>
          <w:szCs w:val="16"/>
          <w:b w:val="1"/>
          <w:bCs w:val="1"/>
          <w:color w:val="auto"/>
        </w:rPr>
      </w:pPr>
    </w:p>
    <w:p>
      <w:pPr>
        <w:ind w:right="800" w:firstLine="921"/>
        <w:spacing w:after="0" w:line="282" w:lineRule="auto"/>
        <w:tabs>
          <w:tab w:leader="none" w:pos="1128" w:val="left"/>
        </w:tabs>
        <w:numPr>
          <w:ilvl w:val="2"/>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shall not be transferable except by will or by the laws of descent and distribution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during the lifetime of the Optionholder only by the Optionholder.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314" w:name="page315"/>
    <w:bookmarkEnd w:id="314"/>
    <w:p>
      <w:pPr>
        <w:ind w:right="140" w:firstLine="921"/>
        <w:spacing w:after="0" w:line="347" w:lineRule="auto"/>
        <w:tabs>
          <w:tab w:leader="none" w:pos="1178" w:val="left"/>
        </w:tabs>
        <w:numPr>
          <w:ilvl w:val="1"/>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Domestic Relations Orders</w:t>
      </w:r>
      <w:r>
        <w:rPr>
          <w:rFonts w:ascii="Arial" w:cs="Arial" w:eastAsia="Arial" w:hAnsi="Arial"/>
          <w:sz w:val="16"/>
          <w:szCs w:val="16"/>
          <w:color w:val="auto"/>
        </w:rPr>
        <w:t>. Notwithstanding the foregoing, an Option may be transferred pursuant to a domestic relations order;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 Option is an Incentive Stock Option, such Option shall be deemed to be a Nonstatutory Stock Option as a result of such transfer.</w:t>
      </w:r>
    </w:p>
    <w:p>
      <w:pPr>
        <w:spacing w:after="0" w:line="8" w:lineRule="exact"/>
        <w:rPr>
          <w:rFonts w:ascii="Arial" w:cs="Arial" w:eastAsia="Arial" w:hAnsi="Arial"/>
          <w:sz w:val="16"/>
          <w:szCs w:val="16"/>
          <w:b w:val="1"/>
          <w:bCs w:val="1"/>
          <w:color w:val="auto"/>
        </w:rPr>
      </w:pPr>
    </w:p>
    <w:p>
      <w:pPr>
        <w:ind w:right="60" w:firstLine="921"/>
        <w:spacing w:after="0" w:line="314" w:lineRule="auto"/>
        <w:tabs>
          <w:tab w:leader="none" w:pos="1228" w:val="left"/>
        </w:tabs>
        <w:numPr>
          <w:ilvl w:val="1"/>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Beneficiary Designation</w:t>
      </w:r>
      <w:r>
        <w:rPr>
          <w:rFonts w:ascii="Arial" w:cs="Arial" w:eastAsia="Arial" w:hAnsi="Arial"/>
          <w:sz w:val="16"/>
          <w:szCs w:val="16"/>
          <w:color w:val="auto"/>
        </w:rPr>
        <w:t>. Notwithstanding the foregoing, the Optionholder may, by delivering written notice to the Company,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or otherwise satisfactory to the Company, designate a third party who, in the event of the death of the Optionholder, shall thereafter be entitled to exercise the Option. In the absence of such a designation, the executor or administrator of the Optionholder’s estate shall be entitled to exercise the Option.</w:t>
      </w:r>
    </w:p>
    <w:p>
      <w:pPr>
        <w:spacing w:after="0" w:line="34" w:lineRule="exact"/>
        <w:rPr>
          <w:rFonts w:ascii="Arial" w:cs="Arial" w:eastAsia="Arial" w:hAnsi="Arial"/>
          <w:sz w:val="16"/>
          <w:szCs w:val="16"/>
          <w:b w:val="1"/>
          <w:bCs w:val="1"/>
          <w:color w:val="auto"/>
        </w:rPr>
      </w:pPr>
    </w:p>
    <w:p>
      <w:pPr>
        <w:ind w:firstLine="464"/>
        <w:spacing w:after="0" w:line="258" w:lineRule="auto"/>
        <w:tabs>
          <w:tab w:leader="none" w:pos="681"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Options Generally</w:t>
      </w:r>
      <w:r>
        <w:rPr>
          <w:rFonts w:ascii="Arial" w:cs="Arial" w:eastAsia="Arial" w:hAnsi="Arial"/>
          <w:sz w:val="18"/>
          <w:szCs w:val="18"/>
          <w:color w:val="auto"/>
        </w:rPr>
        <w:t>. The total number of shares of Common Stock subject to an Option may vest and therefore become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installments that may or may not be equal. The Option may be subject to such other terms and conditions on the time or times when it may or may not be exercised (which may be based on performance or other criteria) as the Board may deem appropriate. The vesting provisions of individual Options may vary. The provisions of this Section 6(f) are subject to any Option provisions governing the minimum number of shares of Common Stock as to which an Option may be exercised.</w:t>
      </w:r>
    </w:p>
    <w:p>
      <w:pPr>
        <w:spacing w:after="0" w:line="75" w:lineRule="exact"/>
        <w:rPr>
          <w:rFonts w:ascii="Arial" w:cs="Arial" w:eastAsia="Arial" w:hAnsi="Arial"/>
          <w:sz w:val="18"/>
          <w:szCs w:val="18"/>
          <w:b w:val="1"/>
          <w:bCs w:val="1"/>
          <w:color w:val="auto"/>
        </w:rPr>
      </w:pPr>
    </w:p>
    <w:p>
      <w:pPr>
        <w:ind w:left="720" w:hanging="256"/>
        <w:spacing w:after="0"/>
        <w:tabs>
          <w:tab w:leader="none" w:pos="72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Minimum Vesting</w:t>
      </w:r>
      <w:r>
        <w:rPr>
          <w:rFonts w:ascii="Arial" w:cs="Arial" w:eastAsia="Arial" w:hAnsi="Arial"/>
          <w:sz w:val="18"/>
          <w:szCs w:val="18"/>
          <w:color w:val="auto"/>
        </w:rPr>
        <w:t>. Notwithstanding the foregoing Section 6(f), to the extent that the following restrictions on vesting are required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260.140.41(f) of Title 10 of the California Code of Regulations at the time of the grant of the Option, then:</w:t>
      </w:r>
    </w:p>
    <w:p>
      <w:pPr>
        <w:spacing w:after="0" w:line="103" w:lineRule="exact"/>
        <w:rPr>
          <w:sz w:val="20"/>
          <w:szCs w:val="20"/>
          <w:color w:val="auto"/>
        </w:rPr>
      </w:pPr>
    </w:p>
    <w:p>
      <w:pPr>
        <w:ind w:right="200" w:firstLine="921"/>
        <w:spacing w:after="0" w:line="264" w:lineRule="auto"/>
        <w:tabs>
          <w:tab w:leader="none" w:pos="1128"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Options granted to an Employee who is not an Officer, Director or Consultant shall provide for vesting of the total number of shares of Common Stock at a rate of at least twenty percent (20%) per year over five (5) years from the date the Option was granted, subject to reasonable conditions such as continued employment; and</w:t>
      </w:r>
    </w:p>
    <w:p>
      <w:pPr>
        <w:spacing w:after="0" w:line="73" w:lineRule="exact"/>
        <w:rPr>
          <w:rFonts w:ascii="Arial" w:cs="Arial" w:eastAsia="Arial" w:hAnsi="Arial"/>
          <w:sz w:val="18"/>
          <w:szCs w:val="18"/>
          <w:b w:val="1"/>
          <w:bCs w:val="1"/>
          <w:color w:val="auto"/>
        </w:rPr>
      </w:pPr>
    </w:p>
    <w:p>
      <w:pPr>
        <w:ind w:right="460" w:firstLine="921"/>
        <w:spacing w:after="0" w:line="277" w:lineRule="auto"/>
        <w:tabs>
          <w:tab w:leader="none" w:pos="1178"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Options granted to Officers, Directors or Consultants may be made fully exercisable, subject to reasonable conditions such as continued employment, at any time or during any period established by the Company.</w:t>
      </w:r>
    </w:p>
    <w:p>
      <w:pPr>
        <w:spacing w:after="0" w:line="58" w:lineRule="exact"/>
        <w:rPr>
          <w:rFonts w:ascii="Arial" w:cs="Arial" w:eastAsia="Arial" w:hAnsi="Arial"/>
          <w:sz w:val="18"/>
          <w:szCs w:val="18"/>
          <w:b w:val="1"/>
          <w:bCs w:val="1"/>
          <w:color w:val="auto"/>
        </w:rPr>
      </w:pPr>
    </w:p>
    <w:p>
      <w:pPr>
        <w:ind w:right="60" w:firstLine="464"/>
        <w:spacing w:after="0" w:line="295" w:lineRule="auto"/>
        <w:tabs>
          <w:tab w:leader="none" w:pos="721"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that an Optionholder’s Continuous Service terminates (other than upon the Optionholder’s death</w:t>
      </w:r>
      <w:r>
        <w:rPr>
          <w:rFonts w:ascii="Arial" w:cs="Arial" w:eastAsia="Arial" w:hAnsi="Arial"/>
          <w:sz w:val="16"/>
          <w:szCs w:val="16"/>
          <w:b w:val="1"/>
          <w:bCs w:val="1"/>
          <w:color w:val="auto"/>
        </w:rPr>
        <w:t xml:space="preserve"> </w:t>
      </w:r>
      <w:r>
        <w:rPr>
          <w:rFonts w:ascii="Arial" w:cs="Arial" w:eastAsia="Arial" w:hAnsi="Arial"/>
          <w:sz w:val="16"/>
          <w:szCs w:val="16"/>
          <w:color w:val="auto"/>
        </w:rPr>
        <w:t>or Disability), the Optionholder may exercise his or her Option (to the extent that the Optionholder was entitled to exercise such Option as of the date of termination of Continuous Service) but only within such period of time ending on the earlier of (i) the date three (3) months following the termination of the Optionholder’ s Continuous Service (or such longer or shorter period specified in the Option Agreement, which period shall not be less than thirty (30) days),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315" w:name="page316"/>
    <w:bookmarkEnd w:id="315"/>
    <w:p>
      <w:pPr>
        <w:ind w:left="-8" w:firstLine="464"/>
        <w:spacing w:after="0" w:line="289" w:lineRule="auto"/>
        <w:tabs>
          <w:tab w:leader="none" w:pos="663" w:val="left"/>
        </w:tabs>
        <w:numPr>
          <w:ilvl w:val="1"/>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 of Termination Date</w:t>
      </w:r>
      <w:r>
        <w:rPr>
          <w:rFonts w:ascii="Arial" w:cs="Arial" w:eastAsia="Arial" w:hAnsi="Arial"/>
          <w:sz w:val="16"/>
          <w:szCs w:val="16"/>
          <w:color w:val="auto"/>
        </w:rPr>
        <w:t>. An Optionholder’s Option Agreement may also provide that if the exercise of the Option following the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Optionholder’s Continuous Service (other than upon the Optionholder’s death or Disability) would be prohibited at any time solely because the issuance of shares of Common Stock would violate the registration requirements under the Securities Act, then the Option shall terminate on the earlier of</w:t>
      </w:r>
    </w:p>
    <w:p>
      <w:pPr>
        <w:spacing w:after="0" w:line="1" w:lineRule="exact"/>
        <w:rPr>
          <w:rFonts w:ascii="Arial" w:cs="Arial" w:eastAsia="Arial" w:hAnsi="Arial"/>
          <w:sz w:val="16"/>
          <w:szCs w:val="16"/>
          <w:b w:val="1"/>
          <w:bCs w:val="1"/>
          <w:color w:val="auto"/>
        </w:rPr>
      </w:pPr>
    </w:p>
    <w:p>
      <w:pPr>
        <w:ind w:left="-8" w:right="480" w:firstLine="8"/>
        <w:spacing w:after="0" w:line="323" w:lineRule="auto"/>
        <w:tabs>
          <w:tab w:leader="none" w:pos="20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expiration of a period of three (3) months after the termination of the Optionholder’s Continuous Service during which the exercise of the Option would not be in violation of such registration requirements, or (ii) the expiration of the term of the Option as set forth in the Option Agreement.</w:t>
      </w:r>
    </w:p>
    <w:p>
      <w:pPr>
        <w:spacing w:after="0" w:line="26" w:lineRule="exact"/>
        <w:rPr>
          <w:rFonts w:ascii="Arial" w:cs="Arial" w:eastAsia="Arial" w:hAnsi="Arial"/>
          <w:sz w:val="16"/>
          <w:szCs w:val="16"/>
          <w:color w:val="auto"/>
        </w:rPr>
      </w:pPr>
    </w:p>
    <w:p>
      <w:pPr>
        <w:ind w:left="-8" w:right="220" w:firstLine="464"/>
        <w:spacing w:after="0" w:line="295" w:lineRule="auto"/>
        <w:tabs>
          <w:tab w:leader="none" w:pos="673" w:val="left"/>
        </w:tabs>
        <w:numPr>
          <w:ilvl w:val="1"/>
          <w:numId w:val="272"/>
        </w:numPr>
        <w:rPr>
          <w:rFonts w:ascii="Arial" w:cs="Arial" w:eastAsia="Arial" w:hAnsi="Arial"/>
          <w:sz w:val="16"/>
          <w:szCs w:val="16"/>
          <w:b w:val="1"/>
          <w:bCs w:val="1"/>
          <w:color w:val="auto"/>
        </w:rPr>
      </w:pPr>
      <w:r>
        <w:rPr>
          <w:rFonts w:ascii="Arial" w:cs="Arial" w:eastAsia="Arial" w:hAnsi="Arial"/>
          <w:sz w:val="16"/>
          <w:szCs w:val="16"/>
          <w:b w:val="1"/>
          <w:bCs w:val="1"/>
          <w:color w:val="auto"/>
        </w:rPr>
        <w:t>Disability of Optionholder</w:t>
      </w:r>
      <w:r>
        <w:rPr>
          <w:rFonts w:ascii="Arial" w:cs="Arial" w:eastAsia="Arial" w:hAnsi="Arial"/>
          <w:sz w:val="16"/>
          <w:szCs w:val="16"/>
          <w:color w:val="auto"/>
        </w:rPr>
        <w:t>. In the event that an Optionholder’s Continuous Service terminates as a result of the Optionholder’s Disability,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 may exercise his or her Option (to the extent that the Optionholder was entitled to exercise such Option as of the date of termination of Continuous Service), but only within such period of time ending on the earlier of (i) the date twelve (12) months following such termination of Continuous Service (or such longer or shorter period specified in the Option Agreement, which period shall not be less than six (6) months),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47" w:lineRule="exact"/>
        <w:rPr>
          <w:rFonts w:ascii="Arial" w:cs="Arial" w:eastAsia="Arial" w:hAnsi="Arial"/>
          <w:sz w:val="16"/>
          <w:szCs w:val="16"/>
          <w:b w:val="1"/>
          <w:bCs w:val="1"/>
          <w:color w:val="auto"/>
        </w:rPr>
      </w:pPr>
    </w:p>
    <w:p>
      <w:pPr>
        <w:ind w:left="-8" w:right="20" w:firstLine="464"/>
        <w:spacing w:after="0" w:line="272" w:lineRule="auto"/>
        <w:tabs>
          <w:tab w:leader="none" w:pos="713" w:val="left"/>
        </w:tabs>
        <w:numPr>
          <w:ilvl w:val="1"/>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Death of Optionholder</w:t>
      </w:r>
      <w:r>
        <w:rPr>
          <w:rFonts w:ascii="Arial" w:cs="Arial" w:eastAsia="Arial" w:hAnsi="Arial"/>
          <w:sz w:val="17"/>
          <w:szCs w:val="17"/>
          <w:color w:val="auto"/>
        </w:rPr>
        <w:t>. In the event that (i) an Optionholder’s Continuous Service terminates as a result of the Optionholder’s death or (ii)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 s death pursuant to Section 6(e)(iii), but only within the period ending on the earlier of (i) the date eighteen (18) months following the date of death (or such longer or shorter period specified in the Option Agreement, which period shall not be less than six (6) months), or (ii) the expiration of the term of such Option as set forth in the Option Agreement. If, after the Optionholder’s death, the Option is not exercised within the time specified herein or in the Option Agreement (as applicable), the Option shall terminate.</w:t>
      </w:r>
    </w:p>
    <w:p>
      <w:pPr>
        <w:spacing w:after="0" w:line="64" w:lineRule="exact"/>
        <w:rPr>
          <w:rFonts w:ascii="Arial" w:cs="Arial" w:eastAsia="Arial" w:hAnsi="Arial"/>
          <w:sz w:val="17"/>
          <w:szCs w:val="17"/>
          <w:b w:val="1"/>
          <w:bCs w:val="1"/>
          <w:color w:val="auto"/>
        </w:rPr>
      </w:pPr>
    </w:p>
    <w:p>
      <w:pPr>
        <w:ind w:left="-8" w:right="60" w:firstLine="464"/>
        <w:spacing w:after="0" w:line="255" w:lineRule="auto"/>
        <w:tabs>
          <w:tab w:leader="none" w:pos="663" w:val="left"/>
        </w:tabs>
        <w:numPr>
          <w:ilvl w:val="1"/>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Early Exercise</w:t>
      </w:r>
      <w:r>
        <w:rPr>
          <w:rFonts w:ascii="Arial" w:cs="Arial" w:eastAsia="Arial" w:hAnsi="Arial"/>
          <w:sz w:val="18"/>
          <w:szCs w:val="18"/>
          <w:color w:val="auto"/>
        </w:rPr>
        <w:t>. The Option may include a provision whereby the Optionholder may elect at any time before the Optionholder’ s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to exercise the Option as to any part or all of the shares of Common Stock subject to the Option prior to the full vesting of the Option. Subject to the “Repurchase Limitation” in Section 9(i), any unvested shares of Common Stock so purchased may be subject to a repurchase option in favor of the Company or to any other restriction the Board determines to be appropriate. Provided that the “Repurchase Limitation” in Section 9(i) is not violated, the Company shall not be required to exercise its repurchase option until at least six (6) months (or such longer or shorter period of time necessary to avoid a charge to earnings for financial accounting purposes) have elapsed following exercise of the Option unless the Board otherwise specifically provides in the Option Agreement.</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69" w:right="239" w:bottom="1440" w:gutter="0" w:footer="0" w:header="0"/>
        </w:sectPr>
      </w:pPr>
    </w:p>
    <w:bookmarkStart w:id="316" w:name="page317"/>
    <w:bookmarkEnd w:id="316"/>
    <w:p>
      <w:pPr>
        <w:ind w:left="-8" w:firstLine="464"/>
        <w:spacing w:after="0" w:line="277" w:lineRule="auto"/>
        <w:tabs>
          <w:tab w:leader="none" w:pos="763" w:val="left"/>
        </w:tabs>
        <w:numPr>
          <w:ilvl w:val="1"/>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Repurchase</w:t>
      </w:r>
      <w:r>
        <w:rPr>
          <w:rFonts w:ascii="Arial" w:cs="Arial" w:eastAsia="Arial" w:hAnsi="Arial"/>
          <w:sz w:val="17"/>
          <w:szCs w:val="17"/>
          <w:color w:val="auto"/>
        </w:rPr>
        <w:t>. Subject to the “Repurchase Limitation” in Section 9(i), the Option may include a provision whereby the Company may elect</w:t>
      </w:r>
      <w:r>
        <w:rPr>
          <w:rFonts w:ascii="Arial" w:cs="Arial" w:eastAsia="Arial" w:hAnsi="Arial"/>
          <w:sz w:val="17"/>
          <w:szCs w:val="17"/>
          <w:b w:val="1"/>
          <w:bCs w:val="1"/>
          <w:color w:val="auto"/>
        </w:rPr>
        <w:t xml:space="preserve"> </w:t>
      </w:r>
      <w:r>
        <w:rPr>
          <w:rFonts w:ascii="Arial" w:cs="Arial" w:eastAsia="Arial" w:hAnsi="Arial"/>
          <w:sz w:val="17"/>
          <w:szCs w:val="17"/>
          <w:color w:val="auto"/>
        </w:rPr>
        <w:t>to repurchase all or any part of the vested shares of Common Stock acquired by the Optionholder pursuant to the exercise of the Option. Provided that the “Repurchase Limitation” in Section 9(i) is not violated, the Company shall not be required to exercise its repurchase option until at least six (6) months (or such longer or shorter period of time necessary to avoid classification of the Option as a liability for financial accounting purposes) have elapsed following exercise of the Option unless otherwise specifically provided in the Option Agreement.</w:t>
      </w:r>
    </w:p>
    <w:p>
      <w:pPr>
        <w:spacing w:after="0" w:line="60" w:lineRule="exact"/>
        <w:rPr>
          <w:rFonts w:ascii="Arial" w:cs="Arial" w:eastAsia="Arial" w:hAnsi="Arial"/>
          <w:sz w:val="17"/>
          <w:szCs w:val="17"/>
          <w:b w:val="1"/>
          <w:bCs w:val="1"/>
          <w:color w:val="auto"/>
        </w:rPr>
      </w:pPr>
    </w:p>
    <w:p>
      <w:pPr>
        <w:ind w:left="-8" w:firstLine="464"/>
        <w:spacing w:after="0" w:line="256" w:lineRule="auto"/>
        <w:tabs>
          <w:tab w:leader="none" w:pos="713" w:val="left"/>
        </w:tabs>
        <w:numPr>
          <w:ilvl w:val="1"/>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may include a provision whereby the Company may elect to exercise a right of first refusal following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notice from the Optionholder of the intent to transfer all or any part of the shares of Common Stock received upon the exercise of the Option. Except as expressly provided in this Section 6(n) or in the Stock Award Agreement for the Option, such right of first refusal shall otherwise comply with any applicable provisions of the Bylaws of the Company. The Company will not exercise its right of first refusal until at least six (6) months (or such longer or shorter period of time necessary to avoid classification of the Option as a liability for financial accounting purposes) have elapsed following exercise of the Option unless otherwise specifically provided in the Option Agreement.</w:t>
      </w:r>
    </w:p>
    <w:p>
      <w:pPr>
        <w:spacing w:after="0" w:line="214" w:lineRule="exact"/>
        <w:rPr>
          <w:rFonts w:ascii="Arial" w:cs="Arial" w:eastAsia="Arial" w:hAnsi="Arial"/>
          <w:sz w:val="18"/>
          <w:szCs w:val="18"/>
          <w:b w:val="1"/>
          <w:bCs w:val="1"/>
          <w:color w:val="auto"/>
        </w:rPr>
      </w:pPr>
    </w:p>
    <w:p>
      <w:pPr>
        <w:ind w:left="452" w:hanging="452"/>
        <w:spacing w:after="0"/>
        <w:tabs>
          <w:tab w:leader="none" w:pos="452"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w:t>
      </w:r>
    </w:p>
    <w:p>
      <w:pPr>
        <w:spacing w:after="0" w:line="117" w:lineRule="exact"/>
        <w:rPr>
          <w:rFonts w:ascii="Arial" w:cs="Arial" w:eastAsia="Arial" w:hAnsi="Arial"/>
          <w:sz w:val="18"/>
          <w:szCs w:val="18"/>
          <w:b w:val="1"/>
          <w:bCs w:val="1"/>
          <w:color w:val="auto"/>
        </w:rPr>
      </w:pPr>
    </w:p>
    <w:p>
      <w:pPr>
        <w:ind w:left="-8" w:right="40" w:firstLine="464"/>
        <w:spacing w:after="0" w:line="295" w:lineRule="auto"/>
        <w:tabs>
          <w:tab w:leader="none" w:pos="703" w:val="left"/>
        </w:tabs>
        <w:numPr>
          <w:ilvl w:val="1"/>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Award Agreement shall be in such form and shall contain such terms and conditions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deem appropriate. At the Board’s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the Restricted Stock Award agreements may change from time to time, and the terms and conditions of separate Restricted Stock Award agreements need not be identical;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Restricted Stock Award agreement shall include (through incorporation of the provisions hereof by reference in the agreement or otherwise) the substance of each of the following provisions:</w:t>
      </w:r>
    </w:p>
    <w:p>
      <w:pPr>
        <w:spacing w:after="0" w:line="47" w:lineRule="exact"/>
        <w:rPr>
          <w:rFonts w:ascii="Arial" w:cs="Arial" w:eastAsia="Arial" w:hAnsi="Arial"/>
          <w:sz w:val="16"/>
          <w:szCs w:val="16"/>
          <w:b w:val="1"/>
          <w:bCs w:val="1"/>
          <w:color w:val="auto"/>
        </w:rPr>
      </w:pPr>
    </w:p>
    <w:p>
      <w:pPr>
        <w:ind w:left="-8" w:right="20" w:firstLine="921"/>
        <w:spacing w:after="0" w:line="298" w:lineRule="auto"/>
        <w:tabs>
          <w:tab w:leader="none" w:pos="1120" w:val="left"/>
        </w:tabs>
        <w:numPr>
          <w:ilvl w:val="2"/>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w:t>
      </w:r>
      <w:r>
        <w:rPr>
          <w:rFonts w:ascii="Arial" w:cs="Arial" w:eastAsia="Arial" w:hAnsi="Arial"/>
          <w:sz w:val="16"/>
          <w:szCs w:val="16"/>
          <w:color w:val="auto"/>
        </w:rPr>
        <w:t>. At the time of the grant of a Restricted Stock Award, the Board will determine the price to be paid by the Participant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share subject to the Restricted Stock Award. Subject to the provisions of Section 5(b) regarding Ten Percent Stockholders and to the extent required by applicable law, the price to be paid by the Participant for each share subject to the Restricted Stock Award shall not be less than eighty-five percent (85%) of the Common Stock’s Fair Market Value on the date such award is made or at the time the purchase is consummated. Notwithstanding the foregoing, a Restricted Stock Award may be awarded as a stock bonus (</w:t>
      </w:r>
      <w:r>
        <w:rPr>
          <w:rFonts w:ascii="Arial" w:cs="Arial" w:eastAsia="Arial" w:hAnsi="Arial"/>
          <w:sz w:val="16"/>
          <w:szCs w:val="16"/>
          <w:i w:val="1"/>
          <w:iCs w:val="1"/>
          <w:color w:val="auto"/>
        </w:rPr>
        <w:t>i.e</w:t>
      </w:r>
      <w:r>
        <w:rPr>
          <w:rFonts w:ascii="Arial" w:cs="Arial" w:eastAsia="Arial" w:hAnsi="Arial"/>
          <w:sz w:val="16"/>
          <w:szCs w:val="16"/>
          <w:color w:val="auto"/>
        </w:rPr>
        <w:t>., with no cash purchase price to be paid) to the extent permissible under applicable law.</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0" w:right="259" w:bottom="1440" w:gutter="0" w:footer="0" w:header="0"/>
        </w:sectPr>
      </w:pPr>
    </w:p>
    <w:bookmarkStart w:id="317" w:name="page318"/>
    <w:bookmarkEnd w:id="317"/>
    <w:p>
      <w:pPr>
        <w:ind w:right="20" w:firstLine="921"/>
        <w:spacing w:after="0" w:line="258" w:lineRule="auto"/>
        <w:tabs>
          <w:tab w:leader="none" w:pos="1178"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w:t>
      </w:r>
      <w:r>
        <w:rPr>
          <w:rFonts w:ascii="Arial" w:cs="Arial" w:eastAsia="Arial" w:hAnsi="Arial"/>
          <w:sz w:val="18"/>
          <w:szCs w:val="18"/>
          <w:color w:val="auto"/>
        </w:rPr>
        <w:t>. At the time of the grant of a Restricted Stock Award, the Board will determine the consideration permissible for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 price of the Restricted Stock Award. The purchase price of Common Stock acquired pursuant to the Restricted Stock Award shall be paid either: (i) in cash or by check at the time of purchase; (ii) at the discretion of the Board, according to a deferred payment or other similar arrangement with the Participant; (iii) by past or future services rendered to the Company or an Affiliate; or (iv) in any other form of legal consideration that may be acceptable to the Board in its sole discretion and permissible under applicable law.</w:t>
      </w:r>
    </w:p>
    <w:p>
      <w:pPr>
        <w:spacing w:after="0" w:line="75" w:lineRule="exact"/>
        <w:rPr>
          <w:rFonts w:ascii="Arial" w:cs="Arial" w:eastAsia="Arial" w:hAnsi="Arial"/>
          <w:sz w:val="18"/>
          <w:szCs w:val="18"/>
          <w:b w:val="1"/>
          <w:bCs w:val="1"/>
          <w:color w:val="auto"/>
        </w:rPr>
      </w:pPr>
    </w:p>
    <w:p>
      <w:pPr>
        <w:ind w:right="160" w:firstLine="921"/>
        <w:spacing w:after="0" w:line="313" w:lineRule="auto"/>
        <w:tabs>
          <w:tab w:leader="none" w:pos="1225" w:val="left"/>
        </w:tabs>
        <w:numPr>
          <w:ilvl w:val="1"/>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9(i), shares of Common Stock acquired under a Restricted Stock Award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 share repurchase right or option in favor of the Company in accordance with a vesting schedule to be determined by the Board.</w:t>
      </w:r>
    </w:p>
    <w:p>
      <w:pPr>
        <w:spacing w:after="0" w:line="30" w:lineRule="exact"/>
        <w:rPr>
          <w:rFonts w:ascii="Arial" w:cs="Arial" w:eastAsia="Arial" w:hAnsi="Arial"/>
          <w:sz w:val="17"/>
          <w:szCs w:val="17"/>
          <w:b w:val="1"/>
          <w:bCs w:val="1"/>
          <w:color w:val="auto"/>
        </w:rPr>
      </w:pPr>
    </w:p>
    <w:p>
      <w:pPr>
        <w:ind w:right="140" w:firstLine="921"/>
        <w:spacing w:after="0" w:line="254" w:lineRule="auto"/>
        <w:tabs>
          <w:tab w:leader="none" w:pos="1218"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Subject to the “Repurchase Limitation” in Section 9(i), in the event that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terminates, the Company shall have the right, but not the obligation, to repurchase or otherwise reacquire, any or all of the shares of Common Stock held by the Participant that have not vested as of the date of termination under the terms of the Restricted Stock Award agreement. At the Board’s election, the price paid for all shares of Common Stock so repurchased or reacquired by the Company may be at the lesser of (i) the Fair Market Value on the relevant date, or (ii) the Participant’s original cost for such shares. Provided that the “Repurchase Limitation” in Section 9(i) is not violated, the Company shall not be required to exercise its repurchase or reacquisition option until at least six (6) months (or such longer or shorter period of time necessary to avoid classification of the Restricted Stock Award as a liability for financial accounting purposes) have elapsed following the Participant’s purchase of the shares acquired pursuant to the Restricted Stock Award unless otherwise determined by the Board or provided in the Restricted Stock Award Agreement.</w:t>
      </w:r>
    </w:p>
    <w:p>
      <w:pPr>
        <w:spacing w:after="0" w:line="81" w:lineRule="exact"/>
        <w:rPr>
          <w:rFonts w:ascii="Arial" w:cs="Arial" w:eastAsia="Arial" w:hAnsi="Arial"/>
          <w:sz w:val="18"/>
          <w:szCs w:val="18"/>
          <w:b w:val="1"/>
          <w:bCs w:val="1"/>
          <w:color w:val="auto"/>
        </w:rPr>
      </w:pPr>
    </w:p>
    <w:p>
      <w:pPr>
        <w:ind w:right="320" w:firstLine="921"/>
        <w:spacing w:after="0" w:line="347" w:lineRule="auto"/>
        <w:tabs>
          <w:tab w:leader="none" w:pos="1168"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r>
        <w:rPr>
          <w:rFonts w:ascii="Arial" w:cs="Arial" w:eastAsia="Arial" w:hAnsi="Arial"/>
          <w:sz w:val="16"/>
          <w:szCs w:val="16"/>
          <w:color w:val="auto"/>
        </w:rPr>
        <w:t>. Rights to purchase or acquire shares of Common Stock under the Restricted Stock Award agreement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except by will or by the laws of descent and distribution and shall be exercisable during the lifetime of the Participant only by the Participant.</w:t>
      </w:r>
    </w:p>
    <w:p>
      <w:pPr>
        <w:spacing w:after="0" w:line="8" w:lineRule="exact"/>
        <w:rPr>
          <w:rFonts w:ascii="Arial" w:cs="Arial" w:eastAsia="Arial" w:hAnsi="Arial"/>
          <w:sz w:val="16"/>
          <w:szCs w:val="16"/>
          <w:b w:val="1"/>
          <w:bCs w:val="1"/>
          <w:color w:val="auto"/>
        </w:rPr>
      </w:pPr>
    </w:p>
    <w:p>
      <w:pPr>
        <w:ind w:firstLine="464"/>
        <w:spacing w:after="0" w:line="303" w:lineRule="auto"/>
        <w:tabs>
          <w:tab w:leader="none" w:pos="721"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Stock Appreciation Rights</w:t>
      </w:r>
      <w:r>
        <w:rPr>
          <w:rFonts w:ascii="Arial" w:cs="Arial" w:eastAsia="Arial" w:hAnsi="Arial"/>
          <w:sz w:val="16"/>
          <w:szCs w:val="16"/>
          <w:color w:val="auto"/>
        </w:rPr>
        <w:t>. Each Stock Appreciation Right Agreement shall be in such form and shall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deem appropriate. The terms and conditions of Stock Appreciation Right Agreements may change from time to time, and the terms and conditions of separate Stock Appreciation Right Agreements need not be identical;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but each Stock Appreciation Right Agreement shall include (through incorporation of the provisions hereof by reference in the agreement or otherwise) the substance of each of the following provisions:</w:t>
      </w:r>
    </w:p>
    <w:p>
      <w:pPr>
        <w:spacing w:after="0" w:line="43" w:lineRule="exact"/>
        <w:rPr>
          <w:rFonts w:ascii="Arial" w:cs="Arial" w:eastAsia="Arial" w:hAnsi="Arial"/>
          <w:sz w:val="16"/>
          <w:szCs w:val="16"/>
          <w:b w:val="1"/>
          <w:bCs w:val="1"/>
          <w:color w:val="auto"/>
        </w:rPr>
      </w:pPr>
    </w:p>
    <w:p>
      <w:pPr>
        <w:ind w:firstLine="921"/>
        <w:spacing w:after="0" w:line="313" w:lineRule="auto"/>
        <w:tabs>
          <w:tab w:leader="none" w:pos="1128"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5(b) regarding Ten Percent Stockholders, no Stock Appreciation Right shall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ten (10) years from the date of grant, or such shorter period specified in the Stock Appreciation Right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318" w:name="page319"/>
    <w:bookmarkEnd w:id="318"/>
    <w:p>
      <w:pPr>
        <w:ind w:left="-8" w:right="120" w:firstLine="921"/>
        <w:spacing w:after="0" w:line="261" w:lineRule="auto"/>
        <w:tabs>
          <w:tab w:leader="none" w:pos="1170" w:val="left"/>
        </w:tabs>
        <w:numPr>
          <w:ilvl w:val="2"/>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Strike Price</w:t>
      </w:r>
      <w:r>
        <w:rPr>
          <w:rFonts w:ascii="Arial" w:cs="Arial" w:eastAsia="Arial" w:hAnsi="Arial"/>
          <w:sz w:val="18"/>
          <w:szCs w:val="18"/>
          <w:color w:val="auto"/>
        </w:rPr>
        <w:t>. Each Stock Appreciation Right will be denominated in shares of Common Stock equivalents. Subject to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5(b) regarding Ten Percent Stockholders, the strike price of each Stock Appreciation Right granted as a stand-alone or tandem Stock Award shall not be less than one hundred percent (100%) of the Fair Market Value of the Common Stock equivalents subject to the Stock Appreciation Right on the date of grant.</w:t>
      </w:r>
    </w:p>
    <w:p>
      <w:pPr>
        <w:spacing w:after="0" w:line="71" w:lineRule="exact"/>
        <w:rPr>
          <w:rFonts w:ascii="Arial" w:cs="Arial" w:eastAsia="Arial" w:hAnsi="Arial"/>
          <w:sz w:val="18"/>
          <w:szCs w:val="18"/>
          <w:b w:val="1"/>
          <w:bCs w:val="1"/>
          <w:color w:val="auto"/>
        </w:rPr>
      </w:pPr>
    </w:p>
    <w:p>
      <w:pPr>
        <w:ind w:left="-8" w:firstLine="921"/>
        <w:spacing w:after="0" w:line="258" w:lineRule="auto"/>
        <w:tabs>
          <w:tab w:leader="none" w:pos="1220" w:val="left"/>
        </w:tabs>
        <w:numPr>
          <w:ilvl w:val="2"/>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Appreciation</w:t>
      </w:r>
      <w:r>
        <w:rPr>
          <w:rFonts w:ascii="Arial" w:cs="Arial" w:eastAsia="Arial" w:hAnsi="Arial"/>
          <w:sz w:val="18"/>
          <w:szCs w:val="18"/>
          <w:color w:val="auto"/>
        </w:rPr>
        <w:t>. The appreciation distribution payable on the exercise of a Stock Appreciation Right will be not greater than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the excess of (i) the aggregate Fair Market Value (on the date of the exercise of the Stock Appreciation Right) of a number of shares of Common Stock equal to the number of share of Common Stock equivalents in which the Participant is vested under such Stock Appreciation Right and with respect to which the Participant is exercising the Stock Appreciation Right on such date, over (ii) an amount (the strike price) that will be determined by the Board on the date of grant.</w:t>
      </w:r>
    </w:p>
    <w:p>
      <w:pPr>
        <w:spacing w:after="0" w:line="75" w:lineRule="exact"/>
        <w:rPr>
          <w:rFonts w:ascii="Arial" w:cs="Arial" w:eastAsia="Arial" w:hAnsi="Arial"/>
          <w:sz w:val="18"/>
          <w:szCs w:val="18"/>
          <w:b w:val="1"/>
          <w:bCs w:val="1"/>
          <w:color w:val="auto"/>
        </w:rPr>
      </w:pPr>
    </w:p>
    <w:p>
      <w:pPr>
        <w:jc w:val="both"/>
        <w:ind w:left="-8" w:right="140" w:firstLine="921"/>
        <w:spacing w:after="0" w:line="266" w:lineRule="auto"/>
        <w:tabs>
          <w:tab w:leader="none" w:pos="1210" w:val="left"/>
        </w:tabs>
        <w:numPr>
          <w:ilvl w:val="2"/>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Stock Appreciation Right, the Board may impose such restrictions or conditions to the vesting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Appreciation Right as it deems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Stock Appreciation Right that could be settled in shares of Common Stock shall be subject to the provision of Section 9(i).</w:t>
      </w:r>
    </w:p>
    <w:p>
      <w:pPr>
        <w:spacing w:after="0" w:line="68" w:lineRule="exact"/>
        <w:rPr>
          <w:rFonts w:ascii="Arial" w:cs="Arial" w:eastAsia="Arial" w:hAnsi="Arial"/>
          <w:sz w:val="18"/>
          <w:szCs w:val="18"/>
          <w:b w:val="1"/>
          <w:bCs w:val="1"/>
          <w:color w:val="auto"/>
        </w:rPr>
      </w:pPr>
    </w:p>
    <w:p>
      <w:pPr>
        <w:ind w:left="-8" w:right="240" w:firstLine="921"/>
        <w:spacing w:after="0" w:line="282" w:lineRule="auto"/>
        <w:tabs>
          <w:tab w:leader="none" w:pos="1160" w:val="left"/>
        </w:tabs>
        <w:numPr>
          <w:ilvl w:val="2"/>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r>
        <w:rPr>
          <w:rFonts w:ascii="Arial" w:cs="Arial" w:eastAsia="Arial" w:hAnsi="Arial"/>
          <w:sz w:val="18"/>
          <w:szCs w:val="18"/>
          <w:color w:val="auto"/>
        </w:rPr>
        <w:t>. To exercise any outstanding Stock Appreciation Right, the Participant must provide written notice of exercise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provisions of the Stock Appreciation Right Agreement evidencing such Stock Appreciation Right.</w:t>
      </w:r>
    </w:p>
    <w:p>
      <w:pPr>
        <w:spacing w:after="0" w:line="53" w:lineRule="exact"/>
        <w:rPr>
          <w:rFonts w:ascii="Arial" w:cs="Arial" w:eastAsia="Arial" w:hAnsi="Arial"/>
          <w:sz w:val="18"/>
          <w:szCs w:val="18"/>
          <w:b w:val="1"/>
          <w:bCs w:val="1"/>
          <w:color w:val="auto"/>
        </w:rPr>
      </w:pPr>
    </w:p>
    <w:p>
      <w:pPr>
        <w:jc w:val="both"/>
        <w:ind w:left="-8" w:right="20" w:firstLine="921"/>
        <w:spacing w:after="0" w:line="266" w:lineRule="auto"/>
        <w:tabs>
          <w:tab w:leader="none" w:pos="1210" w:val="left"/>
        </w:tabs>
        <w:numPr>
          <w:ilvl w:val="2"/>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The appreciation distribution in respect to a Stock Appreciation Right may be paid in Common Stock, in cash, in any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two or in any other form of consideration, as determined by the Board and contained in the Stock Appreciation Right Agreement evidencing such Stock Appreciation Right.</w:t>
      </w:r>
    </w:p>
    <w:p>
      <w:pPr>
        <w:spacing w:after="0" w:line="68" w:lineRule="exact"/>
        <w:rPr>
          <w:rFonts w:ascii="Arial" w:cs="Arial" w:eastAsia="Arial" w:hAnsi="Arial"/>
          <w:sz w:val="18"/>
          <w:szCs w:val="18"/>
          <w:b w:val="1"/>
          <w:bCs w:val="1"/>
          <w:color w:val="auto"/>
        </w:rPr>
      </w:pPr>
    </w:p>
    <w:p>
      <w:pPr>
        <w:ind w:left="-8" w:right="20" w:firstLine="921"/>
        <w:spacing w:after="0" w:line="295" w:lineRule="auto"/>
        <w:tabs>
          <w:tab w:leader="none" w:pos="1260" w:val="left"/>
        </w:tabs>
        <w:numPr>
          <w:ilvl w:val="2"/>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that a Participant’s Continuous Service terminates, the Participant may exercise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 (to the extent that the Participant was entitled to exercise such Stock Appreciation Right as of the date of termination) but only within such period of time ending on the earlier of (i) the date three (3) months following the termination of the Participant’s Continuous Service (or such longer or shorter period specified in the Stock Appreciation Right Agreement), or (ii)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82" w:lineRule="exact"/>
        <w:rPr>
          <w:rFonts w:ascii="Arial" w:cs="Arial" w:eastAsia="Arial" w:hAnsi="Arial"/>
          <w:sz w:val="16"/>
          <w:szCs w:val="16"/>
          <w:b w:val="1"/>
          <w:bCs w:val="1"/>
          <w:color w:val="auto"/>
        </w:rPr>
      </w:pPr>
    </w:p>
    <w:p>
      <w:pPr>
        <w:ind w:left="452" w:hanging="452"/>
        <w:spacing w:after="0"/>
        <w:tabs>
          <w:tab w:leader="none" w:pos="452"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17" w:lineRule="exact"/>
        <w:rPr>
          <w:rFonts w:ascii="Arial" w:cs="Arial" w:eastAsia="Arial" w:hAnsi="Arial"/>
          <w:sz w:val="18"/>
          <w:szCs w:val="18"/>
          <w:b w:val="1"/>
          <w:bCs w:val="1"/>
          <w:color w:val="auto"/>
        </w:rPr>
      </w:pPr>
    </w:p>
    <w:p>
      <w:pPr>
        <w:ind w:left="-8" w:right="440" w:firstLine="464"/>
        <w:spacing w:after="0" w:line="282" w:lineRule="auto"/>
        <w:tabs>
          <w:tab w:leader="none" w:pos="703"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required to satisfy such Stock Awards.</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0" w:right="239" w:bottom="1440" w:gutter="0" w:footer="0" w:header="0"/>
        </w:sectPr>
      </w:pPr>
    </w:p>
    <w:bookmarkStart w:id="319" w:name="page320"/>
    <w:bookmarkEnd w:id="319"/>
    <w:p>
      <w:pPr>
        <w:ind w:left="-8" w:firstLine="464"/>
        <w:spacing w:after="0" w:line="295" w:lineRule="auto"/>
        <w:tabs>
          <w:tab w:leader="none" w:pos="713" w:val="left"/>
        </w:tabs>
        <w:numPr>
          <w:ilvl w:val="1"/>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Law Compliance</w:t>
      </w:r>
      <w:r>
        <w:rPr>
          <w:rFonts w:ascii="Arial" w:cs="Arial" w:eastAsia="Arial" w:hAnsi="Arial"/>
          <w:sz w:val="16"/>
          <w:szCs w:val="16"/>
          <w:color w:val="auto"/>
        </w:rPr>
        <w:t>. The Company shall seek to obtain from each regulatory commission or agency having jurisdiction over the Plan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as may be required to grant Stock Awards and to issue and sell shares of Common Stock upon exercise of the Stock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82" w:lineRule="exact"/>
        <w:rPr>
          <w:rFonts w:ascii="Arial" w:cs="Arial" w:eastAsia="Arial" w:hAnsi="Arial"/>
          <w:sz w:val="16"/>
          <w:szCs w:val="16"/>
          <w:b w:val="1"/>
          <w:bCs w:val="1"/>
          <w:color w:val="auto"/>
        </w:rPr>
      </w:pPr>
    </w:p>
    <w:p>
      <w:pPr>
        <w:ind w:left="452" w:hanging="452"/>
        <w:spacing w:after="0"/>
        <w:tabs>
          <w:tab w:leader="none" w:pos="452"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left="712" w:hanging="256"/>
        <w:spacing w:after="0"/>
        <w:tabs>
          <w:tab w:leader="none" w:pos="712" w:val="left"/>
        </w:tabs>
        <w:numPr>
          <w:ilvl w:val="1"/>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w:t>
      </w:r>
      <w:r>
        <w:rPr>
          <w:rFonts w:ascii="Arial" w:cs="Arial" w:eastAsia="Arial" w:hAnsi="Arial"/>
          <w:sz w:val="17"/>
          <w:szCs w:val="17"/>
          <w:color w:val="auto"/>
        </w:rPr>
        <w:t>. Proceeds from the sale of Common Stock pursuant to Stock Awards shall constitute general funds of the Company.</w:t>
      </w:r>
    </w:p>
    <w:p>
      <w:pPr>
        <w:spacing w:after="0" w:line="128" w:lineRule="exact"/>
        <w:rPr>
          <w:rFonts w:ascii="Arial" w:cs="Arial" w:eastAsia="Arial" w:hAnsi="Arial"/>
          <w:sz w:val="17"/>
          <w:szCs w:val="17"/>
          <w:b w:val="1"/>
          <w:bCs w:val="1"/>
          <w:color w:val="auto"/>
        </w:rPr>
      </w:pPr>
    </w:p>
    <w:p>
      <w:pPr>
        <w:ind w:left="-8" w:right="120" w:firstLine="464"/>
        <w:spacing w:after="0" w:line="266" w:lineRule="auto"/>
        <w:tabs>
          <w:tab w:leader="none" w:pos="713"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Acceleration of Exercisability and Vesting</w:t>
      </w:r>
      <w:r>
        <w:rPr>
          <w:rFonts w:ascii="Arial" w:cs="Arial" w:eastAsia="Arial" w:hAnsi="Arial"/>
          <w:sz w:val="18"/>
          <w:szCs w:val="18"/>
          <w:color w:val="auto"/>
        </w:rPr>
        <w:t>. The Board shall have the power to accelerate the time at which a Stock Award may first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time during which a Stock Award or any part thereof will vest in accordance with the Plan, notwithstanding the provisions in the Stock Award stating the time at which it may first be exercised or the time during which it will vest.</w:t>
      </w:r>
    </w:p>
    <w:p>
      <w:pPr>
        <w:spacing w:after="0" w:line="68" w:lineRule="exact"/>
        <w:rPr>
          <w:rFonts w:ascii="Arial" w:cs="Arial" w:eastAsia="Arial" w:hAnsi="Arial"/>
          <w:sz w:val="18"/>
          <w:szCs w:val="18"/>
          <w:b w:val="1"/>
          <w:bCs w:val="1"/>
          <w:color w:val="auto"/>
        </w:rPr>
      </w:pPr>
    </w:p>
    <w:p>
      <w:pPr>
        <w:ind w:left="-8" w:right="280" w:firstLine="464"/>
        <w:spacing w:after="0" w:line="266" w:lineRule="auto"/>
        <w:tabs>
          <w:tab w:leader="none" w:pos="693"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such Participant has satisfied all requirements for exercise of the Stock Award pursuant to its terms.</w:t>
      </w:r>
    </w:p>
    <w:p>
      <w:pPr>
        <w:spacing w:after="0" w:line="68" w:lineRule="exact"/>
        <w:rPr>
          <w:rFonts w:ascii="Arial" w:cs="Arial" w:eastAsia="Arial" w:hAnsi="Arial"/>
          <w:sz w:val="18"/>
          <w:szCs w:val="18"/>
          <w:b w:val="1"/>
          <w:bCs w:val="1"/>
          <w:color w:val="auto"/>
        </w:rPr>
      </w:pPr>
    </w:p>
    <w:p>
      <w:pPr>
        <w:ind w:left="-8" w:right="40" w:firstLine="464"/>
        <w:spacing w:after="0" w:line="256" w:lineRule="auto"/>
        <w:tabs>
          <w:tab w:leader="none" w:pos="713"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any Stock Award Agreement, or any other instrument executed thereunder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79" w:lineRule="exact"/>
        <w:rPr>
          <w:rFonts w:ascii="Arial" w:cs="Arial" w:eastAsia="Arial" w:hAnsi="Arial"/>
          <w:sz w:val="18"/>
          <w:szCs w:val="18"/>
          <w:b w:val="1"/>
          <w:bCs w:val="1"/>
          <w:color w:val="auto"/>
        </w:rPr>
      </w:pPr>
    </w:p>
    <w:p>
      <w:pPr>
        <w:jc w:val="both"/>
        <w:ind w:left="-8" w:right="60" w:firstLine="464"/>
        <w:spacing w:after="0" w:line="303" w:lineRule="auto"/>
        <w:tabs>
          <w:tab w:leader="none" w:pos="693" w:val="left"/>
        </w:tabs>
        <w:numPr>
          <w:ilvl w:val="1"/>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$100,000 Limitation</w:t>
      </w:r>
      <w:r>
        <w:rPr>
          <w:rFonts w:ascii="Arial" w:cs="Arial" w:eastAsia="Arial" w:hAnsi="Arial"/>
          <w:sz w:val="16"/>
          <w:szCs w:val="16"/>
          <w:color w:val="auto"/>
        </w:rPr>
        <w:t>. To the extent that the aggregate Fair Market Value (determined at the time of grant)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0" w:right="259" w:bottom="1440" w:gutter="0" w:footer="0" w:header="0"/>
        </w:sectPr>
      </w:pPr>
    </w:p>
    <w:bookmarkStart w:id="320" w:name="page321"/>
    <w:bookmarkEnd w:id="320"/>
    <w:p>
      <w:pPr>
        <w:ind w:left="672" w:hanging="216"/>
        <w:spacing w:after="0"/>
        <w:tabs>
          <w:tab w:leader="none" w:pos="672" w:val="left"/>
        </w:tabs>
        <w:numPr>
          <w:ilvl w:val="1"/>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Assurances</w:t>
      </w:r>
      <w:r>
        <w:rPr>
          <w:rFonts w:ascii="Arial" w:cs="Arial" w:eastAsia="Arial" w:hAnsi="Arial"/>
          <w:sz w:val="16"/>
          <w:szCs w:val="16"/>
          <w:color w:val="auto"/>
        </w:rPr>
        <w:t>. The Company may require a Participant, as a condition of exercising or acquiring Common Stock under any Stock Award,</w:t>
      </w:r>
    </w:p>
    <w:p>
      <w:pPr>
        <w:spacing w:after="0" w:line="50" w:lineRule="exact"/>
        <w:rPr>
          <w:rFonts w:ascii="Arial" w:cs="Arial" w:eastAsia="Arial" w:hAnsi="Arial"/>
          <w:sz w:val="16"/>
          <w:szCs w:val="16"/>
          <w:b w:val="1"/>
          <w:bCs w:val="1"/>
          <w:color w:val="auto"/>
        </w:rPr>
      </w:pPr>
    </w:p>
    <w:p>
      <w:pPr>
        <w:ind w:left="-8" w:right="40" w:firstLine="8"/>
        <w:spacing w:after="0" w:line="286" w:lineRule="auto"/>
        <w:tabs>
          <w:tab w:leader="none" w:pos="20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(i) the issuance of the shares upon the exercise or acquisition of Common Stock under the Stock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8" w:lineRule="exact"/>
        <w:rPr>
          <w:rFonts w:ascii="Arial" w:cs="Arial" w:eastAsia="Arial" w:hAnsi="Arial"/>
          <w:sz w:val="16"/>
          <w:szCs w:val="16"/>
          <w:color w:val="auto"/>
        </w:rPr>
      </w:pPr>
    </w:p>
    <w:p>
      <w:pPr>
        <w:ind w:left="-8" w:right="220" w:firstLine="464"/>
        <w:spacing w:after="0" w:line="289" w:lineRule="auto"/>
        <w:tabs>
          <w:tab w:leader="none" w:pos="703"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Obligations</w:t>
      </w:r>
      <w:r>
        <w:rPr>
          <w:rFonts w:ascii="Arial" w:cs="Arial" w:eastAsia="Arial" w:hAnsi="Arial"/>
          <w:sz w:val="16"/>
          <w:szCs w:val="16"/>
          <w:color w:val="auto"/>
        </w:rPr>
        <w:t>. To the extent provided by the terms of a Stock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or local tax withholding obligation relating to a Stock Award by any of the following means (in addition to the Company’s right to withhold from any compensation paid to the Participant by the Company) or by a combination of such means: (i) causing the Participant to tender a cash payment;</w:t>
      </w:r>
    </w:p>
    <w:p>
      <w:pPr>
        <w:spacing w:after="0" w:line="1" w:lineRule="exact"/>
        <w:rPr>
          <w:rFonts w:ascii="Arial" w:cs="Arial" w:eastAsia="Arial" w:hAnsi="Arial"/>
          <w:sz w:val="16"/>
          <w:szCs w:val="16"/>
          <w:b w:val="1"/>
          <w:bCs w:val="1"/>
          <w:color w:val="auto"/>
        </w:rPr>
      </w:pPr>
    </w:p>
    <w:p>
      <w:pPr>
        <w:ind w:left="-8" w:right="120" w:firstLine="8"/>
        <w:spacing w:after="0" w:line="254" w:lineRule="auto"/>
        <w:tabs>
          <w:tab w:leader="none" w:pos="25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withholding shares of Common Stock from the shares of Common Stock issued or otherwise issuable to the Participant in connection with the Stock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shares of Common Stock are withheld with a value exceeding the minimum amount of tax required to be withheld by law (or such lower amount as may be necessary to avoid classification of the Stock Award as a liability for financial accounting purposes); or (iii) by such other method as may be set forth in the Stock Award Agreement.</w:t>
      </w:r>
    </w:p>
    <w:p>
      <w:pPr>
        <w:spacing w:after="0" w:line="77" w:lineRule="exact"/>
        <w:rPr>
          <w:rFonts w:ascii="Arial" w:cs="Arial" w:eastAsia="Arial" w:hAnsi="Arial"/>
          <w:sz w:val="18"/>
          <w:szCs w:val="18"/>
          <w:color w:val="auto"/>
        </w:rPr>
      </w:pPr>
    </w:p>
    <w:p>
      <w:pPr>
        <w:jc w:val="both"/>
        <w:ind w:left="-8" w:firstLine="464"/>
        <w:spacing w:after="0" w:line="266" w:lineRule="auto"/>
        <w:tabs>
          <w:tab w:leader="none" w:pos="713" w:val="left"/>
        </w:tabs>
        <w:numPr>
          <w:ilvl w:val="1"/>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Obligation</w:t>
      </w:r>
      <w:r>
        <w:rPr>
          <w:rFonts w:ascii="Arial" w:cs="Arial" w:eastAsia="Arial" w:hAnsi="Arial"/>
          <w:sz w:val="18"/>
          <w:szCs w:val="18"/>
          <w:color w:val="auto"/>
        </w:rPr>
        <w:t>. To the extent required by Section 260.140.46 of Title 10 of the California Code of Regulations, the Company shall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to Participants at least annually. This Section 9(h) shall not apply to key Employees whose duties in connection with the Company assure them access to equivalent information.</w:t>
      </w:r>
    </w:p>
    <w:p>
      <w:pPr>
        <w:spacing w:after="0" w:line="68" w:lineRule="exact"/>
        <w:rPr>
          <w:rFonts w:ascii="Arial" w:cs="Arial" w:eastAsia="Arial" w:hAnsi="Arial"/>
          <w:sz w:val="18"/>
          <w:szCs w:val="18"/>
          <w:b w:val="1"/>
          <w:bCs w:val="1"/>
          <w:color w:val="auto"/>
        </w:rPr>
      </w:pPr>
    </w:p>
    <w:p>
      <w:pPr>
        <w:ind w:left="-8" w:right="40" w:firstLine="464"/>
        <w:spacing w:after="0" w:line="258" w:lineRule="auto"/>
        <w:tabs>
          <w:tab w:leader="none" w:pos="663" w:val="left"/>
        </w:tabs>
        <w:numPr>
          <w:ilvl w:val="1"/>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Limitation</w:t>
      </w:r>
      <w:r>
        <w:rPr>
          <w:rFonts w:ascii="Arial" w:cs="Arial" w:eastAsia="Arial" w:hAnsi="Arial"/>
          <w:sz w:val="18"/>
          <w:szCs w:val="18"/>
          <w:color w:val="auto"/>
        </w:rPr>
        <w:t>. The terms of any repurchase option shall be specified in the Stock Award, and the repurchase price may be either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the shares of Common Stock on the date of termination of Continuous Service or the lower of (i) the Fair Market Value of the shares of Common Stock on the date of repurchase, or (ii) their original purchase price. To the extent required by Section 260.140.41 and Section 260.140.42 of Title 10 of the California Code of Regulations at the time a Stock Award is made, any repurchase option contained in a Stock Award granted to a person who is not an Officer, Director or Consultant shall be upon the terms described below:</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70" w:right="239" w:bottom="1440" w:gutter="0" w:footer="0" w:header="0"/>
        </w:sectPr>
      </w:pPr>
    </w:p>
    <w:bookmarkStart w:id="321" w:name="page322"/>
    <w:bookmarkEnd w:id="321"/>
    <w:p>
      <w:pPr>
        <w:ind w:left="-8" w:right="160" w:firstLine="921"/>
        <w:spacing w:after="0" w:line="289" w:lineRule="auto"/>
        <w:tabs>
          <w:tab w:leader="none" w:pos="1120"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Fair Market Value</w:t>
      </w:r>
      <w:r>
        <w:rPr>
          <w:rFonts w:ascii="Arial" w:cs="Arial" w:eastAsia="Arial" w:hAnsi="Arial"/>
          <w:sz w:val="16"/>
          <w:szCs w:val="16"/>
          <w:color w:val="auto"/>
        </w:rPr>
        <w:t>. If the repurchase option gives the Company the right to repurchase the shares of Common Stock upon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at not less than the Fair Market Value of the shares of Common Stock to be purchased on the date of termination of Continuous Service, then (i) the right to repurchase shall be exercised for cash or cancellation of purchase money indebtedness for the shares of Common Stock within ninety</w:t>
      </w:r>
    </w:p>
    <w:p>
      <w:pPr>
        <w:spacing w:after="0" w:line="1" w:lineRule="exact"/>
        <w:rPr>
          <w:rFonts w:ascii="Arial" w:cs="Arial" w:eastAsia="Arial" w:hAnsi="Arial"/>
          <w:sz w:val="16"/>
          <w:szCs w:val="16"/>
          <w:b w:val="1"/>
          <w:bCs w:val="1"/>
          <w:color w:val="auto"/>
        </w:rPr>
      </w:pPr>
    </w:p>
    <w:p>
      <w:pPr>
        <w:ind w:left="-8" w:right="120" w:firstLine="8"/>
        <w:spacing w:after="0" w:line="255" w:lineRule="auto"/>
        <w:tabs>
          <w:tab w:leader="none" w:pos="33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days of termination of Continuous Service (or in the case of shares of Common Stock issued upon exercise of Stock Awards after such date of termination, within ninety (90) days after the date of the exercise) or such longer period as may be agreed to by the Company and the Participant, and (ii) the right terminates when the shares of Common Stock become publicly traded.</w:t>
      </w:r>
    </w:p>
    <w:p>
      <w:pPr>
        <w:spacing w:after="0" w:line="78" w:lineRule="exact"/>
        <w:rPr>
          <w:rFonts w:ascii="Arial" w:cs="Arial" w:eastAsia="Arial" w:hAnsi="Arial"/>
          <w:sz w:val="18"/>
          <w:szCs w:val="18"/>
          <w:color w:val="auto"/>
        </w:rPr>
      </w:pPr>
    </w:p>
    <w:p>
      <w:pPr>
        <w:ind w:left="-8" w:right="80" w:firstLine="921"/>
        <w:spacing w:after="0" w:line="285" w:lineRule="auto"/>
        <w:tabs>
          <w:tab w:leader="none" w:pos="1170"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Original Purchase Price</w:t>
      </w:r>
      <w:r>
        <w:rPr>
          <w:rFonts w:ascii="Arial" w:cs="Arial" w:eastAsia="Arial" w:hAnsi="Arial"/>
          <w:sz w:val="16"/>
          <w:szCs w:val="16"/>
          <w:color w:val="auto"/>
        </w:rPr>
        <w:t>. If the repurchase option gives the Company the right to repurchase the shares of Common Stock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Continuous Service at the lower of (i) the Fair Market Value of the shares of Common Stock on the date of repurchase or (ii) their original purchase price, then (x) the right to repurchase at the original purchase price shall lapse at the rate of at least twenty percent (20%) of the shares of Common Stock per year over five (5) years from the date the Stock Award is granted (without respect to the date the Stock Award was exercised or became exercisable) and (y) the right to repurchase shall be exercised for cash or cancellation of purchase money indebtedness for the shares of Common Stock within ninety (90) days of termination of Continuous Service (or in the case of shares of Common Stock issued upon exercise of Options after such date of termination, within ninety</w:t>
      </w:r>
    </w:p>
    <w:p>
      <w:pPr>
        <w:spacing w:after="0" w:line="3" w:lineRule="exact"/>
        <w:rPr>
          <w:rFonts w:ascii="Arial" w:cs="Arial" w:eastAsia="Arial" w:hAnsi="Arial"/>
          <w:sz w:val="16"/>
          <w:szCs w:val="16"/>
          <w:b w:val="1"/>
          <w:bCs w:val="1"/>
          <w:color w:val="auto"/>
        </w:rPr>
      </w:pPr>
    </w:p>
    <w:p>
      <w:pPr>
        <w:ind w:left="352" w:hanging="352"/>
        <w:spacing w:after="0"/>
        <w:tabs>
          <w:tab w:leader="none" w:pos="3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days after the date of the exercise) or such longer period as may be agreed to by the Company and the Participant.</w:t>
      </w:r>
    </w:p>
    <w:p>
      <w:pPr>
        <w:spacing w:after="0" w:line="99" w:lineRule="exact"/>
        <w:rPr>
          <w:sz w:val="20"/>
          <w:szCs w:val="20"/>
          <w:color w:val="auto"/>
        </w:rPr>
      </w:pPr>
    </w:p>
    <w:p>
      <w:pPr>
        <w:ind w:left="-8" w:right="700" w:firstLine="921"/>
        <w:spacing w:after="0" w:line="282" w:lineRule="auto"/>
        <w:tabs>
          <w:tab w:leader="none" w:pos="1130" w:val="left"/>
        </w:tabs>
        <w:numPr>
          <w:ilvl w:val="2"/>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88" w:lineRule="exact"/>
        <w:rPr>
          <w:rFonts w:ascii="Arial" w:cs="Arial" w:eastAsia="Arial" w:hAnsi="Arial"/>
          <w:sz w:val="18"/>
          <w:szCs w:val="18"/>
          <w:b w:val="1"/>
          <w:bCs w:val="1"/>
          <w:color w:val="auto"/>
        </w:rPr>
      </w:pPr>
    </w:p>
    <w:p>
      <w:pPr>
        <w:ind w:left="452" w:hanging="452"/>
        <w:spacing w:after="0"/>
        <w:tabs>
          <w:tab w:leader="none" w:pos="452"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CORPORATE TRANSACTIONS.</w:t>
      </w:r>
    </w:p>
    <w:p>
      <w:pPr>
        <w:spacing w:after="0" w:line="117" w:lineRule="exact"/>
        <w:rPr>
          <w:rFonts w:ascii="Arial" w:cs="Arial" w:eastAsia="Arial" w:hAnsi="Arial"/>
          <w:sz w:val="18"/>
          <w:szCs w:val="18"/>
          <w:b w:val="1"/>
          <w:bCs w:val="1"/>
          <w:color w:val="auto"/>
        </w:rPr>
      </w:pPr>
    </w:p>
    <w:p>
      <w:pPr>
        <w:ind w:left="-8" w:firstLine="464"/>
        <w:spacing w:after="0" w:line="272" w:lineRule="auto"/>
        <w:tabs>
          <w:tab w:leader="none" w:pos="703" w:val="left"/>
        </w:tabs>
        <w:numPr>
          <w:ilvl w:val="1"/>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If any change is made in, or other events occur with respect to, the Common Stock subject to the Plan or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(each a “</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the Board shall appropriately adjust: (i) the class(es) and maximum number of securities subject to the Plan pursuant to Sections 4(a) and 4(b), and (ii) the class(es) and number of securities and price per share of Common Stock subject to each outstanding Stock Award. The Board shall make such adjustments, and its determination shall be final, binding and conclusive. (Notwithstanding the foregoing, the conversion of any convertible securities of the Company shall not be treated as a transaction “without receipt of consideration” by the Company.)</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0" w:right="239" w:bottom="1440" w:gutter="0" w:footer="0" w:header="0"/>
        </w:sectPr>
      </w:pPr>
    </w:p>
    <w:bookmarkStart w:id="322" w:name="page323"/>
    <w:bookmarkEnd w:id="322"/>
    <w:p>
      <w:pPr>
        <w:ind w:left="-20" w:right="200" w:firstLine="464"/>
        <w:spacing w:after="0" w:line="295" w:lineRule="auto"/>
        <w:tabs>
          <w:tab w:leader="none" w:pos="701"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or Liquidation</w:t>
      </w:r>
      <w:r>
        <w:rPr>
          <w:rFonts w:ascii="Arial" w:cs="Arial" w:eastAsia="Arial" w:hAnsi="Arial"/>
          <w:sz w:val="16"/>
          <w:szCs w:val="16"/>
          <w:color w:val="auto"/>
        </w:rPr>
        <w:t>. In the event of a dissolution or liquidation of the Company, all outstanding Stock Awards (other than Stock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consisting of vested and outstanding shares of Common Stock not subject to the Company’s right of repurchase) shall terminate immediately prior to the completion of such dissolution or liquidation, and the shares of Common Stock subject to the Company’s repurchase option may be repurchased by the Company notwithstanding the fact that the holder of such Stock Award is providing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47" w:lineRule="exact"/>
        <w:rPr>
          <w:rFonts w:ascii="Arial" w:cs="Arial" w:eastAsia="Arial" w:hAnsi="Arial"/>
          <w:sz w:val="16"/>
          <w:szCs w:val="16"/>
          <w:b w:val="1"/>
          <w:bCs w:val="1"/>
          <w:color w:val="auto"/>
        </w:rPr>
      </w:pPr>
    </w:p>
    <w:p>
      <w:pPr>
        <w:ind w:left="-20" w:right="20" w:firstLine="464"/>
        <w:spacing w:after="0" w:line="282" w:lineRule="auto"/>
        <w:tabs>
          <w:tab w:leader="none" w:pos="681"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shall apply to Stock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agreement between the Company or any Affiliate and the holder of the Stock Award:</w:t>
      </w:r>
    </w:p>
    <w:p>
      <w:pPr>
        <w:spacing w:after="0" w:line="53" w:lineRule="exact"/>
        <w:rPr>
          <w:rFonts w:ascii="Arial" w:cs="Arial" w:eastAsia="Arial" w:hAnsi="Arial"/>
          <w:sz w:val="18"/>
          <w:szCs w:val="18"/>
          <w:b w:val="1"/>
          <w:bCs w:val="1"/>
          <w:color w:val="auto"/>
        </w:rPr>
      </w:pPr>
    </w:p>
    <w:p>
      <w:pPr>
        <w:ind w:left="-20" w:right="20" w:firstLine="921"/>
        <w:spacing w:after="0" w:line="255" w:lineRule="auto"/>
        <w:tabs>
          <w:tab w:leader="none" w:pos="1108"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Awards May Be Assumed</w:t>
      </w:r>
      <w:r>
        <w:rPr>
          <w:rFonts w:ascii="Arial" w:cs="Arial" w:eastAsia="Arial" w:hAnsi="Arial"/>
          <w:sz w:val="18"/>
          <w:szCs w:val="18"/>
          <w:color w:val="auto"/>
        </w:rPr>
        <w:t>. In the event of a Corporate Transaction, any surviving corporation or acquiring corporation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A surviving corporation or acquiring corporation may choose to assume or continue only a portion of a Stock Award or substitute a similar stock award for only a portion of a Stock Award. The terms of any assumption, continuation or substitution shall be set by the Board in accordance with the provisions of Section 3.</w:t>
      </w:r>
    </w:p>
    <w:p>
      <w:pPr>
        <w:spacing w:after="0" w:line="77" w:lineRule="exact"/>
        <w:rPr>
          <w:rFonts w:ascii="Arial" w:cs="Arial" w:eastAsia="Arial" w:hAnsi="Arial"/>
          <w:sz w:val="18"/>
          <w:szCs w:val="18"/>
          <w:b w:val="1"/>
          <w:bCs w:val="1"/>
          <w:color w:val="auto"/>
        </w:rPr>
      </w:pPr>
    </w:p>
    <w:p>
      <w:pPr>
        <w:ind w:left="-20" w:firstLine="921"/>
        <w:spacing w:after="0" w:line="271" w:lineRule="auto"/>
        <w:tabs>
          <w:tab w:leader="none" w:pos="1158"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Stock Awards Held by Current Participants</w:t>
      </w:r>
      <w:r>
        <w:rPr>
          <w:rFonts w:ascii="Arial" w:cs="Arial" w:eastAsia="Arial" w:hAnsi="Arial"/>
          <w:sz w:val="17"/>
          <w:szCs w:val="17"/>
          <w:color w:val="auto"/>
        </w:rPr>
        <w:t>. In the event of a Corporate Transaction in which the surviving corporation or acquiring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Stock Awards shall terminate if not exercised (if applicable) at or prior to the effective time of the Corporate Transaction, and any reacquisition or repurchase rights held by the Company with respect to such Stock Awards shall lapse (contingent upon the effectiveness of the Corporate Transaction).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69" w:right="239" w:bottom="1440" w:gutter="0" w:footer="0" w:header="0"/>
        </w:sectPr>
      </w:pPr>
    </w:p>
    <w:bookmarkStart w:id="323" w:name="page324"/>
    <w:bookmarkEnd w:id="323"/>
    <w:p>
      <w:pPr>
        <w:ind w:left="-8" w:firstLine="921"/>
        <w:spacing w:after="0" w:line="292" w:lineRule="auto"/>
        <w:tabs>
          <w:tab w:leader="none" w:pos="1220" w:val="left"/>
        </w:tabs>
        <w:numPr>
          <w:ilvl w:val="2"/>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Awards Held by Former Participants</w:t>
      </w:r>
      <w:r>
        <w:rPr>
          <w:rFonts w:ascii="Arial" w:cs="Arial" w:eastAsia="Arial" w:hAnsi="Arial"/>
          <w:sz w:val="16"/>
          <w:szCs w:val="16"/>
          <w:color w:val="auto"/>
        </w:rPr>
        <w:t>. 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(or its parent company) does not assume or continue such outstanding Stock Awards or substitute similar stock awards for such outstanding Stock Awards, then with respect to Stock Awards that have not been assumed, continued or substituted and that are held by persons other than Current Participants, the vesting of such Stock Awards (and, if applicable, the time at which such Stock Award may be exercised) shall not be accelerated and such Stock Awards (other than a Stock Award consisting of vested and outstanding shares of Common Stock not subject to the Company’s right of repurchase) shall terminate if not exercised (if applicable) prior to the effective time of the Corporate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reacquisition or repurchase rights held by the Company with respect to such Stock Awards shall not terminate and may continue to be exercised notwithstanding the Corporate Transaction.</w:t>
      </w:r>
    </w:p>
    <w:p>
      <w:pPr>
        <w:spacing w:after="0" w:line="53" w:lineRule="exact"/>
        <w:rPr>
          <w:rFonts w:ascii="Arial" w:cs="Arial" w:eastAsia="Arial" w:hAnsi="Arial"/>
          <w:sz w:val="16"/>
          <w:szCs w:val="16"/>
          <w:b w:val="1"/>
          <w:bCs w:val="1"/>
          <w:color w:val="auto"/>
        </w:rPr>
      </w:pPr>
    </w:p>
    <w:p>
      <w:pPr>
        <w:ind w:left="-8" w:firstLine="921"/>
        <w:spacing w:after="0" w:line="258" w:lineRule="auto"/>
        <w:tabs>
          <w:tab w:leader="none" w:pos="1210" w:val="left"/>
        </w:tabs>
        <w:numPr>
          <w:ilvl w:val="2"/>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Stock Awards in Lieu of Exercise</w:t>
      </w:r>
      <w:r>
        <w:rPr>
          <w:rFonts w:ascii="Arial" w:cs="Arial" w:eastAsia="Arial" w:hAnsi="Arial"/>
          <w:sz w:val="18"/>
          <w:szCs w:val="18"/>
          <w:color w:val="auto"/>
        </w:rPr>
        <w:t>. Notwithstanding the foregoing, in the event a Stock Award will terminate if not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 (i) the value of the property the holder of the Stock Award would have received upon the exercise of the Stock Award, over (ii) any exercise price payable by such holder in connection with such exercise.</w:t>
      </w:r>
    </w:p>
    <w:p>
      <w:pPr>
        <w:spacing w:after="0" w:line="75" w:lineRule="exact"/>
        <w:rPr>
          <w:rFonts w:ascii="Arial" w:cs="Arial" w:eastAsia="Arial" w:hAnsi="Arial"/>
          <w:sz w:val="18"/>
          <w:szCs w:val="18"/>
          <w:b w:val="1"/>
          <w:bCs w:val="1"/>
          <w:color w:val="auto"/>
        </w:rPr>
      </w:pPr>
    </w:p>
    <w:p>
      <w:pPr>
        <w:jc w:val="both"/>
        <w:ind w:left="-8" w:right="40" w:firstLine="464"/>
        <w:spacing w:after="0" w:line="287" w:lineRule="auto"/>
        <w:tabs>
          <w:tab w:leader="none" w:pos="713"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A Stock Award may be subject to additional acceleration of vesting and exercisability upon or after a Change in Control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provided in the Stock Award Agreement for such Stock Award or as may be provided in any other written agreement between the Company or any Affiliate and the Participant. A Stock Award may vest as to all or any portion of the shares subject to the Stock Award (i) immediately upon the occurrence of a Change in Control, whether or not such Stock Award is assumed, continued, or substituted by a surviving or acquiring entity in the Change in Control, or</w:t>
      </w:r>
    </w:p>
    <w:p>
      <w:pPr>
        <w:spacing w:after="0" w:line="2" w:lineRule="exact"/>
        <w:rPr>
          <w:rFonts w:ascii="Arial" w:cs="Arial" w:eastAsia="Arial" w:hAnsi="Arial"/>
          <w:sz w:val="16"/>
          <w:szCs w:val="16"/>
          <w:b w:val="1"/>
          <w:bCs w:val="1"/>
          <w:color w:val="auto"/>
        </w:rPr>
      </w:pPr>
    </w:p>
    <w:p>
      <w:pPr>
        <w:ind w:left="-8" w:right="120" w:firstLine="8"/>
        <w:spacing w:after="0" w:line="261" w:lineRule="auto"/>
        <w:tabs>
          <w:tab w:leader="none" w:pos="25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the event a Participant’s Continuous Service is terminated, actually or constructively, within a designated period following the occurrence of a Change in Control. In the absence of such provisions, no such acceleration shall occur.</w:t>
      </w:r>
    </w:p>
    <w:p>
      <w:pPr>
        <w:spacing w:after="0" w:line="207" w:lineRule="exact"/>
        <w:rPr>
          <w:sz w:val="20"/>
          <w:szCs w:val="20"/>
          <w:color w:val="auto"/>
        </w:rPr>
      </w:pPr>
    </w:p>
    <w:p>
      <w:pPr>
        <w:ind w:left="452" w:hanging="452"/>
        <w:spacing w:after="0"/>
        <w:tabs>
          <w:tab w:leader="none" w:pos="45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AND STOCK AWARDS.</w:t>
      </w:r>
    </w:p>
    <w:p>
      <w:pPr>
        <w:spacing w:after="0" w:line="117" w:lineRule="exact"/>
        <w:rPr>
          <w:rFonts w:ascii="Arial" w:cs="Arial" w:eastAsia="Arial" w:hAnsi="Arial"/>
          <w:sz w:val="18"/>
          <w:szCs w:val="18"/>
          <w:b w:val="1"/>
          <w:bCs w:val="1"/>
          <w:color w:val="auto"/>
        </w:rPr>
      </w:pPr>
    </w:p>
    <w:p>
      <w:pPr>
        <w:ind w:left="-8" w:right="40" w:firstLine="464"/>
        <w:spacing w:after="0" w:line="266" w:lineRule="auto"/>
        <w:tabs>
          <w:tab w:leader="none" w:pos="703"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Subject to the limitations, if any, of applicable law, the Board at any time, and from time to time, may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except as provided in Section 10(a) relating to Capitalization Adjustments, no amendment shall be effective unless approved by the stockholders of the Company to the extent stockholder approval is necessary to satisfy applicable law.</w:t>
      </w:r>
    </w:p>
    <w:p>
      <w:pPr>
        <w:spacing w:after="0" w:line="68" w:lineRule="exact"/>
        <w:rPr>
          <w:rFonts w:ascii="Arial" w:cs="Arial" w:eastAsia="Arial" w:hAnsi="Arial"/>
          <w:sz w:val="18"/>
          <w:szCs w:val="18"/>
          <w:b w:val="1"/>
          <w:bCs w:val="1"/>
          <w:color w:val="auto"/>
        </w:rPr>
      </w:pPr>
    </w:p>
    <w:p>
      <w:pPr>
        <w:ind w:left="712" w:hanging="256"/>
        <w:spacing w:after="0"/>
        <w:tabs>
          <w:tab w:leader="none" w:pos="712"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The Board, in its sole discretion, may submit any other amendment to the Plan for stockholder approval.</w:t>
      </w:r>
    </w:p>
    <w:p>
      <w:pPr>
        <w:spacing w:after="0" w:line="117" w:lineRule="exact"/>
        <w:rPr>
          <w:rFonts w:ascii="Arial" w:cs="Arial" w:eastAsia="Arial" w:hAnsi="Arial"/>
          <w:sz w:val="18"/>
          <w:szCs w:val="18"/>
          <w:b w:val="1"/>
          <w:bCs w:val="1"/>
          <w:color w:val="auto"/>
        </w:rPr>
      </w:pPr>
    </w:p>
    <w:p>
      <w:pPr>
        <w:ind w:left="-8" w:right="620" w:firstLine="464"/>
        <w:spacing w:after="0" w:line="261" w:lineRule="auto"/>
        <w:tabs>
          <w:tab w:leader="none" w:pos="693"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Contemplated Amendments</w:t>
      </w:r>
      <w:r>
        <w:rPr>
          <w:rFonts w:ascii="Arial" w:cs="Arial" w:eastAsia="Arial" w:hAnsi="Arial"/>
          <w:sz w:val="18"/>
          <w:szCs w:val="18"/>
          <w:color w:val="auto"/>
        </w:rPr>
        <w:t>. It is expressly contemplated that the Board may amend the Plan in any respect the Board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69" w:right="259" w:bottom="1440" w:gutter="0" w:footer="0" w:header="0"/>
        </w:sectPr>
      </w:pPr>
    </w:p>
    <w:bookmarkStart w:id="324" w:name="page325"/>
    <w:bookmarkEnd w:id="324"/>
    <w:p>
      <w:pPr>
        <w:ind w:right="220" w:firstLine="464"/>
        <w:spacing w:after="0" w:line="282" w:lineRule="auto"/>
        <w:tabs>
          <w:tab w:leader="none" w:pos="721"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Impairment of Rights</w:t>
      </w:r>
      <w:r>
        <w:rPr>
          <w:rFonts w:ascii="Arial" w:cs="Arial" w:eastAsia="Arial" w:hAnsi="Arial"/>
          <w:sz w:val="18"/>
          <w:szCs w:val="18"/>
          <w:color w:val="auto"/>
        </w:rPr>
        <w:t>. Rights under any Stock Award granted before amendment of the Plan shall not be impaired by any amendment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unless (i) the Company requests the consent of the affected Participant, and (ii) such Participant consents in writing.</w:t>
      </w:r>
    </w:p>
    <w:p>
      <w:pPr>
        <w:spacing w:after="0" w:line="53" w:lineRule="exact"/>
        <w:rPr>
          <w:rFonts w:ascii="Arial" w:cs="Arial" w:eastAsia="Arial" w:hAnsi="Arial"/>
          <w:sz w:val="18"/>
          <w:szCs w:val="18"/>
          <w:b w:val="1"/>
          <w:bCs w:val="1"/>
          <w:color w:val="auto"/>
        </w:rPr>
      </w:pPr>
    </w:p>
    <w:p>
      <w:pPr>
        <w:ind w:right="240" w:firstLine="464"/>
        <w:spacing w:after="0" w:line="266" w:lineRule="auto"/>
        <w:tabs>
          <w:tab w:leader="none" w:pos="701"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Stock Awards</w:t>
      </w:r>
      <w:r>
        <w:rPr>
          <w:rFonts w:ascii="Arial" w:cs="Arial" w:eastAsia="Arial" w:hAnsi="Arial"/>
          <w:sz w:val="18"/>
          <w:szCs w:val="18"/>
          <w:color w:val="auto"/>
        </w:rPr>
        <w:t>. The Board, at any time and from time to time, may amend the terms of any one or more Stock Awards;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rights under any Stock Award shall not be impaired by any such amendment unless (i) the Company requests the consent of the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(ii) such Participant consents in writing.</w:t>
      </w:r>
    </w:p>
    <w:p>
      <w:pPr>
        <w:spacing w:after="0" w:line="20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SUSPENSION OF THE PLAN.</w:t>
      </w:r>
    </w:p>
    <w:p>
      <w:pPr>
        <w:spacing w:after="0" w:line="117" w:lineRule="exact"/>
        <w:rPr>
          <w:rFonts w:ascii="Arial" w:cs="Arial" w:eastAsia="Arial" w:hAnsi="Arial"/>
          <w:sz w:val="18"/>
          <w:szCs w:val="18"/>
          <w:b w:val="1"/>
          <w:bCs w:val="1"/>
          <w:color w:val="auto"/>
        </w:rPr>
      </w:pPr>
    </w:p>
    <w:p>
      <w:pPr>
        <w:ind w:firstLine="464"/>
        <w:spacing w:after="0" w:line="266" w:lineRule="auto"/>
        <w:tabs>
          <w:tab w:leader="none" w:pos="711"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The Board may suspend or terminate the Plan at any time. Unless sooner terminated, the Plan shall terminate on the day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68" w:lineRule="exact"/>
        <w:rPr>
          <w:rFonts w:ascii="Arial" w:cs="Arial" w:eastAsia="Arial" w:hAnsi="Arial"/>
          <w:sz w:val="18"/>
          <w:szCs w:val="18"/>
          <w:b w:val="1"/>
          <w:bCs w:val="1"/>
          <w:color w:val="auto"/>
        </w:rPr>
      </w:pPr>
    </w:p>
    <w:p>
      <w:pPr>
        <w:ind w:right="140" w:firstLine="464"/>
        <w:spacing w:after="0" w:line="282" w:lineRule="auto"/>
        <w:tabs>
          <w:tab w:leader="none" w:pos="721"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Stock Award granted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 effect except with the written consent of the affected Participant.</w:t>
      </w:r>
    </w:p>
    <w:p>
      <w:pPr>
        <w:spacing w:after="0" w:line="188" w:lineRule="exact"/>
        <w:rPr>
          <w:rFonts w:ascii="Arial" w:cs="Arial" w:eastAsia="Arial" w:hAnsi="Arial"/>
          <w:sz w:val="18"/>
          <w:szCs w:val="18"/>
          <w:b w:val="1"/>
          <w:bCs w:val="1"/>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Plan shall become effective as determined by the Board, but no Stock Award shall be exercised (or, in the case of a Restricted Stock Award, shall be granted) unless and until the Plan has been approved by the stockholders of the Company, which approval shall be within twelve (12) months before or after the date the Plan is adopted by the Board.</w:t>
      </w:r>
    </w:p>
    <w:p>
      <w:pPr>
        <w:spacing w:after="0" w:line="204"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law of the State of Delaware shall govern all questions concerning the construction, validity and interpretation of this Plan, without regard to that state’s conflict of laws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325" w:name="page326"/>
    <w:bookmarkEnd w:id="3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Stock Option Agreement, Anaptys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2006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400" w:firstLine="464"/>
        <w:spacing w:after="0" w:line="282" w:lineRule="auto"/>
        <w:tabs>
          <w:tab w:leader="none" w:pos="636"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Option Will Vest As Provided In Your Grant Notice, Provided That Vesting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Upon The Termination Of Your Continuous Service.</w:t>
      </w:r>
    </w:p>
    <w:p>
      <w:pPr>
        <w:spacing w:after="0" w:line="53" w:lineRule="exact"/>
        <w:rPr>
          <w:rFonts w:ascii="Arial" w:cs="Arial" w:eastAsia="Arial" w:hAnsi="Arial"/>
          <w:sz w:val="18"/>
          <w:szCs w:val="18"/>
          <w:b w:val="1"/>
          <w:bCs w:val="1"/>
          <w:color w:val="auto"/>
        </w:rPr>
      </w:pPr>
    </w:p>
    <w:p>
      <w:pPr>
        <w:ind w:right="300" w:firstLine="464"/>
        <w:spacing w:after="0" w:line="282" w:lineRule="auto"/>
        <w:tabs>
          <w:tab w:leader="none" w:pos="636"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53" w:lineRule="exact"/>
        <w:rPr>
          <w:rFonts w:ascii="Arial" w:cs="Arial" w:eastAsia="Arial" w:hAnsi="Arial"/>
          <w:sz w:val="18"/>
          <w:szCs w:val="18"/>
          <w:b w:val="1"/>
          <w:bCs w:val="1"/>
          <w:color w:val="auto"/>
        </w:rPr>
      </w:pPr>
    </w:p>
    <w:p>
      <w:pPr>
        <w:ind w:right="220" w:firstLine="464"/>
        <w:spacing w:after="0" w:line="293" w:lineRule="auto"/>
        <w:tabs>
          <w:tab w:leader="none" w:pos="636"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3"/>
          <w:szCs w:val="13"/>
          <w:b w:val="1"/>
          <w:bCs w:val="1"/>
          <w:color w:val="auto"/>
        </w:rPr>
        <w:t>XERCISE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OR</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w:t>
      </w:r>
      <w:r>
        <w:rPr>
          <w:rFonts w:ascii="Arial" w:cs="Arial" w:eastAsia="Arial" w:hAnsi="Arial"/>
          <w:sz w:val="16"/>
          <w:szCs w:val="16"/>
          <w:b w:val="1"/>
          <w:bCs w:val="1"/>
          <w:color w:val="auto"/>
        </w:rPr>
        <w:t>-E</w:t>
      </w:r>
      <w:r>
        <w:rPr>
          <w:rFonts w:ascii="Arial" w:cs="Arial" w:eastAsia="Arial" w:hAnsi="Arial"/>
          <w:sz w:val="13"/>
          <w:szCs w:val="13"/>
          <w:b w:val="1"/>
          <w:bCs w:val="1"/>
          <w:color w:val="auto"/>
        </w:rPr>
        <w:t>XEMPT</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you are an Employee eligible for overtime compensation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Labor Standards Act of 1938, as amended ( i.e., a “Non-Exempt Employee”), you may not exercise your option until you have completed at least six</w:t>
      </w:r>
    </w:p>
    <w:p>
      <w:pPr>
        <w:spacing w:after="0" w:line="1" w:lineRule="exact"/>
        <w:rPr>
          <w:rFonts w:ascii="Arial" w:cs="Arial" w:eastAsia="Arial" w:hAnsi="Arial"/>
          <w:sz w:val="16"/>
          <w:szCs w:val="16"/>
          <w:b w:val="1"/>
          <w:bCs w:val="1"/>
          <w:color w:val="auto"/>
        </w:rPr>
      </w:pPr>
    </w:p>
    <w:p>
      <w:pPr>
        <w:ind w:left="260" w:hanging="252"/>
        <w:spacing w:after="0"/>
        <w:tabs>
          <w:tab w:leader="none" w:pos="2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months of Continuous Service measured from the Date of Grant specified in your Grant Notice, notwithstanding any other provision of your option.</w:t>
      </w:r>
    </w:p>
    <w:p>
      <w:pPr>
        <w:spacing w:after="0" w:line="110" w:lineRule="exact"/>
        <w:rPr>
          <w:rFonts w:ascii="Arial" w:cs="Arial" w:eastAsia="Arial" w:hAnsi="Arial"/>
          <w:sz w:val="17"/>
          <w:szCs w:val="17"/>
          <w:color w:val="auto"/>
        </w:rPr>
      </w:pPr>
    </w:p>
    <w:p>
      <w:pPr>
        <w:ind w:right="240" w:firstLine="464"/>
        <w:spacing w:after="0" w:line="261" w:lineRule="auto"/>
        <w:tabs>
          <w:tab w:leader="none" w:pos="636"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RIOR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ESTING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w:t>
      </w:r>
      <w:r>
        <w:rPr>
          <w:rFonts w:ascii="Arial" w:cs="Arial" w:eastAsia="Arial" w:hAnsi="Arial"/>
          <w:sz w:val="18"/>
          <w:szCs w:val="18"/>
          <w:color w:val="auto"/>
        </w:rPr>
        <w:t>If permitted in your Grant Notice (i.e., the</w:t>
      </w:r>
      <w:r>
        <w:rPr>
          <w:rFonts w:ascii="Arial" w:cs="Arial" w:eastAsia="Arial" w:hAnsi="Arial"/>
          <w:sz w:val="18"/>
          <w:szCs w:val="18"/>
          <w:b w:val="1"/>
          <w:bCs w:val="1"/>
          <w:color w:val="auto"/>
        </w:rPr>
        <w:t xml:space="preserve"> “Exercise Schedule” </w:t>
      </w:r>
      <w:r>
        <w:rPr>
          <w:rFonts w:ascii="Arial" w:cs="Arial" w:eastAsia="Arial" w:hAnsi="Arial"/>
          <w:sz w:val="18"/>
          <w:szCs w:val="18"/>
          <w:color w:val="auto"/>
        </w:rPr>
        <w:t>indicates that</w:t>
      </w:r>
      <w:r>
        <w:rPr>
          <w:rFonts w:ascii="Arial" w:cs="Arial" w:eastAsia="Arial" w:hAnsi="Arial"/>
          <w:sz w:val="18"/>
          <w:szCs w:val="18"/>
          <w:b w:val="1"/>
          <w:bCs w:val="1"/>
          <w:color w:val="auto"/>
        </w:rPr>
        <w:t xml:space="preserve"> “Early Exercise” </w:t>
      </w:r>
      <w:r>
        <w:rPr>
          <w:rFonts w:ascii="Arial" w:cs="Arial" w:eastAsia="Arial" w:hAnsi="Arial"/>
          <w:sz w:val="18"/>
          <w:szCs w:val="18"/>
          <w:color w:val="auto"/>
        </w:rPr>
        <w:t>of your option is permitted) and subject to the provisions of your option, you may elect at any time that is both (i) during the period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and (ii) during the term of your option, to exercise all or part of your option, including the nonvested portion of your option; provided, however, that:</w:t>
      </w:r>
    </w:p>
    <w:p>
      <w:pPr>
        <w:spacing w:after="0" w:line="75" w:lineRule="exact"/>
        <w:rPr>
          <w:rFonts w:ascii="Arial" w:cs="Arial" w:eastAsia="Arial" w:hAnsi="Arial"/>
          <w:sz w:val="18"/>
          <w:szCs w:val="18"/>
          <w:b w:val="1"/>
          <w:bCs w:val="1"/>
          <w:color w:val="auto"/>
        </w:rPr>
      </w:pPr>
    </w:p>
    <w:p>
      <w:pPr>
        <w:ind w:right="280" w:firstLine="921"/>
        <w:spacing w:after="0" w:line="277" w:lineRule="auto"/>
        <w:tabs>
          <w:tab w:leader="none" w:pos="1168" w:val="left"/>
        </w:tabs>
        <w:numPr>
          <w:ilvl w:val="2"/>
          <w:numId w:val="298"/>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62" w:lineRule="exact"/>
        <w:rPr>
          <w:rFonts w:ascii="Arial" w:cs="Arial" w:eastAsia="Arial" w:hAnsi="Arial"/>
          <w:sz w:val="18"/>
          <w:szCs w:val="18"/>
          <w:b w:val="1"/>
          <w:bCs w:val="1"/>
          <w:color w:val="auto"/>
        </w:rPr>
      </w:pPr>
    </w:p>
    <w:p>
      <w:pPr>
        <w:ind w:right="180" w:firstLine="921"/>
        <w:spacing w:after="0" w:line="277" w:lineRule="auto"/>
        <w:tabs>
          <w:tab w:leader="none" w:pos="1178" w:val="left"/>
        </w:tabs>
        <w:numPr>
          <w:ilvl w:val="2"/>
          <w:numId w:val="298"/>
        </w:numPr>
        <w:rPr>
          <w:rFonts w:ascii="Arial" w:cs="Arial" w:eastAsia="Arial" w:hAnsi="Arial"/>
          <w:sz w:val="18"/>
          <w:szCs w:val="18"/>
          <w:b w:val="1"/>
          <w:bCs w:val="1"/>
          <w:color w:val="auto"/>
        </w:rPr>
      </w:pPr>
      <w:r>
        <w:rPr>
          <w:rFonts w:ascii="Arial" w:cs="Arial" w:eastAsia="Arial" w:hAnsi="Arial"/>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62" w:lineRule="exact"/>
        <w:rPr>
          <w:rFonts w:ascii="Arial" w:cs="Arial" w:eastAsia="Arial" w:hAnsi="Arial"/>
          <w:sz w:val="18"/>
          <w:szCs w:val="18"/>
          <w:b w:val="1"/>
          <w:bCs w:val="1"/>
          <w:color w:val="auto"/>
        </w:rPr>
      </w:pPr>
    </w:p>
    <w:p>
      <w:pPr>
        <w:ind w:right="340" w:firstLine="921"/>
        <w:spacing w:after="0" w:line="277" w:lineRule="auto"/>
        <w:tabs>
          <w:tab w:leader="none" w:pos="1157" w:val="left"/>
        </w:tabs>
        <w:numPr>
          <w:ilvl w:val="2"/>
          <w:numId w:val="298"/>
        </w:numPr>
        <w:rPr>
          <w:rFonts w:ascii="Arial" w:cs="Arial" w:eastAsia="Arial" w:hAnsi="Arial"/>
          <w:sz w:val="18"/>
          <w:szCs w:val="18"/>
          <w:b w:val="1"/>
          <w:bCs w:val="1"/>
          <w:color w:val="auto"/>
        </w:rPr>
      </w:pPr>
      <w:r>
        <w:rPr>
          <w:rFonts w:ascii="Arial" w:cs="Arial" w:eastAsia="Arial" w:hAnsi="Arial"/>
          <w:sz w:val="18"/>
          <w:szCs w:val="18"/>
          <w:color w:val="auto"/>
        </w:rPr>
        <w:t>you shall enter into the Company’s form of Early Exercise Stock Purchase Agreement with a vesting schedule that will result in the same vesting as if no early exercise had occurred;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326" w:name="page327"/>
    <w:bookmarkEnd w:id="326"/>
    <w:p>
      <w:pPr>
        <w:jc w:val="both"/>
        <w:ind w:left="-8" w:right="20" w:firstLine="921"/>
        <w:spacing w:after="0" w:line="279" w:lineRule="auto"/>
        <w:tabs>
          <w:tab w:leader="none" w:pos="1170" w:val="left"/>
        </w:tabs>
        <w:numPr>
          <w:ilvl w:val="2"/>
          <w:numId w:val="29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67" w:lineRule="exact"/>
        <w:rPr>
          <w:rFonts w:ascii="Arial" w:cs="Arial" w:eastAsia="Arial" w:hAnsi="Arial"/>
          <w:sz w:val="17"/>
          <w:szCs w:val="17"/>
          <w:b w:val="1"/>
          <w:bCs w:val="1"/>
          <w:color w:val="auto"/>
        </w:rPr>
      </w:pPr>
    </w:p>
    <w:p>
      <w:pPr>
        <w:ind w:left="-8" w:right="20" w:firstLine="464"/>
        <w:spacing w:after="0" w:line="347" w:lineRule="auto"/>
        <w:tabs>
          <w:tab w:leader="none" w:pos="628" w:val="left"/>
        </w:tabs>
        <w:numPr>
          <w:ilvl w:val="1"/>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3"/>
          <w:szCs w:val="13"/>
          <w:b w:val="1"/>
          <w:bCs w:val="1"/>
          <w:color w:val="auto"/>
        </w:rPr>
        <w:t>ETHOD</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is due in full upon exercise of all or any part of your option. You may elect to make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exercise price in cash or by check or in any other manner </w:t>
      </w:r>
      <w:r>
        <w:rPr>
          <w:rFonts w:ascii="Arial" w:cs="Arial" w:eastAsia="Arial" w:hAnsi="Arial"/>
          <w:sz w:val="16"/>
          <w:szCs w:val="16"/>
          <w:b w:val="1"/>
          <w:bCs w:val="1"/>
          <w:i w:val="1"/>
          <w:iCs w:val="1"/>
          <w:color w:val="auto"/>
        </w:rPr>
        <w:t>permitted by your Grant Notice</w:t>
      </w:r>
      <w:r>
        <w:rPr>
          <w:rFonts w:ascii="Arial" w:cs="Arial" w:eastAsia="Arial" w:hAnsi="Arial"/>
          <w:sz w:val="16"/>
          <w:szCs w:val="16"/>
          <w:color w:val="auto"/>
        </w:rPr>
        <w:t>, which may include one or more of the following:</w:t>
      </w:r>
    </w:p>
    <w:p>
      <w:pPr>
        <w:spacing w:after="0" w:line="12" w:lineRule="exact"/>
        <w:rPr>
          <w:rFonts w:ascii="Arial" w:cs="Arial" w:eastAsia="Arial" w:hAnsi="Arial"/>
          <w:sz w:val="16"/>
          <w:szCs w:val="16"/>
          <w:b w:val="1"/>
          <w:bCs w:val="1"/>
          <w:color w:val="auto"/>
        </w:rPr>
      </w:pPr>
    </w:p>
    <w:p>
      <w:pPr>
        <w:ind w:left="-8" w:firstLine="921"/>
        <w:spacing w:after="0" w:line="312" w:lineRule="auto"/>
        <w:tabs>
          <w:tab w:leader="none" w:pos="1160" w:val="left"/>
        </w:tabs>
        <w:numPr>
          <w:ilvl w:val="2"/>
          <w:numId w:val="300"/>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38" w:lineRule="exact"/>
        <w:rPr>
          <w:rFonts w:ascii="Arial" w:cs="Arial" w:eastAsia="Arial" w:hAnsi="Arial"/>
          <w:sz w:val="16"/>
          <w:szCs w:val="16"/>
          <w:b w:val="1"/>
          <w:bCs w:val="1"/>
          <w:color w:val="auto"/>
        </w:rPr>
      </w:pPr>
    </w:p>
    <w:p>
      <w:pPr>
        <w:ind w:left="-8" w:right="40" w:firstLine="921"/>
        <w:spacing w:after="0" w:line="291" w:lineRule="auto"/>
        <w:tabs>
          <w:tab w:leader="none" w:pos="1170" w:val="left"/>
        </w:tabs>
        <w:numPr>
          <w:ilvl w:val="2"/>
          <w:numId w:val="300"/>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by delivery of already-owned shares of Common Stock either that you have held for the period required to avoid a charge to the Company’s reported earnings (generally six</w:t>
      </w:r>
    </w:p>
    <w:p>
      <w:pPr>
        <w:ind w:left="-8" w:firstLine="8"/>
        <w:spacing w:after="0" w:line="271" w:lineRule="auto"/>
        <w:tabs>
          <w:tab w:leader="none" w:pos="247" w:val="left"/>
        </w:tabs>
        <w:numPr>
          <w:ilvl w:val="0"/>
          <w:numId w:val="301"/>
        </w:numPr>
        <w:rPr>
          <w:rFonts w:ascii="Arial" w:cs="Arial" w:eastAsia="Arial" w:hAnsi="Arial"/>
          <w:sz w:val="17"/>
          <w:szCs w:val="17"/>
          <w:color w:val="auto"/>
        </w:rPr>
      </w:pPr>
      <w:r>
        <w:rPr>
          <w:rFonts w:ascii="Arial" w:cs="Arial" w:eastAsia="Arial" w:hAnsi="Arial"/>
          <w:sz w:val="17"/>
          <w:szCs w:val="17"/>
          <w:color w:val="auto"/>
        </w:rPr>
        <w:t>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74" w:lineRule="exact"/>
        <w:rPr>
          <w:rFonts w:ascii="Arial" w:cs="Arial" w:eastAsia="Arial" w:hAnsi="Arial"/>
          <w:sz w:val="17"/>
          <w:szCs w:val="17"/>
          <w:color w:val="auto"/>
        </w:rPr>
      </w:pPr>
    </w:p>
    <w:p>
      <w:pPr>
        <w:ind w:left="632" w:hanging="176"/>
        <w:spacing w:after="0"/>
        <w:tabs>
          <w:tab w:leader="none" w:pos="632"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225" w:lineRule="exact"/>
        <w:rPr>
          <w:rFonts w:ascii="Arial" w:cs="Arial" w:eastAsia="Arial" w:hAnsi="Arial"/>
          <w:sz w:val="18"/>
          <w:szCs w:val="18"/>
          <w:b w:val="1"/>
          <w:bCs w:val="1"/>
          <w:color w:val="auto"/>
        </w:rPr>
      </w:pPr>
    </w:p>
    <w:p>
      <w:pPr>
        <w:ind w:left="-8" w:right="60" w:firstLine="464"/>
        <w:spacing w:after="0" w:line="277" w:lineRule="auto"/>
        <w:tabs>
          <w:tab w:leader="none" w:pos="628" w:val="left"/>
        </w:tabs>
        <w:numPr>
          <w:ilvl w:val="1"/>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you may not exercise your option unless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327" w:name="page328"/>
    <w:bookmarkEnd w:id="327"/>
    <w:p>
      <w:pPr>
        <w:ind w:right="220" w:firstLine="464"/>
        <w:spacing w:after="0" w:line="282" w:lineRule="auto"/>
        <w:tabs>
          <w:tab w:leader="none" w:pos="636"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or after the expiration of its term. The term of your option commences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expires upon the earliest of the following:</w:t>
      </w:r>
    </w:p>
    <w:p>
      <w:pPr>
        <w:spacing w:after="0" w:line="57" w:lineRule="exact"/>
        <w:rPr>
          <w:rFonts w:ascii="Arial" w:cs="Arial" w:eastAsia="Arial" w:hAnsi="Arial"/>
          <w:sz w:val="18"/>
          <w:szCs w:val="18"/>
          <w:b w:val="1"/>
          <w:bCs w:val="1"/>
          <w:color w:val="auto"/>
        </w:rPr>
      </w:pPr>
    </w:p>
    <w:p>
      <w:pPr>
        <w:jc w:val="both"/>
        <w:ind w:right="140" w:firstLine="921"/>
        <w:spacing w:after="0" w:line="259" w:lineRule="auto"/>
        <w:tabs>
          <w:tab w:leader="none" w:pos="1168"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your Disability or death, provided that if during any part of such three (3) month period your option is not exercisable solely because of the condition set forth in Section 7, your option shall not expire until the earlier of the Expiration Date or until it shall have been exercisable for an aggregate period of three (3) months after the termination of your Continuous Service;</w:t>
      </w:r>
    </w:p>
    <w:p>
      <w:pPr>
        <w:spacing w:after="0" w:line="78"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twelve (12) months after the termination of your Continuous Service due to your Disability;</w:t>
      </w:r>
    </w:p>
    <w:p>
      <w:pPr>
        <w:spacing w:after="0" w:line="117" w:lineRule="exact"/>
        <w:rPr>
          <w:rFonts w:ascii="Arial" w:cs="Arial" w:eastAsia="Arial" w:hAnsi="Arial"/>
          <w:sz w:val="18"/>
          <w:szCs w:val="18"/>
          <w:b w:val="1"/>
          <w:bCs w:val="1"/>
          <w:color w:val="auto"/>
        </w:rPr>
      </w:pPr>
    </w:p>
    <w:p>
      <w:pPr>
        <w:ind w:right="440" w:firstLine="921"/>
        <w:spacing w:after="0" w:line="277" w:lineRule="auto"/>
        <w:tabs>
          <w:tab w:leader="none" w:pos="1157"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your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61" w:lineRule="exact"/>
        <w:rPr>
          <w:sz w:val="20"/>
          <w:szCs w:val="20"/>
          <w:color w:val="auto"/>
        </w:rPr>
      </w:pPr>
    </w:p>
    <w:p>
      <w:pPr>
        <w:ind w:left="640" w:hanging="176"/>
        <w:spacing w:after="0"/>
        <w:tabs>
          <w:tab w:leader="none" w:pos="6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140" w:firstLine="921"/>
        <w:spacing w:after="0" w:line="312" w:lineRule="auto"/>
        <w:tabs>
          <w:tab w:leader="none" w:pos="1168" w:val="left"/>
        </w:tabs>
        <w:numPr>
          <w:ilvl w:val="1"/>
          <w:numId w:val="303"/>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38" w:lineRule="exact"/>
        <w:rPr>
          <w:rFonts w:ascii="Arial" w:cs="Arial" w:eastAsia="Arial" w:hAnsi="Arial"/>
          <w:sz w:val="16"/>
          <w:szCs w:val="16"/>
          <w:b w:val="1"/>
          <w:bCs w:val="1"/>
          <w:color w:val="auto"/>
        </w:rPr>
      </w:pPr>
    </w:p>
    <w:p>
      <w:pPr>
        <w:ind w:firstLine="921"/>
        <w:spacing w:after="0" w:line="259" w:lineRule="auto"/>
        <w:tabs>
          <w:tab w:leader="none" w:pos="1178" w:val="left"/>
        </w:tabs>
        <w:numPr>
          <w:ilvl w:val="1"/>
          <w:numId w:val="303"/>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328" w:name="page329"/>
    <w:bookmarkEnd w:id="328"/>
    <w:p>
      <w:pPr>
        <w:ind w:left="1152" w:hanging="239"/>
        <w:spacing w:after="0"/>
        <w:tabs>
          <w:tab w:leader="none" w:pos="1152" w:val="left"/>
        </w:tabs>
        <w:numPr>
          <w:ilvl w:val="2"/>
          <w:numId w:val="30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left="-8" w:right="20" w:firstLine="8"/>
        <w:spacing w:after="0" w:line="290" w:lineRule="auto"/>
        <w:tabs>
          <w:tab w:leader="none" w:pos="33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53" w:lineRule="exact"/>
        <w:rPr>
          <w:rFonts w:ascii="Arial" w:cs="Arial" w:eastAsia="Arial" w:hAnsi="Arial"/>
          <w:sz w:val="17"/>
          <w:szCs w:val="17"/>
          <w:color w:val="auto"/>
        </w:rPr>
      </w:pPr>
    </w:p>
    <w:p>
      <w:pPr>
        <w:ind w:left="-8" w:firstLine="921"/>
        <w:spacing w:after="0" w:line="288" w:lineRule="auto"/>
        <w:tabs>
          <w:tab w:leader="none" w:pos="1170" w:val="left"/>
        </w:tabs>
        <w:numPr>
          <w:ilvl w:val="2"/>
          <w:numId w:val="305"/>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time specified by the managing underwriter(s) (not to exceed one hundred eighty (180) days (or such longer period, not to exceed 18 days after the expiration of the 180-day period, as the underwriters or the Company shall request in order to facilitate compliance with NASD Rule 2711) following the effective date of a registration statement of the Company filed under the Securities Act (the “</w:t>
      </w:r>
      <w:r>
        <w:rPr>
          <w:rFonts w:ascii="Arial" w:cs="Arial" w:eastAsia="Arial" w:hAnsi="Arial"/>
          <w:sz w:val="16"/>
          <w:szCs w:val="16"/>
          <w:b w:val="1"/>
          <w:bCs w:val="1"/>
          <w:i w:val="1"/>
          <w:iCs w:val="1"/>
          <w:color w:val="auto"/>
        </w:rPr>
        <w:t>Lock 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in this section shall prevent the exercise of a repurchase option, if any, in favor of the Company during the Lock 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165" w:lineRule="exact"/>
        <w:rPr>
          <w:rFonts w:ascii="Arial" w:cs="Arial" w:eastAsia="Arial" w:hAnsi="Arial"/>
          <w:sz w:val="16"/>
          <w:szCs w:val="16"/>
          <w:b w:val="1"/>
          <w:bCs w:val="1"/>
          <w:color w:val="auto"/>
        </w:rPr>
      </w:pPr>
    </w:p>
    <w:p>
      <w:pPr>
        <w:jc w:val="both"/>
        <w:ind w:left="-8" w:right="220" w:firstLine="464"/>
        <w:spacing w:after="0" w:line="266" w:lineRule="auto"/>
        <w:tabs>
          <w:tab w:leader="none" w:pos="718"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not transferable, except by will or by the laws of descent and distribution, and is exercisable during your life</w:t>
      </w:r>
      <w:r>
        <w:rPr>
          <w:rFonts w:ascii="Arial" w:cs="Arial" w:eastAsia="Arial" w:hAnsi="Arial"/>
          <w:sz w:val="18"/>
          <w:szCs w:val="18"/>
          <w:b w:val="1"/>
          <w:bCs w:val="1"/>
          <w:color w:val="auto"/>
        </w:rPr>
        <w:t xml:space="preserve"> </w:t>
      </w:r>
      <w:r>
        <w:rPr>
          <w:rFonts w:ascii="Arial" w:cs="Arial" w:eastAsia="Arial" w:hAnsi="Arial"/>
          <w:sz w:val="18"/>
          <w:szCs w:val="18"/>
          <w:color w:val="auto"/>
        </w:rPr>
        <w:t>only by you. Notwithstanding the foregoing, by delivering written notice to the Company, in a form satisfactory to the Company, you may designate a third party who, in the event of your death, shall thereafter be entitled to exercise your option.</w:t>
      </w:r>
    </w:p>
    <w:p>
      <w:pPr>
        <w:spacing w:after="0" w:line="176" w:lineRule="exact"/>
        <w:rPr>
          <w:rFonts w:ascii="Arial" w:cs="Arial" w:eastAsia="Arial" w:hAnsi="Arial"/>
          <w:sz w:val="18"/>
          <w:szCs w:val="18"/>
          <w:b w:val="1"/>
          <w:bCs w:val="1"/>
          <w:color w:val="auto"/>
        </w:rPr>
      </w:pPr>
    </w:p>
    <w:p>
      <w:pPr>
        <w:ind w:left="712" w:hanging="256"/>
        <w:spacing w:after="0"/>
        <w:tabs>
          <w:tab w:leader="none" w:pos="712"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180" w:firstLine="921"/>
        <w:spacing w:after="0" w:line="259" w:lineRule="auto"/>
        <w:tabs>
          <w:tab w:leader="none" w:pos="1160"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If a Change in Control occurs and within thirteen (13) months after the effective time of such Change in Control your Continuous Service terminates due to an involuntary termination of your employment (not including death or Disability) without Cause (as defined below) or due to a voluntary termination by you with Good Reason (as defined below), then, as of the date of termination of Continuous Service, the vesting and exercisability of your option shall be accelerated in full.</w:t>
      </w:r>
    </w:p>
    <w:p>
      <w:pPr>
        <w:spacing w:after="0" w:line="78" w:lineRule="exact"/>
        <w:rPr>
          <w:rFonts w:ascii="Arial" w:cs="Arial" w:eastAsia="Arial" w:hAnsi="Arial"/>
          <w:sz w:val="18"/>
          <w:szCs w:val="18"/>
          <w:b w:val="1"/>
          <w:bCs w:val="1"/>
          <w:color w:val="auto"/>
        </w:rPr>
      </w:pPr>
    </w:p>
    <w:p>
      <w:pPr>
        <w:ind w:left="-8" w:right="160" w:firstLine="921"/>
        <w:spacing w:after="0" w:line="255" w:lineRule="auto"/>
        <w:tabs>
          <w:tab w:leader="none" w:pos="1170"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the occurrence of any one or more of the following: (i) your commission of any crime involving fraud, dishonesty or moral turpitude; (ii) your attempted commission of or participation in a fraud or act of dishonesty against the Company that results in (or might have reasonably resulted in) material harm to the business of the Company; (iii) your intentional, material violation of any contract or agreement between you and the Company or any statutory duty you owe to the Company; or (iv) your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action or conduct described in clauses (iii) and (iv) above will constitute “Cause” only if such action or conduct continues after the Company has provided you with written notice thereof and thirty (30) days to cure the same.</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3" w:right="239" w:bottom="1440" w:gutter="0" w:footer="0" w:header="0"/>
        </w:sectPr>
      </w:pPr>
    </w:p>
    <w:bookmarkStart w:id="329" w:name="page330"/>
    <w:bookmarkEnd w:id="329"/>
    <w:p>
      <w:pPr>
        <w:ind w:right="40" w:firstLine="921"/>
        <w:spacing w:after="0" w:line="270" w:lineRule="auto"/>
        <w:tabs>
          <w:tab w:leader="none" w:pos="1157" w:val="left"/>
        </w:tabs>
        <w:numPr>
          <w:ilvl w:val="1"/>
          <w:numId w:val="3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any of the following actions taken without Cause by the Company or a successor corporation or entity without your consent: (i) the assignment to you of any duties or responsibilities that results in a material diminution in your function as in effect immediately prior to the effective date of the Change in Control; provided, however, that a change in your title or reporting relationships shall not provide the basis for a voluntary termination with Good Reason; (ii) a reduction by the Company in your annual base salary as in effect on the effective date of the Change in Control; provided, however, that Good Reason shall not be deemed to have occurred in the event of a reduction in your annual base salary that is pursuant to a salary reduction program affecting substantially all of the employees of the Company and that does not adversely affect you to a greater extent than other similarly situated employees; or (iii) a relocation of your primary business office to a location more than 50 miles from the location of your primary business office as of the effective date of the Change in Control, except for required travel by you on the Company’s business to an extent substantially consistent with your business travel obligations prior to the effective date of the Change in Control.</w:t>
      </w:r>
    </w:p>
    <w:p>
      <w:pPr>
        <w:spacing w:after="0" w:line="69" w:lineRule="exact"/>
        <w:rPr>
          <w:rFonts w:ascii="Arial" w:cs="Arial" w:eastAsia="Arial" w:hAnsi="Arial"/>
          <w:sz w:val="17"/>
          <w:szCs w:val="17"/>
          <w:b w:val="1"/>
          <w:bCs w:val="1"/>
          <w:color w:val="auto"/>
        </w:rPr>
      </w:pPr>
    </w:p>
    <w:p>
      <w:pPr>
        <w:ind w:left="1180" w:hanging="259"/>
        <w:spacing w:after="0"/>
        <w:tabs>
          <w:tab w:leader="none" w:pos="1180" w:val="left"/>
        </w:tabs>
        <w:numPr>
          <w:ilvl w:val="1"/>
          <w:numId w:val="307"/>
        </w:numPr>
        <w:rPr>
          <w:rFonts w:ascii="Arial" w:cs="Arial" w:eastAsia="Arial" w:hAnsi="Arial"/>
          <w:sz w:val="18"/>
          <w:szCs w:val="18"/>
          <w:b w:val="1"/>
          <w:bCs w:val="1"/>
          <w:color w:val="auto"/>
        </w:rPr>
      </w:pPr>
      <w:r>
        <w:rPr>
          <w:rFonts w:ascii="Arial" w:cs="Arial" w:eastAsia="Arial" w:hAnsi="Arial"/>
          <w:sz w:val="18"/>
          <w:szCs w:val="18"/>
          <w:color w:val="auto"/>
        </w:rPr>
        <w:t>If any payment or benefit you would receive pursuant to a Change in Control from the Company or otherwise (“</w:t>
      </w:r>
      <w:r>
        <w:rPr>
          <w:rFonts w:ascii="Arial" w:cs="Arial" w:eastAsia="Arial" w:hAnsi="Arial"/>
          <w:sz w:val="18"/>
          <w:szCs w:val="18"/>
          <w:b w:val="1"/>
          <w:bCs w:val="1"/>
          <w:color w:val="auto"/>
        </w:rPr>
        <w:t>Payment</w:t>
      </w:r>
      <w:r>
        <w:rPr>
          <w:rFonts w:ascii="Arial" w:cs="Arial" w:eastAsia="Arial" w:hAnsi="Arial"/>
          <w:sz w:val="18"/>
          <w:szCs w:val="18"/>
          <w:color w:val="auto"/>
        </w:rPr>
        <w:t>”) would</w:t>
      </w:r>
    </w:p>
    <w:p>
      <w:pPr>
        <w:spacing w:after="0" w:line="27" w:lineRule="exact"/>
        <w:rPr>
          <w:rFonts w:ascii="Arial" w:cs="Arial" w:eastAsia="Arial" w:hAnsi="Arial"/>
          <w:sz w:val="18"/>
          <w:szCs w:val="18"/>
          <w:b w:val="1"/>
          <w:bCs w:val="1"/>
          <w:color w:val="auto"/>
        </w:rPr>
      </w:pPr>
    </w:p>
    <w:p>
      <w:pPr>
        <w:ind w:firstLine="8"/>
        <w:spacing w:after="0" w:line="286" w:lineRule="auto"/>
        <w:tabs>
          <w:tab w:leader="none" w:pos="21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constitute a “</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Code, and (ii) but for this sentence, be subject to the excise tax imposed by Section 4999 of the Code (the “</w:t>
      </w:r>
      <w:r>
        <w:rPr>
          <w:rFonts w:ascii="Arial" w:cs="Arial" w:eastAsia="Arial" w:hAnsi="Arial"/>
          <w:sz w:val="16"/>
          <w:szCs w:val="16"/>
          <w:b w:val="1"/>
          <w:b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w:t>
      </w:r>
      <w:r>
        <w:rPr>
          <w:rFonts w:ascii="Arial" w:cs="Arial" w:eastAsia="Arial" w:hAnsi="Arial"/>
          <w:sz w:val="16"/>
          <w:szCs w:val="16"/>
          <w:b w:val="1"/>
          <w:bCs w:val="1"/>
          <w:i w:val="1"/>
          <w:iCs w:val="1"/>
          <w:color w:val="auto"/>
        </w:rPr>
        <w:t>parachute payments</w:t>
      </w:r>
      <w:r>
        <w:rPr>
          <w:rFonts w:ascii="Arial" w:cs="Arial" w:eastAsia="Arial" w:hAnsi="Arial"/>
          <w:sz w:val="16"/>
          <w:szCs w:val="16"/>
          <w:color w:val="auto"/>
        </w:rPr>
        <w:t>” is necessary so that the Payment equals the Reduced Amount, reduction shall occur in the following order unless you elect in writing a different order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election shall be subject to Company approval if made on or after the effective date of the event that triggers the Payment):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your Stock Awards (i.e., earliest granted Stock Award cancelled last) unless you elect in writing a different order for cancellation.</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330" w:name="page331"/>
    <w:bookmarkEnd w:id="33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accounting firm engaged to make the determinations hereunder shall provide its calculations, together with detailed supporting documentation, to you and the Company within fifteen (15) calendar days after the date on which your right to a Payment is triggered (if requested at that time by you or the Company) or such other time as requested by you or the Company. If the accounting firm determines that no Excise Tax is payable with respect to a Payment, either before or after the application of the Reduced Amount, it shall furnish you and the Company with an opinion reasonably acceptable to you that no Excise Tax will be imposed with respect to such Payment. Any good faith determinations of the accounting firm made hereunder shall be final, binding and conclusive upon you and the Company.</w:t>
      </w:r>
    </w:p>
    <w:p>
      <w:pPr>
        <w:spacing w:after="0" w:line="189" w:lineRule="exact"/>
        <w:rPr>
          <w:sz w:val="20"/>
          <w:szCs w:val="20"/>
          <w:color w:val="auto"/>
        </w:rPr>
      </w:pPr>
    </w:p>
    <w:p>
      <w:pPr>
        <w:ind w:right="180" w:firstLine="464"/>
        <w:spacing w:after="0" w:line="273" w:lineRule="auto"/>
        <w:tabs>
          <w:tab w:leader="none" w:pos="726"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IGHT</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EFUSAL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that you acquire upon exercise of your option are subject to any right of first refusal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described in the Company’s bylaws in effect at such time the Company elects to exercise its right;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Listing Date. For purposes of this Agreement, Listing Date shall mean the first date upon which any security of the Company is listed (or approved for listing) upon notice of issuance on a national securities exchange or on the National Market System of the Nasdaq Stock Market (or any successor to that entity).</w:t>
      </w:r>
    </w:p>
    <w:p>
      <w:pPr>
        <w:spacing w:after="0" w:line="172" w:lineRule="exact"/>
        <w:rPr>
          <w:rFonts w:ascii="Arial" w:cs="Arial" w:eastAsia="Arial" w:hAnsi="Arial"/>
          <w:sz w:val="17"/>
          <w:szCs w:val="17"/>
          <w:b w:val="1"/>
          <w:bCs w:val="1"/>
          <w:color w:val="auto"/>
        </w:rPr>
      </w:pPr>
    </w:p>
    <w:p>
      <w:pPr>
        <w:ind w:right="420" w:firstLine="464"/>
        <w:spacing w:after="0" w:line="347" w:lineRule="auto"/>
        <w:tabs>
          <w:tab w:leader="none" w:pos="726"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IGHT</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116" w:lineRule="exact"/>
        <w:rPr>
          <w:rFonts w:ascii="Arial" w:cs="Arial" w:eastAsia="Arial" w:hAnsi="Arial"/>
          <w:sz w:val="16"/>
          <w:szCs w:val="16"/>
          <w:b w:val="1"/>
          <w:bCs w:val="1"/>
          <w:color w:val="auto"/>
        </w:rPr>
      </w:pPr>
    </w:p>
    <w:p>
      <w:pPr>
        <w:ind w:right="20" w:firstLine="464"/>
        <w:spacing w:after="0" w:line="281" w:lineRule="auto"/>
        <w:tabs>
          <w:tab w:leader="none" w:pos="726"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w:t>
      </w:r>
      <w:r>
        <w:rPr>
          <w:rFonts w:ascii="Arial" w:cs="Arial" w:eastAsia="Arial" w:hAnsi="Arial"/>
          <w:sz w:val="17"/>
          <w:szCs w:val="17"/>
          <w:b w:val="1"/>
          <w:bCs w:val="1"/>
          <w:color w:val="auto"/>
        </w:rPr>
        <w:t xml:space="preserve"> A S</w:t>
      </w:r>
      <w:r>
        <w:rPr>
          <w:rFonts w:ascii="Arial" w:cs="Arial" w:eastAsia="Arial" w:hAnsi="Arial"/>
          <w:sz w:val="14"/>
          <w:szCs w:val="14"/>
          <w:b w:val="1"/>
          <w:bCs w:val="1"/>
          <w:color w:val="auto"/>
        </w:rPr>
        <w:t>ERVICE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an employment or service contract, and nothing in your option shall be deemed to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64" w:lineRule="exact"/>
        <w:rPr>
          <w:rFonts w:ascii="Arial" w:cs="Arial" w:eastAsia="Arial" w:hAnsi="Arial"/>
          <w:sz w:val="17"/>
          <w:szCs w:val="17"/>
          <w:b w:val="1"/>
          <w:bCs w:val="1"/>
          <w:color w:val="auto"/>
        </w:rPr>
      </w:pPr>
    </w:p>
    <w:p>
      <w:pPr>
        <w:ind w:left="740" w:hanging="276"/>
        <w:spacing w:after="0"/>
        <w:tabs>
          <w:tab w:leader="none" w:pos="7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921"/>
        <w:spacing w:after="0" w:line="257" w:lineRule="auto"/>
        <w:tabs>
          <w:tab w:leader="none" w:pos="1168"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31" w:name="page332"/>
    <w:bookmarkEnd w:id="331"/>
    <w:p>
      <w:pPr>
        <w:ind w:left="-20" w:firstLine="921"/>
        <w:spacing w:after="0" w:line="288" w:lineRule="auto"/>
        <w:tabs>
          <w:tab w:leader="none" w:pos="1158"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variable award accounting).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61" w:lineRule="exact"/>
        <w:rPr>
          <w:rFonts w:ascii="Arial" w:cs="Arial" w:eastAsia="Arial" w:hAnsi="Arial"/>
          <w:sz w:val="16"/>
          <w:szCs w:val="16"/>
          <w:b w:val="1"/>
          <w:bCs w:val="1"/>
          <w:color w:val="auto"/>
        </w:rPr>
      </w:pPr>
    </w:p>
    <w:p>
      <w:pPr>
        <w:ind w:left="-20" w:right="100" w:firstLine="921"/>
        <w:spacing w:after="0" w:line="312" w:lineRule="auto"/>
        <w:tabs>
          <w:tab w:leader="none" w:pos="1137"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42" w:lineRule="exact"/>
        <w:rPr>
          <w:rFonts w:ascii="Arial" w:cs="Arial" w:eastAsia="Arial" w:hAnsi="Arial"/>
          <w:sz w:val="16"/>
          <w:szCs w:val="16"/>
          <w:b w:val="1"/>
          <w:bCs w:val="1"/>
          <w:color w:val="auto"/>
        </w:rPr>
      </w:pPr>
    </w:p>
    <w:p>
      <w:pPr>
        <w:ind w:left="-20" w:firstLine="464"/>
        <w:spacing w:after="0" w:line="266" w:lineRule="auto"/>
        <w:tabs>
          <w:tab w:leader="none" w:pos="70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provided for in your option or the Plan shall be given in writing and shall be deemed effectively given upon receipt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notices delivered by mail by the Company to you, five (5) days after deposit in the United States mail, postage prepaid, addressed to you at the last address you provided to the Company.</w:t>
      </w:r>
    </w:p>
    <w:p>
      <w:pPr>
        <w:spacing w:after="0" w:line="176" w:lineRule="exact"/>
        <w:rPr>
          <w:rFonts w:ascii="Arial" w:cs="Arial" w:eastAsia="Arial" w:hAnsi="Arial"/>
          <w:sz w:val="18"/>
          <w:szCs w:val="18"/>
          <w:b w:val="1"/>
          <w:bCs w:val="1"/>
          <w:color w:val="auto"/>
        </w:rPr>
      </w:pPr>
    </w:p>
    <w:p>
      <w:pPr>
        <w:ind w:left="-20" w:right="100" w:firstLine="464"/>
        <w:spacing w:after="0" w:line="289" w:lineRule="auto"/>
        <w:tabs>
          <w:tab w:leader="none" w:pos="706"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332" w:name="page333"/>
    <w:bookmarkEnd w:id="3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 BIOSCIENCES,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EQUITY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GRANT NOTICE</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Anaptys Biosciences,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its 2006 Equity Incentive Plan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i w:val="1"/>
          <w:iCs w:val="1"/>
          <w:color w:val="auto"/>
        </w:rPr>
        <w:t>”),</w:t>
      </w:r>
      <w:r>
        <w:rPr>
          <w:rFonts w:ascii="Arial" w:cs="Arial" w:eastAsia="Arial" w:hAnsi="Arial"/>
          <w:sz w:val="17"/>
          <w:szCs w:val="17"/>
          <w:color w:val="auto"/>
        </w:rPr>
        <w:t xml:space="preserve">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8246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56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324"/>
        </w:trPr>
        <w:tc>
          <w:tcPr>
            <w:tcW w:w="186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56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290"/>
        </w:trPr>
        <w:tc>
          <w:tcPr>
            <w:tcW w:w="1860" w:type="dxa"/>
            <w:vAlign w:val="bottom"/>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w w:val="88"/>
              </w:rPr>
              <w:t>1/4</w:t>
            </w:r>
            <w:r>
              <w:rPr>
                <w:rFonts w:ascii="Arial" w:cs="Arial" w:eastAsia="Arial" w:hAnsi="Arial"/>
                <w:sz w:val="15"/>
                <w:szCs w:val="15"/>
                <w:color w:val="auto"/>
                <w:w w:val="88"/>
              </w:rPr>
              <w:t>th</w:t>
            </w:r>
            <w:r>
              <w:rPr>
                <w:rFonts w:ascii="Arial" w:cs="Arial" w:eastAsia="Arial" w:hAnsi="Arial"/>
                <w:sz w:val="18"/>
                <w:szCs w:val="18"/>
                <w:color w:val="auto"/>
                <w:w w:val="88"/>
              </w:rPr>
              <w:t xml:space="preserve"> of the shares vest and become exercisable one year after the Vesting Commencement Date; the balance of the shares vest</w:t>
            </w:r>
          </w:p>
        </w:tc>
      </w:tr>
      <w:tr>
        <w:trPr>
          <w:trHeight w:val="216"/>
        </w:trPr>
        <w:tc>
          <w:tcPr>
            <w:tcW w:w="1860" w:type="dxa"/>
            <w:vAlign w:val="bottom"/>
          </w:tcPr>
          <w:p>
            <w:pPr>
              <w:spacing w:after="0"/>
              <w:rPr>
                <w:sz w:val="18"/>
                <w:szCs w:val="18"/>
                <w:color w:val="auto"/>
              </w:rPr>
            </w:pP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w w:val="99"/>
              </w:rPr>
              <w:t>and become exercisable in a series of thirty-six (36) successive equal monthly installments measured from the first</w:t>
            </w:r>
          </w:p>
        </w:tc>
      </w:tr>
      <w:tr>
        <w:trPr>
          <w:trHeight w:val="216"/>
        </w:trPr>
        <w:tc>
          <w:tcPr>
            <w:tcW w:w="1860" w:type="dxa"/>
            <w:vAlign w:val="bottom"/>
          </w:tcPr>
          <w:p>
            <w:pPr>
              <w:spacing w:after="0"/>
              <w:rPr>
                <w:sz w:val="18"/>
                <w:szCs w:val="18"/>
                <w:color w:val="auto"/>
              </w:rPr>
            </w:pP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w w:val="91"/>
              </w:rPr>
              <w:t xml:space="preserve">anniversary of the Vesting Commencement Date; </w:t>
            </w:r>
            <w:r>
              <w:rPr>
                <w:rFonts w:ascii="Arial" w:cs="Arial" w:eastAsia="Arial" w:hAnsi="Arial"/>
                <w:sz w:val="18"/>
                <w:szCs w:val="18"/>
                <w:i w:val="1"/>
                <w:iCs w:val="1"/>
                <w:color w:val="auto"/>
                <w:w w:val="91"/>
              </w:rPr>
              <w:t>provided, however,</w:t>
            </w:r>
            <w:r>
              <w:rPr>
                <w:rFonts w:ascii="Arial" w:cs="Arial" w:eastAsia="Arial" w:hAnsi="Arial"/>
                <w:sz w:val="18"/>
                <w:szCs w:val="18"/>
                <w:color w:val="auto"/>
                <w:w w:val="91"/>
              </w:rPr>
              <w:t xml:space="preserve"> that the vesting and exercisability of this option shall be</w:t>
            </w:r>
          </w:p>
        </w:tc>
      </w:tr>
      <w:tr>
        <w:trPr>
          <w:trHeight w:val="230"/>
        </w:trPr>
        <w:tc>
          <w:tcPr>
            <w:tcW w:w="1860" w:type="dxa"/>
            <w:vAlign w:val="bottom"/>
          </w:tcPr>
          <w:p>
            <w:pPr>
              <w:spacing w:after="0"/>
              <w:rPr>
                <w:sz w:val="20"/>
                <w:szCs w:val="20"/>
                <w:color w:val="auto"/>
              </w:rPr>
            </w:pP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rPr>
              <w:t>subject to the special acceleration provisions set forth in the Stock Option Agreement attached hereto.</w:t>
            </w:r>
          </w:p>
        </w:tc>
      </w:tr>
      <w:tr>
        <w:trPr>
          <w:trHeight w:val="324"/>
        </w:trPr>
        <w:tc>
          <w:tcPr>
            <w:tcW w:w="1860" w:type="dxa"/>
            <w:vAlign w:val="bottom"/>
          </w:tcPr>
          <w:p>
            <w:pPr>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w:t>
            </w:r>
          </w:p>
        </w:tc>
        <w:tc>
          <w:tcPr>
            <w:tcW w:w="9520" w:type="dxa"/>
            <w:vAlign w:val="bottom"/>
            <w:gridSpan w:val="2"/>
          </w:tcPr>
          <w:p>
            <w:pPr>
              <w:ind w:left="44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344"/>
        </w:trPr>
        <w:tc>
          <w:tcPr>
            <w:tcW w:w="1860" w:type="dxa"/>
            <w:vAlign w:val="bottom"/>
          </w:tcPr>
          <w:p>
            <w:pPr>
              <w:spacing w:after="0"/>
              <w:rPr>
                <w:sz w:val="24"/>
                <w:szCs w:val="24"/>
                <w:color w:val="auto"/>
              </w:rPr>
            </w:pPr>
          </w:p>
        </w:tc>
        <w:tc>
          <w:tcPr>
            <w:tcW w:w="38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p>
        </w:tc>
        <w:tc>
          <w:tcPr>
            <w:tcW w:w="5680" w:type="dxa"/>
            <w:vAlign w:val="bottom"/>
          </w:tcPr>
          <w:p>
            <w:pPr>
              <w:spacing w:after="0"/>
              <w:rPr>
                <w:sz w:val="24"/>
                <w:szCs w:val="24"/>
                <w:color w:val="auto"/>
              </w:rPr>
            </w:pPr>
          </w:p>
        </w:tc>
      </w:tr>
    </w:tbl>
    <w:p>
      <w:pPr>
        <w:spacing w:after="0" w:line="41"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Regulation T Program if the Shares are publicly traded</w:t>
      </w:r>
    </w:p>
    <w:p>
      <w:pPr>
        <w:spacing w:after="0" w:line="124"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delivery of already-owned shares if the Shares are publicly traded</w:t>
      </w:r>
    </w:p>
    <w:p>
      <w:pPr>
        <w:spacing w:after="0" w:line="117"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net exercise</w:t>
      </w:r>
      <w:r>
        <w:rPr>
          <w:rFonts w:ascii="Arial" w:cs="Arial" w:eastAsia="Arial" w:hAnsi="Arial"/>
          <w:sz w:val="15"/>
          <w:szCs w:val="15"/>
          <w:color w:val="auto"/>
        </w:rPr>
        <w:t>2</w:t>
      </w:r>
    </w:p>
    <w:p>
      <w:pPr>
        <w:spacing w:after="0" w:line="24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Additional Terms/Acknowledgements</w:t>
      </w:r>
      <w:r>
        <w:rPr>
          <w:rFonts w:ascii="Arial" w:cs="Arial" w:eastAsia="Arial" w:hAnsi="Arial"/>
          <w:sz w:val="18"/>
          <w:szCs w:val="18"/>
          <w:color w:val="auto"/>
        </w:rPr>
        <w:t>: The undersigned Optionholder acknowledges receipt of, and understands and agrees to, this Option 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Agreement, and the Plan. Optionholder further acknowledges that as of the Date of Grant, this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17145</wp:posOffset>
            </wp:positionV>
            <wp:extent cx="44938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172085</wp:posOffset>
            </wp:positionV>
            <wp:extent cx="44938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89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4"/>
          <w:szCs w:val="14"/>
          <w:color w:val="auto"/>
        </w:rPr>
      </w:pPr>
      <w:r>
        <w:rPr>
          <w:rFonts w:ascii="Arial" w:cs="Arial" w:eastAsia="Arial" w:hAnsi="Arial"/>
          <w:sz w:val="16"/>
          <w:szCs w:val="16"/>
          <w:color w:val="auto"/>
        </w:rPr>
        <w:t xml:space="preserve">If this is an Incentive Stock Option, it (plus other outstanding Incentive Stock Options) cannot be first </w:t>
      </w:r>
      <w:r>
        <w:rPr>
          <w:rFonts w:ascii="Arial" w:cs="Arial" w:eastAsia="Arial" w:hAnsi="Arial"/>
          <w:sz w:val="16"/>
          <w:szCs w:val="16"/>
          <w:b w:val="1"/>
          <w:bCs w:val="1"/>
          <w:i w:val="1"/>
          <w:iCs w:val="1"/>
          <w:color w:val="auto"/>
        </w:rPr>
        <w:t>exercisable</w:t>
      </w:r>
      <w:r>
        <w:rPr>
          <w:rFonts w:ascii="Arial" w:cs="Arial" w:eastAsia="Arial" w:hAnsi="Arial"/>
          <w:sz w:val="16"/>
          <w:szCs w:val="16"/>
          <w:color w:val="auto"/>
        </w:rPr>
        <w:t xml:space="preserve"> for more than $100,000 in value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(measured by exercise price) in any calendar year. Any excess over $100,000 is a Nonstatutory Stock Option.</w:t>
      </w:r>
    </w:p>
    <w:p>
      <w:pPr>
        <w:spacing w:after="0" w:line="8"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5"/>
          <w:szCs w:val="15"/>
          <w:color w:val="auto"/>
        </w:rPr>
      </w:pPr>
      <w:r>
        <w:rPr>
          <w:rFonts w:ascii="Arial" w:cs="Arial" w:eastAsia="Arial" w:hAnsi="Arial"/>
          <w:sz w:val="18"/>
          <w:szCs w:val="18"/>
          <w:color w:val="auto"/>
        </w:rPr>
        <w:t>An Incentive Stock Option may not be exercised by a net exercise arrangement.</w:t>
      </w:r>
    </w:p>
    <w:p>
      <w:pPr>
        <w:sectPr>
          <w:pgSz w:w="11900" w:h="16838" w:orient="portrait"/>
          <w:cols w:equalWidth="0" w:num="1">
            <w:col w:w="11380"/>
          </w:cols>
          <w:pgMar w:left="240" w:top="269" w:right="27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ANAPTYS BIOSCIENCES, INC.</w:t>
            </w:r>
          </w:p>
        </w:tc>
        <w:tc>
          <w:tcPr>
            <w:tcW w:w="6380" w:type="dxa"/>
            <w:vAlign w:val="bottom"/>
            <w:gridSpan w:val="3"/>
          </w:tcPr>
          <w:p>
            <w:pPr>
              <w:ind w:left="1260"/>
              <w:spacing w:after="0"/>
              <w:rPr>
                <w:sz w:val="20"/>
                <w:szCs w:val="20"/>
                <w:color w:val="auto"/>
              </w:rPr>
            </w:pPr>
            <w:r>
              <w:rPr>
                <w:rFonts w:ascii="Arial" w:cs="Arial" w:eastAsia="Arial" w:hAnsi="Arial"/>
                <w:sz w:val="18"/>
                <w:szCs w:val="18"/>
                <w:b w:val="1"/>
                <w:bCs w:val="1"/>
                <w:color w:val="auto"/>
              </w:rPr>
              <w:t>OPTIONHOLDER:</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By:</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46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c>
          <w:tcPr>
            <w:tcW w:w="1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4"/>
                <w:szCs w:val="24"/>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660" w:right="4800" w:hanging="5660"/>
        <w:spacing w:after="0" w:line="454" w:lineRule="auto"/>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2006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334" w:name="page335"/>
    <w:bookmarkEnd w:id="33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EXERCISE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Anaptys Biosciences, Inc.</w:t>
      </w:r>
    </w:p>
    <w:p>
      <w:pPr>
        <w:spacing w:after="0" w:line="117"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23926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constitutes notice under my stock option that I elect to purchase the number of shares for the price set forth below.</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49"/>
        </w:trPr>
        <w:tc>
          <w:tcPr>
            <w:tcW w:w="7220" w:type="dxa"/>
            <w:vAlign w:val="bottom"/>
            <w:gridSpan w:val="2"/>
          </w:tcPr>
          <w:p>
            <w:pPr>
              <w:spacing w:after="0"/>
              <w:rPr>
                <w:sz w:val="20"/>
                <w:szCs w:val="20"/>
                <w:color w:val="auto"/>
              </w:rPr>
            </w:pPr>
            <w:r>
              <w:rPr>
                <w:rFonts w:ascii="Arial" w:cs="Arial" w:eastAsia="Arial" w:hAnsi="Arial"/>
                <w:sz w:val="18"/>
                <w:szCs w:val="18"/>
                <w:color w:val="auto"/>
              </w:rPr>
              <w:t>Type of option (check one):</w:t>
            </w:r>
          </w:p>
        </w:tc>
        <w:tc>
          <w:tcPr>
            <w:tcW w:w="1940" w:type="dxa"/>
            <w:vAlign w:val="bottom"/>
          </w:tcPr>
          <w:p>
            <w:pPr>
              <w:jc w:val="right"/>
              <w:ind w:right="7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340" w:type="dxa"/>
            <w:vAlign w:val="bottom"/>
          </w:tcPr>
          <w:p>
            <w:pPr>
              <w:ind w:left="140"/>
              <w:spacing w:after="0" w:line="207" w:lineRule="exact"/>
              <w:rPr>
                <w:sz w:val="20"/>
                <w:szCs w:val="20"/>
                <w:color w:val="auto"/>
              </w:rPr>
            </w:pPr>
            <w:r>
              <w:rPr>
                <w:rFonts w:ascii="Arial" w:cs="Arial" w:eastAsia="Arial" w:hAnsi="Arial"/>
                <w:sz w:val="18"/>
                <w:szCs w:val="18"/>
                <w:color w:val="auto"/>
                <w:w w:val="94"/>
              </w:rPr>
              <w:t xml:space="preserve">Nonstatutory </w:t>
            </w:r>
            <w:r>
              <w:rPr>
                <w:rFonts w:ascii="MS PGothic" w:cs="MS PGothic" w:eastAsia="MS PGothic" w:hAnsi="MS PGothic"/>
                <w:sz w:val="18"/>
                <w:szCs w:val="18"/>
                <w:color w:val="auto"/>
                <w:w w:val="94"/>
              </w:rPr>
              <w:t>☐</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Stock option dated: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Number of shares as to which option is exercised: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Certificates to be issued in name of:</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Total exercise price:</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w:t>
            </w:r>
          </w:p>
        </w:tc>
        <w:tc>
          <w:tcPr>
            <w:tcW w:w="13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Cash payment delivered herewith:</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w:t>
            </w:r>
          </w:p>
        </w:tc>
        <w:tc>
          <w:tcPr>
            <w:tcW w:w="13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Value of</w:t>
            </w:r>
          </w:p>
        </w:tc>
        <w:tc>
          <w:tcPr>
            <w:tcW w:w="6320" w:type="dxa"/>
            <w:vAlign w:val="bottom"/>
          </w:tcPr>
          <w:p>
            <w:pPr>
              <w:ind w:left="300"/>
              <w:spacing w:after="0"/>
              <w:rPr>
                <w:sz w:val="20"/>
                <w:szCs w:val="20"/>
                <w:color w:val="auto"/>
              </w:rPr>
            </w:pPr>
            <w:r>
              <w:rPr>
                <w:rFonts w:ascii="Arial" w:cs="Arial" w:eastAsia="Arial" w:hAnsi="Arial"/>
                <w:sz w:val="18"/>
                <w:szCs w:val="18"/>
                <w:color w:val="auto"/>
              </w:rPr>
              <w:t>shares of Anaptys Biosciences, Inc. common stock delivered herewith</w:t>
            </w:r>
            <w:r>
              <w:rPr>
                <w:rFonts w:ascii="Arial" w:cs="Arial" w:eastAsia="Arial" w:hAnsi="Arial"/>
                <w:sz w:val="15"/>
                <w:szCs w:val="15"/>
                <w:color w:val="auto"/>
              </w:rPr>
              <w:t>3</w:t>
            </w: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$_________</w:t>
            </w:r>
          </w:p>
        </w:tc>
        <w:tc>
          <w:tcPr>
            <w:tcW w:w="1340" w:type="dxa"/>
            <w:vAlign w:val="bottom"/>
          </w:tcPr>
          <w:p>
            <w:pPr>
              <w:spacing w:after="0"/>
              <w:rPr>
                <w:sz w:val="20"/>
                <w:szCs w:val="20"/>
                <w:color w:val="auto"/>
              </w:rPr>
            </w:pPr>
          </w:p>
        </w:tc>
      </w:tr>
    </w:tbl>
    <w:p>
      <w:pPr>
        <w:spacing w:after="0" w:line="20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Anaptys Biosciences, Inc. 2006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of Common Stock issued upon exercise of this option that occurs within two (2) years after the date of grant of this option or within one (1) year after such shares of Common Stock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line="286" w:lineRule="auto"/>
        <w:tabs>
          <w:tab w:leader="none" w:pos="460" w:val="left"/>
        </w:tabs>
        <w:numPr>
          <w:ilvl w:val="0"/>
          <w:numId w:val="314"/>
        </w:numPr>
        <w:rPr>
          <w:rFonts w:ascii="Arial" w:cs="Arial" w:eastAsia="Arial" w:hAnsi="Arial"/>
          <w:sz w:val="14"/>
          <w:szCs w:val="14"/>
          <w:color w:val="auto"/>
        </w:rPr>
      </w:pPr>
      <w:r>
        <w:rPr>
          <w:rFonts w:ascii="Arial" w:cs="Arial" w:eastAsia="Arial" w:hAnsi="Arial"/>
          <w:sz w:val="17"/>
          <w:szCs w:val="17"/>
          <w:color w:val="auto"/>
        </w:rPr>
        <w:t>Shares must meet the public trading requirements set forth in the option. Shares must be valued in accordance with the terms of the option being exercised, must have been owned for the minimum period required in the option,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1320"/>
          </w:cols>
          <w:pgMar w:left="240" w:top="270" w:right="339" w:bottom="1440" w:gutter="0" w:footer="0" w:header="0"/>
        </w:sectPr>
      </w:pPr>
    </w:p>
    <w:bookmarkStart w:id="335" w:name="page336"/>
    <w:bookmarkEnd w:id="335"/>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hereby make the following certifications and representations with respect to the number of shares of Common Stock of the Company listed above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being acquired by me for my own account upon exercise of the Option as set forth above: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 acknowledge that the Shares have not been registered under the Securities Act of 1933, as amended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w:t>
      </w:r>
      <w:r>
        <w:rPr>
          <w:rFonts w:ascii="Arial" w:cs="Arial" w:eastAsia="Arial" w:hAnsi="Arial"/>
          <w:sz w:val="18"/>
          <w:szCs w:val="18"/>
          <w:color w:val="auto"/>
        </w:rPr>
        <w:t xml:space="preserve"> and are deemed to constitute “restricted securities” under Rule 701 and “control securities” under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 further acknowledge that I will not be able to resell the Shares for at least ninety (90) days after the stock of the Company becomes publicly traded </w:t>
      </w:r>
      <w:r>
        <w:rPr>
          <w:rFonts w:ascii="Arial" w:cs="Arial" w:eastAsia="Arial" w:hAnsi="Arial"/>
          <w:sz w:val="18"/>
          <w:szCs w:val="18"/>
          <w:i w:val="1"/>
          <w:iCs w:val="1"/>
          <w:color w:val="auto"/>
        </w:rPr>
        <w:t xml:space="preserve">(i.e., </w:t>
      </w:r>
      <w:r>
        <w:rPr>
          <w:rFonts w:ascii="Arial" w:cs="Arial" w:eastAsia="Arial" w:hAnsi="Arial"/>
          <w:sz w:val="18"/>
          <w:szCs w:val="18"/>
          <w:color w:val="auto"/>
        </w:rPr>
        <w:t>subject to the reporting requirements of Section 13 or 15(d) of the Securities Exchange Act of 1934) under Rule 701 and that more restrictive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affiliates of the Company under Rule 144.</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Certificate of Incorporation, Bylaws and/or applicable securities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 further agree that I will not sell, dispose of, transfer, make any short sale of, grant any option for the purchase of, or enter into any hedging or similar transaction with the same economic effect as a sale, any shares of Common Stock or other securities of the Company held by me, for a period of time specified by the managing underwriter(s) (not to exceed one hundred eighty (180) days (or such longer period, not to exceed 18 days after the expiration of the 180-day period, as the underwriters or the Company shall request in order to facilitate compliance with NASD Rule 2711) following the effective date of a registration statement of the Company filed under the Securities Act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Lock Up Period</w:t>
      </w:r>
      <w:r>
        <w:rPr>
          <w:rFonts w:ascii="Arial" w:cs="Arial" w:eastAsia="Arial" w:hAnsi="Arial"/>
          <w:sz w:val="17"/>
          <w:szCs w:val="17"/>
          <w:i w:val="1"/>
          <w:iCs w:val="1"/>
          <w:color w:val="auto"/>
        </w:rPr>
        <w:t>”); provided, however,</w:t>
      </w:r>
      <w:r>
        <w:rPr>
          <w:rFonts w:ascii="Arial" w:cs="Arial" w:eastAsia="Arial" w:hAnsi="Arial"/>
          <w:sz w:val="17"/>
          <w:szCs w:val="17"/>
          <w:color w:val="auto"/>
        </w:rPr>
        <w:t xml:space="preserve"> that nothing contained in this paragraph shall prevent the exercise of a repurchase option, if any, in favor of the Company during the Lock Up Period.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my shares of Common Stock until the end of such period.</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BONUS GRANT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AnaptysBio, Inc. (the “Company”), pursuant to its 2006 Equity Incentive Plan (the “Plan”), hereby awards to Participant as compensation the number of shares of the Company’s Common Stock set forth below (“Award”). This Award is subject to all of the terms and conditions as set forth herein and in the Restricted Stock Bonus Agreement, the Plan, the form of Assignment Separate from Certificate and the form of Joint Escrow Instructions, all of which are attached hereto and incorporated herein in their entirety.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Subject to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Additional Terms/Acknowledgements</w:t>
      </w:r>
      <w:r>
        <w:rPr>
          <w:rFonts w:ascii="Arial" w:cs="Arial" w:eastAsia="Arial" w:hAnsi="Arial"/>
          <w:sz w:val="17"/>
          <w:szCs w:val="17"/>
          <w:color w:val="auto"/>
        </w:rPr>
        <w:t>: The undersigned Participant acknowledges receipt of, and understands and agrees to, this Restricted Stock Bonus</w:t>
      </w:r>
      <w:r>
        <w:rPr>
          <w:rFonts w:ascii="Arial" w:cs="Arial" w:eastAsia="Arial" w:hAnsi="Arial"/>
          <w:sz w:val="17"/>
          <w:szCs w:val="17"/>
          <w:b w:val="1"/>
          <w:bCs w:val="1"/>
          <w:color w:val="auto"/>
        </w:rPr>
        <w:t xml:space="preserve"> </w:t>
      </w:r>
      <w:r>
        <w:rPr>
          <w:rFonts w:ascii="Arial" w:cs="Arial" w:eastAsia="Arial" w:hAnsi="Arial"/>
          <w:sz w:val="17"/>
          <w:szCs w:val="17"/>
          <w:color w:val="auto"/>
        </w:rPr>
        <w:t>Grant Notice, the Restricted Stock Bonus Agreement and the Plan. Participant further acknowledges that as of the Date of Grant, this Restricted Stock Bonus Grant Notice, the Restricted Stock Bonus Agreement and the Plan set forth the entire understanding between Participant and the Company regarding the acquisition of stock in the Company and supersede all prior oral and written agreements on that subject with the exception of (i) Awards previously granted and delivered to Participant under the Plan, and (ii) the following agreements only: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17145</wp:posOffset>
            </wp:positionV>
            <wp:extent cx="53511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172085</wp:posOffset>
            </wp:positionV>
            <wp:extent cx="53511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ANAPTYSBIO, INC.</w:t>
            </w:r>
          </w:p>
        </w:tc>
        <w:tc>
          <w:tcPr>
            <w:tcW w:w="7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By:</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78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Signature</w:t>
            </w:r>
          </w:p>
        </w:tc>
      </w:tr>
      <w:tr>
        <w:trPr>
          <w:trHeight w:val="4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ATTACHMENTS: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BONUS AGREEMENT</w:t>
      </w:r>
    </w:p>
    <w:p>
      <w:pPr>
        <w:sectPr>
          <w:pgSz w:w="11900" w:h="16838" w:orient="portrait"/>
          <w:cols w:equalWidth="0" w:num="1">
            <w:col w:w="9019"/>
          </w:cols>
          <w:pgMar w:left="1440" w:top="269" w:right="1440" w:bottom="1440" w:gutter="0" w:footer="0" w:header="0"/>
        </w:sectPr>
      </w:pPr>
    </w:p>
    <w:bookmarkStart w:id="338" w:name="page339"/>
    <w:bookmarkEnd w:id="3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EQUITY INCENTIVE PLAN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BONUS AGREEMENT</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Pursuant to the Restricted Stock Bonus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Restricted Stock Bonus Agreement (collectively,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and in consideration of your services, AnaptysBio,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you a Restricted Stock Award under its 2006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shares of the Company’s Common Stock subject to the Award as indicated in the Grant Notice. Defined terms not explicitly defined in this Restricted Stock Bonus Agreement but defined in the Plan shall have the same definitions as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Award are as follows:</w:t>
      </w:r>
    </w:p>
    <w:p>
      <w:pPr>
        <w:spacing w:after="0" w:line="113" w:lineRule="exact"/>
        <w:rPr>
          <w:sz w:val="20"/>
          <w:szCs w:val="20"/>
          <w:color w:val="auto"/>
        </w:rPr>
      </w:pPr>
    </w:p>
    <w:p>
      <w:pPr>
        <w:ind w:right="100" w:firstLine="464"/>
        <w:spacing w:after="0" w:line="282" w:lineRule="auto"/>
        <w:tabs>
          <w:tab w:leader="none" w:pos="63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as provided in the Grant Notice, provided that vesting will cease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your Continuous Service.</w:t>
      </w:r>
    </w:p>
    <w:p>
      <w:pPr>
        <w:spacing w:after="0" w:line="53" w:lineRule="exact"/>
        <w:rPr>
          <w:rFonts w:ascii="Arial" w:cs="Arial" w:eastAsia="Arial" w:hAnsi="Arial"/>
          <w:sz w:val="18"/>
          <w:szCs w:val="18"/>
          <w:b w:val="1"/>
          <w:bCs w:val="1"/>
          <w:color w:val="auto"/>
        </w:rPr>
      </w:pPr>
    </w:p>
    <w:p>
      <w:pPr>
        <w:ind w:right="560" w:firstLine="464"/>
        <w:spacing w:after="0" w:line="282" w:lineRule="auto"/>
        <w:tabs>
          <w:tab w:leader="none" w:pos="63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shares subject to your Award may be adjusted from time to time for Capitalization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Plan.</w:t>
      </w:r>
    </w:p>
    <w:p>
      <w:pPr>
        <w:spacing w:after="0" w:line="53" w:lineRule="exact"/>
        <w:rPr>
          <w:rFonts w:ascii="Arial" w:cs="Arial" w:eastAsia="Arial" w:hAnsi="Arial"/>
          <w:sz w:val="18"/>
          <w:szCs w:val="18"/>
          <w:b w:val="1"/>
          <w:bCs w:val="1"/>
          <w:color w:val="auto"/>
        </w:rPr>
      </w:pPr>
    </w:p>
    <w:p>
      <w:pPr>
        <w:ind w:firstLine="464"/>
        <w:spacing w:after="0" w:line="261" w:lineRule="auto"/>
        <w:tabs>
          <w:tab w:leader="none" w:pos="63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You may not be issued any shares under your Award unless the shares are either (i) then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(ii) the Company has determined that such issuance would be exempt from the registration requirements of the Securities Act. Your Award must also comply with other applicable laws and regulations governing the Award, and you will not receive such shares if the Company determines that such receipt would not be in material compliance with such laws and regulations.</w:t>
      </w:r>
    </w:p>
    <w:p>
      <w:pPr>
        <w:spacing w:after="0" w:line="71" w:lineRule="exact"/>
        <w:rPr>
          <w:rFonts w:ascii="Arial" w:cs="Arial" w:eastAsia="Arial" w:hAnsi="Arial"/>
          <w:sz w:val="18"/>
          <w:szCs w:val="18"/>
          <w:b w:val="1"/>
          <w:bCs w:val="1"/>
          <w:color w:val="auto"/>
        </w:rPr>
      </w:pPr>
    </w:p>
    <w:p>
      <w:pPr>
        <w:ind w:right="40" w:firstLine="464"/>
        <w:spacing w:after="0" w:line="270" w:lineRule="auto"/>
        <w:tabs>
          <w:tab w:leader="none" w:pos="63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MARKET STAND-OFF AGREEMENT</w:t>
      </w:r>
      <w:r>
        <w:rPr>
          <w:rFonts w:ascii="Arial" w:cs="Arial" w:eastAsia="Arial" w:hAnsi="Arial"/>
          <w:sz w:val="17"/>
          <w:szCs w:val="17"/>
          <w:color w:val="auto"/>
        </w:rPr>
        <w:t>. By acquiring shares of Common Stock under your Award, you shall not sell, dispose of, transfer, make</w:t>
      </w:r>
      <w:r>
        <w:rPr>
          <w:rFonts w:ascii="Arial" w:cs="Arial" w:eastAsia="Arial" w:hAnsi="Arial"/>
          <w:sz w:val="17"/>
          <w:szCs w:val="17"/>
          <w:b w:val="1"/>
          <w:bCs w:val="1"/>
          <w:color w:val="auto"/>
        </w:rPr>
        <w:t xml:space="preserve"> </w:t>
      </w:r>
      <w:r>
        <w:rPr>
          <w:rFonts w:ascii="Arial" w:cs="Arial" w:eastAsia="Arial" w:hAnsi="Arial"/>
          <w:sz w:val="17"/>
          <w:szCs w:val="17"/>
          <w:color w:val="auto"/>
        </w:rPr>
        <w:t>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and similar or successor regulatory rules and regulations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provided, however, that nothing contained in this Section 4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4 and shall have the right, power and authority to enforce the provision hereof as though they were a party hereto.</w:t>
      </w:r>
    </w:p>
    <w:p>
      <w:pPr>
        <w:sectPr>
          <w:pgSz w:w="11900" w:h="16838" w:orient="portrait"/>
          <w:cols w:equalWidth="0" w:num="1">
            <w:col w:w="11380"/>
          </w:cols>
          <w:pgMar w:left="240" w:top="269" w:right="279" w:bottom="1440" w:gutter="0" w:footer="0" w:header="0"/>
        </w:sectPr>
      </w:pPr>
    </w:p>
    <w:bookmarkStart w:id="339" w:name="page340"/>
    <w:bookmarkEnd w:id="339"/>
    <w:p>
      <w:pPr>
        <w:ind w:left="-464" w:right="380" w:firstLine="464"/>
        <w:spacing w:after="0" w:line="282" w:lineRule="auto"/>
        <w:tabs>
          <w:tab w:leader="none" w:pos="172"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 OF FIRST REFUSAL. </w:t>
      </w:r>
      <w:r>
        <w:rPr>
          <w:rFonts w:ascii="Arial" w:cs="Arial" w:eastAsia="Arial" w:hAnsi="Arial"/>
          <w:sz w:val="18"/>
          <w:szCs w:val="18"/>
          <w:color w:val="auto"/>
        </w:rPr>
        <w:t>Shares that are received under your Award are subject to any right of first refusal that may be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bylaws in effect at such time the Company elects to exercise its right.</w:t>
      </w:r>
    </w:p>
    <w:p>
      <w:pPr>
        <w:spacing w:after="0" w:line="53" w:lineRule="exact"/>
        <w:rPr>
          <w:rFonts w:ascii="Arial" w:cs="Arial" w:eastAsia="Arial" w:hAnsi="Arial"/>
          <w:sz w:val="18"/>
          <w:szCs w:val="18"/>
          <w:b w:val="1"/>
          <w:bCs w:val="1"/>
          <w:color w:val="auto"/>
        </w:rPr>
      </w:pPr>
    </w:p>
    <w:p>
      <w:pPr>
        <w:ind w:left="176" w:hanging="176"/>
        <w:spacing w:after="0"/>
        <w:tabs>
          <w:tab w:leader="none" w:pos="176"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p>
    <w:p>
      <w:pPr>
        <w:spacing w:after="0" w:line="121" w:lineRule="exact"/>
        <w:rPr>
          <w:rFonts w:ascii="Arial" w:cs="Arial" w:eastAsia="Arial" w:hAnsi="Arial"/>
          <w:sz w:val="18"/>
          <w:szCs w:val="18"/>
          <w:b w:val="1"/>
          <w:bCs w:val="1"/>
          <w:color w:val="auto"/>
        </w:rPr>
      </w:pPr>
    </w:p>
    <w:p>
      <w:pPr>
        <w:ind w:left="-464" w:right="240" w:firstLine="921"/>
        <w:spacing w:after="0" w:line="277" w:lineRule="auto"/>
        <w:tabs>
          <w:tab w:leader="none" w:pos="703" w:val="left"/>
        </w:tabs>
        <w:numPr>
          <w:ilvl w:val="1"/>
          <w:numId w:val="316"/>
        </w:numPr>
        <w:rPr>
          <w:rFonts w:ascii="Arial" w:cs="Arial" w:eastAsia="Arial" w:hAnsi="Arial"/>
          <w:sz w:val="18"/>
          <w:szCs w:val="18"/>
          <w:b w:val="1"/>
          <w:bCs w:val="1"/>
          <w:color w:val="auto"/>
        </w:rPr>
      </w:pPr>
      <w:r>
        <w:rPr>
          <w:rFonts w:ascii="Arial" w:cs="Arial" w:eastAsia="Arial" w:hAnsi="Arial"/>
          <w:sz w:val="18"/>
          <w:szCs w:val="18"/>
          <w:color w:val="auto"/>
        </w:rPr>
        <w:t>To the extent provided in the Company’s bylaws, as amended from time to time, the Company shall have the right to repurchase all or any part of the shares received pursuant to your Award.</w:t>
      </w:r>
    </w:p>
    <w:p>
      <w:pPr>
        <w:spacing w:after="0" w:line="62" w:lineRule="exact"/>
        <w:rPr>
          <w:rFonts w:ascii="Arial" w:cs="Arial" w:eastAsia="Arial" w:hAnsi="Arial"/>
          <w:sz w:val="18"/>
          <w:szCs w:val="18"/>
          <w:b w:val="1"/>
          <w:bCs w:val="1"/>
          <w:color w:val="auto"/>
        </w:rPr>
      </w:pPr>
    </w:p>
    <w:p>
      <w:pPr>
        <w:ind w:left="-464" w:right="140" w:firstLine="921"/>
        <w:spacing w:after="0" w:line="308" w:lineRule="auto"/>
        <w:tabs>
          <w:tab w:leader="none" w:pos="713" w:val="left"/>
        </w:tabs>
        <w:numPr>
          <w:ilvl w:val="1"/>
          <w:numId w:val="316"/>
        </w:numPr>
        <w:rPr>
          <w:rFonts w:ascii="Arial" w:cs="Arial" w:eastAsia="Arial" w:hAnsi="Arial"/>
          <w:sz w:val="17"/>
          <w:szCs w:val="17"/>
          <w:b w:val="1"/>
          <w:bCs w:val="1"/>
          <w:color w:val="auto"/>
        </w:rPr>
      </w:pPr>
      <w:r>
        <w:rPr>
          <w:rFonts w:ascii="Arial" w:cs="Arial" w:eastAsia="Arial" w:hAnsi="Arial"/>
          <w:sz w:val="17"/>
          <w:szCs w:val="17"/>
          <w:color w:val="auto"/>
        </w:rPr>
        <w:t>The Company shall have a right to reacquire (a “</w:t>
      </w:r>
      <w:r>
        <w:rPr>
          <w:rFonts w:ascii="Arial" w:cs="Arial" w:eastAsia="Arial" w:hAnsi="Arial"/>
          <w:sz w:val="17"/>
          <w:szCs w:val="17"/>
          <w:b w:val="1"/>
          <w:bCs w:val="1"/>
          <w:i w:val="1"/>
          <w:iCs w:val="1"/>
          <w:color w:val="auto"/>
        </w:rPr>
        <w:t>Reacquisition Right</w:t>
      </w:r>
      <w:r>
        <w:rPr>
          <w:rFonts w:ascii="Arial" w:cs="Arial" w:eastAsia="Arial" w:hAnsi="Arial"/>
          <w:sz w:val="17"/>
          <w:szCs w:val="17"/>
          <w:color w:val="auto"/>
        </w:rPr>
        <w:t>”) the shares you received pursuant to your Award that have not as yet vested in accordance with the Vesting Schedule on the Grant Notice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on the following terms and conditions:</w:t>
      </w:r>
    </w:p>
    <w:p>
      <w:pPr>
        <w:spacing w:after="0" w:line="38" w:lineRule="exact"/>
        <w:rPr>
          <w:rFonts w:ascii="Arial" w:cs="Arial" w:eastAsia="Arial" w:hAnsi="Arial"/>
          <w:sz w:val="17"/>
          <w:szCs w:val="17"/>
          <w:b w:val="1"/>
          <w:bCs w:val="1"/>
          <w:color w:val="auto"/>
        </w:rPr>
      </w:pPr>
    </w:p>
    <w:p>
      <w:pPr>
        <w:ind w:left="-464" w:right="100" w:firstLine="1492"/>
        <w:spacing w:after="0" w:line="273" w:lineRule="auto"/>
        <w:tabs>
          <w:tab w:leader="none" w:pos="1234" w:val="left"/>
        </w:tabs>
        <w:numPr>
          <w:ilvl w:val="2"/>
          <w:numId w:val="316"/>
        </w:numPr>
        <w:rPr>
          <w:rFonts w:ascii="Arial" w:cs="Arial" w:eastAsia="Arial" w:hAnsi="Arial"/>
          <w:sz w:val="17"/>
          <w:szCs w:val="17"/>
          <w:b w:val="1"/>
          <w:bCs w:val="1"/>
          <w:color w:val="auto"/>
        </w:rPr>
      </w:pPr>
      <w:r>
        <w:rPr>
          <w:rFonts w:ascii="Arial" w:cs="Arial" w:eastAsia="Arial" w:hAnsi="Arial"/>
          <w:sz w:val="17"/>
          <w:szCs w:val="17"/>
          <w:color w:val="auto"/>
        </w:rPr>
        <w:t>The Company shall simultaneously with termination of your Continuous Service automatically reacquire for no consideration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the Company is reacquiring.</w:t>
      </w:r>
    </w:p>
    <w:p>
      <w:pPr>
        <w:spacing w:after="0" w:line="70" w:lineRule="exact"/>
        <w:rPr>
          <w:rFonts w:ascii="Arial" w:cs="Arial" w:eastAsia="Arial" w:hAnsi="Arial"/>
          <w:sz w:val="17"/>
          <w:szCs w:val="17"/>
          <w:b w:val="1"/>
          <w:bCs w:val="1"/>
          <w:color w:val="auto"/>
        </w:rPr>
      </w:pPr>
    </w:p>
    <w:p>
      <w:pPr>
        <w:ind w:left="-464" w:right="220" w:firstLine="1492"/>
        <w:spacing w:after="0" w:line="257" w:lineRule="auto"/>
        <w:tabs>
          <w:tab w:leader="none" w:pos="1284" w:val="left"/>
        </w:tabs>
        <w:numPr>
          <w:ilvl w:val="2"/>
          <w:numId w:val="316"/>
        </w:numPr>
        <w:rPr>
          <w:rFonts w:ascii="Arial" w:cs="Arial" w:eastAsia="Arial" w:hAnsi="Arial"/>
          <w:sz w:val="18"/>
          <w:szCs w:val="18"/>
          <w:b w:val="1"/>
          <w:bCs w:val="1"/>
          <w:color w:val="auto"/>
        </w:rPr>
      </w:pPr>
      <w:r>
        <w:rPr>
          <w:rFonts w:ascii="Arial" w:cs="Arial" w:eastAsia="Arial" w:hAnsi="Arial"/>
          <w:sz w:val="18"/>
          <w:szCs w:val="18"/>
          <w:color w:val="auto"/>
        </w:rPr>
        <w:t>The Company shall not exercise its Reacquisition Right until at least six (6) months (or such longer or shorter period of time necessary to avoid classification of the Award as a liability for financial accounting purposes) have elapsed following delivery of shares of Common Stock subject to the Award, unless otherwise specifically provided by the Board. If the Company does exercise its Reacquisition Right as to any of the shares subject to your Award, then upon such termination of your Continuous Service, the Escrow Holder shall transfer to the Company the number of shares the Company is repurchasing.</w:t>
      </w:r>
    </w:p>
    <w:p>
      <w:pPr>
        <w:spacing w:after="0" w:line="80" w:lineRule="exact"/>
        <w:rPr>
          <w:rFonts w:ascii="Arial" w:cs="Arial" w:eastAsia="Arial" w:hAnsi="Arial"/>
          <w:sz w:val="18"/>
          <w:szCs w:val="18"/>
          <w:b w:val="1"/>
          <w:bCs w:val="1"/>
          <w:color w:val="auto"/>
        </w:rPr>
      </w:pPr>
    </w:p>
    <w:p>
      <w:pPr>
        <w:ind w:left="-464" w:right="140" w:firstLine="1492"/>
        <w:spacing w:after="0" w:line="259" w:lineRule="auto"/>
        <w:tabs>
          <w:tab w:leader="none" w:pos="1334" w:val="left"/>
        </w:tabs>
        <w:numPr>
          <w:ilvl w:val="2"/>
          <w:numId w:val="316"/>
        </w:numPr>
        <w:rPr>
          <w:rFonts w:ascii="Arial" w:cs="Arial" w:eastAsia="Arial" w:hAnsi="Arial"/>
          <w:sz w:val="18"/>
          <w:szCs w:val="18"/>
          <w:b w:val="1"/>
          <w:bCs w:val="1"/>
          <w:color w:val="auto"/>
        </w:rPr>
      </w:pPr>
      <w:r>
        <w:rPr>
          <w:rFonts w:ascii="Arial" w:cs="Arial" w:eastAsia="Arial" w:hAnsi="Arial"/>
          <w:sz w:val="18"/>
          <w:szCs w:val="18"/>
          <w:color w:val="auto"/>
        </w:rPr>
        <w:t>The shares issued under your Award shall be held in escrow pursuant to the terms of the Joint Escrow Instructions attached to the Grant Notice as Attachment IV. You agree to execute two (2) Assignment Separate From Certificate forms (with date and number of shares blank) substantially in the form attached to the Grant Notice as Attachment III and deliver the same, along with the certificate or certificates evidencing the shares, for use by the escrow agent pursuant to the terms of the Joint Escrow Instructions.</w:t>
      </w:r>
    </w:p>
    <w:p>
      <w:pPr>
        <w:spacing w:after="0" w:line="78" w:lineRule="exact"/>
        <w:rPr>
          <w:rFonts w:ascii="Arial" w:cs="Arial" w:eastAsia="Arial" w:hAnsi="Arial"/>
          <w:sz w:val="18"/>
          <w:szCs w:val="18"/>
          <w:b w:val="1"/>
          <w:bCs w:val="1"/>
          <w:color w:val="auto"/>
        </w:rPr>
      </w:pPr>
    </w:p>
    <w:p>
      <w:pPr>
        <w:ind w:left="-464" w:firstLine="1492"/>
        <w:spacing w:after="0" w:line="259" w:lineRule="auto"/>
        <w:tabs>
          <w:tab w:leader="none" w:pos="1324" w:val="left"/>
        </w:tabs>
        <w:numPr>
          <w:ilvl w:val="2"/>
          <w:numId w:val="316"/>
        </w:numPr>
        <w:rPr>
          <w:rFonts w:ascii="Arial" w:cs="Arial" w:eastAsia="Arial" w:hAnsi="Arial"/>
          <w:sz w:val="18"/>
          <w:szCs w:val="18"/>
          <w:b w:val="1"/>
          <w:bCs w:val="1"/>
          <w:color w:val="auto"/>
        </w:rPr>
      </w:pPr>
      <w:r>
        <w:rPr>
          <w:rFonts w:ascii="Arial" w:cs="Arial" w:eastAsia="Arial" w:hAnsi="Arial"/>
          <w:sz w:val="18"/>
          <w:szCs w:val="18"/>
          <w:color w:val="auto"/>
        </w:rPr>
        <w:t>Subject to the provisions of your Award, you shall, during the term of your Award, exercise all rights and privileges of a shareholder of the Company with respect to the shares deposited in escrow. You shall be deemed to be the holder of the shares for purposes of receiving any dividends which may be paid with respect to such shares and for purposes of exercising any voting rights relating to such shares, even if some or all of such shares have not yet vested and been released from the Company’s Reacquisition Right.</w:t>
      </w:r>
    </w:p>
    <w:p>
      <w:pPr>
        <w:sectPr>
          <w:pgSz w:w="11900" w:h="16838" w:orient="portrait"/>
          <w:cols w:equalWidth="0" w:num="1">
            <w:col w:w="10896"/>
          </w:cols>
          <w:pgMar w:left="704" w:top="270" w:right="299" w:bottom="1440" w:gutter="0" w:footer="0" w:header="0"/>
        </w:sectPr>
      </w:pPr>
    </w:p>
    <w:bookmarkStart w:id="340" w:name="page341"/>
    <w:bookmarkEnd w:id="340"/>
    <w:p>
      <w:pPr>
        <w:ind w:left="-464" w:right="140" w:firstLine="1492"/>
        <w:spacing w:after="0" w:line="279" w:lineRule="auto"/>
        <w:tabs>
          <w:tab w:leader="none" w:pos="1274" w:val="left"/>
        </w:tabs>
        <w:numPr>
          <w:ilvl w:val="1"/>
          <w:numId w:val="31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from time to time, there is any stock dividend, stock split or other change in the character or amount of any of the outstanding stock of the corporation the stock of which is subject to the provisions of your Award, then in such event any and all new, substituted or additional securities to which you are entitled by reason of your ownership of the shares acquired under your Award shall be immediately subject to the Reacquisition Right with the same force and effect as the shares subject to this Reacquisition Right immediately before such event.</w:t>
      </w:r>
    </w:p>
    <w:p>
      <w:pPr>
        <w:spacing w:after="0" w:line="63" w:lineRule="exact"/>
        <w:rPr>
          <w:rFonts w:ascii="Arial" w:cs="Arial" w:eastAsia="Arial" w:hAnsi="Arial"/>
          <w:sz w:val="17"/>
          <w:szCs w:val="17"/>
          <w:b w:val="1"/>
          <w:bCs w:val="1"/>
          <w:color w:val="auto"/>
        </w:rPr>
      </w:pPr>
    </w:p>
    <w:p>
      <w:pPr>
        <w:ind w:left="-464" w:right="20" w:firstLine="1492"/>
        <w:spacing w:after="0" w:line="290" w:lineRule="auto"/>
        <w:tabs>
          <w:tab w:leader="none" w:pos="1324"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as defined in the Plan, the Reacquisition Right may be assigned by the Company to the successor of the Company (or such successor’s parent company), if any, in connection with such transaction. To the extent the Reacquisition Right remains in effect following such transaction, it shall apply to the new capital stock, cash or other property received in exchange for the Common Stock in consummation of the transaction, but only to the extent the Common Stock was at the time covered by such right. If any Reacquisition Right is not assumed or substituted in connection with such transaction and your continuous service has not terminated prior to the effective time of the Corporate Transaction, the Reacquisition Right shall lapse prior to the effective time of the Corporate Transaction. If your continuous service has terminated prior to the effective time of the Corporate Transaction and the surviving or acquiring corporation (or its parent company) does not assume or continue your outstanding Award, the Reacquisition Right held by the Company with respect to such Award may continue to be exercised notwithstanding the Corporate Transaction.</w:t>
      </w:r>
    </w:p>
    <w:p>
      <w:pPr>
        <w:spacing w:after="0" w:line="58" w:lineRule="exact"/>
        <w:rPr>
          <w:rFonts w:ascii="Arial" w:cs="Arial" w:eastAsia="Arial" w:hAnsi="Arial"/>
          <w:sz w:val="16"/>
          <w:szCs w:val="16"/>
          <w:b w:val="1"/>
          <w:bCs w:val="1"/>
          <w:color w:val="auto"/>
        </w:rPr>
      </w:pPr>
    </w:p>
    <w:p>
      <w:pPr>
        <w:ind w:left="-464" w:firstLine="1492"/>
        <w:spacing w:after="0" w:line="255" w:lineRule="auto"/>
        <w:tabs>
          <w:tab w:leader="none" w:pos="1374"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In addition to any other limitation on transfer created by applicable securities laws, you shall not sell, assign, hypothecate, donate, encumber, or otherwise dispose of any interest in the Common Stock while such shares of Common Stock are subject to the Reacquisition Right or continue to be held in the Joint Escrow; provided, however, that an interest in such shares may be transferred pursuant to a qualified domestic relations order as defined in the Code or Title I of the Employee Retirement Income Security Act. After any Common Stock has been released from the Joint Escrow, you shall not sell, assign, hypothecate, donate, encumber, or otherwise dispose of any interest in the Common Stock except in compliance with the provisions herein and applicable securities laws.</w:t>
      </w:r>
    </w:p>
    <w:p>
      <w:pPr>
        <w:spacing w:after="0" w:line="189" w:lineRule="exact"/>
        <w:rPr>
          <w:rFonts w:ascii="Arial" w:cs="Arial" w:eastAsia="Arial" w:hAnsi="Arial"/>
          <w:sz w:val="18"/>
          <w:szCs w:val="18"/>
          <w:b w:val="1"/>
          <w:bCs w:val="1"/>
          <w:color w:val="auto"/>
        </w:rPr>
      </w:pPr>
    </w:p>
    <w:p>
      <w:pPr>
        <w:ind w:left="176" w:hanging="176"/>
        <w:spacing w:after="0"/>
        <w:tabs>
          <w:tab w:leader="none" w:pos="176"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RESTRICTIVE LEGENDS. </w:t>
      </w:r>
      <w:r>
        <w:rPr>
          <w:rFonts w:ascii="Arial" w:cs="Arial" w:eastAsia="Arial" w:hAnsi="Arial"/>
          <w:sz w:val="17"/>
          <w:szCs w:val="17"/>
          <w:color w:val="auto"/>
        </w:rPr>
        <w:t>The shares issued under your Award shall be endorsed with appropriate legends determined by the Company.</w:t>
      </w:r>
    </w:p>
    <w:p>
      <w:pPr>
        <w:spacing w:after="0" w:line="236" w:lineRule="exact"/>
        <w:rPr>
          <w:rFonts w:ascii="Arial" w:cs="Arial" w:eastAsia="Arial" w:hAnsi="Arial"/>
          <w:sz w:val="17"/>
          <w:szCs w:val="17"/>
          <w:b w:val="1"/>
          <w:bCs w:val="1"/>
          <w:color w:val="auto"/>
        </w:rPr>
      </w:pPr>
    </w:p>
    <w:p>
      <w:pPr>
        <w:ind w:left="-464" w:right="20" w:firstLine="464"/>
        <w:spacing w:after="0" w:line="281" w:lineRule="auto"/>
        <w:tabs>
          <w:tab w:leader="none" w:pos="172"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AWARD NOT A SERVICE CONTRACT</w:t>
      </w:r>
      <w:r>
        <w:rPr>
          <w:rFonts w:ascii="Arial" w:cs="Arial" w:eastAsia="Arial" w:hAnsi="Arial"/>
          <w:sz w:val="17"/>
          <w:szCs w:val="17"/>
          <w:color w:val="auto"/>
        </w:rPr>
        <w:t>. Your Award is not an employment or service contract, and nothing in your Award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create in any way whatsoever any obligation on your part to continue in the employ of the Company or an Affiliate, or on the part of the Company or an Affiliate to continue your employment. In addition, nothing in your Award shall obligate the Company or an Affiliate, their respective shareholders, boards of directors, Officers or Employees to continue any relationship that you might have as a Director or Consultant for the Company or an Affiliate.</w:t>
      </w:r>
    </w:p>
    <w:p>
      <w:pPr>
        <w:sectPr>
          <w:pgSz w:w="11900" w:h="16838" w:orient="portrait"/>
          <w:cols w:equalWidth="0" w:num="1">
            <w:col w:w="10936"/>
          </w:cols>
          <w:pgMar w:left="704" w:top="274" w:right="259" w:bottom="1440" w:gutter="0" w:footer="0" w:header="0"/>
        </w:sectPr>
      </w:pPr>
    </w:p>
    <w:bookmarkStart w:id="341" w:name="page342"/>
    <w:bookmarkEnd w:id="341"/>
    <w:p>
      <w:pPr>
        <w:ind w:left="176" w:hanging="176"/>
        <w:spacing w:after="0"/>
        <w:tabs>
          <w:tab w:leader="none" w:pos="17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OBLIGATIONS.</w:t>
      </w:r>
    </w:p>
    <w:p>
      <w:pPr>
        <w:spacing w:after="0" w:line="121" w:lineRule="exact"/>
        <w:rPr>
          <w:rFonts w:ascii="Arial" w:cs="Arial" w:eastAsia="Arial" w:hAnsi="Arial"/>
          <w:sz w:val="18"/>
          <w:szCs w:val="18"/>
          <w:b w:val="1"/>
          <w:bCs w:val="1"/>
          <w:color w:val="auto"/>
        </w:rPr>
      </w:pPr>
    </w:p>
    <w:p>
      <w:pPr>
        <w:ind w:left="-464" w:firstLine="921"/>
        <w:spacing w:after="0" w:line="289" w:lineRule="auto"/>
        <w:tabs>
          <w:tab w:leader="none" w:pos="703" w:val="left"/>
        </w:tabs>
        <w:numPr>
          <w:ilvl w:val="1"/>
          <w:numId w:val="319"/>
        </w:numPr>
        <w:rPr>
          <w:rFonts w:ascii="Arial" w:cs="Arial" w:eastAsia="Arial" w:hAnsi="Arial"/>
          <w:sz w:val="16"/>
          <w:szCs w:val="16"/>
          <w:b w:val="1"/>
          <w:bCs w:val="1"/>
          <w:color w:val="auto"/>
        </w:rPr>
      </w:pPr>
      <w:r>
        <w:rPr>
          <w:rFonts w:ascii="Arial" w:cs="Arial" w:eastAsia="Arial" w:hAnsi="Arial"/>
          <w:sz w:val="16"/>
          <w:szCs w:val="16"/>
          <w:color w:val="auto"/>
        </w:rPr>
        <w:t>At the time your Award is made, or at any time thereafter as requested by the Company,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The Company may, in its sole discretion; satisfy all or any portion of the Withholding Taxes obligation relating to your Award by any of the following means or by a combination of such means: (i) withholding from any amounts otherwise payable to you by the Company or (ii) causing you to tender a cash payment; (iii) withholding shares of Common Stock from the shares of Common Stock issued or otherwise issuable to you in connection with the Award. with a Fair Market Value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or (v) withholding cash from an Award settled in cash.</w:t>
      </w:r>
    </w:p>
    <w:p>
      <w:pPr>
        <w:spacing w:after="0" w:line="58" w:lineRule="exact"/>
        <w:rPr>
          <w:rFonts w:ascii="Arial" w:cs="Arial" w:eastAsia="Arial" w:hAnsi="Arial"/>
          <w:sz w:val="16"/>
          <w:szCs w:val="16"/>
          <w:b w:val="1"/>
          <w:bCs w:val="1"/>
          <w:color w:val="auto"/>
        </w:rPr>
      </w:pPr>
    </w:p>
    <w:p>
      <w:pPr>
        <w:ind w:left="-464" w:right="320" w:firstLine="921"/>
        <w:spacing w:after="0" w:line="277" w:lineRule="auto"/>
        <w:tabs>
          <w:tab w:leader="none" w:pos="713"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Unless the tax withholding obligations of the Company and/or any Affiliate are satisfied, the Company shall have no obligation to issue a certificate for such shares or release such shares from any escrow provided for herein.</w:t>
      </w:r>
    </w:p>
    <w:p>
      <w:pPr>
        <w:spacing w:after="0" w:line="166" w:lineRule="exact"/>
        <w:rPr>
          <w:rFonts w:ascii="Arial" w:cs="Arial" w:eastAsia="Arial" w:hAnsi="Arial"/>
          <w:sz w:val="18"/>
          <w:szCs w:val="18"/>
          <w:b w:val="1"/>
          <w:bCs w:val="1"/>
          <w:color w:val="auto"/>
        </w:rPr>
      </w:pPr>
    </w:p>
    <w:p>
      <w:pPr>
        <w:jc w:val="both"/>
        <w:ind w:left="-464" w:right="60" w:firstLine="464"/>
        <w:spacing w:after="0" w:line="261" w:lineRule="auto"/>
        <w:tabs>
          <w:tab w:leader="none" w:pos="26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acquisition and vesting of the shares may have adverse tax consequences to you that may avoided or mitigated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election under Section 83(b) of the Code. Such election must be filed within thirty (30) days after the date of your Award. YOU ACKNOWLEDGE THAT IT IS YOUR OWN RESPONSIBILITY, AND NOT THE COMPANY’S, TO FILE A TIMELY ELECTION UNDER CODE SECTION 83(B), EVEN IF YOU REQUEST THE COMPANY TO MAKE THE FILING ON YOUR BEHALF.</w:t>
      </w:r>
    </w:p>
    <w:p>
      <w:pPr>
        <w:spacing w:after="0" w:line="180" w:lineRule="exact"/>
        <w:rPr>
          <w:rFonts w:ascii="Arial" w:cs="Arial" w:eastAsia="Arial" w:hAnsi="Arial"/>
          <w:sz w:val="18"/>
          <w:szCs w:val="18"/>
          <w:b w:val="1"/>
          <w:bCs w:val="1"/>
          <w:color w:val="auto"/>
        </w:rPr>
      </w:pPr>
    </w:p>
    <w:p>
      <w:pPr>
        <w:ind w:left="-464" w:right="20" w:firstLine="464"/>
        <w:spacing w:after="0" w:line="266" w:lineRule="auto"/>
        <w:tabs>
          <w:tab w:leader="none" w:pos="25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provided for in your Award or the Plan shall be given in writing and shall be deemed effectively given upon receipt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notices delivered by the Company to you, five (5) days after deposit in the United States mail, postage prepaid, addressed to you at the last address you provided to the Company.</w:t>
      </w:r>
    </w:p>
    <w:p>
      <w:pPr>
        <w:spacing w:after="0" w:line="176" w:lineRule="exact"/>
        <w:rPr>
          <w:rFonts w:ascii="Arial" w:cs="Arial" w:eastAsia="Arial" w:hAnsi="Arial"/>
          <w:sz w:val="18"/>
          <w:szCs w:val="18"/>
          <w:b w:val="1"/>
          <w:bCs w:val="1"/>
          <w:color w:val="auto"/>
        </w:rPr>
      </w:pPr>
    </w:p>
    <w:p>
      <w:pPr>
        <w:ind w:left="276" w:hanging="276"/>
        <w:spacing w:after="0"/>
        <w:tabs>
          <w:tab w:leader="none" w:pos="27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jc w:val="both"/>
        <w:ind w:left="-464" w:right="160" w:firstLine="921"/>
        <w:spacing w:after="0" w:line="264" w:lineRule="auto"/>
        <w:tabs>
          <w:tab w:leader="none" w:pos="703"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Board in its sole discretion.</w:t>
      </w:r>
    </w:p>
    <w:p>
      <w:pPr>
        <w:spacing w:after="0" w:line="73" w:lineRule="exact"/>
        <w:rPr>
          <w:rFonts w:ascii="Arial" w:cs="Arial" w:eastAsia="Arial" w:hAnsi="Arial"/>
          <w:sz w:val="18"/>
          <w:szCs w:val="18"/>
          <w:b w:val="1"/>
          <w:bCs w:val="1"/>
          <w:color w:val="auto"/>
        </w:rPr>
      </w:pPr>
    </w:p>
    <w:p>
      <w:pPr>
        <w:ind w:left="-464" w:right="140" w:firstLine="921"/>
        <w:spacing w:after="0" w:line="277" w:lineRule="auto"/>
        <w:tabs>
          <w:tab w:leader="none" w:pos="713"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ectPr>
          <w:pgSz w:w="11900" w:h="16838" w:orient="portrait"/>
          <w:cols w:equalWidth="0" w:num="1">
            <w:col w:w="10936"/>
          </w:cols>
          <w:pgMar w:left="704" w:top="270" w:right="259" w:bottom="1440" w:gutter="0" w:footer="0" w:header="0"/>
        </w:sectPr>
      </w:pPr>
    </w:p>
    <w:bookmarkStart w:id="342" w:name="page343"/>
    <w:bookmarkEnd w:id="342"/>
    <w:p>
      <w:pPr>
        <w:ind w:left="-8" w:right="160" w:firstLine="921"/>
        <w:spacing w:after="0" w:line="277" w:lineRule="auto"/>
        <w:tabs>
          <w:tab w:leader="none" w:pos="1149" w:val="left"/>
        </w:tabs>
        <w:numPr>
          <w:ilvl w:val="2"/>
          <w:numId w:val="3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and agree that you have reviewed your Award in its entirety, have had an opportunity to obtain the advice of counsel prior to executing and accepting your Award and fully understand all provisions of your Award.</w:t>
      </w:r>
    </w:p>
    <w:p>
      <w:pPr>
        <w:spacing w:after="0" w:line="166" w:lineRule="exact"/>
        <w:rPr>
          <w:rFonts w:ascii="Arial" w:cs="Arial" w:eastAsia="Arial" w:hAnsi="Arial"/>
          <w:sz w:val="18"/>
          <w:szCs w:val="18"/>
          <w:b w:val="1"/>
          <w:bCs w:val="1"/>
          <w:color w:val="auto"/>
        </w:rPr>
      </w:pPr>
    </w:p>
    <w:p>
      <w:pPr>
        <w:ind w:left="-8" w:right="280" w:firstLine="464"/>
        <w:spacing w:after="0" w:line="314" w:lineRule="auto"/>
        <w:tabs>
          <w:tab w:leader="none" w:pos="718" w:val="left"/>
        </w:tabs>
        <w:numPr>
          <w:ilvl w:val="1"/>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PLAN DOCUMENT. </w:t>
      </w:r>
      <w:r>
        <w:rPr>
          <w:rFonts w:ascii="Arial" w:cs="Arial" w:eastAsia="Arial" w:hAnsi="Arial"/>
          <w:sz w:val="16"/>
          <w:szCs w:val="16"/>
          <w:color w:val="auto"/>
        </w:rPr>
        <w:t>Your Award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Award, and is further subject to all interpretations, amendments, rules and regulations which may from time to time be promulgated and adopted pursuant to the Plan. In the event of any conflict between the provisions of your Award and those of the Plan, the provisions of the Plan shall control.</w:t>
      </w:r>
    </w:p>
    <w:p>
      <w:pPr>
        <w:spacing w:after="0" w:line="142" w:lineRule="exact"/>
        <w:rPr>
          <w:rFonts w:ascii="Arial" w:cs="Arial" w:eastAsia="Arial" w:hAnsi="Arial"/>
          <w:sz w:val="16"/>
          <w:szCs w:val="16"/>
          <w:b w:val="1"/>
          <w:bCs w:val="1"/>
          <w:color w:val="auto"/>
        </w:rPr>
      </w:pPr>
    </w:p>
    <w:p>
      <w:pPr>
        <w:ind w:left="-8" w:firstLine="464"/>
        <w:spacing w:after="0" w:line="285" w:lineRule="auto"/>
        <w:tabs>
          <w:tab w:leader="none" w:pos="718" w:val="left"/>
        </w:tabs>
        <w:numPr>
          <w:ilvl w:val="1"/>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OF SECTION 409A. </w:t>
      </w:r>
      <w:r>
        <w:rPr>
          <w:rFonts w:ascii="Arial" w:cs="Arial" w:eastAsia="Arial" w:hAnsi="Arial"/>
          <w:sz w:val="16"/>
          <w:szCs w:val="16"/>
          <w:color w:val="auto"/>
        </w:rPr>
        <w:t>This Award is intended to be exempt from the application of Section 409A of the Code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Treasury Regulation 1.409A-l(b)(6). Notwithstanding the foregoing, if it is determined that the Award fails to satisfy the requirements of Treasury Regulation l.409A-l(b)(6) or the short-term deferral rule and is otherwise deferred compensation subject to Section 409A, and if you are a “Specified Employee” (within the meaning set forth Section 409A(a)(2)(B)(i) of the Code) as of the date of your separation from service (within the meaning of Treasury Regulation Section 1.409A-l(h)), then the vesting and/or issuance of any shares that would otherwise be made upon the date of your separation from service or within the first six (6) months thereafter will not be made on the originally scheduled date(s) and will instead occur in a lump sum on the date that is six</w:t>
      </w:r>
    </w:p>
    <w:p>
      <w:pPr>
        <w:spacing w:after="0" w:line="3" w:lineRule="exact"/>
        <w:rPr>
          <w:rFonts w:ascii="Arial" w:cs="Arial" w:eastAsia="Arial" w:hAnsi="Arial"/>
          <w:sz w:val="16"/>
          <w:szCs w:val="16"/>
          <w:b w:val="1"/>
          <w:bCs w:val="1"/>
          <w:color w:val="auto"/>
        </w:rPr>
      </w:pPr>
    </w:p>
    <w:p>
      <w:pPr>
        <w:jc w:val="both"/>
        <w:ind w:left="-8" w:right="220" w:firstLine="8"/>
        <w:spacing w:after="0" w:line="254" w:lineRule="auto"/>
        <w:tabs>
          <w:tab w:leader="none" w:pos="2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months and one day after the date of the separation from service, with the balance of the shares becoming vested or issued thereafter in accordance with the original vesting and issuance schedule set forth above, but if and only if such delay is necessary to avoid the imposition of taxation on you in respect of the shares under Section 409A of the Code. Each installment of shares that vests is intended to constitute a “separate payment” for purposes of Treasury Regulation Section 1.409A-2(b)(2).</w:t>
      </w:r>
    </w:p>
    <w:p>
      <w:pPr>
        <w:sectPr>
          <w:pgSz w:w="11900" w:h="16838" w:orient="portrait"/>
          <w:cols w:equalWidth="0" w:num="1">
            <w:col w:w="11412"/>
          </w:cols>
          <w:pgMar w:left="248" w:top="273" w:right="239" w:bottom="1440" w:gutter="0" w:footer="0" w:header="0"/>
        </w:sectPr>
      </w:pPr>
    </w:p>
    <w:bookmarkStart w:id="343" w:name="page344"/>
    <w:bookmarkEnd w:id="3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2006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ectPr>
          <w:pgSz w:w="11900" w:h="16838" w:orient="portrait"/>
          <w:cols w:equalWidth="0" w:num="1">
            <w:col w:w="9019"/>
          </w:cols>
          <w:pgMar w:left="1440" w:top="269" w:right="1440" w:bottom="1440" w:gutter="0" w:footer="0" w:header="0"/>
        </w:sectPr>
      </w:pPr>
    </w:p>
    <w:bookmarkStart w:id="344" w:name="page345"/>
    <w:bookmarkEnd w:id="34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SSIGNMENT</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EPARATE FROM</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ERTIFICATE</w:t>
      </w:r>
    </w:p>
    <w:p>
      <w:pPr>
        <w:sectPr>
          <w:pgSz w:w="11900" w:h="16838" w:orient="portrait"/>
          <w:cols w:equalWidth="0" w:num="1">
            <w:col w:w="9019"/>
          </w:cols>
          <w:pgMar w:left="1440" w:top="270" w:right="1440" w:bottom="1440" w:gutter="0" w:footer="0" w:header="0"/>
        </w:sectPr>
      </w:pPr>
    </w:p>
    <w:bookmarkStart w:id="345" w:name="page346"/>
    <w:bookmarkEnd w:id="345"/>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SEPARATE FROM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and pursuant to that certain Restricted Stock Bonus Grant Notice and Restricted Stock Bonus Agreement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w:t>
      </w:r>
    </w:p>
    <w:p>
      <w:pPr>
        <w:spacing w:after="0" w:line="50" w:lineRule="exact"/>
        <w:rPr>
          <w:sz w:val="20"/>
          <w:szCs w:val="20"/>
          <w:color w:val="auto"/>
        </w:rPr>
      </w:pPr>
    </w:p>
    <w:p>
      <w:pPr>
        <w:jc w:val="both"/>
        <w:ind w:right="20" w:firstLine="540"/>
        <w:spacing w:after="0" w:line="265" w:lineRule="auto"/>
        <w:rPr>
          <w:sz w:val="20"/>
          <w:szCs w:val="20"/>
          <w:color w:val="auto"/>
        </w:rPr>
      </w:pPr>
      <w:r>
        <w:rPr>
          <w:rFonts w:ascii="Arial" w:cs="Arial" w:eastAsia="Arial" w:hAnsi="Arial"/>
          <w:sz w:val="17"/>
          <w:szCs w:val="17"/>
          <w:color w:val="auto"/>
        </w:rPr>
        <w:t>hereby sells, assigns and transfers unto AnaptysBio, Inc., a Delaware corporation (“</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 ) shares of the common stock of the Assignee, standing in the undersigned’s name on the books of said corporation represented by Certificate No. herewith and do hereby irrevocably constitute and appoint as attorney-in-fact to transfer the said stock on the books of the within named Company with full power of substitution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premises. This Assignment may be used only in accordance with and subject to the terms and conditions of the Award, in connection with the repurchase of shares of Common Stock of the Corporation issued to the undersigned pursuant to the Award, and only to the extent that such shares remain subject to the Corporation’s Reacquisition Right under the Award.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8001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-130810</wp:posOffset>
            </wp:positionV>
            <wp:extent cx="2349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5490845</wp:posOffset>
            </wp:positionH>
            <wp:positionV relativeFrom="paragraph">
              <wp:posOffset>-10795</wp:posOffset>
            </wp:positionV>
            <wp:extent cx="6858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INSTRUCTION</w:t>
      </w:r>
      <w:r>
        <w:rPr>
          <w:rFonts w:ascii="Arial" w:cs="Arial" w:eastAsia="Arial" w:hAnsi="Arial"/>
          <w:sz w:val="18"/>
          <w:szCs w:val="18"/>
          <w:color w:val="auto"/>
        </w:rPr>
        <w:t>: Please do not fill in any blanks other than the signature line. The purpose of this Assignment is to enable the Company to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Reacquisition Right set forth in the Award without requiring additional signatures on your part.</w:t>
      </w:r>
    </w:p>
    <w:p>
      <w:pPr>
        <w:sectPr>
          <w:pgSz w:w="11900" w:h="16838" w:orient="portrait"/>
          <w:cols w:equalWidth="0" w:num="1">
            <w:col w:w="11300"/>
          </w:cols>
          <w:pgMar w:left="240" w:top="270" w:right="359" w:bottom="1440" w:gutter="0" w:footer="0" w:header="0"/>
        </w:sectPr>
      </w:pPr>
    </w:p>
    <w:bookmarkStart w:id="346" w:name="page347"/>
    <w:bookmarkEnd w:id="34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NSTRUCTIONS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NSTRUCTIONS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October</w:t>
        <w:tab/>
        <w:t>,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Escrow Agent for both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undersigned recipient of stock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Recipient</w:t>
      </w:r>
      <w:r>
        <w:rPr>
          <w:rFonts w:ascii="Arial" w:cs="Arial" w:eastAsia="Arial" w:hAnsi="Arial"/>
          <w:sz w:val="16"/>
          <w:szCs w:val="16"/>
          <w:color w:val="auto"/>
        </w:rPr>
        <w:t>”), you are hereby authorized and directed to hold the documents delivered to you pursuant to the terms of that certain Restricted Stock Bonus</w:t>
      </w:r>
    </w:p>
    <w:p>
      <w:pPr>
        <w:spacing w:after="0" w:line="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dated to which a copy of these Joint Escrow Instructions is attached as Attachment IV, and pursuant to the terms of that certain Restricted Stock Bonus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is Attachment I to the Grant Notice, in accordance with the following instructions:</w:t>
      </w:r>
    </w:p>
    <w:p>
      <w:pPr>
        <w:spacing w:after="0" w:line="82" w:lineRule="exact"/>
        <w:rPr>
          <w:sz w:val="20"/>
          <w:szCs w:val="20"/>
          <w:color w:val="auto"/>
        </w:rPr>
      </w:pPr>
    </w:p>
    <w:p>
      <w:pPr>
        <w:ind w:right="140" w:firstLine="464"/>
        <w:spacing w:after="0" w:line="259" w:lineRule="auto"/>
        <w:tabs>
          <w:tab w:leader="none" w:pos="636"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In the event Recipient ceases to render services to the Company or an affiliate of the Company during the vesting period set forth in the Grant Notice, the Company or its assignee will give to Recipient and you a written notice specifying that the shares of Common Stock shall be transferred to the Company. Recipient and the Company hereby irrevocably authorize and direct you to close the transaction contemplated by such notice in accordance with the terms of said notice.</w:t>
      </w:r>
    </w:p>
    <w:p>
      <w:pPr>
        <w:spacing w:after="0" w:line="186" w:lineRule="exact"/>
        <w:rPr>
          <w:rFonts w:ascii="Arial" w:cs="Arial" w:eastAsia="Arial" w:hAnsi="Arial"/>
          <w:sz w:val="18"/>
          <w:szCs w:val="18"/>
          <w:b w:val="1"/>
          <w:bCs w:val="1"/>
          <w:color w:val="auto"/>
        </w:rPr>
      </w:pPr>
    </w:p>
    <w:p>
      <w:pPr>
        <w:ind w:right="420" w:firstLine="464"/>
        <w:spacing w:after="0" w:line="342" w:lineRule="auto"/>
        <w:tabs>
          <w:tab w:leader="none" w:pos="636"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At the closing you are directed (a) to date any stock assignments necessary for the transfer in question, (b) to fill in the number of shares being transferred, and (c) to deliver same, together with the certificate evidencing the shares of Common Stock to be transferred, to the Company.</w:t>
      </w:r>
    </w:p>
    <w:p>
      <w:pPr>
        <w:spacing w:after="0" w:line="123" w:lineRule="exact"/>
        <w:rPr>
          <w:rFonts w:ascii="Arial" w:cs="Arial" w:eastAsia="Arial" w:hAnsi="Arial"/>
          <w:sz w:val="16"/>
          <w:szCs w:val="16"/>
          <w:b w:val="1"/>
          <w:bCs w:val="1"/>
          <w:color w:val="auto"/>
        </w:rPr>
      </w:pPr>
    </w:p>
    <w:p>
      <w:pPr>
        <w:ind w:firstLine="464"/>
        <w:spacing w:after="0" w:line="302" w:lineRule="auto"/>
        <w:tabs>
          <w:tab w:leader="none" w:pos="636"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Recipient irrevocably authorizes the Company to deposit with you any certificates evidencing shares of Common Stock to be held by you hereunder and any additions and substitutions to said shares as specified in the Grant Notice. Recipient does hereby irrevocably constitute and appoint you as Recipient’s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154" w:lineRule="exact"/>
        <w:rPr>
          <w:rFonts w:ascii="Arial" w:cs="Arial" w:eastAsia="Arial" w:hAnsi="Arial"/>
          <w:sz w:val="16"/>
          <w:szCs w:val="16"/>
          <w:b w:val="1"/>
          <w:bCs w:val="1"/>
          <w:color w:val="auto"/>
        </w:rPr>
      </w:pPr>
    </w:p>
    <w:p>
      <w:pPr>
        <w:ind w:right="800" w:firstLine="464"/>
        <w:spacing w:after="0" w:line="277" w:lineRule="auto"/>
        <w:tabs>
          <w:tab w:leader="none" w:pos="636"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This escrow shall terminate upon vesting of the shares or upon the earlier return of the shares to the Company pursuant to the Company’s Reacquisition Right or other forfeiture condition under the Plan.</w:t>
      </w:r>
    </w:p>
    <w:p>
      <w:pPr>
        <w:sectPr>
          <w:pgSz w:w="11900" w:h="16838" w:orient="portrait"/>
          <w:cols w:equalWidth="0" w:num="1">
            <w:col w:w="11320"/>
          </w:cols>
          <w:pgMar w:left="240" w:top="270" w:right="339" w:bottom="1440" w:gutter="0" w:footer="0" w:header="0"/>
        </w:sectPr>
      </w:pPr>
    </w:p>
    <w:bookmarkStart w:id="347" w:name="page348"/>
    <w:bookmarkEnd w:id="347"/>
    <w:p>
      <w:pPr>
        <w:ind w:left="-464" w:right="140" w:firstLine="464"/>
        <w:spacing w:after="0" w:line="342" w:lineRule="auto"/>
        <w:tabs>
          <w:tab w:leader="none" w:pos="172" w:val="left"/>
        </w:tabs>
        <w:numPr>
          <w:ilvl w:val="0"/>
          <w:numId w:val="32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the time of termination of this escrow you should have in your possession any documents, securities, or other property belonging to Recipient, you shall deliver all of same to any pledgee entitled thereto or, if none, to Recipient and shall be discharged of all further obligations hereunder.</w:t>
      </w:r>
    </w:p>
    <w:p>
      <w:pPr>
        <w:spacing w:after="0" w:line="123" w:lineRule="exact"/>
        <w:rPr>
          <w:rFonts w:ascii="Arial" w:cs="Arial" w:eastAsia="Arial" w:hAnsi="Arial"/>
          <w:sz w:val="16"/>
          <w:szCs w:val="16"/>
          <w:b w:val="1"/>
          <w:bCs w:val="1"/>
          <w:color w:val="auto"/>
        </w:rPr>
      </w:pPr>
    </w:p>
    <w:p>
      <w:pPr>
        <w:ind w:left="176" w:hanging="176"/>
        <w:spacing w:after="0"/>
        <w:tabs>
          <w:tab w:leader="none" w:pos="176"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225" w:lineRule="exact"/>
        <w:rPr>
          <w:rFonts w:ascii="Arial" w:cs="Arial" w:eastAsia="Arial" w:hAnsi="Arial"/>
          <w:sz w:val="18"/>
          <w:szCs w:val="18"/>
          <w:b w:val="1"/>
          <w:bCs w:val="1"/>
          <w:color w:val="auto"/>
        </w:rPr>
      </w:pPr>
    </w:p>
    <w:p>
      <w:pPr>
        <w:ind w:left="-464" w:firstLine="464"/>
        <w:spacing w:after="0" w:line="302" w:lineRule="auto"/>
        <w:tabs>
          <w:tab w:leader="none" w:pos="172" w:val="left"/>
        </w:tabs>
        <w:numPr>
          <w:ilvl w:val="0"/>
          <w:numId w:val="324"/>
        </w:numPr>
        <w:rPr>
          <w:rFonts w:ascii="Arial" w:cs="Arial" w:eastAsia="Arial" w:hAnsi="Arial"/>
          <w:sz w:val="16"/>
          <w:szCs w:val="16"/>
          <w:b w:val="1"/>
          <w:bCs w:val="1"/>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Recipient while acting in good faith and any act done or omitted by you pursuant to the advice of your own attorneys shall be conclusive evidence of such good faith.</w:t>
      </w:r>
    </w:p>
    <w:p>
      <w:pPr>
        <w:spacing w:after="0" w:line="154" w:lineRule="exact"/>
        <w:rPr>
          <w:rFonts w:ascii="Arial" w:cs="Arial" w:eastAsia="Arial" w:hAnsi="Arial"/>
          <w:sz w:val="16"/>
          <w:szCs w:val="16"/>
          <w:b w:val="1"/>
          <w:bCs w:val="1"/>
          <w:color w:val="auto"/>
        </w:rPr>
      </w:pPr>
    </w:p>
    <w:p>
      <w:pPr>
        <w:ind w:left="-464" w:right="40" w:firstLine="464"/>
        <w:spacing w:after="0" w:line="257" w:lineRule="auto"/>
        <w:tabs>
          <w:tab w:leader="none" w:pos="172"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8" w:lineRule="exact"/>
        <w:rPr>
          <w:rFonts w:ascii="Arial" w:cs="Arial" w:eastAsia="Arial" w:hAnsi="Arial"/>
          <w:sz w:val="18"/>
          <w:szCs w:val="18"/>
          <w:b w:val="1"/>
          <w:bCs w:val="1"/>
          <w:color w:val="auto"/>
        </w:rPr>
      </w:pPr>
    </w:p>
    <w:p>
      <w:pPr>
        <w:ind w:left="-464" w:right="140" w:firstLine="464"/>
        <w:spacing w:after="0" w:line="277" w:lineRule="auto"/>
        <w:tabs>
          <w:tab w:leader="none" w:pos="172"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Grant Notice or any documents or papers deposited or called for hereunder.</w:t>
      </w:r>
    </w:p>
    <w:p>
      <w:pPr>
        <w:spacing w:after="0" w:line="170" w:lineRule="exact"/>
        <w:rPr>
          <w:rFonts w:ascii="Arial" w:cs="Arial" w:eastAsia="Arial" w:hAnsi="Arial"/>
          <w:sz w:val="18"/>
          <w:szCs w:val="18"/>
          <w:b w:val="1"/>
          <w:bCs w:val="1"/>
          <w:color w:val="auto"/>
        </w:rPr>
      </w:pPr>
    </w:p>
    <w:p>
      <w:pPr>
        <w:ind w:left="-464" w:right="620" w:firstLine="464"/>
        <w:spacing w:after="0" w:line="277" w:lineRule="auto"/>
        <w:tabs>
          <w:tab w:leader="none" w:pos="262"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You shall not be liable for the outlawing of any rights under any statute of limitations with respect to these Joint Escrow Instructions or any documents deposited with you.</w:t>
      </w:r>
    </w:p>
    <w:p>
      <w:pPr>
        <w:spacing w:after="0" w:line="170" w:lineRule="exact"/>
        <w:rPr>
          <w:rFonts w:ascii="Arial" w:cs="Arial" w:eastAsia="Arial" w:hAnsi="Arial"/>
          <w:sz w:val="18"/>
          <w:szCs w:val="18"/>
          <w:b w:val="1"/>
          <w:bCs w:val="1"/>
          <w:color w:val="auto"/>
        </w:rPr>
      </w:pPr>
    </w:p>
    <w:p>
      <w:pPr>
        <w:ind w:left="-464" w:right="40" w:firstLine="464"/>
        <w:spacing w:after="0" w:line="264" w:lineRule="auto"/>
        <w:tabs>
          <w:tab w:leader="none" w:pos="252"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You shall be entitled to employ such legal counsel, including but not limited to Cooley LLP, and other experts as you may deem necessary properly to advise you in connection with your obligations hereunder, may rely upon the advice of such counsel, and may pay such counsel reasonable compensation therefor.</w:t>
      </w:r>
    </w:p>
    <w:p>
      <w:pPr>
        <w:spacing w:after="0" w:line="181" w:lineRule="exact"/>
        <w:rPr>
          <w:rFonts w:ascii="Arial" w:cs="Arial" w:eastAsia="Arial" w:hAnsi="Arial"/>
          <w:sz w:val="18"/>
          <w:szCs w:val="18"/>
          <w:b w:val="1"/>
          <w:bCs w:val="1"/>
          <w:color w:val="auto"/>
        </w:rPr>
      </w:pPr>
    </w:p>
    <w:p>
      <w:pPr>
        <w:ind w:left="-464" w:right="20" w:firstLine="464"/>
        <w:spacing w:after="0" w:line="312" w:lineRule="auto"/>
        <w:tabs>
          <w:tab w:leader="none" w:pos="262" w:val="left"/>
        </w:tabs>
        <w:numPr>
          <w:ilvl w:val="0"/>
          <w:numId w:val="324"/>
        </w:numPr>
        <w:rPr>
          <w:rFonts w:ascii="Arial" w:cs="Arial" w:eastAsia="Arial" w:hAnsi="Arial"/>
          <w:sz w:val="16"/>
          <w:szCs w:val="16"/>
          <w:b w:val="1"/>
          <w:bCs w:val="1"/>
          <w:color w:val="auto"/>
        </w:rPr>
      </w:pPr>
      <w:r>
        <w:rPr>
          <w:rFonts w:ascii="Arial" w:cs="Arial" w:eastAsia="Arial" w:hAnsi="Arial"/>
          <w:sz w:val="16"/>
          <w:szCs w:val="16"/>
          <w:color w:val="auto"/>
        </w:rPr>
        <w:t>Your responsibilities as Escrow Agent hereunder shall terminate if you shall cease to be Secretary of the Company or 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attorney-in-fact and agent to the full extent of your appointment.</w:t>
      </w:r>
    </w:p>
    <w:p>
      <w:pPr>
        <w:spacing w:after="0" w:line="146" w:lineRule="exact"/>
        <w:rPr>
          <w:rFonts w:ascii="Arial" w:cs="Arial" w:eastAsia="Arial" w:hAnsi="Arial"/>
          <w:sz w:val="16"/>
          <w:szCs w:val="16"/>
          <w:b w:val="1"/>
          <w:bCs w:val="1"/>
          <w:color w:val="auto"/>
        </w:rPr>
      </w:pPr>
    </w:p>
    <w:p>
      <w:pPr>
        <w:ind w:left="-464" w:right="540" w:firstLine="464"/>
        <w:spacing w:after="0" w:line="277" w:lineRule="auto"/>
        <w:tabs>
          <w:tab w:leader="none" w:pos="262"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ectPr>
          <w:pgSz w:w="11900" w:h="16838" w:orient="portrait"/>
          <w:cols w:equalWidth="0" w:num="1">
            <w:col w:w="10916"/>
          </w:cols>
          <w:pgMar w:left="704" w:top="273" w:right="279" w:bottom="1440" w:gutter="0" w:footer="0" w:header="0"/>
        </w:sectPr>
      </w:pPr>
    </w:p>
    <w:bookmarkStart w:id="348" w:name="page349"/>
    <w:bookmarkEnd w:id="348"/>
    <w:p>
      <w:pPr>
        <w:jc w:val="both"/>
        <w:ind w:left="-464" w:right="180" w:firstLine="464"/>
        <w:spacing w:after="0" w:line="302" w:lineRule="auto"/>
        <w:tabs>
          <w:tab w:leader="none" w:pos="262" w:val="left"/>
        </w:tabs>
        <w:numPr>
          <w:ilvl w:val="0"/>
          <w:numId w:val="3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agreed that should any dispute arise with respect to the delivery and/or ownership or right of possession of the securities, you may (but are not obligated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54" w:lineRule="exact"/>
        <w:rPr>
          <w:rFonts w:ascii="Arial" w:cs="Arial" w:eastAsia="Arial" w:hAnsi="Arial"/>
          <w:sz w:val="16"/>
          <w:szCs w:val="16"/>
          <w:b w:val="1"/>
          <w:bCs w:val="1"/>
          <w:color w:val="auto"/>
        </w:rPr>
      </w:pPr>
    </w:p>
    <w:p>
      <w:pPr>
        <w:ind w:left="-464" w:right="120" w:firstLine="464"/>
        <w:spacing w:after="0" w:line="312" w:lineRule="auto"/>
        <w:tabs>
          <w:tab w:leader="none" w:pos="262" w:val="left"/>
        </w:tabs>
        <w:numPr>
          <w:ilvl w:val="0"/>
          <w:numId w:val="325"/>
        </w:numPr>
        <w:rPr>
          <w:rFonts w:ascii="Arial" w:cs="Arial" w:eastAsia="Arial" w:hAnsi="Arial"/>
          <w:sz w:val="16"/>
          <w:szCs w:val="16"/>
          <w:b w:val="1"/>
          <w:bCs w:val="1"/>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any United States Post Box, by registered or certified mail with postage and fees prepaid, addressed to each of the other parties hereunto entitled at the following addresses, or at such other addresses as a party may designate by ten (10) days’ written notice to each of the other parties hereto:</w:t>
      </w:r>
    </w:p>
    <w:p>
      <w:pPr>
        <w:sectPr>
          <w:pgSz w:w="11900" w:h="16838" w:orient="portrait"/>
          <w:cols w:equalWidth="0" w:num="1">
            <w:col w:w="10936"/>
          </w:cols>
          <w:pgMar w:left="704" w:top="274" w:right="259" w:bottom="1440" w:gutter="0" w:footer="0" w:header="0"/>
        </w:sectPr>
      </w:pPr>
    </w:p>
    <w:p>
      <w:pPr>
        <w:spacing w:after="0" w:line="170" w:lineRule="exact"/>
        <w:rPr>
          <w:sz w:val="20"/>
          <w:szCs w:val="20"/>
          <w:color w:val="auto"/>
        </w:rPr>
      </w:pPr>
    </w:p>
    <w:p>
      <w:pPr>
        <w:ind w:left="456"/>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Financial Officer</w:t>
      </w:r>
    </w:p>
    <w:p>
      <w:pPr>
        <w:spacing w:after="0" w:line="200" w:lineRule="exact"/>
        <w:rPr>
          <w:sz w:val="20"/>
          <w:szCs w:val="20"/>
          <w:color w:val="auto"/>
        </w:rPr>
      </w:pPr>
    </w:p>
    <w:p>
      <w:pPr>
        <w:sectPr>
          <w:pgSz w:w="11900" w:h="16838" w:orient="portrait"/>
          <w:cols w:equalWidth="0" w:num="2">
            <w:col w:w="1536" w:space="720"/>
            <w:col w:w="8680"/>
          </w:cols>
          <w:pgMar w:left="704" w:top="274" w:right="259" w:bottom="1440" w:gutter="0" w:footer="0" w:header="0"/>
          <w:type w:val="continuous"/>
        </w:sectPr>
      </w:pPr>
    </w:p>
    <w:p>
      <w:pPr>
        <w:spacing w:after="0" w:line="18" w:lineRule="exact"/>
        <w:rPr>
          <w:sz w:val="20"/>
          <w:szCs w:val="20"/>
          <w:color w:val="auto"/>
        </w:rPr>
      </w:pPr>
    </w:p>
    <w:p>
      <w:pPr>
        <w:ind w:left="456"/>
        <w:spacing w:after="0"/>
        <w:rPr>
          <w:sz w:val="20"/>
          <w:szCs w:val="20"/>
          <w:color w:val="auto"/>
        </w:rPr>
      </w:pPr>
      <w:r>
        <w:rPr>
          <w:rFonts w:ascii="Arial" w:cs="Arial" w:eastAsia="Arial" w:hAnsi="Arial"/>
          <w:sz w:val="18"/>
          <w:szCs w:val="18"/>
          <w:b w:val="1"/>
          <w:bCs w:val="1"/>
          <w:color w:val="auto"/>
        </w:rPr>
        <w:t>RECIPIENT</w:t>
      </w:r>
      <w:r>
        <w:rPr>
          <w:rFonts w:ascii="Arial" w:cs="Arial" w:eastAsia="Arial" w:hAnsi="Arial"/>
          <w:sz w:val="18"/>
          <w:szCs w:val="18"/>
          <w:color w:val="auto"/>
        </w:rPr>
        <w:t>:</w:t>
      </w:r>
    </w:p>
    <w:p>
      <w:pPr>
        <w:sectPr>
          <w:pgSz w:w="11900" w:h="16838" w:orient="portrait"/>
          <w:cols w:equalWidth="0" w:num="1">
            <w:col w:w="10936"/>
          </w:cols>
          <w:pgMar w:left="704" w:top="274" w:right="259" w:bottom="1440" w:gutter="0" w:footer="0" w:header="0"/>
          <w:type w:val="continuous"/>
        </w:sectPr>
      </w:pPr>
    </w:p>
    <w:p>
      <w:pPr>
        <w:spacing w:after="0" w:line="225" w:lineRule="exact"/>
        <w:rPr>
          <w:sz w:val="20"/>
          <w:szCs w:val="20"/>
          <w:color w:val="auto"/>
        </w:rPr>
      </w:pPr>
    </w:p>
    <w:p>
      <w:pPr>
        <w:ind w:left="456"/>
        <w:spacing w:after="0"/>
        <w:rPr>
          <w:sz w:val="20"/>
          <w:szCs w:val="20"/>
          <w:color w:val="auto"/>
        </w:rPr>
      </w:pPr>
      <w:r>
        <w:rPr>
          <w:rFonts w:ascii="Arial" w:cs="Arial" w:eastAsia="Arial" w:hAnsi="Arial"/>
          <w:sz w:val="17"/>
          <w:szCs w:val="17"/>
          <w:b w:val="1"/>
          <w:bCs w:val="1"/>
          <w:color w:val="auto"/>
        </w:rPr>
        <w:t>ESCROW AGENT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200" w:lineRule="exact"/>
        <w:rPr>
          <w:sz w:val="20"/>
          <w:szCs w:val="20"/>
          <w:color w:val="auto"/>
        </w:rPr>
      </w:pPr>
    </w:p>
    <w:p>
      <w:pPr>
        <w:sectPr>
          <w:pgSz w:w="11900" w:h="16838" w:orient="portrait"/>
          <w:cols w:equalWidth="0" w:num="2">
            <w:col w:w="1976" w:space="280"/>
            <w:col w:w="8680"/>
          </w:cols>
          <w:pgMar w:left="704" w:top="274" w:right="259" w:bottom="1440" w:gutter="0" w:footer="0" w:header="0"/>
          <w:type w:val="continuous"/>
        </w:sectPr>
      </w:pPr>
    </w:p>
    <w:p>
      <w:pPr>
        <w:spacing w:after="0" w:line="34" w:lineRule="exact"/>
        <w:rPr>
          <w:sz w:val="20"/>
          <w:szCs w:val="20"/>
          <w:color w:val="auto"/>
        </w:rPr>
      </w:pPr>
    </w:p>
    <w:p>
      <w:pPr>
        <w:ind w:left="-464" w:right="140" w:firstLine="464"/>
        <w:spacing w:after="0" w:line="277" w:lineRule="auto"/>
        <w:tabs>
          <w:tab w:leader="none" w:pos="262"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Grant Notice.</w:t>
      </w:r>
    </w:p>
    <w:p>
      <w:pPr>
        <w:spacing w:after="0" w:line="170" w:lineRule="exact"/>
        <w:rPr>
          <w:rFonts w:ascii="Arial" w:cs="Arial" w:eastAsia="Arial" w:hAnsi="Arial"/>
          <w:sz w:val="18"/>
          <w:szCs w:val="18"/>
          <w:b w:val="1"/>
          <w:bCs w:val="1"/>
          <w:color w:val="auto"/>
        </w:rPr>
      </w:pPr>
    </w:p>
    <w:p>
      <w:pPr>
        <w:ind w:left="-464" w:right="80" w:firstLine="464"/>
        <w:spacing w:after="0" w:line="259" w:lineRule="auto"/>
        <w:tabs>
          <w:tab w:leader="none" w:pos="262"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Grant Notice and these Joint Escrow Instructions in whole or in part.</w:t>
      </w:r>
    </w:p>
    <w:p>
      <w:pPr>
        <w:spacing w:after="0" w:line="186" w:lineRule="exact"/>
        <w:rPr>
          <w:rFonts w:ascii="Arial" w:cs="Arial" w:eastAsia="Arial" w:hAnsi="Arial"/>
          <w:sz w:val="18"/>
          <w:szCs w:val="18"/>
          <w:b w:val="1"/>
          <w:bCs w:val="1"/>
          <w:color w:val="auto"/>
        </w:rPr>
      </w:pPr>
    </w:p>
    <w:p>
      <w:pPr>
        <w:ind w:left="-464" w:firstLine="464"/>
        <w:spacing w:after="0" w:line="277" w:lineRule="auto"/>
        <w:tabs>
          <w:tab w:leader="none" w:pos="262"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interpreted and determined in accordance with the laws of the State of Delaware, as such laws are applied by Delaware courts to contracts made and to be performed entirely in Delaware by residents of that state.</w:t>
      </w:r>
    </w:p>
    <w:p>
      <w:pPr>
        <w:sectPr>
          <w:pgSz w:w="11900" w:h="16838" w:orient="portrait"/>
          <w:cols w:equalWidth="0" w:num="1">
            <w:col w:w="10936"/>
          </w:cols>
          <w:pgMar w:left="704" w:top="274" w:right="259" w:bottom="1440" w:gutter="0" w:footer="0" w:header="0"/>
          <w:type w:val="continuous"/>
        </w:sectPr>
      </w:pPr>
    </w:p>
    <w:bookmarkStart w:id="349" w:name="page350"/>
    <w:bookmarkEnd w:id="349"/>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-116205</wp:posOffset>
            </wp:positionV>
            <wp:extent cx="2718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219"/>
          </w:cols>
          <w:pgMar w:left="240" w:top="274" w:right="1440"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AGREEEMENT</w:t>
      </w:r>
    </w:p>
    <w:p>
      <w:pPr>
        <w:spacing w:after="0" w:line="20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is made and entered into effective as of January 1, 2012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Hamza Suria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Executive are hereinafter collectively referred to as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individually referred to as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i w:val="1"/>
          <w:iCs w:val="1"/>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desires to continue to employ Executive and Executive is willing to continue to accept such employment by Company, on the terms and subject to the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355" w:lineRule="exact"/>
        <w:rPr>
          <w:sz w:val="20"/>
          <w:szCs w:val="20"/>
          <w:color w:val="auto"/>
        </w:rPr>
      </w:pPr>
    </w:p>
    <w:p>
      <w:pPr>
        <w:ind w:left="900" w:hanging="446"/>
        <w:spacing w:after="0"/>
        <w:tabs>
          <w:tab w:leader="none" w:pos="90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17" w:lineRule="exact"/>
        <w:rPr>
          <w:sz w:val="20"/>
          <w:szCs w:val="20"/>
          <w:color w:val="auto"/>
        </w:rPr>
      </w:pPr>
    </w:p>
    <w:p>
      <w:pPr>
        <w:jc w:val="both"/>
        <w:ind w:right="160" w:firstLine="913"/>
        <w:spacing w:after="0" w:line="261"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Executive’s position shall be Chief Executive Officer and President of the Company,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and conditions set forth in this Agreement. Executive shall also serve as a member of the Company’s Board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for so long as he continues to serve as Chief Executive Officer. At such time as Executive’s service as Chief Executive Officer terminates, he agrees to immediately resign as a member of the Board.</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i w:val="1"/>
          <w:iCs w:val="1"/>
          <w:color w:val="auto"/>
        </w:rPr>
        <w:t>”).</w:t>
      </w:r>
    </w:p>
    <w:p>
      <w:pPr>
        <w:spacing w:after="0" w:line="207" w:lineRule="exact"/>
        <w:rPr>
          <w:sz w:val="20"/>
          <w:szCs w:val="20"/>
          <w:color w:val="auto"/>
        </w:rPr>
      </w:pPr>
    </w:p>
    <w:p>
      <w:pPr>
        <w:ind w:right="740" w:firstLine="913"/>
        <w:spacing w:after="0" w:line="347" w:lineRule="auto"/>
        <w:rPr>
          <w:sz w:val="20"/>
          <w:szCs w:val="20"/>
          <w:color w:val="auto"/>
        </w:rPr>
      </w:pPr>
      <w:r>
        <w:rPr>
          <w:rFonts w:ascii="Arial" w:cs="Arial" w:eastAsia="Arial" w:hAnsi="Arial"/>
          <w:sz w:val="16"/>
          <w:szCs w:val="16"/>
          <w:b w:val="1"/>
          <w:bCs w:val="1"/>
          <w:color w:val="auto"/>
        </w:rPr>
        <w:t xml:space="preserve">1.3 Duties. </w:t>
      </w:r>
      <w:r>
        <w:rPr>
          <w:rFonts w:ascii="Arial" w:cs="Arial" w:eastAsia="Arial" w:hAnsi="Arial"/>
          <w:sz w:val="16"/>
          <w:szCs w:val="16"/>
          <w:color w:val="auto"/>
        </w:rPr>
        <w:t>Executive shall do and perform all services, acts or things necessary or advisable to manage and conduct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that are normally associated with the position of Chief Executive Officer and President. Executive shall report to the Board.</w:t>
      </w:r>
    </w:p>
    <w:p>
      <w:pPr>
        <w:spacing w:after="0" w:line="116"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 xml:space="preserve">1.4 Policies and Practices. </w:t>
      </w:r>
      <w:r>
        <w:rPr>
          <w:rFonts w:ascii="Arial" w:cs="Arial" w:eastAsia="Arial" w:hAnsi="Arial"/>
          <w:sz w:val="17"/>
          <w:szCs w:val="17"/>
          <w:color w:val="auto"/>
        </w:rPr>
        <w:t>The employment relationship between the Parties shall be governed by this Agreement and by the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58" w:lineRule="exact"/>
        <w:rPr>
          <w:sz w:val="20"/>
          <w:szCs w:val="20"/>
          <w:color w:val="auto"/>
        </w:rPr>
      </w:pPr>
    </w:p>
    <w:p>
      <w:pPr>
        <w:ind w:right="560" w:firstLine="913"/>
        <w:spacing w:after="0" w:line="313" w:lineRule="auto"/>
        <w:rPr>
          <w:sz w:val="20"/>
          <w:szCs w:val="20"/>
          <w:color w:val="auto"/>
        </w:rPr>
      </w:pPr>
      <w:r>
        <w:rPr>
          <w:rFonts w:ascii="Arial" w:cs="Arial" w:eastAsia="Arial" w:hAnsi="Arial"/>
          <w:sz w:val="17"/>
          <w:szCs w:val="17"/>
          <w:b w:val="1"/>
          <w:bCs w:val="1"/>
          <w:color w:val="auto"/>
        </w:rPr>
        <w:t xml:space="preserve">1.5 Location. </w:t>
      </w:r>
      <w:r>
        <w:rPr>
          <w:rFonts w:ascii="Arial" w:cs="Arial" w:eastAsia="Arial" w:hAnsi="Arial"/>
          <w:sz w:val="17"/>
          <w:szCs w:val="17"/>
          <w:color w:val="auto"/>
        </w:rPr>
        <w:t>Unless the Parties otherwise agree in writing, during the Term Executive shall perform the services Executive is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perform pursuant to this Agreement at the Company’s offices in San Diego, California, </w:t>
      </w:r>
      <w:r>
        <w:rPr>
          <w:rFonts w:ascii="Arial" w:cs="Arial" w:eastAsia="Arial" w:hAnsi="Arial"/>
          <w:sz w:val="17"/>
          <w:szCs w:val="17"/>
          <w:b w:val="1"/>
          <w:bCs w:val="1"/>
          <w:i w:val="1"/>
          <w:iCs w:val="1"/>
          <w:color w:val="auto"/>
        </w:rPr>
        <w:t>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Company may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time to time require Executive to travel temporarily to other locations in connection with the Company’s business.</w:t>
      </w:r>
    </w:p>
    <w:p>
      <w:pPr>
        <w:spacing w:after="0" w:line="370" w:lineRule="exact"/>
        <w:rPr>
          <w:sz w:val="20"/>
          <w:szCs w:val="20"/>
          <w:color w:val="auto"/>
        </w:rPr>
      </w:pPr>
    </w:p>
    <w:p>
      <w:pPr>
        <w:ind w:left="900" w:hanging="446"/>
        <w:spacing w:after="0"/>
        <w:tabs>
          <w:tab w:leader="none" w:pos="90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LOYALTY; NONCOMPETITION; NONSOLICITATION.</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Executive’s employment with the Company, Executive shall devote Executive’s full business energies, interest, abilities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time to the proper and efficient performance of Executive’s duties under this Agreement.</w:t>
      </w:r>
    </w:p>
    <w:p>
      <w:pPr>
        <w:spacing w:after="0" w:line="16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color w:val="auto"/>
        </w:rPr>
        <w:t xml:space="preserve">2.2 Agreement not to participate in Company’s Competitors. </w:t>
      </w:r>
      <w:r>
        <w:rPr>
          <w:rFonts w:ascii="Arial" w:cs="Arial" w:eastAsia="Arial" w:hAnsi="Arial"/>
          <w:sz w:val="16"/>
          <w:szCs w:val="16"/>
          <w:color w:val="auto"/>
        </w:rPr>
        <w:t>During Executive’s employment with the Company, Executive agrees not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i w:val="1"/>
          <w:iCs w:val="1"/>
          <w:color w:val="auto"/>
        </w:rPr>
        <w:t>,”</w:t>
      </w:r>
      <w:r>
        <w:rPr>
          <w:rFonts w:ascii="Arial" w:cs="Arial" w:eastAsia="Arial" w:hAnsi="Arial"/>
          <w:sz w:val="16"/>
          <w:szCs w:val="16"/>
          <w:color w:val="auto"/>
        </w:rPr>
        <w:t xml:space="preserve"> means, with respect to any specific entity, any other entity that, directly or indirectly, through one or more intermediaries, controls, is controlled by or is under common control with such specified entity.</w:t>
      </w:r>
    </w:p>
    <w:p>
      <w:pPr>
        <w:spacing w:after="0" w:line="16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2.3 Covenant not to Compete. </w:t>
      </w:r>
      <w:r>
        <w:rPr>
          <w:rFonts w:ascii="Arial" w:cs="Arial" w:eastAsia="Arial" w:hAnsi="Arial"/>
          <w:sz w:val="17"/>
          <w:szCs w:val="17"/>
          <w:color w:val="auto"/>
        </w:rPr>
        <w:t>During Executive’s employment with the Company, and during any post-termination period in which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is receiving severance benefits in accordance with Section 4.5 of this Agreement (the “Non-Compete Period”), Executive shall not engage in competition with the Company and/or any of its Affiliates in any manner or capacity, as adviser, principal, agent, affiliate, promoter, partner, officer, director, employee, stockholder, owner, co-owner, consultant, in any phase of the business of developing, manufacturing and marketing of products or services that directly compete with the products or services of the Company, except with the prior written consent of the Board. Executive shall be entitled to request written consent of the Board with respect to potential advisory and/or director opportunities presented to Executive by a third party, which Executive believes in good faith will not interfere or compete with the on-going business of the Company, during the Non-Compete Period.</w:t>
      </w:r>
    </w:p>
    <w:p>
      <w:pPr>
        <w:spacing w:after="0" w:line="321" w:lineRule="exact"/>
        <w:rPr>
          <w:sz w:val="20"/>
          <w:szCs w:val="20"/>
          <w:color w:val="auto"/>
        </w:rPr>
      </w:pPr>
    </w:p>
    <w:p>
      <w:pPr>
        <w:ind w:left="900" w:hanging="446"/>
        <w:spacing w:after="0"/>
        <w:tabs>
          <w:tab w:leader="none" w:pos="90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EXECUTIVE.</w:t>
      </w:r>
    </w:p>
    <w:p>
      <w:pPr>
        <w:spacing w:after="0" w:line="117"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Executive a base salary at the annualized rate of $285,000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less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required withholdings, payable in regular periodic installments in accordance with the Company’s normal payroll practices. The Base Salary shall be prorated for any partial year of employment on the basis of a 365-day fiscal year.</w:t>
      </w:r>
    </w:p>
    <w:p>
      <w:pPr>
        <w:spacing w:after="0" w:line="176"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b w:val="1"/>
          <w:bCs w:val="1"/>
          <w:color w:val="auto"/>
        </w:rPr>
        <w:t xml:space="preserve">3.2 Discretionary Bonus. </w:t>
      </w:r>
      <w:r>
        <w:rPr>
          <w:rFonts w:ascii="Arial" w:cs="Arial" w:eastAsia="Arial" w:hAnsi="Arial"/>
          <w:sz w:val="18"/>
          <w:szCs w:val="18"/>
          <w:color w:val="auto"/>
        </w:rPr>
        <w:t>At the sole discretion of the Board, promptly following each calendar year of employment Executive shall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receive a discretionary cash bonus of up to 25% of Executive’s then-current base salary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Executive’s achievement relative to certain performance goals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w:t>
      </w:r>
      <w:r>
        <w:rPr>
          <w:rFonts w:ascii="Arial" w:cs="Arial" w:eastAsia="Arial" w:hAnsi="Arial"/>
          <w:sz w:val="18"/>
          <w:szCs w:val="18"/>
          <w:color w:val="auto"/>
        </w:rPr>
        <w:t xml:space="preserve"> to be established by the Board in a manner reasonably consistent with the Company’s priorities. The determination of whether Executive has met the Performance Goals for any given year, and if so, the amount of any Bonus that will be paid for such year (if any), shall be determined by the Board in its sole and absolute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52" w:name="page353"/>
    <w:bookmarkEnd w:id="35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In order to be eligible to earn or receive any Bonus, Executive must remain employed by the Company through and including the date of payment of such Bonus.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3.3 Stock Options.</w:t>
      </w:r>
    </w:p>
    <w:p>
      <w:pPr>
        <w:spacing w:after="0" w:line="117"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b w:val="1"/>
          <w:bCs w:val="1"/>
          <w:color w:val="auto"/>
        </w:rPr>
        <w:t xml:space="preserve">3.3.l Time Vesting Option Grant. </w:t>
      </w:r>
      <w:r>
        <w:rPr>
          <w:rFonts w:ascii="Arial" w:cs="Arial" w:eastAsia="Arial" w:hAnsi="Arial"/>
          <w:sz w:val="16"/>
          <w:szCs w:val="16"/>
          <w:color w:val="auto"/>
        </w:rPr>
        <w:t>As soon as practicable following the Effective Date, Executive will be granted an option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 to 1,499,684 shares of the Company’s Common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Base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Company’s 2006 Equity Incentive Plan, as amended from time to time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which Base Option, together with options to purchase up to 210,457 shares of Common Stock previously granted pursuant to the Plan to Executive, represents a number of shares of Common Stock equal to approximately 2.5% of the fully-diluted capitalization of the Company as of the Effective Date. For purposes of this Section 3.3,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fully-diluted capitalization of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means (1) all issued and outstanding equity securities of the Company , (2) all shares issuable upon the conversion , exercise, or exchange of any outstanding options, warrants, or other convertible or exchangeable securities of the Company and (3) all shares reserved for future issuance pursuant to the Plan. The Base Option shall be subject to vesting such that, subject to Executive’s continued employment with the Company, 1/4 of the shares subject to the Base Option shall vest as of the first anniversary of the Effective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 For clarity, any and all preferred shares of the Company purchased by Executive, prior to or following the Effective Date, are not included in the aforementioned consideration due to Executive.</w:t>
      </w:r>
    </w:p>
    <w:p>
      <w:pPr>
        <w:spacing w:after="0" w:line="165" w:lineRule="exact"/>
        <w:rPr>
          <w:sz w:val="20"/>
          <w:szCs w:val="20"/>
          <w:color w:val="auto"/>
        </w:rPr>
      </w:pPr>
    </w:p>
    <w:p>
      <w:pPr>
        <w:ind w:firstLine="1484"/>
        <w:spacing w:after="0" w:line="292" w:lineRule="auto"/>
        <w:rPr>
          <w:sz w:val="20"/>
          <w:szCs w:val="20"/>
          <w:color w:val="auto"/>
        </w:rPr>
      </w:pPr>
      <w:r>
        <w:rPr>
          <w:rFonts w:ascii="Arial" w:cs="Arial" w:eastAsia="Arial" w:hAnsi="Arial"/>
          <w:sz w:val="16"/>
          <w:szCs w:val="16"/>
          <w:b w:val="1"/>
          <w:bCs w:val="1"/>
          <w:color w:val="auto"/>
        </w:rPr>
        <w:t xml:space="preserve">3.3.2 Performance Option Grant. </w:t>
      </w:r>
      <w:r>
        <w:rPr>
          <w:rFonts w:ascii="Arial" w:cs="Arial" w:eastAsia="Arial" w:hAnsi="Arial"/>
          <w:sz w:val="16"/>
          <w:szCs w:val="16"/>
          <w:color w:val="auto"/>
        </w:rPr>
        <w:t>In addition to the grant set forth in Section 3.3.1 above, as soon as practicable following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Executive shall be granted an option to purchase up to 684,056 shares of the Company’s Common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Plan, which represents a number of shares of Common Stock equal to approximately 1% of the fully-diluted capitalization of the Company as of the Effective Date. 100% of the shares subject to the Performance Option shall vest upon the closing, during Executive’s employment, of a Change in Control (as defined in the Plan) that is approved by the Board. The exercise price per share of the Performance Option will be equal to the fair market value of a single share of Common Stock on the date the Performance Option is granted, as determined in good faith by the Board. The Performance Option will be governed by the Plan and shall be granted pursuant to a separate stock option grant notice and stock option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53" w:name="page354"/>
    <w:bookmarkEnd w:id="353"/>
    <w:p>
      <w:pPr>
        <w:ind w:right="100" w:firstLine="913"/>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Expense Reimbursements. </w:t>
      </w:r>
      <w:r>
        <w:rPr>
          <w:rFonts w:ascii="Arial" w:cs="Arial" w:eastAsia="Arial" w:hAnsi="Arial"/>
          <w:sz w:val="17"/>
          <w:szCs w:val="17"/>
          <w:color w:val="auto"/>
        </w:rPr>
        <w:t>The Company will reimburse Executive for all reasonable business expenses Executive incurs in conducting his</w:t>
      </w:r>
      <w:r>
        <w:rPr>
          <w:rFonts w:ascii="Arial" w:cs="Arial" w:eastAsia="Arial" w:hAnsi="Arial"/>
          <w:sz w:val="17"/>
          <w:szCs w:val="17"/>
          <w:b w:val="1"/>
          <w:bCs w:val="1"/>
          <w:color w:val="auto"/>
        </w:rPr>
        <w:t xml:space="preserve"> </w:t>
      </w:r>
      <w:r>
        <w:rPr>
          <w:rFonts w:ascii="Arial" w:cs="Arial" w:eastAsia="Arial" w:hAnsi="Arial"/>
          <w:sz w:val="17"/>
          <w:szCs w:val="17"/>
          <w:color w:val="auto"/>
        </w:rPr>
        <w:t>duties hereunder, pursuant to the Company’s usual expense reimbursement policies; provided that Executive supplies the appropriate substantiation for such expenses no later than the end of the calendar month following the month in which such expenses were incurred by Executive. Executive shall keep the Chairman of the Board (or equivalent) appraised of business expenses reimbursed by the Company to the Executive.</w:t>
      </w:r>
    </w:p>
    <w:p>
      <w:pPr>
        <w:spacing w:after="0" w:line="165" w:lineRule="exact"/>
        <w:rPr>
          <w:sz w:val="20"/>
          <w:szCs w:val="20"/>
          <w:color w:val="auto"/>
        </w:rPr>
      </w:pPr>
    </w:p>
    <w:p>
      <w:pPr>
        <w:ind w:right="200" w:firstLine="913"/>
        <w:spacing w:after="0" w:line="314" w:lineRule="auto"/>
        <w:rPr>
          <w:sz w:val="20"/>
          <w:szCs w:val="20"/>
          <w:color w:val="auto"/>
        </w:rPr>
      </w:pPr>
      <w:r>
        <w:rPr>
          <w:rFonts w:ascii="Arial" w:cs="Arial" w:eastAsia="Arial" w:hAnsi="Arial"/>
          <w:sz w:val="16"/>
          <w:szCs w:val="16"/>
          <w:b w:val="1"/>
          <w:bCs w:val="1"/>
          <w:color w:val="auto"/>
        </w:rPr>
        <w:t xml:space="preserve">3.5 Changes to Compensation. </w:t>
      </w:r>
      <w:r>
        <w:rPr>
          <w:rFonts w:ascii="Arial" w:cs="Arial" w:eastAsia="Arial" w:hAnsi="Arial"/>
          <w:sz w:val="16"/>
          <w:szCs w:val="16"/>
          <w:color w:val="auto"/>
        </w:rPr>
        <w:t>Executive’s compensation will be reviewed annually and may be changed from time to time in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In particular, the parties agree to consider, as of the first anniversary of the Effective Date, increasing the Severance Payments (as defined under Section 4.5.3) due to Executive under Section 4.5, provided that any such increase shall be at the sole discretion of the Board.</w:t>
      </w:r>
    </w:p>
    <w:p>
      <w:pPr>
        <w:spacing w:after="0" w:line="14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3.6 Employment Taxes. </w:t>
      </w:r>
      <w:r>
        <w:rPr>
          <w:rFonts w:ascii="Arial" w:cs="Arial" w:eastAsia="Arial" w:hAnsi="Arial"/>
          <w:sz w:val="18"/>
          <w:szCs w:val="18"/>
          <w:color w:val="auto"/>
        </w:rPr>
        <w:t>All of Executive’s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162"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color w:val="auto"/>
        </w:rPr>
        <w:t xml:space="preserve">3.7 Benefits. </w:t>
      </w:r>
      <w:r>
        <w:rPr>
          <w:rFonts w:ascii="Arial" w:cs="Arial" w:eastAsia="Arial" w:hAnsi="Arial"/>
          <w:sz w:val="16"/>
          <w:szCs w:val="16"/>
          <w:color w:val="auto"/>
        </w:rPr>
        <w:t>Executive shall, in accordance with Company policy and the terms of the applicable plan documents,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benefit plan or arrangement that may be in effect from time to time and made available to the Company’s senior management employees.</w:t>
      </w:r>
    </w:p>
    <w:p>
      <w:pPr>
        <w:spacing w:after="0" w:line="116"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3.8 Holidays and Vacation. </w:t>
      </w:r>
      <w:r>
        <w:rPr>
          <w:rFonts w:ascii="Arial" w:cs="Arial" w:eastAsia="Arial" w:hAnsi="Arial"/>
          <w:sz w:val="18"/>
          <w:szCs w:val="18"/>
          <w:color w:val="auto"/>
        </w:rPr>
        <w:t>Executive shall be eligible for paid holiday and vacation time in accordance with Company policy as in effect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310" w:lineRule="exact"/>
        <w:rPr>
          <w:sz w:val="20"/>
          <w:szCs w:val="20"/>
          <w:color w:val="auto"/>
        </w:rPr>
      </w:pPr>
    </w:p>
    <w:p>
      <w:pPr>
        <w:ind w:left="900" w:hanging="446"/>
        <w:spacing w:after="0"/>
        <w:tabs>
          <w:tab w:leader="none" w:pos="90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4.1 Termination by the Company. </w:t>
      </w:r>
      <w:r>
        <w:rPr>
          <w:rFonts w:ascii="Arial" w:cs="Arial" w:eastAsia="Arial" w:hAnsi="Arial"/>
          <w:sz w:val="18"/>
          <w:szCs w:val="18"/>
          <w:color w:val="auto"/>
        </w:rPr>
        <w:t>Executive’s employment with the Company is at will and may be terminated by the Company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any reason, or for no reason, including, but not limited to, under the following conditions:</w:t>
      </w:r>
    </w:p>
    <w:p>
      <w:pPr>
        <w:spacing w:after="0" w:line="162" w:lineRule="exact"/>
        <w:rPr>
          <w:sz w:val="20"/>
          <w:szCs w:val="20"/>
          <w:color w:val="auto"/>
        </w:rPr>
      </w:pPr>
    </w:p>
    <w:p>
      <w:pPr>
        <w:ind w:right="180" w:firstLine="1484"/>
        <w:spacing w:after="0" w:line="266" w:lineRule="auto"/>
        <w:rPr>
          <w:sz w:val="20"/>
          <w:szCs w:val="20"/>
          <w:color w:val="auto"/>
        </w:rPr>
      </w:pPr>
      <w:r>
        <w:rPr>
          <w:rFonts w:ascii="Arial" w:cs="Arial" w:eastAsia="Arial" w:hAnsi="Arial"/>
          <w:sz w:val="18"/>
          <w:szCs w:val="18"/>
          <w:b w:val="1"/>
          <w:bCs w:val="1"/>
          <w:color w:val="auto"/>
        </w:rPr>
        <w:t xml:space="preserve">4.1.1 Termination by the Company for Cause. </w:t>
      </w:r>
      <w:r>
        <w:rPr>
          <w:rFonts w:ascii="Arial" w:cs="Arial" w:eastAsia="Arial" w:hAnsi="Arial"/>
          <w:sz w:val="18"/>
          <w:szCs w:val="18"/>
          <w:color w:val="auto"/>
        </w:rPr>
        <w:t>The Company may terminate Executive’s employment under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(as defined below) by delivery of written notice to Executive. Any notice of termination given pursuant to this section shall effect termination as of the date of the notice, or as of such other date specified in the notice.</w:t>
      </w:r>
    </w:p>
    <w:p>
      <w:pPr>
        <w:spacing w:after="0" w:line="176" w:lineRule="exact"/>
        <w:rPr>
          <w:sz w:val="20"/>
          <w:szCs w:val="20"/>
          <w:color w:val="auto"/>
        </w:rPr>
      </w:pPr>
    </w:p>
    <w:p>
      <w:pPr>
        <w:jc w:val="both"/>
        <w:ind w:right="460" w:firstLine="1484"/>
        <w:spacing w:after="0" w:line="266" w:lineRule="auto"/>
        <w:rPr>
          <w:sz w:val="20"/>
          <w:szCs w:val="20"/>
          <w:color w:val="auto"/>
        </w:rPr>
      </w:pPr>
      <w:r>
        <w:rPr>
          <w:rFonts w:ascii="Arial" w:cs="Arial" w:eastAsia="Arial" w:hAnsi="Arial"/>
          <w:sz w:val="18"/>
          <w:szCs w:val="18"/>
          <w:b w:val="1"/>
          <w:bCs w:val="1"/>
          <w:color w:val="auto"/>
        </w:rPr>
        <w:t xml:space="preserve">4.1.2 Termination by the Company without Cause. </w:t>
      </w:r>
      <w:r>
        <w:rPr>
          <w:rFonts w:ascii="Arial" w:cs="Arial" w:eastAsia="Arial" w:hAnsi="Arial"/>
          <w:sz w:val="18"/>
          <w:szCs w:val="18"/>
          <w:color w:val="auto"/>
        </w:rPr>
        <w:t>The Company may terminate Executive’s employment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Cause at any time and for any reason, or for no reason. Such termination shall be effective on the date Executive is so informed, or as otherwise specified by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354" w:name="page355"/>
    <w:bookmarkEnd w:id="354"/>
    <w:p>
      <w:pPr>
        <w:ind w:right="24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Termination by Executive. </w:t>
      </w:r>
      <w:r>
        <w:rPr>
          <w:rFonts w:ascii="Arial" w:cs="Arial" w:eastAsia="Arial" w:hAnsi="Arial"/>
          <w:sz w:val="18"/>
          <w:szCs w:val="18"/>
          <w:color w:val="auto"/>
        </w:rPr>
        <w:t>Executive may terminate his employment with the Company at any time and for any reason, or for no reason,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thirty (30) days written notice to the Company.</w:t>
      </w:r>
    </w:p>
    <w:p>
      <w:pPr>
        <w:spacing w:after="0" w:line="162"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4.3 Termination for Death or Disability. </w:t>
      </w:r>
      <w:r>
        <w:rPr>
          <w:rFonts w:ascii="Arial" w:cs="Arial" w:eastAsia="Arial" w:hAnsi="Arial"/>
          <w:sz w:val="18"/>
          <w:szCs w:val="18"/>
          <w:color w:val="auto"/>
        </w:rPr>
        <w:t>Executive’s employment with the Company shall automatically terminate effective upon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death or Disability (as defined in the Plan).</w:t>
      </w:r>
    </w:p>
    <w:p>
      <w:pPr>
        <w:spacing w:after="0" w:line="162" w:lineRule="exact"/>
        <w:rPr>
          <w:sz w:val="20"/>
          <w:szCs w:val="20"/>
          <w:color w:val="auto"/>
        </w:rPr>
      </w:pPr>
    </w:p>
    <w:p>
      <w:pPr>
        <w:ind w:right="420" w:firstLine="913"/>
        <w:spacing w:after="0" w:line="347" w:lineRule="auto"/>
        <w:rPr>
          <w:sz w:val="20"/>
          <w:szCs w:val="20"/>
          <w:color w:val="auto"/>
        </w:rPr>
      </w:pPr>
      <w:r>
        <w:rPr>
          <w:rFonts w:ascii="Arial" w:cs="Arial" w:eastAsia="Arial" w:hAnsi="Arial"/>
          <w:sz w:val="16"/>
          <w:szCs w:val="16"/>
          <w:b w:val="1"/>
          <w:bCs w:val="1"/>
          <w:color w:val="auto"/>
        </w:rPr>
        <w:t xml:space="preserve">4.4 Termination by Mutual Agreement of the Parties. </w:t>
      </w:r>
      <w:r>
        <w:rPr>
          <w:rFonts w:ascii="Arial" w:cs="Arial" w:eastAsia="Arial" w:hAnsi="Arial"/>
          <w:sz w:val="16"/>
          <w:szCs w:val="16"/>
          <w:color w:val="auto"/>
        </w:rPr>
        <w:t>Executive’s employment with the Company may be terminated at any time upon a</w:t>
      </w:r>
      <w:r>
        <w:rPr>
          <w:rFonts w:ascii="Arial" w:cs="Arial" w:eastAsia="Arial" w:hAnsi="Arial"/>
          <w:sz w:val="16"/>
          <w:szCs w:val="16"/>
          <w:b w:val="1"/>
          <w:bCs w:val="1"/>
          <w:color w:val="auto"/>
        </w:rPr>
        <w:t xml:space="preserve"> </w:t>
      </w:r>
      <w:r>
        <w:rPr>
          <w:rFonts w:ascii="Arial" w:cs="Arial" w:eastAsia="Arial" w:hAnsi="Arial"/>
          <w:sz w:val="16"/>
          <w:szCs w:val="16"/>
          <w:color w:val="auto"/>
        </w:rPr>
        <w:t>mutual agreement in writing of the Parties. Any such termination of employment shall have the consequences specified in such agreement.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117" w:lineRule="exact"/>
        <w:rPr>
          <w:sz w:val="20"/>
          <w:szCs w:val="20"/>
          <w:color w:val="auto"/>
        </w:rPr>
      </w:pPr>
    </w:p>
    <w:p>
      <w:pPr>
        <w:ind w:firstLine="1484"/>
        <w:spacing w:after="0" w:line="261" w:lineRule="auto"/>
        <w:rPr>
          <w:sz w:val="20"/>
          <w:szCs w:val="20"/>
          <w:color w:val="auto"/>
        </w:rPr>
      </w:pPr>
      <w:r>
        <w:rPr>
          <w:rFonts w:ascii="Arial" w:cs="Arial" w:eastAsia="Arial" w:hAnsi="Arial"/>
          <w:sz w:val="18"/>
          <w:szCs w:val="18"/>
          <w:b w:val="1"/>
          <w:bCs w:val="1"/>
          <w:color w:val="auto"/>
        </w:rPr>
        <w:t xml:space="preserve">4.5.1 Death or Disability. </w:t>
      </w:r>
      <w:r>
        <w:rPr>
          <w:rFonts w:ascii="Arial" w:cs="Arial" w:eastAsia="Arial" w:hAnsi="Arial"/>
          <w:sz w:val="18"/>
          <w:szCs w:val="18"/>
          <w:color w:val="auto"/>
        </w:rPr>
        <w:t>If Executive’s employment is terminated by Death or Disability, the Company shall pay to Executive,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heirs, Executive’s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w:t>
      </w:r>
    </w:p>
    <w:p>
      <w:pPr>
        <w:spacing w:after="0" w:line="180" w:lineRule="exact"/>
        <w:rPr>
          <w:sz w:val="20"/>
          <w:szCs w:val="20"/>
          <w:color w:val="auto"/>
        </w:rPr>
      </w:pPr>
    </w:p>
    <w:p>
      <w:pPr>
        <w:ind w:right="180" w:firstLine="1484"/>
        <w:spacing w:after="0" w:line="261" w:lineRule="auto"/>
        <w:rPr>
          <w:sz w:val="20"/>
          <w:szCs w:val="20"/>
          <w:color w:val="auto"/>
        </w:rPr>
      </w:pPr>
      <w:r>
        <w:rPr>
          <w:rFonts w:ascii="Arial" w:cs="Arial" w:eastAsia="Arial" w:hAnsi="Arial"/>
          <w:sz w:val="18"/>
          <w:szCs w:val="18"/>
          <w:b w:val="1"/>
          <w:bCs w:val="1"/>
          <w:color w:val="auto"/>
        </w:rPr>
        <w:t>4.5.2 Termination for Cause</w:t>
      </w:r>
      <w:r>
        <w:rPr>
          <w:rFonts w:ascii="Arial" w:cs="Arial" w:eastAsia="Arial" w:hAnsi="Arial"/>
          <w:sz w:val="18"/>
          <w:szCs w:val="18"/>
          <w:color w:val="auto"/>
        </w:rPr>
        <w:t>. If the Company terminates Executive’s employment for Cause, and then the Company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 xml:space="preserve">4.5.3 Termination by Company without Cause or by Executive for Good Reason Not In Connection with a Change in Control. </w:t>
      </w:r>
      <w:r>
        <w:rPr>
          <w:rFonts w:ascii="Arial" w:cs="Arial" w:eastAsia="Arial" w:hAnsi="Arial"/>
          <w:sz w:val="16"/>
          <w:szCs w:val="16"/>
          <w:color w:val="auto"/>
        </w:rPr>
        <w:t>If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terminates Executive’s employment without Cause or if Executive resigns his employment for Good Reason, in either case at any time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upon the occurrence of, or within the 13 months immediately following, the effective date of a Change in Control, the Company shall pay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salary and accrued and unused vacation benefits earned through the date of termination, at the rate in effect at the time of termination, less standard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deductions and withholdings. In addition, if Executive furnishes to the Company an executed waiver and release of claims in the form attached hereto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A </w:t>
      </w:r>
      <w:r>
        <w:rPr>
          <w:rFonts w:ascii="Arial" w:cs="Arial" w:eastAsia="Arial" w:hAnsi="Arial"/>
          <w:sz w:val="16"/>
          <w:szCs w:val="16"/>
          <w:color w:val="auto"/>
        </w:rPr>
        <w:t>(or in such other form as may be specified by the Company)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time period specified therein, but in no event later than 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following Executive’s termination, and if Executive allows such Release to become effective in accordance with its terms, then (i) Executive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entitled to severance in the form of continuation of his base salary, at the base salary rate in effect at the time of termination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Severance Payments</w:t>
      </w:r>
      <w:r>
        <w:rPr>
          <w:rFonts w:ascii="Arial" w:cs="Arial" w:eastAsia="Arial" w:hAnsi="Arial"/>
          <w:sz w:val="16"/>
          <w:szCs w:val="16"/>
          <w:i w:val="1"/>
          <w:iCs w:val="1"/>
          <w:color w:val="auto"/>
        </w:rPr>
        <w:t>”),</w:t>
      </w:r>
      <w:r>
        <w:rPr>
          <w:rFonts w:ascii="Arial" w:cs="Arial" w:eastAsia="Arial" w:hAnsi="Arial"/>
          <w:sz w:val="16"/>
          <w:szCs w:val="16"/>
          <w:color w:val="auto"/>
        </w:rPr>
        <w:t xml:space="preserv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period of six months following the termination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Period</w:t>
      </w:r>
      <w:r>
        <w:rPr>
          <w:rFonts w:ascii="Arial" w:cs="Arial" w:eastAsia="Arial" w:hAnsi="Arial"/>
          <w:sz w:val="17"/>
          <w:szCs w:val="17"/>
          <w:i w:val="1"/>
          <w:iCs w:val="1"/>
          <w:color w:val="auto"/>
        </w:rPr>
        <w:t>” ),</w:t>
      </w:r>
      <w:r>
        <w:rPr>
          <w:rFonts w:ascii="Arial" w:cs="Arial" w:eastAsia="Arial" w:hAnsi="Arial"/>
          <w:sz w:val="17"/>
          <w:szCs w:val="17"/>
          <w:color w:val="auto"/>
        </w:rPr>
        <w:t xml:space="preserve"> and (ii) pay directly to the insurance provider the premium for COBRA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continuation coverage for Executive and Executive’s family during the Severance Period or until he obtains new employment, whichever comes first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COBRA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The Severance Payments will be subject to standard payroll deductions and withholdings and will be made on the Company’s regular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payroll cycle, provided, however, that any Severance Payments otherwise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355" w:name="page356"/>
    <w:bookmarkEnd w:id="355"/>
    <w:p>
      <w:pPr>
        <w:ind w:right="6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Scheduled to be made prior to the effective date of the Release shall accrue and be paid in the first payroll period that follows such effective date. The Company shall thereafter have no further obligations to Executive under this Agreement, except as otherwise provided by law.</w:t>
      </w:r>
    </w:p>
    <w:p>
      <w:pPr>
        <w:spacing w:after="0" w:line="14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b w:val="1"/>
          <w:bCs w:val="1"/>
          <w:color w:val="auto"/>
        </w:rPr>
        <w:t xml:space="preserve">4.5.4 Termination by Company Without Cause or by Executive for Good Reason In Connection with a Change in Control. </w:t>
      </w:r>
      <w:r>
        <w:rPr>
          <w:rFonts w:ascii="Arial" w:cs="Arial" w:eastAsia="Arial" w:hAnsi="Arial"/>
          <w:sz w:val="16"/>
          <w:szCs w:val="16"/>
          <w:color w:val="auto"/>
        </w:rPr>
        <w:t>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Executive’s employment without Cause or if Executive resigns his employment for Good Reason, in either case upon the occurrence of, or within the 13 months immediately following, the effective date of a Change in Control, the Company shall pay Executive’s base salary and accrued and unused vacation benefits earned through the date of termination, at the rate in effect at the time of termination, less standard deductions and withholdings. In addition, if Executive furnishes to the Company an executed Release within the time period specified therein, but in no event later than 45 days following Executive’s termination, and if Executive allows such Release to become effective in accordance with its terms, then Executive shall be entitled to: (1) the Severance Payments and COBRA coverage described in Section 4.5.3 above; and (2) accelerated vesting of any unvested shares subject to the Base Option such that Executive shall become vested in 100% of the shares subject to such Base Option on the effective date of the Release. The Company shall thereafter have no further obligations to Executive under this Agreement, except as otherwise provided by law.</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4.6 Definitions. </w:t>
      </w: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b w:val="1"/>
          <w:bCs w:val="1"/>
          <w:color w:val="auto"/>
        </w:rPr>
        <w:t xml:space="preserve">4.6.1 Cause.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occurrence of any one or more of the following: (i) Executive’s commission of any crime involving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action or conduct described in clauses (iii) and (iv) above will constitute “Cause” only if such action or conduct continues after the Company has provided Executive with written notice thereof and thirty (30) days to cure, or otherwise remedy to the extent possible under direct control of the Executive, the same. An occurrence of “Cause” as set forth in the preceding sentence shall be based upon a good faith determination by the Board. Executive’s Disability shall not constitute Cause as set forth herein. The determination that a termination is for Cause shall be by the Board in its sole and exclusive judgment and discretion.</w:t>
      </w:r>
    </w:p>
    <w:p>
      <w:pPr>
        <w:spacing w:after="0" w:line="178" w:lineRule="exact"/>
        <w:rPr>
          <w:sz w:val="20"/>
          <w:szCs w:val="20"/>
          <w:color w:val="auto"/>
        </w:rPr>
      </w:pPr>
    </w:p>
    <w:p>
      <w:pPr>
        <w:ind w:right="60" w:firstLine="1484"/>
        <w:spacing w:after="0" w:line="258"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of the following actions: (i) the assignment to Executive of any duties or responsibilities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results in a material diminution in Executive’s function as in effect immediately prior to the effective date of the Change in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change in Executive’s title or reporting relationships shall not provide the basis for a voluntary termination with Good Reason; (ii) a reduction by the Company in Executive’s annual base salary as in effect on the effective date of the Change in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Good Reason shall not be deemed to have occurred in the event of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356" w:name="page357"/>
    <w:bookmarkEnd w:id="35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Survival of Certain Sections. Sections 2, 3.4 and 4 through 18 of this Agreement will survive the termination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 Parachute Payment. </w:t>
      </w:r>
      <w:r>
        <w:rPr>
          <w:rFonts w:ascii="Arial" w:cs="Arial" w:eastAsia="Arial" w:hAnsi="Arial"/>
          <w:sz w:val="17"/>
          <w:szCs w:val="17"/>
          <w:color w:val="auto"/>
        </w:rPr>
        <w:t>If any payment or benefit Executive would receive pursuant to this Agreement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Payment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280G of the Internal Revenue Code of 1986, as amended (the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to the excise tax imposed by Section 4999 of the Code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Excise Tax</w:t>
      </w:r>
      <w:r>
        <w:rPr>
          <w:rFonts w:ascii="Arial" w:cs="Arial" w:eastAsia="Arial" w:hAnsi="Arial"/>
          <w:sz w:val="16"/>
          <w:szCs w:val="16"/>
          <w:i w:val="1"/>
          <w:iCs w:val="1"/>
          <w:color w:val="auto"/>
        </w:rPr>
        <w:t>”),</w:t>
      </w:r>
      <w:r>
        <w:rPr>
          <w:rFonts w:ascii="Arial" w:cs="Arial" w:eastAsia="Arial" w:hAnsi="Arial"/>
          <w:sz w:val="16"/>
          <w:szCs w:val="16"/>
          <w:color w:val="auto"/>
        </w:rPr>
        <w:t xml:space="preserve"> then such Payment shall be equal to the Reduced Amount.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and the Excise Tax (all computed at the highest applicable marginal rate), results in Executive’s receipt, on an after-tax basis, of the greatest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 for Executive. If more than one method of reduction will result in the same economic benefit, the items so reduced will be reduced pro rata.</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46" w:lineRule="exact"/>
        <w:rPr>
          <w:sz w:val="20"/>
          <w:szCs w:val="20"/>
          <w:color w:val="auto"/>
        </w:rPr>
      </w:pPr>
    </w:p>
    <w:p>
      <w:pPr>
        <w:jc w:val="both"/>
        <w:ind w:right="160" w:firstLine="8"/>
        <w:spacing w:after="0" w:line="281" w:lineRule="auto"/>
        <w:tabs>
          <w:tab w:leader="none" w:pos="25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 the preceding paragraph, Executive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time by Executive or the Company) or such other time as requested by Executive or the Company.</w:t>
      </w:r>
    </w:p>
    <w:p>
      <w:pPr>
        <w:spacing w:after="0" w:line="221"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b w:val="1"/>
          <w:bCs w:val="1"/>
          <w:color w:val="auto"/>
        </w:rPr>
        <w:t xml:space="preserve">4.9 Application of Internal Revenue Code Section 409A. </w:t>
      </w:r>
      <w:r>
        <w:rPr>
          <w:rFonts w:ascii="Arial" w:cs="Arial" w:eastAsia="Arial" w:hAnsi="Arial"/>
          <w:sz w:val="17"/>
          <w:szCs w:val="17"/>
          <w:color w:val="auto"/>
        </w:rPr>
        <w:t>Notwithstanding anything to the contrary set forth herein, any payments and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under this Agreement (the </w:t>
      </w:r>
      <w:r>
        <w:rPr>
          <w:rFonts w:ascii="Arial" w:cs="Arial" w:eastAsia="Arial" w:hAnsi="Arial"/>
          <w:sz w:val="17"/>
          <w:szCs w:val="17"/>
          <w:b w:val="1"/>
          <w:bCs w:val="1"/>
          <w:i w:val="1"/>
          <w:iCs w:val="1"/>
          <w:color w:val="auto"/>
        </w:rPr>
        <w:t>“Severance Benefits</w:t>
      </w:r>
      <w:r>
        <w:rPr>
          <w:rFonts w:ascii="Arial" w:cs="Arial" w:eastAsia="Arial" w:hAnsi="Arial"/>
          <w:sz w:val="17"/>
          <w:szCs w:val="17"/>
          <w:i w:val="1"/>
          <w:iCs w:val="1"/>
          <w:color w:val="auto"/>
        </w:rPr>
        <w:t>”)</w:t>
      </w:r>
      <w:r>
        <w:rPr>
          <w:rFonts w:ascii="Arial" w:cs="Arial" w:eastAsia="Arial" w:hAnsi="Arial"/>
          <w:sz w:val="17"/>
          <w:szCs w:val="17"/>
          <w:color w:val="auto"/>
        </w:rPr>
        <w:t xml:space="preserve"> that constitute “deferred compensation” within the meaning of Section 409A of the Code and the regulations and other guidance thereunder and any state law of similar effect (collectively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Section 409A</w:t>
      </w:r>
      <w:r>
        <w:rPr>
          <w:rFonts w:ascii="Arial" w:cs="Arial" w:eastAsia="Arial" w:hAnsi="Arial"/>
          <w:sz w:val="17"/>
          <w:szCs w:val="17"/>
          <w:i w:val="1"/>
          <w:iCs w:val="1"/>
          <w:color w:val="auto"/>
        </w:rPr>
        <w:t>”)</w:t>
      </w:r>
      <w:r>
        <w:rPr>
          <w:rFonts w:ascii="Arial" w:cs="Arial" w:eastAsia="Arial" w:hAnsi="Arial"/>
          <w:sz w:val="17"/>
          <w:szCs w:val="17"/>
          <w:color w:val="auto"/>
        </w:rPr>
        <w:t xml:space="preserve"> shall not commence in connection with Executive’s termination of employment unless and until Executive has also incurred a “separation from service” (as such term is defined in Treasury Regulation Section l.409A-l (h)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Separation From Service</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Company reasonably determines that such amounts may be provided to Executive without causing Executive to incur the additional 20% tax under Section 409A.</w:t>
      </w:r>
    </w:p>
    <w:p>
      <w:pPr>
        <w:spacing w:after="0" w:line="17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It is intended that each installment of the Severance Benefits payments provided for in this Agreement is a separate “payment” for purposes of Treasury Regulation Section 1.409A- 2(b)(2)(i). For the avoidance of doubt, it is intended that payments of the Severance Benefits set forth in this Agreement satisfy, to the greatest extent possible, the exemptions from the application of Section 409A provided under Treasury Regulation Sections l.409A-l(b)(4), l.409A-l(b)(5) and 1.409A-l (b)(9).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Specified Employee 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the successor entity thereto, as applicable) shall (A) pay to Executive a lump sum amount equal to the sum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Benefit payments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6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58" w:name="page359"/>
    <w:bookmarkEnd w:id="358"/>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Release, with the balance of the Severance Benefits being paid as originally scheduled. All amounts payable under the Agreement will be subject to standard payroll taxes and deductions.</w:t>
      </w:r>
    </w:p>
    <w:p>
      <w:pPr>
        <w:spacing w:after="0" w:line="16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4.10 Nondisparagement. </w:t>
      </w:r>
      <w:r>
        <w:rPr>
          <w:rFonts w:ascii="Arial" w:cs="Arial" w:eastAsia="Arial" w:hAnsi="Arial"/>
          <w:sz w:val="18"/>
          <w:szCs w:val="18"/>
          <w:color w:val="auto"/>
        </w:rPr>
        <w:t>Executive agrees not to disparage the Company and its officers, directors, employees, shareholders and agents,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likely to be harmful to them or their business, business reputations or personal reputations , and the Company agrees to direct its employees, officers, directors, shareholders and agents not to disparage Executive in any manner likely to be harmful to Executive reputation or future employment; provided that Company and Executive may respond accurately and fully to any question, inquiry or request for information when required by legal process or as part of a government investigation.</w:t>
      </w:r>
    </w:p>
    <w:p>
      <w:pPr>
        <w:spacing w:after="0" w:line="333" w:lineRule="exact"/>
        <w:rPr>
          <w:sz w:val="20"/>
          <w:szCs w:val="20"/>
          <w:color w:val="auto"/>
        </w:rPr>
      </w:pPr>
    </w:p>
    <w:p>
      <w:pPr>
        <w:ind w:left="900" w:hanging="446"/>
        <w:spacing w:after="0"/>
        <w:tabs>
          <w:tab w:leader="none" w:pos="90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AND PROPRIETARY INFORMATION.</w:t>
      </w:r>
    </w:p>
    <w:p>
      <w:pPr>
        <w:spacing w:after="0" w:line="12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Executive has already executed, as a condition of Executive’s employment with the Company, the Company’s standard form of Proprietary Information and Inventions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PIIA</w:t>
      </w:r>
      <w:r>
        <w:rPr>
          <w:rFonts w:ascii="Arial" w:cs="Arial" w:eastAsia="Arial" w:hAnsi="Arial"/>
          <w:sz w:val="18"/>
          <w:szCs w:val="18"/>
          <w:i w:val="1"/>
          <w:iCs w:val="1"/>
          <w:color w:val="auto"/>
        </w:rPr>
        <w:t>”).</w:t>
      </w:r>
      <w:r>
        <w:rPr>
          <w:rFonts w:ascii="Arial" w:cs="Arial" w:eastAsia="Arial" w:hAnsi="Arial"/>
          <w:sz w:val="18"/>
          <w:szCs w:val="18"/>
          <w:color w:val="auto"/>
        </w:rPr>
        <w:t xml:space="preserve"> The PIIA remains in full force and effect.</w:t>
      </w:r>
    </w:p>
    <w:p>
      <w:pPr>
        <w:spacing w:after="0" w:line="315" w:lineRule="exact"/>
        <w:rPr>
          <w:sz w:val="20"/>
          <w:szCs w:val="20"/>
          <w:color w:val="auto"/>
        </w:rPr>
      </w:pPr>
    </w:p>
    <w:p>
      <w:pPr>
        <w:ind w:left="900" w:hanging="446"/>
        <w:spacing w:after="0"/>
        <w:tabs>
          <w:tab w:leader="none" w:pos="90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BINDING EFFECT.</w:t>
      </w:r>
    </w:p>
    <w:p>
      <w:pPr>
        <w:spacing w:after="0" w:line="121"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This Agreement shall be binding upon and inure to the benefit of Executive and Executive’s heirs, executors, personal representatives, assigns, administrators and legal representatives. Because of the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309" w:lineRule="exact"/>
        <w:rPr>
          <w:sz w:val="20"/>
          <w:szCs w:val="20"/>
          <w:color w:val="auto"/>
        </w:rPr>
      </w:pPr>
    </w:p>
    <w:p>
      <w:pPr>
        <w:ind w:left="900" w:hanging="446"/>
        <w:spacing w:after="0"/>
        <w:tabs>
          <w:tab w:leader="none" w:pos="9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the Company: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10421 Pacific Center Court, Suite 200 San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Chairman of the Board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Executive: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Hamza Suria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359" w:name="page360"/>
    <w:bookmarkEnd w:id="359"/>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326" w:lineRule="exact"/>
        <w:rPr>
          <w:sz w:val="20"/>
          <w:szCs w:val="20"/>
          <w:color w:val="auto"/>
        </w:rPr>
      </w:pPr>
    </w:p>
    <w:p>
      <w:pPr>
        <w:ind w:left="900" w:hanging="446"/>
        <w:spacing w:after="0"/>
        <w:tabs>
          <w:tab w:leader="none" w:pos="9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315" w:lineRule="exact"/>
        <w:rPr>
          <w:sz w:val="20"/>
          <w:szCs w:val="20"/>
          <w:color w:val="auto"/>
        </w:rPr>
      </w:pPr>
    </w:p>
    <w:p>
      <w:pPr>
        <w:ind w:left="900" w:hanging="446"/>
        <w:spacing w:after="0"/>
        <w:tabs>
          <w:tab w:leader="none" w:pos="90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p>
    <w:p>
      <w:pPr>
        <w:spacing w:after="0" w:line="117"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Executive’s employment and the termination of Executive’s employment, and supersedes any and all prior and/or contemporaneous oral and written employment agreements or arrangements between the Parties.</w:t>
      </w:r>
    </w:p>
    <w:p>
      <w:pPr>
        <w:spacing w:after="0" w:line="325" w:lineRule="exact"/>
        <w:rPr>
          <w:sz w:val="20"/>
          <w:szCs w:val="20"/>
          <w:color w:val="auto"/>
        </w:rPr>
      </w:pPr>
    </w:p>
    <w:p>
      <w:pPr>
        <w:ind w:left="900" w:hanging="446"/>
        <w:spacing w:after="0"/>
        <w:tabs>
          <w:tab w:leader="none" w:pos="9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Executive and the Company.</w:t>
      </w:r>
    </w:p>
    <w:p>
      <w:pPr>
        <w:spacing w:after="0" w:line="370" w:lineRule="exact"/>
        <w:rPr>
          <w:sz w:val="20"/>
          <w:szCs w:val="20"/>
          <w:color w:val="auto"/>
        </w:rPr>
      </w:pPr>
    </w:p>
    <w:p>
      <w:pPr>
        <w:ind w:left="900" w:hanging="446"/>
        <w:spacing w:after="0"/>
        <w:tabs>
          <w:tab w:leader="none" w:pos="9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326" w:lineRule="exact"/>
        <w:rPr>
          <w:sz w:val="20"/>
          <w:szCs w:val="20"/>
          <w:color w:val="auto"/>
        </w:rPr>
      </w:pPr>
    </w:p>
    <w:p>
      <w:pPr>
        <w:ind w:left="900" w:hanging="446"/>
        <w:spacing w:after="0"/>
        <w:tabs>
          <w:tab w:leader="none" w:pos="90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331" w:lineRule="exact"/>
        <w:rPr>
          <w:sz w:val="20"/>
          <w:szCs w:val="20"/>
          <w:color w:val="auto"/>
        </w:rPr>
      </w:pPr>
    </w:p>
    <w:p>
      <w:pPr>
        <w:ind w:left="900" w:hanging="446"/>
        <w:spacing w:after="0"/>
        <w:tabs>
          <w:tab w:leader="none" w:pos="90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CONSTRUCTION.</w:t>
      </w:r>
    </w:p>
    <w:p>
      <w:pPr>
        <w:spacing w:after="0" w:line="121"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360" w:name="page361"/>
    <w:bookmarkEnd w:id="360"/>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326" w:lineRule="exact"/>
        <w:rPr>
          <w:sz w:val="20"/>
          <w:szCs w:val="20"/>
          <w:color w:val="auto"/>
        </w:rPr>
      </w:pPr>
    </w:p>
    <w:p>
      <w:pPr>
        <w:ind w:left="900" w:hanging="446"/>
        <w:spacing w:after="0"/>
        <w:tabs>
          <w:tab w:leader="none" w:pos="90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w:t>
      </w:r>
    </w:p>
    <w:p>
      <w:pPr>
        <w:spacing w:after="0" w:line="326" w:lineRule="exact"/>
        <w:rPr>
          <w:sz w:val="20"/>
          <w:szCs w:val="20"/>
          <w:color w:val="auto"/>
        </w:rPr>
      </w:pPr>
    </w:p>
    <w:p>
      <w:pPr>
        <w:ind w:left="900" w:hanging="446"/>
        <w:spacing w:after="0"/>
        <w:tabs>
          <w:tab w:leader="none" w:pos="90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315" w:lineRule="exact"/>
        <w:rPr>
          <w:sz w:val="20"/>
          <w:szCs w:val="20"/>
          <w:color w:val="auto"/>
        </w:rPr>
      </w:pPr>
    </w:p>
    <w:p>
      <w:pPr>
        <w:ind w:left="900" w:hanging="446"/>
        <w:spacing w:after="0"/>
        <w:tabs>
          <w:tab w:leader="none" w:pos="90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2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JAMS</w:t>
      </w:r>
      <w:r>
        <w:rPr>
          <w:rFonts w:ascii="Arial" w:cs="Arial" w:eastAsia="Arial" w:hAnsi="Arial"/>
          <w:sz w:val="16"/>
          <w:szCs w:val="16"/>
          <w:i w:val="1"/>
          <w:iCs w:val="1"/>
          <w:color w:val="auto"/>
        </w:rPr>
        <w:t>”),</w:t>
      </w:r>
      <w:r>
        <w:rPr>
          <w:rFonts w:ascii="Arial" w:cs="Arial" w:eastAsia="Arial" w:hAnsi="Arial"/>
          <w:sz w:val="16"/>
          <w:szCs w:val="16"/>
          <w:color w:val="auto"/>
        </w:rPr>
        <w:t xml:space="preserve"> or its successors, under the then current rules of JAMS for employment disputes; provided that the arbitrator shall:</w:t>
      </w:r>
    </w:p>
    <w:p>
      <w:pPr>
        <w:spacing w:after="0" w:line="2" w:lineRule="exact"/>
        <w:rPr>
          <w:sz w:val="20"/>
          <w:szCs w:val="20"/>
          <w:color w:val="auto"/>
        </w:rPr>
      </w:pPr>
    </w:p>
    <w:p>
      <w:pPr>
        <w:ind w:left="260" w:hanging="252"/>
        <w:spacing w:after="0"/>
        <w:tabs>
          <w:tab w:leader="none" w:pos="2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have the authority to compel adequate discovery for the resolution of the dispute and to award such relief as would otherwise be permitted by law; and</w:t>
      </w:r>
    </w:p>
    <w:p>
      <w:pPr>
        <w:spacing w:after="0" w:line="32" w:lineRule="exact"/>
        <w:rPr>
          <w:rFonts w:ascii="Arial" w:cs="Arial" w:eastAsia="Arial" w:hAnsi="Arial"/>
          <w:sz w:val="16"/>
          <w:szCs w:val="16"/>
          <w:color w:val="auto"/>
        </w:rPr>
      </w:pPr>
    </w:p>
    <w:p>
      <w:pPr>
        <w:ind w:right="20" w:firstLine="8"/>
        <w:spacing w:after="0" w:line="290" w:lineRule="auto"/>
        <w:tabs>
          <w:tab w:leader="none" w:pos="25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be entitled to pursue in a 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w:t>
      </w:r>
    </w:p>
    <w:p>
      <w:pPr>
        <w:spacing w:after="0" w:line="309" w:lineRule="exact"/>
        <w:rPr>
          <w:sz w:val="20"/>
          <w:szCs w:val="20"/>
          <w:color w:val="auto"/>
        </w:rPr>
      </w:pPr>
    </w:p>
    <w:p>
      <w:pPr>
        <w:ind w:left="900" w:hanging="446"/>
        <w:spacing w:after="0"/>
        <w:tabs>
          <w:tab w:leader="none" w:pos="90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SECRETS OF OTHERS.</w:t>
      </w:r>
    </w:p>
    <w:p>
      <w:pPr>
        <w:spacing w:after="0" w:line="12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3" w:right="359" w:bottom="1440" w:gutter="0" w:footer="0" w:header="0"/>
        </w:sectPr>
      </w:pPr>
    </w:p>
    <w:bookmarkStart w:id="361" w:name="page362"/>
    <w:bookmarkEnd w:id="361"/>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shall not provide to the Company and/or its Affiliates, and the Company and/or its Affiliates shall not request, any documents or copies of documents containing such information.</w:t>
      </w:r>
    </w:p>
    <w:p>
      <w:pPr>
        <w:spacing w:after="0" w:line="315" w:lineRule="exact"/>
        <w:rPr>
          <w:sz w:val="20"/>
          <w:szCs w:val="20"/>
          <w:color w:val="auto"/>
        </w:rPr>
      </w:pPr>
    </w:p>
    <w:p>
      <w:pPr>
        <w:ind w:left="900" w:hanging="446"/>
        <w:spacing w:after="0"/>
        <w:tabs>
          <w:tab w:leader="none" w:pos="90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WAIVER.</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 services to the Company appear. Executive hereby waives and releases any claim or right Executive may otherwise have arising out of such use, publication or distribution.</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180"/>
          </w:cols>
          <w:pgMar w:left="240" w:top="274" w:right="479" w:bottom="1440" w:gutter="0" w:footer="0" w:header="0"/>
        </w:sectPr>
      </w:pPr>
    </w:p>
    <w:bookmarkStart w:id="362" w:name="page363"/>
    <w:bookmarkEnd w:id="36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B. Gallagher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Executive Chair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920" w:type="dxa"/>
            <w:vAlign w:val="bottom"/>
          </w:tcPr>
          <w:p>
            <w:pPr>
              <w:spacing w:after="0"/>
              <w:rPr>
                <w:sz w:val="20"/>
                <w:szCs w:val="20"/>
                <w:color w:val="auto"/>
              </w:rPr>
            </w:pPr>
            <w:r>
              <w:rPr>
                <w:rFonts w:ascii="Arial" w:cs="Arial" w:eastAsia="Arial" w:hAnsi="Arial"/>
                <w:sz w:val="18"/>
                <w:szCs w:val="18"/>
                <w:color w:val="auto"/>
              </w:rPr>
              <w:t>1/6/12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01/06/2012</w:t>
      </w:r>
    </w:p>
    <w:p>
      <w:pPr>
        <w:spacing w:after="0" w:line="225"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[SIGNATURE PAGE TO EMPLOYMENT AGREEMENT]</w:t>
      </w:r>
    </w:p>
    <w:p>
      <w:pPr>
        <w:sectPr>
          <w:pgSz w:w="11900" w:h="16838" w:orient="portrait"/>
          <w:cols w:equalWidth="0" w:num="1">
            <w:col w:w="10219"/>
          </w:cols>
          <w:pgMar w:left="240" w:top="270" w:right="1440" w:bottom="144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AND WAIVER OF CLAIMS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 xml:space="preserve">In consideration of the payments and other benefits set forth in the Employment Agreement effective January 1, 2012, to which this form is attached, I, Hamza Suria, hereby furnish </w:t>
      </w:r>
      <w:r>
        <w:rPr>
          <w:rFonts w:ascii="Arial" w:cs="Arial" w:eastAsia="Arial" w:hAnsi="Arial"/>
          <w:sz w:val="16"/>
          <w:szCs w:val="16"/>
          <w:b w:val="1"/>
          <w:bCs w:val="1"/>
          <w:color w:val="auto"/>
        </w:rPr>
        <w:t>ANAPTYSBIO, INC.</w:t>
      </w:r>
      <w:r>
        <w:rPr>
          <w:rFonts w:ascii="Arial" w:cs="Arial" w:eastAsia="Arial" w:hAnsi="Arial"/>
          <w:sz w:val="16"/>
          <w:szCs w:val="16"/>
          <w:color w:val="auto"/>
        </w:rPr>
        <w:t xml:space="preserv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i w:val="1"/>
          <w:iCs w:val="1"/>
          <w:color w:val="auto"/>
        </w:rPr>
        <w:t>”),</w:t>
      </w:r>
      <w:r>
        <w:rPr>
          <w:rFonts w:ascii="Arial" w:cs="Arial" w:eastAsia="Arial" w:hAnsi="Arial"/>
          <w:sz w:val="16"/>
          <w:szCs w:val="16"/>
          <w:color w:val="auto"/>
        </w:rPr>
        <w:t xml:space="preserve"> with the following release and waiver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 and Waiver</w:t>
      </w:r>
      <w:r>
        <w:rPr>
          <w:rFonts w:ascii="Arial" w:cs="Arial" w:eastAsia="Arial" w:hAnsi="Arial"/>
          <w:sz w:val="16"/>
          <w:szCs w:val="16"/>
          <w:i w:val="1"/>
          <w:iCs w:val="1"/>
          <w:color w:val="auto"/>
        </w:rPr>
        <w:t>”).</w:t>
      </w:r>
    </w:p>
    <w:p>
      <w:pPr>
        <w:spacing w:after="0" w:line="124"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Released Parties”</w:t>
      </w:r>
      <w:r>
        <w:rPr>
          <w:rFonts w:ascii="Arial" w:cs="Arial" w:eastAsia="Arial" w:hAnsi="Arial"/>
          <w:sz w:val="17"/>
          <w:szCs w:val="17"/>
          <w:i w:val="1"/>
          <w:iCs w:val="1"/>
          <w:color w:val="auto"/>
        </w:rPr>
        <w:t>)</w:t>
      </w:r>
      <w:r>
        <w:rPr>
          <w:rFonts w:ascii="Arial" w:cs="Arial" w:eastAsia="Arial" w:hAnsi="Arial"/>
          <w:sz w:val="17"/>
          <w:szCs w:val="17"/>
          <w:color w:val="auto"/>
        </w:rPr>
        <w:t xml:space="preserve">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Released Claims</w:t>
      </w:r>
      <w:r>
        <w:rPr>
          <w:rFonts w:ascii="Arial" w:cs="Arial" w:eastAsia="Arial" w:hAnsi="Arial"/>
          <w:sz w:val="17"/>
          <w:szCs w:val="17"/>
          <w:i w:val="1"/>
          <w:iCs w:val="1"/>
          <w:color w:val="auto"/>
        </w:rPr>
        <w:t>”).</w:t>
      </w:r>
      <w:r>
        <w:rPr>
          <w:rFonts w:ascii="Arial" w:cs="Arial" w:eastAsia="Arial" w:hAnsi="Arial"/>
          <w:sz w:val="17"/>
          <w:szCs w:val="17"/>
          <w:color w:val="auto"/>
        </w:rPr>
        <w:t xml:space="preserve">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ADEA</w:t>
      </w:r>
      <w:r>
        <w:rPr>
          <w:rFonts w:ascii="Arial" w:cs="Arial" w:eastAsia="Arial" w:hAnsi="Arial"/>
          <w:sz w:val="17"/>
          <w:szCs w:val="17"/>
          <w:i w:val="1"/>
          <w:iCs w:val="1"/>
          <w:color w:val="auto"/>
        </w:rPr>
        <w:t xml:space="preserve">”), </w:t>
      </w:r>
      <w:r>
        <w:rPr>
          <w:rFonts w:ascii="Arial" w:cs="Arial" w:eastAsia="Arial" w:hAnsi="Arial"/>
          <w:sz w:val="17"/>
          <w:szCs w:val="17"/>
          <w:color w:val="auto"/>
        </w:rPr>
        <w:t>the California Labor Code, and the California Fair Employment and Housing Act (as amended). Notwithstanding the foregoing, the following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included in the Released Claims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Excluded Claims</w:t>
      </w:r>
      <w:r>
        <w:rPr>
          <w:rFonts w:ascii="Arial" w:cs="Arial" w:eastAsia="Arial" w:hAnsi="Arial"/>
          <w:sz w:val="17"/>
          <w:szCs w:val="17"/>
          <w:i w:val="1"/>
          <w:iCs w:val="1"/>
          <w:color w:val="auto"/>
        </w:rPr>
        <w:t>”):</w:t>
      </w:r>
      <w:r>
        <w:rPr>
          <w:rFonts w:ascii="Arial" w:cs="Arial" w:eastAsia="Arial" w:hAnsi="Arial"/>
          <w:sz w:val="17"/>
          <w:szCs w:val="17"/>
          <w:color w:val="auto"/>
        </w:rPr>
        <w:t xml:space="preserve">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89"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w:t>
      </w:r>
      <w:r>
        <w:rPr>
          <w:rFonts w:ascii="Arial" w:cs="Arial" w:eastAsia="Arial" w:hAnsi="Arial"/>
          <w:sz w:val="16"/>
          <w:szCs w:val="16"/>
          <w:color w:val="auto"/>
        </w:rPr>
        <w:t xml:space="preserve"> </w:t>
      </w:r>
      <w:r>
        <w:rPr>
          <w:rFonts w:ascii="Arial" w:cs="Arial" w:eastAsia="Arial" w:hAnsi="Arial"/>
          <w:sz w:val="16"/>
          <w:szCs w:val="16"/>
          <w:b w:val="1"/>
          <w:bCs w:val="1"/>
          <w:color w:val="auto"/>
        </w:rPr>
        <w:t>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20"/>
          </w:cols>
          <w:pgMar w:left="240" w:top="270" w:right="239" w:bottom="1440" w:gutter="0" w:footer="0" w:header="0"/>
        </w:sectPr>
      </w:pPr>
    </w:p>
    <w:bookmarkStart w:id="364" w:name="page365"/>
    <w:bookmarkEnd w:id="364"/>
    <w:p>
      <w:pPr>
        <w:ind w:right="2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240" w:firstLine="913"/>
        <w:spacing w:after="0" w:line="286" w:lineRule="auto"/>
        <w:rPr>
          <w:sz w:val="20"/>
          <w:szCs w:val="20"/>
          <w:color w:val="auto"/>
        </w:rPr>
      </w:pPr>
      <w:r>
        <w:rPr>
          <w:rFonts w:ascii="Arial" w:cs="Arial" w:eastAsia="Arial" w:hAnsi="Arial"/>
          <w:sz w:val="17"/>
          <w:szCs w:val="17"/>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Hamza Suria</w:t>
      </w:r>
    </w:p>
    <w:p>
      <w:pPr>
        <w:sectPr>
          <w:pgSz w:w="11900" w:h="16838" w:orient="portrait"/>
          <w:cols w:equalWidth="0" w:num="1">
            <w:col w:w="11420"/>
          </w:cols>
          <w:pgMar w:left="240" w:top="274" w:right="239" w:bottom="1440" w:gutter="0" w:footer="0" w:header="0"/>
        </w:sectPr>
      </w:pPr>
    </w:p>
    <w:bookmarkStart w:id="365" w:name="page366"/>
    <w:bookmarkEnd w:id="36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NO.1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0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1 TO AMENDED AND RESTATED EMPLOYMENT AGREEMENT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Amendment</w:t>
      </w:r>
      <w:r>
        <w:rPr>
          <w:rFonts w:ascii="Arial" w:cs="Arial" w:eastAsia="Arial" w:hAnsi="Arial"/>
          <w:sz w:val="18"/>
          <w:szCs w:val="18"/>
          <w:i w:val="1"/>
          <w:iCs w:val="1"/>
          <w:color w:val="auto"/>
        </w:rPr>
        <w:t>”)</w:t>
      </w:r>
      <w:r>
        <w:rPr>
          <w:rFonts w:ascii="Arial" w:cs="Arial" w:eastAsia="Arial" w:hAnsi="Arial"/>
          <w:sz w:val="18"/>
          <w:szCs w:val="18"/>
          <w:color w:val="auto"/>
        </w:rPr>
        <w:t xml:space="preserve"> is entered into as of October 9, 2012, by and between </w:t>
      </w:r>
      <w:r>
        <w:rPr>
          <w:rFonts w:ascii="Arial" w:cs="Arial" w:eastAsia="Arial" w:hAnsi="Arial"/>
          <w:sz w:val="18"/>
          <w:szCs w:val="18"/>
          <w:b w:val="1"/>
          <w:bCs w:val="1"/>
          <w:color w:val="auto"/>
        </w:rPr>
        <w:t>ANAPTYSBIO, INC</w:t>
      </w:r>
      <w:r>
        <w:rPr>
          <w:rFonts w:ascii="Arial" w:cs="Arial" w:eastAsia="Arial" w:hAnsi="Arial"/>
          <w:sz w:val="18"/>
          <w:szCs w:val="18"/>
          <w:color w:val="auto"/>
        </w:rPr>
        <w:t xml:space="preser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and Hamza Suria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color w:val="auto"/>
        </w:rPr>
        <w:t xml:space="preserve"> Capitalized terms used but not defined herein shall have the meanings ascribed to them in that certain Amended and Restated Employment Agreement, dated June 27, 2012 and effective as of January 1, 2012, by and between the Company and Executive (the </w:t>
      </w:r>
      <w:r>
        <w:rPr>
          <w:rFonts w:ascii="Arial" w:cs="Arial" w:eastAsia="Arial" w:hAnsi="Arial"/>
          <w:sz w:val="18"/>
          <w:szCs w:val="18"/>
          <w:i w:val="1"/>
          <w:iCs w:val="1"/>
          <w:color w:val="auto"/>
        </w:rPr>
        <w:t>“Agreement”).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10 of the Agreement provides that the Agreement cannot be amended or modified except by a written agreement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desire to amend the Agreement as set forth herein.</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07" w:lineRule="exact"/>
        <w:rPr>
          <w:sz w:val="20"/>
          <w:szCs w:val="20"/>
          <w:color w:val="auto"/>
        </w:rPr>
      </w:pPr>
    </w:p>
    <w:p>
      <w:pPr>
        <w:ind w:right="120" w:firstLine="464"/>
        <w:spacing w:after="0" w:line="282" w:lineRule="auto"/>
        <w:tabs>
          <w:tab w:leader="none" w:pos="636"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OF SECTION 4.5.3. </w:t>
      </w:r>
      <w:r>
        <w:rPr>
          <w:rFonts w:ascii="Arial" w:cs="Arial" w:eastAsia="Arial" w:hAnsi="Arial"/>
          <w:sz w:val="18"/>
          <w:szCs w:val="18"/>
          <w:color w:val="auto"/>
        </w:rPr>
        <w:t>Section 4.5.3 of the Agreement is hereby amended by striking the reference to “six months”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of “Severance Period” and replacing it with “12 months”.</w:t>
      </w:r>
    </w:p>
    <w:p>
      <w:pPr>
        <w:spacing w:after="0" w:line="269" w:lineRule="exact"/>
        <w:rPr>
          <w:rFonts w:ascii="Arial" w:cs="Arial" w:eastAsia="Arial" w:hAnsi="Arial"/>
          <w:sz w:val="18"/>
          <w:szCs w:val="18"/>
          <w:b w:val="1"/>
          <w:bCs w:val="1"/>
          <w:color w:val="auto"/>
        </w:rPr>
      </w:pPr>
    </w:p>
    <w:p>
      <w:pPr>
        <w:ind w:left="640" w:hanging="176"/>
        <w:spacing w:after="0"/>
        <w:tabs>
          <w:tab w:leader="none" w:pos="64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This Amendment shall be construed and interpreted in accordance with the internal laws of the State of California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Except as set forth herein, the Agreement shall remain unchanged and in full force and effect in accordance with its terms.</w:t>
      </w:r>
    </w:p>
    <w:p>
      <w:pPr>
        <w:spacing w:after="0" w:line="22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Amendment may be executed in counterparts, each of which shall be deemed an original, and all of which together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same instrument. Facsimile and electronic signatures shall be as effective as original signatures.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260"/>
          </w:cols>
          <w:pgMar w:left="240" w:top="269" w:right="399" w:bottom="1440" w:gutter="0" w:footer="0" w:header="0"/>
        </w:sectPr>
      </w:pPr>
    </w:p>
    <w:bookmarkStart w:id="366" w:name="page367"/>
    <w:bookmarkEnd w:id="36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as of the date first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Carol B.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Executive Chair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229"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[SIGNATURE PAGE TO AMENDMENT NO. 1 TO AMENDED AND RESTATED EMPLOYMENT AGREEMENT]</w:t>
      </w:r>
    </w:p>
    <w:p>
      <w:pPr>
        <w:sectPr>
          <w:pgSz w:w="11900" w:h="16838" w:orient="portrait"/>
          <w:cols w:equalWidth="0" w:num="1">
            <w:col w:w="10219"/>
          </w:cols>
          <w:pgMar w:left="240" w:top="269" w:right="1440" w:bottom="1440" w:gutter="0" w:footer="0" w:header="0"/>
        </w:sectPr>
      </w:pPr>
    </w:p>
    <w:bookmarkStart w:id="367" w:name="page368"/>
    <w:bookmarkEnd w:id="3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1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Amendment No. 2 to Amended and Restated Employment Agreement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entered into as of September 16</w:t>
      </w:r>
      <w:r>
        <w:rPr>
          <w:rFonts w:ascii="Arial" w:cs="Arial" w:eastAsia="Arial" w:hAnsi="Arial"/>
          <w:sz w:val="14"/>
          <w:szCs w:val="14"/>
          <w:color w:val="auto"/>
        </w:rPr>
        <w:t>th</w:t>
      </w:r>
      <w:r>
        <w:rPr>
          <w:rFonts w:ascii="Arial" w:cs="Arial" w:eastAsia="Arial" w:hAnsi="Arial"/>
          <w:sz w:val="17"/>
          <w:szCs w:val="17"/>
          <w:color w:val="auto"/>
        </w:rPr>
        <w:t>, 2014, by and between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Hamza Suria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amends that certain Amended and Restated Employment Agreement dated as of June 27, 2012 and amended by that certain Amendment No. 1 to Amended and Restated Employment Agreement dated as of October 9, 2012, by and between the Company and the Executive (as amended,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w:t>
      </w:r>
    </w:p>
    <w:p>
      <w:pPr>
        <w:spacing w:after="0" w:line="17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WHEREAS, pursuant to the Employment Agreement, the Executive is entitled to a bonus payment calculated based upon the Executive’s achievement of certain objectives as determined from time-to-time by the Company’s Board of Directors (the “</w:t>
      </w:r>
      <w:r>
        <w:rPr>
          <w:rFonts w:ascii="Arial" w:cs="Arial" w:eastAsia="Arial" w:hAnsi="Arial"/>
          <w:sz w:val="17"/>
          <w:szCs w:val="17"/>
          <w:b w:val="1"/>
          <w:bCs w:val="1"/>
          <w:i w:val="1"/>
          <w:iCs w:val="1"/>
          <w:color w:val="auto"/>
        </w:rPr>
        <w:t>Performance Option</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Company and the Executive hereby wish to amend the Employment Agreement to provide for vesting acceleration of the Performance Option upon an initial public offering; and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Section 10 of the Employment Agreement provides that the Employment Agreement cannot be amended or modified except by a written agreement signed by the Executive and the Company.</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undersigned consent to this Amendment as follows:</w:t>
      </w:r>
    </w:p>
    <w:p>
      <w:pPr>
        <w:spacing w:after="0" w:line="315"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AGREEMENT.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1.1 </w:t>
      </w:r>
      <w:r>
        <w:rPr>
          <w:rFonts w:ascii="Arial" w:cs="Arial" w:eastAsia="Arial" w:hAnsi="Arial"/>
          <w:sz w:val="17"/>
          <w:szCs w:val="17"/>
          <w:u w:val="single" w:color="auto"/>
          <w:color w:val="auto"/>
        </w:rPr>
        <w:t>Amendment of Section 3.3.2</w:t>
      </w:r>
      <w:r>
        <w:rPr>
          <w:rFonts w:ascii="Arial" w:cs="Arial" w:eastAsia="Arial" w:hAnsi="Arial"/>
          <w:sz w:val="17"/>
          <w:szCs w:val="17"/>
          <w:color w:val="auto"/>
        </w:rPr>
        <w:t>. Section 3.3.2 of the Employment Agreement is hereby amended and restated in its entirety to read as follows:</w:t>
      </w:r>
    </w:p>
    <w:p>
      <w:pPr>
        <w:spacing w:after="0" w:line="129" w:lineRule="exact"/>
        <w:rPr>
          <w:sz w:val="20"/>
          <w:szCs w:val="20"/>
          <w:color w:val="auto"/>
        </w:rPr>
      </w:pPr>
    </w:p>
    <w:p>
      <w:pPr>
        <w:ind w:left="460" w:firstLine="87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3.3.2 Performance Option Grant.</w:t>
      </w:r>
      <w:r>
        <w:rPr>
          <w:rFonts w:ascii="Arial" w:cs="Arial" w:eastAsia="Arial" w:hAnsi="Arial"/>
          <w:sz w:val="16"/>
          <w:szCs w:val="16"/>
          <w:color w:val="auto"/>
        </w:rPr>
        <w:t xml:space="preserve"> In addition to the grant set forth in Section 3.3.1 above, as soon as practicable following the Effective Date, Executive shall be granted an option to purchase up to 684,056 shares of the Company’s Common Stock (the “</w:t>
      </w:r>
      <w:r>
        <w:rPr>
          <w:rFonts w:ascii="Arial" w:cs="Arial" w:eastAsia="Arial" w:hAnsi="Arial"/>
          <w:sz w:val="16"/>
          <w:szCs w:val="16"/>
          <w:b w:val="1"/>
          <w:bCs w:val="1"/>
          <w:i w:val="1"/>
          <w:iCs w:val="1"/>
          <w:color w:val="auto"/>
        </w:rPr>
        <w:t>Performance Option</w:t>
      </w:r>
      <w:r>
        <w:rPr>
          <w:rFonts w:ascii="Arial" w:cs="Arial" w:eastAsia="Arial" w:hAnsi="Arial"/>
          <w:sz w:val="16"/>
          <w:szCs w:val="16"/>
          <w:color w:val="auto"/>
        </w:rPr>
        <w:t>”) pursuant to the terms of the Plan, which represents a number of shares of Common Stock equal to approximately 1% of the fully-diluted capitalization of the Company as of the Effective Date. 100% of the shares subject to the Performance Option shall vest upon the closing, during Executive’s employment, of a Change in Control (as defined in the Plan) that is approved by the Board or a Qualified IPO (as defined in the Company’s current Amended and Restated Certificate of Incorporation). The exercise price per share of the Performance Option will be equal to the fair market value of a single share of Common Stock on the date the Performance Option is granted, as determined in good faith by the Board. The Performance Option will be governed by the Plan and shall be granted pursuant to a separate stock option grant notice and stock option agreement.”</w:t>
      </w:r>
    </w:p>
    <w:p>
      <w:pPr>
        <w:spacing w:after="0" w:line="309"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The terms and provisions of the Employment Agreement shall remain in full force and effect except as specifically modified by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On and after the date hereof, each reference in the Employment Agreement to “this Agreement”, “hereof,” “herein,” “hereto,” “herewith,” “hereunder”</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other words of similar import shall, unless otherwise stated, be construed to refer to the Employment Agreement as amended by this Amendment.</w:t>
      </w:r>
    </w:p>
    <w:p>
      <w:pPr>
        <w:spacing w:after="0" w:line="24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This Amendment may be executed in counterparts and delivered by facsimile or any similar electronic transmission device, all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one and the same agreement.</w:t>
      </w:r>
    </w:p>
    <w:p>
      <w:pPr>
        <w:spacing w:after="0" w:line="162"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Amendment and all acts and transactions pursuant hereto and the rights and obligations of the parties to the Employment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hereby, will be governed, construed and interpreted in accordance with the laws of the State of California, without giving effect to principles of conflicts of law.</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This Amendment, together with the Employment Agreement, as amended, and all exhibits hereto and thereto represent the entire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herein.</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369" w:name="page370"/>
    <w:bookmarkEnd w:id="36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Amendment as of the date first written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29210</wp:posOffset>
            </wp:positionV>
            <wp:extent cx="25215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Carol G. Gallagher</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Chairman</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[Signature Page to Amendment No. 2 to Employment Agreement]</w:t>
      </w:r>
    </w:p>
    <w:p>
      <w:pPr>
        <w:sectPr>
          <w:pgSz w:w="11900" w:h="16838" w:orient="portrait"/>
          <w:cols w:equalWidth="0" w:num="1">
            <w:col w:w="9759"/>
          </w:cols>
          <w:pgMar w:left="700" w:top="270" w:right="1440" w:bottom="1440" w:gutter="0" w:footer="0" w:header="0"/>
        </w:sectPr>
      </w:pPr>
    </w:p>
    <w:bookmarkStart w:id="370" w:name="page371"/>
    <w:bookmarkEnd w:id="37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Amendment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Hamza Suria</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[Signature Page to Amendment No. 2 to Employment Agreement]</w:t>
      </w:r>
    </w:p>
    <w:p>
      <w:pPr>
        <w:sectPr>
          <w:pgSz w:w="11900" w:h="16838" w:orient="portrait"/>
          <w:cols w:equalWidth="0" w:num="1">
            <w:col w:w="10219"/>
          </w:cols>
          <w:pgMar w:left="240" w:top="269" w:right="1440"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is made and entered into effective as of January 1, 2012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ANAPTYSBIO, INC.</w:t>
      </w:r>
      <w:r>
        <w:rPr>
          <w:rFonts w:ascii="Arial" w:cs="Arial" w:eastAsia="Arial" w:hAnsi="Arial"/>
          <w:sz w:val="18"/>
          <w:szCs w:val="18"/>
          <w:color w:val="auto"/>
        </w:rPr>
        <w:t xml:space="preser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and David King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Executive are hereinafter collectively referred to as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individually referred to as a</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Party</w:t>
      </w:r>
      <w:r>
        <w:rPr>
          <w:rFonts w:ascii="Arial" w:cs="Arial" w:eastAsia="Arial" w:hAnsi="Arial"/>
          <w:sz w:val="18"/>
          <w:szCs w:val="18"/>
          <w:i w:val="1"/>
          <w:iCs w:val="1"/>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desires to continue to employ Executive and Executive is willing to continue to accept such employment by Company, on the terms and subject to the conditions set forth in this Agreement.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EMPLOYMENT.</w:t>
      </w:r>
    </w:p>
    <w:p>
      <w:pPr>
        <w:spacing w:after="0" w:line="117"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Executive’s position shall be Chief Scientific Officer of the Company,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i w:val="1"/>
          <w:iCs w:val="1"/>
          <w:color w:val="auto"/>
        </w:rPr>
        <w:t>”).</w:t>
      </w:r>
    </w:p>
    <w:p>
      <w:pPr>
        <w:spacing w:after="0" w:line="207" w:lineRule="exact"/>
        <w:rPr>
          <w:sz w:val="20"/>
          <w:szCs w:val="20"/>
          <w:color w:val="auto"/>
        </w:rPr>
      </w:pPr>
    </w:p>
    <w:p>
      <w:pPr>
        <w:ind w:right="740" w:firstLine="913"/>
        <w:spacing w:after="0" w:line="347" w:lineRule="auto"/>
        <w:rPr>
          <w:sz w:val="20"/>
          <w:szCs w:val="20"/>
          <w:color w:val="auto"/>
        </w:rPr>
      </w:pPr>
      <w:r>
        <w:rPr>
          <w:rFonts w:ascii="Arial" w:cs="Arial" w:eastAsia="Arial" w:hAnsi="Arial"/>
          <w:sz w:val="16"/>
          <w:szCs w:val="16"/>
          <w:b w:val="1"/>
          <w:bCs w:val="1"/>
          <w:color w:val="auto"/>
        </w:rPr>
        <w:t xml:space="preserve">1.3 Duties. </w:t>
      </w:r>
      <w:r>
        <w:rPr>
          <w:rFonts w:ascii="Arial" w:cs="Arial" w:eastAsia="Arial" w:hAnsi="Arial"/>
          <w:sz w:val="16"/>
          <w:szCs w:val="16"/>
          <w:color w:val="auto"/>
        </w:rPr>
        <w:t>Executive shall do and perform all services, acts or things necessary or advisable to manage and conduct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that are normally associated with the position of Chief Scientific Officer. Executive shall report to the Chief Executive Officer.</w:t>
      </w:r>
    </w:p>
    <w:p>
      <w:pPr>
        <w:spacing w:after="0" w:line="116"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1.4 Policies and Practices. </w:t>
      </w:r>
      <w:r>
        <w:rPr>
          <w:rFonts w:ascii="Arial" w:cs="Arial" w:eastAsia="Arial" w:hAnsi="Arial"/>
          <w:sz w:val="18"/>
          <w:szCs w:val="18"/>
          <w:color w:val="auto"/>
        </w:rPr>
        <w:t>The employment relationship between the Parties shall be governed by this Agreement and by the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practices established by the Company and/or the Company’s Board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or any designated committee thereof. In the event that the terms of this Agreement differ from or are in conflict with the Company’s policies or practices or the Company’s Employee Handbook, this Agreement shall control.</w:t>
      </w:r>
    </w:p>
    <w:p>
      <w:pPr>
        <w:spacing w:after="0" w:line="180"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1.5 Location. </w:t>
      </w:r>
      <w:r>
        <w:rPr>
          <w:rFonts w:ascii="Arial" w:cs="Arial" w:eastAsia="Arial" w:hAnsi="Arial"/>
          <w:sz w:val="18"/>
          <w:szCs w:val="18"/>
          <w:color w:val="auto"/>
        </w:rPr>
        <w:t>Unless the Parties otherwise agree in writing, during the Term Executive shall perform the services Executive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 pursuant to this Agreement at the Company’s offices in San Diego, California, </w:t>
      </w:r>
      <w:r>
        <w:rPr>
          <w:rFonts w:ascii="Arial" w:cs="Arial" w:eastAsia="Arial" w:hAnsi="Arial"/>
          <w:sz w:val="18"/>
          <w:szCs w:val="18"/>
          <w:b w:val="1"/>
          <w:bCs w:val="1"/>
          <w:i w:val="1"/>
          <w:iCs w:val="1"/>
          <w:color w:val="auto"/>
        </w:rPr>
        <w:t>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Company may from time to time require Executive to travel temporarily to other locations in connection with the Company’s business.</w:t>
      </w:r>
    </w:p>
    <w:p>
      <w:pPr>
        <w:sectPr>
          <w:pgSz w:w="11900" w:h="16838" w:orient="portrait"/>
          <w:cols w:equalWidth="0" w:num="1">
            <w:col w:w="11420"/>
          </w:cols>
          <w:pgMar w:left="240" w:top="121" w:right="239" w:bottom="1440" w:gutter="0" w:footer="0" w:header="0"/>
        </w:sectPr>
      </w:pPr>
    </w:p>
    <w:bookmarkStart w:id="372" w:name="page373"/>
    <w:bookmarkEnd w:id="37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LOYALTY; NONCOMPETITION; NONSOLICITATION.</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Executive’s employment with the Company, Executive shall devote Executive’s full business energies, interest, abilities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time to the proper and efficient performance of Executive’s duties under this Agreement.</w:t>
      </w:r>
    </w:p>
    <w:p>
      <w:pPr>
        <w:spacing w:after="0" w:line="16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2.2 Agreement not to Participate in Company’s Competitors. </w:t>
      </w:r>
      <w:r>
        <w:rPr>
          <w:rFonts w:ascii="Arial" w:cs="Arial" w:eastAsia="Arial" w:hAnsi="Arial"/>
          <w:sz w:val="16"/>
          <w:szCs w:val="16"/>
          <w:color w:val="auto"/>
        </w:rPr>
        <w:t>During Executive’s employment with the Company, Executive agrees not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i w:val="1"/>
          <w:iCs w:val="1"/>
          <w:color w:val="auto"/>
        </w:rPr>
        <w:t>,”</w:t>
      </w:r>
      <w:r>
        <w:rPr>
          <w:rFonts w:ascii="Arial" w:cs="Arial" w:eastAsia="Arial" w:hAnsi="Arial"/>
          <w:sz w:val="16"/>
          <w:szCs w:val="16"/>
          <w:color w:val="auto"/>
        </w:rPr>
        <w:t xml:space="preserve"> means, with respect to any specific entity, any other entity that, directly or indirectly, through one or more intermediaries, controls, is controlled by or is under common control with such specified entity.</w:t>
      </w:r>
    </w:p>
    <w:p>
      <w:pPr>
        <w:spacing w:after="0" w:line="160"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b w:val="1"/>
          <w:bCs w:val="1"/>
          <w:color w:val="auto"/>
        </w:rPr>
        <w:t xml:space="preserve">2.3 Covenant not to Compete. </w:t>
      </w:r>
      <w:r>
        <w:rPr>
          <w:rFonts w:ascii="Arial" w:cs="Arial" w:eastAsia="Arial" w:hAnsi="Arial"/>
          <w:sz w:val="16"/>
          <w:szCs w:val="16"/>
          <w:color w:val="auto"/>
        </w:rPr>
        <w:t>During Executive’s employment with the Company, and during any post-termination period in which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is receiving severance benefits from the Company, Executive shall not engage in competition with the Company and/or any of its Affiliates, either directly or indirectly, in any manner or capacity, as adviser, principal, agent, affiliate, promoter, partner, officer, director, employee, stockholder, owner, co-owner, consultant, or member of any association or otherwise, in any phase of the business of developing, manufacturing and marketing of products or services that are in the same field of use or which otherwise compete with the products or services of the Company, except with the prior written consent of the Board.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COMPENSATION OF EXECUTIVE.</w:t>
      </w:r>
    </w:p>
    <w:p>
      <w:pPr>
        <w:spacing w:after="0" w:line="117"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Executive a base salary at the annualized rate of $275,000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less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required withholdings, payable in regular periodic installments in accordance with the Company’s normal payroll practices. The Base Salary shall be prorated for any partial year of employment on the basis of a 365-day fiscal year.</w:t>
      </w:r>
    </w:p>
    <w:p>
      <w:pPr>
        <w:spacing w:after="0" w:line="176"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b w:val="1"/>
          <w:bCs w:val="1"/>
          <w:color w:val="auto"/>
        </w:rPr>
        <w:t xml:space="preserve">3.2 Discretionary Bonus. </w:t>
      </w:r>
      <w:r>
        <w:rPr>
          <w:rFonts w:ascii="Arial" w:cs="Arial" w:eastAsia="Arial" w:hAnsi="Arial"/>
          <w:sz w:val="18"/>
          <w:szCs w:val="18"/>
          <w:color w:val="auto"/>
        </w:rPr>
        <w:t>At the sole discretion of the Board, following each calendar year of employment Executive shall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discretionary cash bonus of up to 20% of Executive’s then-current base salary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Executive’s achievement relative to certain performance goals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w:t>
      </w:r>
      <w:r>
        <w:rPr>
          <w:rFonts w:ascii="Arial" w:cs="Arial" w:eastAsia="Arial" w:hAnsi="Arial"/>
          <w:sz w:val="18"/>
          <w:szCs w:val="18"/>
          <w:color w:val="auto"/>
        </w:rPr>
        <w:t xml:space="preserve"> to be established by the Board. The determination of whether Executive has met the Performance Goals for any given year, and if so, the amount of any Bonus that will be paid for such year (if any), shall be determined by the Board in its sole and absolute discretion. In order to be eligible to earn or</w:t>
      </w:r>
    </w:p>
    <w:p>
      <w:pPr>
        <w:sectPr>
          <w:pgSz w:w="11900" w:h="16838" w:orient="portrait"/>
          <w:cols w:equalWidth="0" w:num="1">
            <w:col w:w="11420"/>
          </w:cols>
          <w:pgMar w:left="240" w:top="270" w:right="2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 any Bonus; Executive must remain employed by the Company through and including the date of payment of such Bonus.</w:t>
      </w:r>
    </w:p>
    <w:p>
      <w:pPr>
        <w:spacing w:after="0" w:line="221" w:lineRule="exact"/>
        <w:rPr>
          <w:sz w:val="20"/>
          <w:szCs w:val="20"/>
          <w:color w:val="auto"/>
        </w:rPr>
      </w:pPr>
    </w:p>
    <w:p>
      <w:pPr>
        <w:jc w:val="both"/>
        <w:ind w:right="100" w:firstLine="913"/>
        <w:spacing w:after="0" w:line="289" w:lineRule="auto"/>
        <w:rPr>
          <w:sz w:val="20"/>
          <w:szCs w:val="20"/>
          <w:color w:val="auto"/>
        </w:rPr>
      </w:pPr>
      <w:r>
        <w:rPr>
          <w:rFonts w:ascii="Arial" w:cs="Arial" w:eastAsia="Arial" w:hAnsi="Arial"/>
          <w:sz w:val="17"/>
          <w:szCs w:val="17"/>
          <w:b w:val="1"/>
          <w:bCs w:val="1"/>
          <w:color w:val="auto"/>
        </w:rPr>
        <w:t xml:space="preserve">3.3 Expense Reimbursements. </w:t>
      </w:r>
      <w:r>
        <w:rPr>
          <w:rFonts w:ascii="Arial" w:cs="Arial" w:eastAsia="Arial" w:hAnsi="Arial"/>
          <w:sz w:val="17"/>
          <w:szCs w:val="17"/>
          <w:color w:val="auto"/>
        </w:rPr>
        <w:t>The Company will reimburse Executive for all reasonable business expenses Executive incurs in conducting his</w:t>
      </w:r>
      <w:r>
        <w:rPr>
          <w:rFonts w:ascii="Arial" w:cs="Arial" w:eastAsia="Arial" w:hAnsi="Arial"/>
          <w:sz w:val="17"/>
          <w:szCs w:val="17"/>
          <w:b w:val="1"/>
          <w:bCs w:val="1"/>
          <w:color w:val="auto"/>
        </w:rPr>
        <w:t xml:space="preserve"> </w:t>
      </w:r>
      <w:r>
        <w:rPr>
          <w:rFonts w:ascii="Arial" w:cs="Arial" w:eastAsia="Arial" w:hAnsi="Arial"/>
          <w:sz w:val="17"/>
          <w:szCs w:val="17"/>
          <w:color w:val="auto"/>
        </w:rPr>
        <w:t>duties hereunder, pursuant to the Company’s usual expense reimbursement policies; provided that Executive supplies the appropriate substantiation for such expenses no later than the end of the calendar month following the month in which such expenses were incurred by Executive.</w:t>
      </w:r>
    </w:p>
    <w:p>
      <w:pPr>
        <w:spacing w:after="0" w:line="158"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3.4 Changes to Compensation. </w:t>
      </w:r>
      <w:r>
        <w:rPr>
          <w:rFonts w:ascii="Arial" w:cs="Arial" w:eastAsia="Arial" w:hAnsi="Arial"/>
          <w:sz w:val="18"/>
          <w:szCs w:val="18"/>
          <w:color w:val="auto"/>
        </w:rPr>
        <w:t>Executive’s compensation will be reviewed annually and may be changed from time to time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w:t>
      </w:r>
    </w:p>
    <w:p>
      <w:pPr>
        <w:spacing w:after="0" w:line="16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3.5 Employment Taxes. </w:t>
      </w:r>
      <w:r>
        <w:rPr>
          <w:rFonts w:ascii="Arial" w:cs="Arial" w:eastAsia="Arial" w:hAnsi="Arial"/>
          <w:sz w:val="18"/>
          <w:szCs w:val="18"/>
          <w:color w:val="auto"/>
        </w:rPr>
        <w:t>All of Executive’s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162"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color w:val="auto"/>
        </w:rPr>
        <w:t xml:space="preserve">3.6 Benefits. </w:t>
      </w:r>
      <w:r>
        <w:rPr>
          <w:rFonts w:ascii="Arial" w:cs="Arial" w:eastAsia="Arial" w:hAnsi="Arial"/>
          <w:sz w:val="16"/>
          <w:szCs w:val="16"/>
          <w:color w:val="auto"/>
        </w:rPr>
        <w:t>Executive shall, in accordance with Company policy and the terms of the applicable plan documents,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benefit plan or arrangement that may be in effect from time to time and made available to the Company’s senior management employees.</w:t>
      </w:r>
    </w:p>
    <w:p>
      <w:pPr>
        <w:spacing w:after="0" w:line="116"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3.7 Holidays and Vacation. </w:t>
      </w:r>
      <w:r>
        <w:rPr>
          <w:rFonts w:ascii="Arial" w:cs="Arial" w:eastAsia="Arial" w:hAnsi="Arial"/>
          <w:sz w:val="18"/>
          <w:szCs w:val="18"/>
          <w:color w:val="auto"/>
        </w:rPr>
        <w:t>Executive shall be eligible for paid holiday and vacation time in accordance with Company policy as in effect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TERMINATION.</w:t>
      </w:r>
    </w:p>
    <w:p>
      <w:pPr>
        <w:spacing w:after="0" w:line="117"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4.1 Termination by the Company. </w:t>
      </w:r>
      <w:r>
        <w:rPr>
          <w:rFonts w:ascii="Arial" w:cs="Arial" w:eastAsia="Arial" w:hAnsi="Arial"/>
          <w:sz w:val="18"/>
          <w:szCs w:val="18"/>
          <w:color w:val="auto"/>
        </w:rPr>
        <w:t>Executive’s employment with the Company is at will and may be terminated by the Company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any reason, or for no reason, including, but not limited to, under the following conditions:</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4.1.1 Termination by the Company for Cause. </w:t>
      </w:r>
      <w:r>
        <w:rPr>
          <w:rFonts w:ascii="Arial" w:cs="Arial" w:eastAsia="Arial" w:hAnsi="Arial"/>
          <w:sz w:val="17"/>
          <w:szCs w:val="17"/>
          <w:color w:val="auto"/>
        </w:rPr>
        <w:t>The Company may terminate Executive’s employment under this Agreement for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(as defined below) by delivery of written notice to Executive. Any notice of termination given pursuant to this section shall effect termination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notice, or as of such other date specified in the notice.</w:t>
      </w:r>
    </w:p>
    <w:p>
      <w:pPr>
        <w:spacing w:after="0" w:line="99" w:lineRule="exact"/>
        <w:rPr>
          <w:sz w:val="20"/>
          <w:szCs w:val="20"/>
          <w:color w:val="auto"/>
        </w:rPr>
      </w:pPr>
    </w:p>
    <w:p>
      <w:pPr>
        <w:jc w:val="both"/>
        <w:ind w:right="460" w:firstLine="1484"/>
        <w:spacing w:after="0" w:line="266" w:lineRule="auto"/>
        <w:rPr>
          <w:sz w:val="20"/>
          <w:szCs w:val="20"/>
          <w:color w:val="auto"/>
        </w:rPr>
      </w:pPr>
      <w:r>
        <w:rPr>
          <w:rFonts w:ascii="Arial" w:cs="Arial" w:eastAsia="Arial" w:hAnsi="Arial"/>
          <w:sz w:val="18"/>
          <w:szCs w:val="18"/>
          <w:b w:val="1"/>
          <w:bCs w:val="1"/>
          <w:color w:val="auto"/>
        </w:rPr>
        <w:t xml:space="preserve">4.1.2 Termination by the Company without Cause. </w:t>
      </w:r>
      <w:r>
        <w:rPr>
          <w:rFonts w:ascii="Arial" w:cs="Arial" w:eastAsia="Arial" w:hAnsi="Arial"/>
          <w:sz w:val="18"/>
          <w:szCs w:val="18"/>
          <w:color w:val="auto"/>
        </w:rPr>
        <w:t>The Company may terminate Executive’s employment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Cause at any time and for any reason, or for no reason. Such termination shall be effective on the date Executive is so informed, or as otherwise specified by the Company.</w:t>
      </w:r>
    </w:p>
    <w:p>
      <w:pPr>
        <w:spacing w:after="0" w:line="176"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4.2 Termination by Executive. </w:t>
      </w:r>
      <w:r>
        <w:rPr>
          <w:rFonts w:ascii="Arial" w:cs="Arial" w:eastAsia="Arial" w:hAnsi="Arial"/>
          <w:sz w:val="18"/>
          <w:szCs w:val="18"/>
          <w:color w:val="auto"/>
        </w:rPr>
        <w:t>Executive may terminate his employment with the Company at any time and for any reason, or for no reason,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thirty (30) days written notice to the Company.</w:t>
      </w:r>
    </w:p>
    <w:p>
      <w:pPr>
        <w:spacing w:after="0" w:line="162"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4.3 Termination for Death or Disability. </w:t>
      </w:r>
      <w:r>
        <w:rPr>
          <w:rFonts w:ascii="Arial" w:cs="Arial" w:eastAsia="Arial" w:hAnsi="Arial"/>
          <w:sz w:val="18"/>
          <w:szCs w:val="18"/>
          <w:color w:val="auto"/>
        </w:rPr>
        <w:t>Executive’s employment with the Company shall automatically terminate effective upon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death or Disability (as defined in the Plan).</w:t>
      </w:r>
    </w:p>
    <w:p>
      <w:pPr>
        <w:sectPr>
          <w:pgSz w:w="11900" w:h="16838" w:orient="portrait"/>
          <w:cols w:equalWidth="0" w:num="1">
            <w:col w:w="11420"/>
          </w:cols>
          <w:pgMar w:left="240" w:top="274" w:right="239" w:bottom="1440" w:gutter="0" w:footer="0" w:header="0"/>
        </w:sectPr>
      </w:pPr>
    </w:p>
    <w:bookmarkStart w:id="374" w:name="page375"/>
    <w:bookmarkEnd w:id="374"/>
    <w:p>
      <w:pPr>
        <w:ind w:right="420" w:firstLine="913"/>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Termination by Mutual Agreement of the Parties. </w:t>
      </w:r>
      <w:r>
        <w:rPr>
          <w:rFonts w:ascii="Arial" w:cs="Arial" w:eastAsia="Arial" w:hAnsi="Arial"/>
          <w:sz w:val="16"/>
          <w:szCs w:val="16"/>
          <w:color w:val="auto"/>
        </w:rPr>
        <w:t>Executive’s employment with the Company may be terminated at any time upon a</w:t>
      </w:r>
      <w:r>
        <w:rPr>
          <w:rFonts w:ascii="Arial" w:cs="Arial" w:eastAsia="Arial" w:hAnsi="Arial"/>
          <w:sz w:val="16"/>
          <w:szCs w:val="16"/>
          <w:b w:val="1"/>
          <w:bCs w:val="1"/>
          <w:color w:val="auto"/>
        </w:rPr>
        <w:t xml:space="preserve"> </w:t>
      </w:r>
      <w:r>
        <w:rPr>
          <w:rFonts w:ascii="Arial" w:cs="Arial" w:eastAsia="Arial" w:hAnsi="Arial"/>
          <w:sz w:val="16"/>
          <w:szCs w:val="16"/>
          <w:color w:val="auto"/>
        </w:rPr>
        <w:t>mutual agreement in writing of the Parties. Any such termination of employment shall have the consequences specified in such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225" w:lineRule="exact"/>
        <w:rPr>
          <w:sz w:val="20"/>
          <w:szCs w:val="20"/>
          <w:color w:val="auto"/>
        </w:rPr>
      </w:pPr>
    </w:p>
    <w:p>
      <w:pPr>
        <w:ind w:firstLine="1484"/>
        <w:spacing w:after="0" w:line="261" w:lineRule="auto"/>
        <w:rPr>
          <w:sz w:val="20"/>
          <w:szCs w:val="20"/>
          <w:color w:val="auto"/>
        </w:rPr>
      </w:pPr>
      <w:r>
        <w:rPr>
          <w:rFonts w:ascii="Arial" w:cs="Arial" w:eastAsia="Arial" w:hAnsi="Arial"/>
          <w:sz w:val="18"/>
          <w:szCs w:val="18"/>
          <w:b w:val="1"/>
          <w:bCs w:val="1"/>
          <w:color w:val="auto"/>
        </w:rPr>
        <w:t xml:space="preserve">4.5.1 Death or Disability. </w:t>
      </w:r>
      <w:r>
        <w:rPr>
          <w:rFonts w:ascii="Arial" w:cs="Arial" w:eastAsia="Arial" w:hAnsi="Arial"/>
          <w:sz w:val="18"/>
          <w:szCs w:val="18"/>
          <w:color w:val="auto"/>
        </w:rPr>
        <w:t>If Executive’s employment is terminated by death or Disability, the Company shall pay to Executive,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heirs, Executive’s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w:t>
      </w:r>
    </w:p>
    <w:p>
      <w:pPr>
        <w:spacing w:after="0" w:line="180" w:lineRule="exact"/>
        <w:rPr>
          <w:sz w:val="20"/>
          <w:szCs w:val="20"/>
          <w:color w:val="auto"/>
        </w:rPr>
      </w:pPr>
    </w:p>
    <w:p>
      <w:pPr>
        <w:ind w:right="120" w:firstLine="1484"/>
        <w:spacing w:after="0" w:line="261" w:lineRule="auto"/>
        <w:rPr>
          <w:sz w:val="20"/>
          <w:szCs w:val="20"/>
          <w:color w:val="auto"/>
        </w:rPr>
      </w:pPr>
      <w:r>
        <w:rPr>
          <w:rFonts w:ascii="Arial" w:cs="Arial" w:eastAsia="Arial" w:hAnsi="Arial"/>
          <w:sz w:val="18"/>
          <w:szCs w:val="18"/>
          <w:b w:val="1"/>
          <w:bCs w:val="1"/>
          <w:color w:val="auto"/>
        </w:rPr>
        <w:t>4.5.2 Termination For Cause</w:t>
      </w:r>
      <w:r>
        <w:rPr>
          <w:rFonts w:ascii="Arial" w:cs="Arial" w:eastAsia="Arial" w:hAnsi="Arial"/>
          <w:sz w:val="18"/>
          <w:szCs w:val="18"/>
          <w:color w:val="auto"/>
        </w:rPr>
        <w:t>. If the Company terminates Executive’s employment for Cause, then the Company shall pay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w:t>
      </w:r>
    </w:p>
    <w:p>
      <w:pPr>
        <w:spacing w:after="0" w:line="180" w:lineRule="exact"/>
        <w:rPr>
          <w:sz w:val="20"/>
          <w:szCs w:val="20"/>
          <w:color w:val="auto"/>
        </w:rPr>
      </w:pPr>
    </w:p>
    <w:p>
      <w:pPr>
        <w:ind w:right="40" w:firstLine="1484"/>
        <w:spacing w:after="0" w:line="268" w:lineRule="auto"/>
        <w:rPr>
          <w:sz w:val="20"/>
          <w:szCs w:val="20"/>
          <w:color w:val="auto"/>
        </w:rPr>
      </w:pPr>
      <w:r>
        <w:rPr>
          <w:rFonts w:ascii="Arial" w:cs="Arial" w:eastAsia="Arial" w:hAnsi="Arial"/>
          <w:sz w:val="17"/>
          <w:szCs w:val="17"/>
          <w:b w:val="1"/>
          <w:bCs w:val="1"/>
          <w:color w:val="auto"/>
        </w:rPr>
        <w:t xml:space="preserve">4.5.3 Termination by Company Without Cause or by Executive for Good Reason Not In Connection with a Change in Control. </w:t>
      </w:r>
      <w:r>
        <w:rPr>
          <w:rFonts w:ascii="Arial" w:cs="Arial" w:eastAsia="Arial" w:hAnsi="Arial"/>
          <w:sz w:val="17"/>
          <w:szCs w:val="17"/>
          <w:color w:val="auto"/>
        </w:rPr>
        <w:t>If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terminates Executive’s employment without Cause or if Executive resigns his employment for Good Reason, in either case at any time other than upon the occurrence of, or within the 13 months immediately following, the effective date of a Change in Control, the Company shall pay Executive’s base salary and accrued and unused vacation benefits earned through the date of termination, at the rate in effect at the time of termination, less standard deductions and withholdings. In addition, if Executive furnishes to the Company an executed waiver and release of claims in the form attached hereto as </w:t>
      </w:r>
      <w:r>
        <w:rPr>
          <w:rFonts w:ascii="Arial" w:cs="Arial" w:eastAsia="Arial" w:hAnsi="Arial"/>
          <w:sz w:val="17"/>
          <w:szCs w:val="17"/>
          <w:b w:val="1"/>
          <w:bCs w:val="1"/>
          <w:color w:val="auto"/>
        </w:rPr>
        <w:t xml:space="preserve">Exhibit A </w:t>
      </w:r>
      <w:r>
        <w:rPr>
          <w:rFonts w:ascii="Arial" w:cs="Arial" w:eastAsia="Arial" w:hAnsi="Arial"/>
          <w:sz w:val="17"/>
          <w:szCs w:val="17"/>
          <w:color w:val="auto"/>
        </w:rPr>
        <w:t>(or in such other form as may be specified by the Company)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Release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time period specified therein, but in no event later than 45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following Executive’s termination, and if Executive allows such Release to become effective in accordance with its terms, then (i) Executive shall be entitled to severance in the form of continuation of his base salary, at the rate in effect at the time of termination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Payments</w:t>
      </w:r>
      <w:r>
        <w:rPr>
          <w:rFonts w:ascii="Arial" w:cs="Arial" w:eastAsia="Arial" w:hAnsi="Arial"/>
          <w:sz w:val="17"/>
          <w:szCs w:val="17"/>
          <w:i w:val="1"/>
          <w:iCs w:val="1"/>
          <w:color w:val="auto"/>
        </w:rPr>
        <w:t>”),</w:t>
      </w:r>
      <w:r>
        <w:rPr>
          <w:rFonts w:ascii="Arial" w:cs="Arial" w:eastAsia="Arial" w:hAnsi="Arial"/>
          <w:sz w:val="17"/>
          <w:szCs w:val="17"/>
          <w:color w:val="auto"/>
        </w:rPr>
        <w:t xml:space="preserve"> for a period of six months following the termination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Period</w:t>
      </w:r>
      <w:r>
        <w:rPr>
          <w:rFonts w:ascii="Arial" w:cs="Arial" w:eastAsia="Arial" w:hAnsi="Arial"/>
          <w:sz w:val="17"/>
          <w:szCs w:val="17"/>
          <w:i w:val="1"/>
          <w:iCs w:val="1"/>
          <w:color w:val="auto"/>
        </w:rPr>
        <w:t>”),</w:t>
      </w:r>
      <w:r>
        <w:rPr>
          <w:rFonts w:ascii="Arial" w:cs="Arial" w:eastAsia="Arial" w:hAnsi="Arial"/>
          <w:sz w:val="17"/>
          <w:szCs w:val="17"/>
          <w:color w:val="auto"/>
        </w:rPr>
        <w:t xml:space="preserve"> and (ii) pay directly to the insurance provider the premium for COBRA continuation coverage for Executive and Executive’s family during the Severance Period or until he obtains new employment, whichever comes first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Coverage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Severance Payments will be subject to standard payroll deductions and withholdings and will be made on the Company’s regular payroll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cycle, provided, however, that any Severance Payments otherwise scheduled to be made prior to the effective date of the Release shall accrue and be paid in the first payroll period that follows such effective date. The Company shall thereafter have no further obligations to Executive under this Agreement, except as otherwise provided by law.</w:t>
      </w:r>
    </w:p>
    <w:p>
      <w:pPr>
        <w:spacing w:after="0" w:line="185" w:lineRule="exact"/>
        <w:rPr>
          <w:sz w:val="20"/>
          <w:szCs w:val="20"/>
          <w:color w:val="auto"/>
        </w:rPr>
      </w:pPr>
    </w:p>
    <w:p>
      <w:pPr>
        <w:jc w:val="both"/>
        <w:ind w:right="40" w:firstLine="1484"/>
        <w:spacing w:after="0" w:line="266" w:lineRule="auto"/>
        <w:rPr>
          <w:sz w:val="20"/>
          <w:szCs w:val="20"/>
          <w:color w:val="auto"/>
        </w:rPr>
      </w:pPr>
      <w:r>
        <w:rPr>
          <w:rFonts w:ascii="Arial" w:cs="Arial" w:eastAsia="Arial" w:hAnsi="Arial"/>
          <w:sz w:val="18"/>
          <w:szCs w:val="18"/>
          <w:b w:val="1"/>
          <w:bCs w:val="1"/>
          <w:color w:val="auto"/>
        </w:rPr>
        <w:t xml:space="preserve">4.5.4 Termination by Company Without Cause or by Executive for Good Reason In Connection with a Change in Control. </w:t>
      </w:r>
      <w:r>
        <w:rPr>
          <w:rFonts w:ascii="Arial" w:cs="Arial" w:eastAsia="Arial" w:hAnsi="Arial"/>
          <w:sz w:val="18"/>
          <w:szCs w:val="18"/>
          <w:color w:val="auto"/>
        </w:rPr>
        <w:t>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terminates Executive’s employment without Cause or if Executive resigns his employment for Good Reason, in either case upon the occurrence of, or within the 13 months immediately following,</w:t>
      </w:r>
    </w:p>
    <w:p>
      <w:pPr>
        <w:sectPr>
          <w:pgSz w:w="11900" w:h="16838" w:orient="portrait"/>
          <w:cols w:equalWidth="0" w:num="1">
            <w:col w:w="11380"/>
          </w:cols>
          <w:pgMar w:left="240" w:top="270" w:right="279" w:bottom="1440" w:gutter="0" w:footer="0" w:header="0"/>
        </w:sectPr>
      </w:pPr>
    </w:p>
    <w:bookmarkStart w:id="375" w:name="page376"/>
    <w:bookmarkEnd w:id="37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effective date of a Change in Control, the Company shall pay Executive’s base salary and accrued and unused vacation benefits earned through the date of termination, at the rate in effect at the time of termination, less standard deductions and withholdings. In addition, if Executive furnishes to the Company an executed Release within the time period specified therein, but in no event later than 45 days following Executive’s termination, and if Executive allows such Release to become effective in accordance with its terms, then Executive shall be entitled to: (1) the Severance Payments and COBRA coverage described in Section 4.5.3 above; and (2) accelerated vesting of any unvested shares subject to the Base Option such that Executive shall become vested in 100% of the shares subject to such Base Option on the effective date of the Release. The Company shall thereafter have no further obligations to Executive under this Agreement, except as otherwise provided by law.</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4.6 Definitions. </w:t>
      </w:r>
      <w:r>
        <w:rPr>
          <w:rFonts w:ascii="Arial" w:cs="Arial" w:eastAsia="Arial" w:hAnsi="Arial"/>
          <w:sz w:val="18"/>
          <w:szCs w:val="18"/>
          <w:color w:val="auto"/>
        </w:rPr>
        <w:t>For purposes of this Agreement, the following terms shall have the following meanings:</w:t>
      </w:r>
    </w:p>
    <w:p>
      <w:pPr>
        <w:spacing w:after="0" w:line="117"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b w:val="1"/>
          <w:bCs w:val="1"/>
          <w:color w:val="auto"/>
        </w:rPr>
        <w:t xml:space="preserve">4.6.1 Cause.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one or more of the following: (i) Executive’s commission of any crime involving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action or conduct described in clauses (iii) and (iv) above will constitute “Cause” only if such action or conduct continues after the Company has provided Executive with written notice thereof and thirty (30) days to cure the same. An occurrence of “Cause” as set forth in the preceding sentence shall be based upon a good faith determination by the Board. Executive’s Disability shall not constitute Cause as set forth herein. The determination that a termination is for Cause shall be by the Board in its sole and exclusive judgment and discretion.</w:t>
      </w:r>
    </w:p>
    <w:p>
      <w:pPr>
        <w:spacing w:after="0" w:line="52" w:lineRule="exact"/>
        <w:rPr>
          <w:sz w:val="20"/>
          <w:szCs w:val="20"/>
          <w:color w:val="auto"/>
        </w:rPr>
      </w:pPr>
    </w:p>
    <w:p>
      <w:pPr>
        <w:ind w:right="40" w:firstLine="1484"/>
        <w:spacing w:after="0" w:line="271" w:lineRule="auto"/>
        <w:rPr>
          <w:sz w:val="20"/>
          <w:szCs w:val="20"/>
          <w:color w:val="auto"/>
        </w:rPr>
      </w:pPr>
      <w:r>
        <w:rPr>
          <w:rFonts w:ascii="Arial" w:cs="Arial" w:eastAsia="Arial" w:hAnsi="Arial"/>
          <w:sz w:val="17"/>
          <w:szCs w:val="17"/>
          <w:b w:val="1"/>
          <w:bCs w:val="1"/>
          <w:color w:val="auto"/>
        </w:rPr>
        <w:t xml:space="preserve">4.6.2 </w:t>
      </w:r>
      <w:r>
        <w:rPr>
          <w:rFonts w:ascii="Arial" w:cs="Arial" w:eastAsia="Arial" w:hAnsi="Arial"/>
          <w:sz w:val="17"/>
          <w:szCs w:val="17"/>
          <w:i w:val="1"/>
          <w:iCs w:val="1"/>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any of the following actions: (i) the assignment to Executive of any duties or responsibilities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results in a material diminution in Executive’s function as in effect immediately prior to the effective date of the Change in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change in Executive’s title or reporting relationships shall not provide the basis for a voluntary termination with Good Reason; (ii) a reduction by the Company in Executive’s annual base salary as in effect on the effective date of the Change in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w:t>
      </w:r>
    </w:p>
    <w:p>
      <w:pPr>
        <w:sectPr>
          <w:pgSz w:w="11900" w:h="16838" w:orient="portrait"/>
          <w:cols w:equalWidth="0" w:num="1">
            <w:col w:w="11400"/>
          </w:cols>
          <w:pgMar w:left="240" w:top="273" w:right="259" w:bottom="1440" w:gutter="0" w:footer="0" w:header="0"/>
        </w:sectPr>
      </w:pPr>
    </w:p>
    <w:bookmarkStart w:id="376" w:name="page377"/>
    <w:bookmarkEnd w:id="376"/>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Survival of Certain Sections. </w:t>
      </w:r>
      <w:r>
        <w:rPr>
          <w:rFonts w:ascii="Arial" w:cs="Arial" w:eastAsia="Arial" w:hAnsi="Arial"/>
          <w:sz w:val="17"/>
          <w:szCs w:val="17"/>
          <w:color w:val="auto"/>
        </w:rPr>
        <w:t>Sections 2, 3.4 and 4 through 18 of this Agreement will survive the termination of this Agreement.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 Parachute Payment. </w:t>
      </w:r>
      <w:r>
        <w:rPr>
          <w:rFonts w:ascii="Arial" w:cs="Arial" w:eastAsia="Arial" w:hAnsi="Arial"/>
          <w:sz w:val="17"/>
          <w:szCs w:val="17"/>
          <w:color w:val="auto"/>
        </w:rPr>
        <w:t>If any payment or benefit Executive would receive pursuant to this Agreement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Payment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280G of the Internal Revenue Code of 1986, as amended (the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to the excise tax imposed by Section 4999 of the Code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Excise Tax</w:t>
      </w:r>
      <w:r>
        <w:rPr>
          <w:rFonts w:ascii="Arial" w:cs="Arial" w:eastAsia="Arial" w:hAnsi="Arial"/>
          <w:sz w:val="16"/>
          <w:szCs w:val="16"/>
          <w:i w:val="1"/>
          <w:iCs w:val="1"/>
          <w:color w:val="auto"/>
        </w:rPr>
        <w:t>”),</w:t>
      </w:r>
      <w:r>
        <w:rPr>
          <w:rFonts w:ascii="Arial" w:cs="Arial" w:eastAsia="Arial" w:hAnsi="Arial"/>
          <w:sz w:val="16"/>
          <w:szCs w:val="16"/>
          <w:color w:val="auto"/>
        </w:rPr>
        <w:t xml:space="preserve"> then such Payment shall be equal to the Reduced Amount.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and the Excise Tax (all computed at the highest applicable marginal rate), results in Executive’s receipt, on an after-tax basis, of the greatest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 for Executive. If more than one method of reduction will result in the same economic benefit, the items so reduced will be reduced pro rata.</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46" w:lineRule="exact"/>
        <w:rPr>
          <w:sz w:val="20"/>
          <w:szCs w:val="20"/>
          <w:color w:val="auto"/>
        </w:rPr>
      </w:pPr>
    </w:p>
    <w:p>
      <w:pPr>
        <w:jc w:val="both"/>
        <w:ind w:right="160" w:firstLine="8"/>
        <w:spacing w:after="0" w:line="281" w:lineRule="auto"/>
        <w:tabs>
          <w:tab w:leader="none" w:pos="25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 the preceding paragraph, Executive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 that time by Executive or the Company) or such other time as requested by Executive or the Company.</w:t>
      </w:r>
    </w:p>
    <w:p>
      <w:pPr>
        <w:spacing w:after="0" w:line="183"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4.9 Application of Internal Revenue Code Section 409A. </w:t>
      </w:r>
      <w:r>
        <w:rPr>
          <w:rFonts w:ascii="Arial" w:cs="Arial" w:eastAsia="Arial" w:hAnsi="Arial"/>
          <w:sz w:val="18"/>
          <w:szCs w:val="18"/>
          <w:color w:val="auto"/>
        </w:rPr>
        <w:t>Notwithstanding anything to the contrary set forth herein, any 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under this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Severance 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that constitute “deferred compensation” within the meaning of Section 409A of the Code and the regulations and other guidance thereunder and any state law of similar effect (collectively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w:t>
      </w:r>
      <w:r>
        <w:rPr>
          <w:rFonts w:ascii="Arial" w:cs="Arial" w:eastAsia="Arial" w:hAnsi="Arial"/>
          <w:sz w:val="18"/>
          <w:szCs w:val="18"/>
          <w:color w:val="auto"/>
        </w:rPr>
        <w:t xml:space="preserve"> shall not commence in connection with Executive’s termination of employment unless and until Executive has also incurred a</w:t>
      </w:r>
    </w:p>
    <w:p>
      <w:pPr>
        <w:sectPr>
          <w:pgSz w:w="11900" w:h="16838" w:orient="portrait"/>
          <w:cols w:equalWidth="0" w:num="1">
            <w:col w:w="11420"/>
          </w:cols>
          <w:pgMar w:left="240" w:top="270" w:right="239" w:bottom="1440" w:gutter="0" w:footer="0" w:header="0"/>
        </w:sectPr>
      </w:pPr>
    </w:p>
    <w:bookmarkStart w:id="377" w:name="page378"/>
    <w:bookmarkEnd w:id="377"/>
    <w:p>
      <w:pPr>
        <w:ind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“separation from service” (as such term is defined in Treasury Regulation Section 1.409A-l (h)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Separation From Service</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Company reasonably determines that such amounts may be provided to Executive without causing Executive to incur the additional 20% tax under Section 409A.</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It is intended that each installment of the Severance Benefits payments provided for in this Agreement is a separate “payment” for purposes of Treasury Regulation Section 1.409A- 2(b)(2)(i). For the avoidance of doubt, it is intended that payments of the Severance Benefits set forth in this Agreement satisfy, to the greatest extent possible, the exemptions from the application of Section 409A provided under Treasury Regulation Sections 1.409A-l (b)(4), l.409A-l (b)(5) and 1.409A-l (b)(9).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Specified Employee 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the successor entity thereto, as applicable) shall (A) pay to Executive a lump sum amount equal to the sum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Benefit payments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CONFIDENTIAL AND PROPRIETARY INFORMATION.</w:t>
      </w:r>
    </w:p>
    <w:p>
      <w:pPr>
        <w:spacing w:after="0" w:line="12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 xml:space="preserve">Executive has already executed, as a condition of Executive’s employment with the Company, the Company’s standard form of Proprietary Information and Inventions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PIIA</w:t>
      </w:r>
      <w:r>
        <w:rPr>
          <w:rFonts w:ascii="Arial" w:cs="Arial" w:eastAsia="Arial" w:hAnsi="Arial"/>
          <w:sz w:val="18"/>
          <w:szCs w:val="18"/>
          <w:i w:val="1"/>
          <w:iCs w:val="1"/>
          <w:color w:val="auto"/>
        </w:rPr>
        <w:t>”).</w:t>
      </w:r>
      <w:r>
        <w:rPr>
          <w:rFonts w:ascii="Arial" w:cs="Arial" w:eastAsia="Arial" w:hAnsi="Arial"/>
          <w:sz w:val="18"/>
          <w:szCs w:val="18"/>
          <w:color w:val="auto"/>
        </w:rPr>
        <w:t xml:space="preserve"> The PIIA remains in full force and effect.</w:t>
      </w:r>
    </w:p>
    <w:p>
      <w:pPr>
        <w:sectPr>
          <w:pgSz w:w="11900" w:h="16838" w:orient="portrait"/>
          <w:cols w:equalWidth="0" w:num="1">
            <w:col w:w="11400"/>
          </w:cols>
          <w:pgMar w:left="240" w:top="273" w:right="259" w:bottom="1440" w:gutter="0" w:footer="0" w:header="0"/>
        </w:sectPr>
      </w:pPr>
    </w:p>
    <w:bookmarkStart w:id="378" w:name="page379"/>
    <w:bookmarkEnd w:id="37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ASSIGNMENT AND BINDING EFFECT.</w:t>
      </w:r>
    </w:p>
    <w:p>
      <w:pPr>
        <w:spacing w:after="0" w:line="121"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This Agreement shall be binding upon and inure to the benefit of Executive and Executive’s heirs, executors, personal representatives, assigns, administrators and legal representatives. Because of the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NOTICES.</w:t>
      </w:r>
    </w:p>
    <w:p>
      <w:pPr>
        <w:spacing w:after="0" w:line="121"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Chairman of the Board</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If to Executive: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David King</w:t>
      </w:r>
    </w:p>
    <w:p>
      <w:pPr>
        <w:spacing w:after="0" w:line="200" w:lineRule="exact"/>
        <w:rPr>
          <w:sz w:val="20"/>
          <w:szCs w:val="20"/>
          <w:color w:val="auto"/>
        </w:rPr>
      </w:pP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CHOICE OF LAW.</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INTEGRATION.</w:t>
      </w:r>
    </w:p>
    <w:p>
      <w:pPr>
        <w:spacing w:after="0" w:line="117"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Executive’s employment and the termination of Executive’s employment, and supersedes any and all prior</w:t>
      </w:r>
    </w:p>
    <w:p>
      <w:pPr>
        <w:sectPr>
          <w:pgSz w:w="11900" w:h="16838" w:orient="portrait"/>
          <w:cols w:equalWidth="0" w:num="1">
            <w:col w:w="11320"/>
          </w:cols>
          <w:pgMar w:left="240" w:top="270" w:right="3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and/or contemporaneous oral and written employment agreements or arrangements between the Parties.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AMENDMENT.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Executive and the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WAIVER.</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SEVERABILITY.</w:t>
      </w:r>
    </w:p>
    <w:p>
      <w:pPr>
        <w:spacing w:after="0" w:line="12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INTERPRETATION; CONSTRUCTION.</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REPRESENTATIONS AND WARRANTIES.</w:t>
      </w:r>
    </w:p>
    <w:p>
      <w:pPr>
        <w:spacing w:after="0" w:line="121"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COUNTERPARTS.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ARBITRATION.</w:t>
      </w:r>
    </w:p>
    <w:p>
      <w:pPr>
        <w:spacing w:after="0" w:line="121"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Services/Undisputed, Inc.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JAMS”</w:t>
      </w:r>
      <w:r>
        <w:rPr>
          <w:rFonts w:ascii="Arial" w:cs="Arial" w:eastAsia="Arial" w:hAnsi="Arial"/>
          <w:sz w:val="16"/>
          <w:szCs w:val="16"/>
          <w:i w:val="1"/>
          <w:iCs w:val="1"/>
          <w:color w:val="auto"/>
        </w:rPr>
        <w:t>),</w:t>
      </w:r>
      <w:r>
        <w:rPr>
          <w:rFonts w:ascii="Arial" w:cs="Arial" w:eastAsia="Arial" w:hAnsi="Arial"/>
          <w:sz w:val="16"/>
          <w:szCs w:val="16"/>
          <w:color w:val="auto"/>
        </w:rPr>
        <w:t xml:space="preserve"> or its successors, under the then current rules of JAMS for employment disputes; provided that the arbitrator shall:</w:t>
      </w:r>
    </w:p>
    <w:p>
      <w:pPr>
        <w:spacing w:after="0" w:line="2" w:lineRule="exact"/>
        <w:rPr>
          <w:sz w:val="20"/>
          <w:szCs w:val="20"/>
          <w:color w:val="auto"/>
        </w:rPr>
      </w:pPr>
    </w:p>
    <w:p>
      <w:pPr>
        <w:ind w:left="260" w:hanging="252"/>
        <w:spacing w:after="0"/>
        <w:tabs>
          <w:tab w:leader="none" w:pos="26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have the authority to compel adequate discovery for the resolution of the dispute and to award such relief as would otherwise be permitted by law; and</w:t>
      </w:r>
    </w:p>
    <w:p>
      <w:pPr>
        <w:spacing w:after="0" w:line="32" w:lineRule="exact"/>
        <w:rPr>
          <w:rFonts w:ascii="Arial" w:cs="Arial" w:eastAsia="Arial" w:hAnsi="Arial"/>
          <w:sz w:val="16"/>
          <w:szCs w:val="16"/>
          <w:color w:val="auto"/>
        </w:rPr>
      </w:pPr>
    </w:p>
    <w:p>
      <w:pPr>
        <w:jc w:val="both"/>
        <w:ind w:right="60" w:firstLine="8"/>
        <w:spacing w:after="0" w:line="255" w:lineRule="auto"/>
        <w:tabs>
          <w:tab w:leader="none" w:pos="25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be entitled to pursue in a</w:t>
      </w:r>
    </w:p>
    <w:p>
      <w:pPr>
        <w:sectPr>
          <w:pgSz w:w="11900" w:h="16838" w:orient="portrait"/>
          <w:cols w:equalWidth="0" w:num="1">
            <w:col w:w="11340"/>
          </w:cols>
          <w:pgMar w:left="240" w:top="274" w:right="319" w:bottom="1440" w:gutter="0" w:footer="0" w:header="0"/>
        </w:sectPr>
      </w:pPr>
    </w:p>
    <w:bookmarkStart w:id="380" w:name="page381"/>
    <w:bookmarkEnd w:id="3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TRADE SECRETS OF OTHERS.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 Executive shall not provide to the Company and/or its Affiliates, and the Company and/or its Affiliates shall not request, any documents or copies of documents containing such information.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ADVERTISING WAIVER.</w:t>
      </w:r>
    </w:p>
    <w:p>
      <w:pPr>
        <w:spacing w:after="0" w:line="121"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 services to the Company appear. Executive hereby waives and releases any claim or right Executive may otherwise have arising out of such use, publication or distribution.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80"/>
          </w:cols>
          <w:pgMar w:left="240" w:top="273" w:right="279" w:bottom="1440" w:gutter="0" w:footer="0" w:header="0"/>
        </w:sectPr>
      </w:pPr>
    </w:p>
    <w:bookmarkStart w:id="381" w:name="page382"/>
    <w:bookmarkEnd w:id="38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have executed this Agreement as of the dates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Hamza Suria</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AMZA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URIA</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6</w:t>
      </w:r>
      <w:r>
        <w:rPr>
          <w:rFonts w:ascii="Arial" w:cs="Arial" w:eastAsia="Arial" w:hAnsi="Arial"/>
          <w:sz w:val="15"/>
          <w:szCs w:val="15"/>
          <w:color w:val="auto"/>
        </w:rPr>
        <w:t>th</w:t>
      </w:r>
      <w:r>
        <w:rPr>
          <w:rFonts w:ascii="Arial" w:cs="Arial" w:eastAsia="Arial" w:hAnsi="Arial"/>
          <w:sz w:val="18"/>
          <w:szCs w:val="18"/>
          <w:color w:val="auto"/>
        </w:rPr>
        <w:t xml:space="preserv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-130810</wp:posOffset>
            </wp:positionV>
            <wp:extent cx="26498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AVID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6</w:t>
      </w:r>
      <w:r>
        <w:rPr>
          <w:rFonts w:ascii="Arial" w:cs="Arial" w:eastAsia="Arial" w:hAnsi="Arial"/>
          <w:sz w:val="13"/>
          <w:szCs w:val="13"/>
          <w:color w:val="auto"/>
        </w:rPr>
        <w:t>th</w:t>
      </w:r>
      <w:r>
        <w:rPr>
          <w:rFonts w:ascii="Arial" w:cs="Arial" w:eastAsia="Arial" w:hAnsi="Arial"/>
          <w:sz w:val="16"/>
          <w:szCs w:val="16"/>
          <w:color w:val="auto"/>
        </w:rPr>
        <w:t xml:space="preserve"> January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AND WAIVER OF CLAIMS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In consideration of the payments and other benefits set forth in the Employment Agreement effective January 1, 2012, to which this form is attached, I, David King, hereby furnish </w:t>
      </w:r>
      <w:r>
        <w:rPr>
          <w:rFonts w:ascii="Arial" w:cs="Arial" w:eastAsia="Arial" w:hAnsi="Arial"/>
          <w:sz w:val="17"/>
          <w:szCs w:val="17"/>
          <w:b w:val="1"/>
          <w:bCs w:val="1"/>
          <w:color w:val="auto"/>
        </w:rPr>
        <w:t>ANAPTYSBIO, INC.</w:t>
      </w:r>
      <w:r>
        <w:rPr>
          <w:rFonts w:ascii="Arial" w:cs="Arial" w:eastAsia="Arial" w:hAnsi="Arial"/>
          <w:sz w:val="17"/>
          <w:szCs w:val="17"/>
          <w:color w:val="auto"/>
        </w:rPr>
        <w:t xml:space="preserv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xml:space="preserve"> with the following release and waiver </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Release and Waiver</w:t>
      </w:r>
      <w:r>
        <w:rPr>
          <w:rFonts w:ascii="Arial" w:cs="Arial" w:eastAsia="Arial" w:hAnsi="Arial"/>
          <w:sz w:val="17"/>
          <w:szCs w:val="17"/>
          <w:i w:val="1"/>
          <w:iCs w:val="1"/>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completely release the Company and its current and former directors, officers, employees, stockholders, partners, agents, attorneys, predecessors,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parent and subsidiary entities, insurers, affiliates, and assigns (collectively,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Released Parties</w:t>
      </w:r>
      <w:r>
        <w:rPr>
          <w:rFonts w:ascii="Arial" w:cs="Arial" w:eastAsia="Arial" w:hAnsi="Arial"/>
          <w:sz w:val="16"/>
          <w:szCs w:val="16"/>
          <w:i w:val="1"/>
          <w:iCs w:val="1"/>
          <w:color w:val="auto"/>
        </w:rPr>
        <w:t>”)</w:t>
      </w:r>
      <w:r>
        <w:rPr>
          <w:rFonts w:ascii="Arial" w:cs="Arial" w:eastAsia="Arial" w:hAnsi="Arial"/>
          <w:sz w:val="16"/>
          <w:szCs w:val="16"/>
          <w:color w:val="auto"/>
        </w:rPr>
        <w:t xml:space="preserve"> from any and all claims, liabilities and obligations,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known and unknown, that arise out of or are in any way related to events, acts, conduct, or omissions occurring prior to or on the date that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(collectively,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Released Claims</w:t>
      </w:r>
      <w:r>
        <w:rPr>
          <w:rFonts w:ascii="Arial" w:cs="Arial" w:eastAsia="Arial" w:hAnsi="Arial"/>
          <w:sz w:val="16"/>
          <w:szCs w:val="16"/>
          <w:i w:val="1"/>
          <w:iCs w:val="1"/>
          <w:color w:val="auto"/>
        </w:rPr>
        <w:t>”).</w:t>
      </w:r>
      <w:r>
        <w:rPr>
          <w:rFonts w:ascii="Arial" w:cs="Arial" w:eastAsia="Arial" w:hAnsi="Arial"/>
          <w:sz w:val="16"/>
          <w:szCs w:val="16"/>
          <w:color w:val="auto"/>
        </w:rPr>
        <w:t xml:space="preserve"> The Released Claims include, but are not limited to: (a) all claims arising out of or in any way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my employment with the Company, or the termination of that employment; (b) all claims related to my compensation or benefits from the Company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bonuses, commissions, vacation pay, expense reimbursements, severance pay, fringe benefits, stock, stock options, or any other ownership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 all claims for breach of contract, wrongful termination, and breach of the implied covenant of good faith and fair dealing; (d) all tort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fraud, defamation, emotional distress, and discharge in violation of public policy; and (e) all federal, state, and local statutory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discrimination, harassment, retaliation, misclassification, attorneys’ fees, or other claims arising under the federal Civil Rights Act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1964 (as amended), the federal Americans with Disabilities Act of 1990, the federal Age Discrimination in Employment Act of 1967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ADEA</w:t>
      </w:r>
      <w:r>
        <w:rPr>
          <w:rFonts w:ascii="Arial" w:cs="Arial" w:eastAsia="Arial" w:hAnsi="Arial"/>
          <w:sz w:val="16"/>
          <w:szCs w:val="16"/>
          <w:i w:val="1"/>
          <w:iCs w:val="1"/>
          <w:color w:val="auto"/>
        </w:rPr>
        <w:t xml:space="preserve">”), </w:t>
      </w:r>
      <w:r>
        <w:rPr>
          <w:rFonts w:ascii="Arial" w:cs="Arial" w:eastAsia="Arial" w:hAnsi="Arial"/>
          <w:sz w:val="16"/>
          <w:szCs w:val="16"/>
          <w:color w:val="auto"/>
        </w:rPr>
        <w:t>the California Labor Code, and the California Fair Employment and Housing Act (as amended). Notwithstanding the foregoing, the following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 included in the Released Claims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Excluded Claims</w:t>
      </w:r>
      <w:r>
        <w:rPr>
          <w:rFonts w:ascii="Arial" w:cs="Arial" w:eastAsia="Arial" w:hAnsi="Arial"/>
          <w:sz w:val="16"/>
          <w:szCs w:val="16"/>
          <w:i w:val="1"/>
          <w:iCs w:val="1"/>
          <w:color w:val="auto"/>
        </w:rPr>
        <w:t>”):</w:t>
      </w:r>
      <w:r>
        <w:rPr>
          <w:rFonts w:ascii="Arial" w:cs="Arial" w:eastAsia="Arial" w:hAnsi="Arial"/>
          <w:sz w:val="16"/>
          <w:szCs w:val="16"/>
          <w:color w:val="auto"/>
        </w:rPr>
        <w:t xml:space="preserve"> (a) any rights or claims for indemnification I may have pursuant to the charter or bylaws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under applicable law; (b) any rights or claims to unemployment compensation, funds accrued in my 401k account, or any vested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incentives; (c) any rights that are not waivable as a matter of law; or (d) any claims arising from the breach of this Agreement. I hereby represent and warrant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other than the Excluded Claims, I am not aware of any claims I have or might have against any of the Released Parties that are not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69" w:right="259" w:bottom="1440" w:gutter="0" w:footer="0" w:header="0"/>
        </w:sectPr>
      </w:pPr>
    </w:p>
    <w:bookmarkStart w:id="383" w:name="page384"/>
    <w:bookmarkEnd w:id="383"/>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(b)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89"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696341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84" w:name="page385"/>
    <w:bookmarkEnd w:id="38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AMENDMENT NO. 1 TO EMPLOYMENT AGREEMENT</w:t>
      </w:r>
      <w:r>
        <w:rPr>
          <w:rFonts w:ascii="Arial" w:cs="Arial" w:eastAsia="Arial" w:hAnsi="Arial"/>
          <w:sz w:val="16"/>
          <w:szCs w:val="16"/>
          <w:color w:val="auto"/>
        </w:rPr>
        <w:t xml:space="preserve">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entered into as of October 4</w:t>
      </w:r>
      <w:r>
        <w:rPr>
          <w:rFonts w:ascii="Arial" w:cs="Arial" w:eastAsia="Arial" w:hAnsi="Arial"/>
          <w:sz w:val="13"/>
          <w:szCs w:val="13"/>
          <w:color w:val="auto"/>
        </w:rPr>
        <w:t>th</w:t>
      </w:r>
      <w:r>
        <w:rPr>
          <w:rFonts w:ascii="Arial" w:cs="Arial" w:eastAsia="Arial" w:hAnsi="Arial"/>
          <w:sz w:val="16"/>
          <w:szCs w:val="16"/>
          <w:color w:val="auto"/>
        </w:rPr>
        <w:t xml:space="preserve">, 2012, by and between </w:t>
      </w:r>
      <w:r>
        <w:rPr>
          <w:rFonts w:ascii="Arial" w:cs="Arial" w:eastAsia="Arial" w:hAnsi="Arial"/>
          <w:sz w:val="16"/>
          <w:szCs w:val="16"/>
          <w:b w:val="1"/>
          <w:bCs w:val="1"/>
          <w:color w:val="auto"/>
        </w:rPr>
        <w:t xml:space="preserve">ANAPTYSBIO, INC.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David King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Capitalized terms used but not defined herein shall have the meanings ascribed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them in that certain Employment Agreement, dated January 1, 2012, by and between the Company and the Executive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10 of the Agreement provides that the Agreement cannot be amended or modified except by a written agreement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desire to amend the Agreement as set forth herein.</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99" w:lineRule="exact"/>
        <w:rPr>
          <w:sz w:val="20"/>
          <w:szCs w:val="20"/>
          <w:color w:val="auto"/>
        </w:rPr>
      </w:pPr>
    </w:p>
    <w:p>
      <w:pPr>
        <w:ind w:right="140" w:firstLine="464"/>
        <w:spacing w:after="0" w:line="282" w:lineRule="auto"/>
        <w:tabs>
          <w:tab w:leader="none" w:pos="636"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OF SECTION 4.5.3. </w:t>
      </w:r>
      <w:r>
        <w:rPr>
          <w:rFonts w:ascii="Arial" w:cs="Arial" w:eastAsia="Arial" w:hAnsi="Arial"/>
          <w:sz w:val="18"/>
          <w:szCs w:val="18"/>
          <w:color w:val="auto"/>
        </w:rPr>
        <w:t>Section 4.5.3. of the Agreement is hereby amended by striking the reference to “six months”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of “Severance Period” and replacing it with “nine months”.</w:t>
      </w:r>
    </w:p>
    <w:p>
      <w:pPr>
        <w:spacing w:after="0" w:line="53" w:lineRule="exact"/>
        <w:rPr>
          <w:rFonts w:ascii="Arial" w:cs="Arial" w:eastAsia="Arial" w:hAnsi="Arial"/>
          <w:sz w:val="18"/>
          <w:szCs w:val="18"/>
          <w:b w:val="1"/>
          <w:bCs w:val="1"/>
          <w:color w:val="auto"/>
        </w:rPr>
      </w:pPr>
    </w:p>
    <w:p>
      <w:pPr>
        <w:ind w:left="640" w:hanging="176"/>
        <w:spacing w:after="0"/>
        <w:tabs>
          <w:tab w:leader="none" w:pos="64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440" w:firstLine="913"/>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This Amendment shall be construed and interpreted in accordance with the internal laws of the State of California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Except as set forth herein, the Agreement shall remain unchanged and in full force and effect in accordance with its terms.</w:t>
      </w:r>
    </w:p>
    <w:p>
      <w:pPr>
        <w:spacing w:after="0" w:line="117"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Amendment may be executed in counterparts, each of which shall be deemed an original, and a11 of which together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same instrument. Facsimile and electronic signatures shall be as effective as original signatures.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40"/>
          </w:cols>
          <w:pgMar w:left="240" w:top="270" w:right="319" w:bottom="1440" w:gutter="0" w:footer="0" w:header="0"/>
        </w:sectPr>
      </w:pPr>
    </w:p>
    <w:bookmarkStart w:id="385" w:name="page386"/>
    <w:bookmarkEnd w:id="38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Amendment as of the date first set forth above.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Hamza Suria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27101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-130810</wp:posOffset>
            </wp:positionV>
            <wp:extent cx="27101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AVID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2" w:lineRule="exact"/>
        <w:rPr>
          <w:sz w:val="20"/>
          <w:szCs w:val="20"/>
          <w:color w:val="auto"/>
        </w:rPr>
      </w:pPr>
    </w:p>
    <w:p>
      <w:pPr>
        <w:jc w:val="right"/>
        <w:ind w:right="1339"/>
        <w:spacing w:after="0"/>
        <w:rPr>
          <w:sz w:val="20"/>
          <w:szCs w:val="20"/>
          <w:color w:val="auto"/>
        </w:rPr>
      </w:pPr>
      <w:r>
        <w:rPr>
          <w:rFonts w:ascii="Arial" w:cs="Arial" w:eastAsia="Arial" w:hAnsi="Arial"/>
          <w:sz w:val="18"/>
          <w:szCs w:val="18"/>
          <w:color w:val="auto"/>
        </w:rPr>
        <w:t>[SIGNATURE PAGE TO AMENDMENT NO. 1 TO EMPLOYMENT AGREEMENT]</w:t>
      </w:r>
    </w:p>
    <w:p>
      <w:pPr>
        <w:sectPr>
          <w:pgSz w:w="11900" w:h="16838" w:orient="portrait"/>
          <w:cols w:equalWidth="0" w:num="1">
            <w:col w:w="10219"/>
          </w:cols>
          <w:pgMar w:left="240" w:top="269" w:right="1440"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Consulting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May 1,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AnaptysBio,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David King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Company and Consultant desire to have Consultant perform services for Company, subject to and in accordance with the terms and conditions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THEREFORE, the parties agree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80" w:hanging="372"/>
        <w:spacing w:after="0"/>
        <w:tabs>
          <w:tab w:leader="none" w:pos="38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Performance of Services</w:t>
      </w:r>
      <w:r>
        <w:rPr>
          <w:rFonts w:ascii="Arial" w:cs="Arial" w:eastAsia="Arial" w:hAnsi="Arial"/>
          <w:sz w:val="18"/>
          <w:szCs w:val="18"/>
          <w:color w:val="auto"/>
        </w:rPr>
        <w:t xml:space="preserve">. Consultant will perform the services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in accordance with the terms and conditions set forth in this Agreement.</w:t>
      </w:r>
    </w:p>
    <w:p>
      <w:pPr>
        <w:spacing w:after="0" w:line="326" w:lineRule="exact"/>
        <w:rPr>
          <w:sz w:val="20"/>
          <w:szCs w:val="20"/>
          <w:color w:val="auto"/>
        </w:rPr>
      </w:pPr>
    </w:p>
    <w:p>
      <w:pPr>
        <w:ind w:left="380" w:hanging="372"/>
        <w:spacing w:after="0"/>
        <w:tabs>
          <w:tab w:leader="none" w:pos="38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Compensation</w:t>
      </w:r>
      <w:r>
        <w:rPr>
          <w:rFonts w:ascii="Arial" w:cs="Arial" w:eastAsia="Arial" w:hAnsi="Arial"/>
          <w:sz w:val="18"/>
          <w:szCs w:val="18"/>
          <w:color w:val="auto"/>
        </w:rPr>
        <w:t>. As Consultant’s sole compensation for the performance of Services, Company shall modify the Consultant’s stock option grants as reflected in Exhibit A.</w:t>
      </w:r>
    </w:p>
    <w:p>
      <w:pPr>
        <w:spacing w:after="0" w:line="326" w:lineRule="exact"/>
        <w:rPr>
          <w:sz w:val="20"/>
          <w:szCs w:val="20"/>
          <w:color w:val="auto"/>
        </w:rPr>
      </w:pPr>
    </w:p>
    <w:p>
      <w:pPr>
        <w:ind w:left="380" w:hanging="372"/>
        <w:spacing w:after="0"/>
        <w:tabs>
          <w:tab w:leader="none" w:pos="38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OF THE PARTIES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Consultant is an independent contractor and nothing in this Agreement will be construed as establishing an employment or agency relationship between Company and Consultant. Consultant has no authority to bind Company by contract or otherwise. Consultant will perform Services under the general direction of Company, but Consultant will determine, in Consultant’s sole discretion, the manner and means by which Services are accomplished, subject to the requirement that Consultant will at all times comply with applicable law.</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Taxes and Employee Benefits</w:t>
      </w:r>
      <w:r>
        <w:rPr>
          <w:rFonts w:ascii="Arial" w:cs="Arial" w:eastAsia="Arial" w:hAnsi="Arial"/>
          <w:sz w:val="16"/>
          <w:szCs w:val="16"/>
          <w:color w:val="auto"/>
        </w:rPr>
        <w:t>. Consultant will report to all applicable government agencies as income all compensation received by Consultant pursuant to this Agreement. Consultant will be solely responsible for payment of all withholding taxes, social security, workers’ compensation, unemployment and disability insurance or similar items required by any government agency. Consultant will indemnify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social security, unemployment or disability insurance or similar items in connection with compensation received by Consultant pursuant to this Agreement.</w:t>
      </w:r>
    </w:p>
    <w:p>
      <w:pPr>
        <w:spacing w:after="0" w:line="17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Liability Insurance</w:t>
      </w:r>
      <w:r>
        <w:rPr>
          <w:rFonts w:ascii="Arial" w:cs="Arial" w:eastAsia="Arial" w:hAnsi="Arial"/>
          <w:sz w:val="18"/>
          <w:szCs w:val="18"/>
          <w:color w:val="auto"/>
        </w:rPr>
        <w:t>. Consultant acknowledges that Company will not carry any liability insurance on behalf of Consultant. Consultant will maintain in force adequate liability insurance to protect Consultant from claims of personal injury (or death) or tangible or intangible property damage (including loss of use) that arise out of any act or omission of Consultant.</w:t>
      </w:r>
    </w:p>
    <w:p>
      <w:pPr>
        <w:spacing w:after="0" w:line="338" w:lineRule="exact"/>
        <w:rPr>
          <w:sz w:val="20"/>
          <w:szCs w:val="20"/>
          <w:color w:val="auto"/>
        </w:rPr>
      </w:pPr>
    </w:p>
    <w:p>
      <w:pPr>
        <w:ind w:left="380" w:hanging="372"/>
        <w:spacing w:after="0"/>
        <w:tabs>
          <w:tab w:leader="none" w:pos="38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Disclosure of Work Product</w:t>
      </w:r>
      <w:r>
        <w:rPr>
          <w:rFonts w:ascii="Arial" w:cs="Arial" w:eastAsia="Arial" w:hAnsi="Arial"/>
          <w:sz w:val="17"/>
          <w:szCs w:val="17"/>
          <w:color w:val="auto"/>
        </w:rPr>
        <w:t>. Consultant will, as an integral part of its performance of Services, disclose in writing to Company all inventions, products, designs, drawings, notes, documents, information, documentation, improvements, works of authorship, processes, techniques, know-how, algorithms, specifications, hardware, circuits, computer programs, databases, user interfaces, encoding techniques, and other materials of any kind that Consultant may make, conceive, develop or reduce to practice, alone or jointly with others, in connection with performing Services, or that result from or that are related to such Services, whether or not they are eligible for patent, copyright, mask work, trade secret, trademark or</w:t>
      </w:r>
    </w:p>
    <w:p>
      <w:pPr>
        <w:spacing w:after="0" w:line="366" w:lineRule="exact"/>
        <w:rPr>
          <w:sz w:val="20"/>
          <w:szCs w:val="20"/>
          <w:color w:val="auto"/>
        </w:rPr>
      </w:pPr>
    </w:p>
    <w:p>
      <w:pPr>
        <w:sectPr>
          <w:pgSz w:w="11900" w:h="16838" w:orient="portrait"/>
          <w:cols w:equalWidth="0" w:num="2">
            <w:col w:w="5440" w:space="380"/>
            <w:col w:w="5600"/>
          </w:cols>
          <w:pgMar w:left="240" w:top="121" w:right="23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87" w:name="page388"/>
    <w:bookmarkEnd w:id="387"/>
    <w:p>
      <w:pPr>
        <w:ind w:right="120"/>
        <w:spacing w:after="0" w:line="286" w:lineRule="auto"/>
        <w:rPr>
          <w:sz w:val="20"/>
          <w:szCs w:val="20"/>
          <w:color w:val="auto"/>
        </w:rPr>
      </w:pPr>
      <w:r>
        <w:rPr>
          <w:rFonts w:ascii="Arial" w:cs="Arial" w:eastAsia="Arial" w:hAnsi="Arial"/>
          <w:sz w:val="17"/>
          <w:szCs w:val="17"/>
          <w:color w:val="auto"/>
        </w:rPr>
        <w:t>other legal protection (collectively, “</w:t>
      </w:r>
      <w:r>
        <w:rPr>
          <w:rFonts w:ascii="Arial" w:cs="Arial" w:eastAsia="Arial" w:hAnsi="Arial"/>
          <w:sz w:val="17"/>
          <w:szCs w:val="17"/>
          <w:b w:val="1"/>
          <w:bCs w:val="1"/>
          <w:i w:val="1"/>
          <w:iCs w:val="1"/>
          <w:color w:val="auto"/>
        </w:rPr>
        <w:t>Consultant Work Product</w:t>
      </w:r>
      <w:r>
        <w:rPr>
          <w:rFonts w:ascii="Arial" w:cs="Arial" w:eastAsia="Arial" w:hAnsi="Arial"/>
          <w:sz w:val="17"/>
          <w:szCs w:val="17"/>
          <w:color w:val="auto"/>
        </w:rPr>
        <w:t>”). Consultant Work Product includes without limitation any deliverables that Consultant delivers to Company pursuant to Section 1.3.</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Ownership of Consultant Work Product</w:t>
      </w:r>
      <w:r>
        <w:rPr>
          <w:rFonts w:ascii="Arial" w:cs="Arial" w:eastAsia="Arial" w:hAnsi="Arial"/>
          <w:sz w:val="16"/>
          <w:szCs w:val="16"/>
          <w:color w:val="auto"/>
        </w:rPr>
        <w:t>. Consultant and Company agree that, to the fullest extent permitted by applicable law, each item of Consultant Work Product will be a work made for hire owned exclusively by Company. Consultant agrees that, regardless of whether an item of Consultant Work Product is a work made for hire, all Consultant Work Product will be the sole and exclusive property of Company. Consultant hereby irrevocably transfers and assigns to Company, and agrees to irrevocably transfer and assign to Company, all right, title and interest in and to the Consultant Work Product, including all worldwide patent rights (including patent applications and disclosures), copyright rights, mask work rights, trade secret rights, know-how, and any and all other intellectual property or proprietary rights (collectively, “</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therein. At Company’s request and expense, during and after the term of this Agreement, Consultant will assist and cooperate with Company in all respects, and will execute documents, and will take such further acts reasonably requested by Company to enable Company to acquire, transfer, maintain, perfect and enforce its Intellectual Property Rights and other legal protections for the Consultant Work Product. Consultant hereby appoints the officers of Company as Consultant’s attorney-in-fact to execute documents on behalf of Consultant for this limited purpose.</w:t>
      </w:r>
    </w:p>
    <w:p>
      <w:pPr>
        <w:spacing w:after="0" w:line="1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Moral Rights</w:t>
      </w:r>
      <w:r>
        <w:rPr>
          <w:rFonts w:ascii="Arial" w:cs="Arial" w:eastAsia="Arial" w:hAnsi="Arial"/>
          <w:sz w:val="18"/>
          <w:szCs w:val="18"/>
          <w:color w:val="auto"/>
        </w:rPr>
        <w:t>. To the fullest extent permitted by applicable law, Consultant also hereby irrevocably transfers and assigns to Company, and agrees to irrevocably transfer and assign to Company, and waives and agrees never to assert, any and all Moral Rights (as defined below) that Consultant may have in or with respect to any Consultant Work Product, during</w:t>
      </w:r>
    </w:p>
    <w:p>
      <w:pPr>
        <w:spacing w:after="0" w:line="20" w:lineRule="exact"/>
        <w:rPr>
          <w:sz w:val="20"/>
          <w:szCs w:val="20"/>
          <w:color w:val="auto"/>
        </w:rPr>
      </w:pPr>
      <w:r>
        <w:rPr>
          <w:sz w:val="20"/>
          <w:szCs w:val="20"/>
          <w:color w:val="auto"/>
        </w:rPr>
        <w:br w:type="column"/>
      </w:r>
    </w:p>
    <w:p>
      <w:pPr>
        <w:ind w:left="160"/>
        <w:spacing w:after="0" w:line="255" w:lineRule="auto"/>
        <w:rPr>
          <w:sz w:val="20"/>
          <w:szCs w:val="20"/>
          <w:color w:val="auto"/>
        </w:rPr>
      </w:pPr>
      <w:r>
        <w:rPr>
          <w:rFonts w:ascii="Arial" w:cs="Arial" w:eastAsia="Arial" w:hAnsi="Arial"/>
          <w:sz w:val="18"/>
          <w:szCs w:val="18"/>
          <w:color w:val="auto"/>
        </w:rPr>
        <w:t>and after the term of this Agreement.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 any rights to claim authorship of a work, to object to or prevent the modification or destruction of a work, to withdraw from circulation or control the publication or distribution of a work, and any similar right, existing under judicial or statutory law of any country in the world, or under any treaty, regardless of whether or not such right as called or generally referred to as a “moral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-1096010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9"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Related Rights</w:t>
      </w:r>
      <w:r>
        <w:rPr>
          <w:rFonts w:ascii="Arial" w:cs="Arial" w:eastAsia="Arial" w:hAnsi="Arial"/>
          <w:sz w:val="16"/>
          <w:szCs w:val="16"/>
          <w:color w:val="auto"/>
        </w:rPr>
        <w:t>. To the extent that Consultant owns or controls (presently or in the future) any patent rights, copyright rights, mask work rights, trade secret rights, or any other intellectual property or proprietary rights that may block or interfere with, or may otherwise be required for, the exercise by Company of the rights assigned to Company under this Agreement (collectively, “</w:t>
      </w:r>
      <w:r>
        <w:rPr>
          <w:rFonts w:ascii="Arial" w:cs="Arial" w:eastAsia="Arial" w:hAnsi="Arial"/>
          <w:sz w:val="16"/>
          <w:szCs w:val="16"/>
          <w:b w:val="1"/>
          <w:bCs w:val="1"/>
          <w:i w:val="1"/>
          <w:iCs w:val="1"/>
          <w:color w:val="auto"/>
        </w:rPr>
        <w:t>Related Rights</w:t>
      </w:r>
      <w:r>
        <w:rPr>
          <w:rFonts w:ascii="Arial" w:cs="Arial" w:eastAsia="Arial" w:hAnsi="Arial"/>
          <w:sz w:val="16"/>
          <w:szCs w:val="16"/>
          <w:color w:val="auto"/>
        </w:rPr>
        <w:t>”), Consultant hereby grants or will cause to be granted to Company a non-exclusive,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spacing w:after="0" w:line="316" w:lineRule="exact"/>
        <w:rPr>
          <w:sz w:val="20"/>
          <w:szCs w:val="20"/>
          <w:color w:val="auto"/>
        </w:rPr>
      </w:pPr>
    </w:p>
    <w:p>
      <w:pPr>
        <w:ind w:left="540" w:hanging="371"/>
        <w:spacing w:after="0"/>
        <w:tabs>
          <w:tab w:leader="none" w:pos="54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and will include: (i) any information, materials or knowledge regarding Company and its business, financial condition, products, programming techniques, customers, suppliers, technology or research and development that is disclosed to Consultant or to which Consultant has access in connection with performing Services; (ii) the Consultant Work Product; and</w:t>
      </w:r>
    </w:p>
    <w:p>
      <w:pPr>
        <w:spacing w:after="0" w:line="5" w:lineRule="exact"/>
        <w:rPr>
          <w:sz w:val="20"/>
          <w:szCs w:val="20"/>
          <w:color w:val="auto"/>
        </w:rPr>
      </w:pPr>
    </w:p>
    <w:p>
      <w:pPr>
        <w:ind w:left="160" w:right="160" w:firstLine="9"/>
        <w:spacing w:after="0" w:line="261" w:lineRule="auto"/>
        <w:tabs>
          <w:tab w:leader="none" w:pos="47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terms and conditions of this Agreement. Confidential Information will not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480" w:space="180"/>
            <w:col w:w="5640"/>
          </w:cols>
          <w:pgMar w:left="240" w:top="327" w:right="359" w:bottom="1440" w:gutter="0" w:footer="0" w:header="0"/>
        </w:sectPr>
      </w:pPr>
    </w:p>
    <w:bookmarkStart w:id="388" w:name="page389"/>
    <w:bookmarkEnd w:id="388"/>
    <w:p>
      <w:pPr>
        <w:ind w:right="20"/>
        <w:spacing w:after="0" w:line="287" w:lineRule="auto"/>
        <w:rPr>
          <w:sz w:val="20"/>
          <w:szCs w:val="20"/>
          <w:color w:val="auto"/>
        </w:rPr>
      </w:pPr>
      <w:r>
        <w:rPr>
          <w:rFonts w:ascii="Arial" w:cs="Arial" w:eastAsia="Arial" w:hAnsi="Arial"/>
          <w:sz w:val="16"/>
          <w:szCs w:val="16"/>
          <w:color w:val="auto"/>
        </w:rPr>
        <w:t>include any information that: (a) is or becomes part of the public domain through no fault of Consultant; (b) was rightfully in Consultant’s possession at the time of disclosure, without restriction as to use or disclosure; or (c) Consultant rightfully receives from a third party who has the right to disclose it and who provides it without restriction as to use or disclosure. Consultant agrees to hold all Confidential Information in strict confidence, not to use it in any way, commercially or otherwise, except in performing Services, and not to disclose it to others. Consultant further agrees to take all actions reasonably necessary to protect the confidentiality of all Confidential Information including, without limitation, implementing and enforcing procedures to minimize the possibility of unauthorized use or disclosure of Confidential Information.</w:t>
      </w:r>
    </w:p>
    <w:p>
      <w:pPr>
        <w:spacing w:after="0" w:line="313" w:lineRule="exact"/>
        <w:rPr>
          <w:sz w:val="20"/>
          <w:szCs w:val="20"/>
          <w:color w:val="auto"/>
        </w:rPr>
      </w:pPr>
    </w:p>
    <w:p>
      <w:pPr>
        <w:ind w:left="380" w:hanging="372"/>
        <w:spacing w:after="0"/>
        <w:tabs>
          <w:tab w:leader="none" w:pos="3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No Pre-existing Obligations</w:t>
      </w:r>
      <w:r>
        <w:rPr>
          <w:rFonts w:ascii="Arial" w:cs="Arial" w:eastAsia="Arial" w:hAnsi="Arial"/>
          <w:sz w:val="17"/>
          <w:szCs w:val="17"/>
          <w:color w:val="auto"/>
        </w:rPr>
        <w:t>. Consultant represents and warrants that Consultant has no pre-existing obligations or commitments (and will not assume or otherwise undertake any obligations or commitments) that would be in conflict or inconsistent with or that would hinder Consultant’s performance of its obligations under this Agreement.</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Performance Standard</w:t>
      </w:r>
      <w:r>
        <w:rPr>
          <w:rFonts w:ascii="Arial" w:cs="Arial" w:eastAsia="Arial" w:hAnsi="Arial"/>
          <w:sz w:val="18"/>
          <w:szCs w:val="18"/>
          <w:color w:val="auto"/>
        </w:rPr>
        <w:t>. Consultant represents and warrants that Services will be performed in a thorough and professional manner, consistent with high professional and industry standards by individuals with the requisite training, background, experience, technical knowledge and skills to perform Services.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Non-infringement</w:t>
      </w:r>
      <w:r>
        <w:rPr>
          <w:rFonts w:ascii="Arial" w:cs="Arial" w:eastAsia="Arial" w:hAnsi="Arial"/>
          <w:sz w:val="18"/>
          <w:szCs w:val="18"/>
          <w:color w:val="auto"/>
        </w:rPr>
        <w:t>. Consultant represents and warrants that the Consultant Work Product will not infringe, misappropriate or violate the rights of any third party, including, without limitation, any Intellectual Property Rights or any rights of privacy or rights of publicity, except to the extent any portion of the Consultant Work</w:t>
      </w:r>
    </w:p>
    <w:p>
      <w:pPr>
        <w:spacing w:after="0" w:line="20" w:lineRule="exact"/>
        <w:rPr>
          <w:sz w:val="20"/>
          <w:szCs w:val="20"/>
          <w:color w:val="auto"/>
        </w:rPr>
      </w:pPr>
      <w:r>
        <w:rPr>
          <w:sz w:val="20"/>
          <w:szCs w:val="20"/>
          <w:color w:val="auto"/>
        </w:rPr>
        <w:br w:type="column"/>
      </w:r>
    </w:p>
    <w:p>
      <w:pPr>
        <w:ind w:left="160" w:right="180"/>
        <w:spacing w:after="0" w:line="277" w:lineRule="auto"/>
        <w:rPr>
          <w:sz w:val="20"/>
          <w:szCs w:val="20"/>
          <w:color w:val="auto"/>
        </w:rPr>
      </w:pPr>
      <w:r>
        <w:rPr>
          <w:rFonts w:ascii="Arial" w:cs="Arial" w:eastAsia="Arial" w:hAnsi="Arial"/>
          <w:sz w:val="18"/>
          <w:szCs w:val="18"/>
          <w:color w:val="auto"/>
        </w:rPr>
        <w:t>Product is created, developed or supplied by Company or by a third party on behalf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-422275</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0" w:lineRule="exact"/>
        <w:rPr>
          <w:sz w:val="20"/>
          <w:szCs w:val="20"/>
          <w:color w:val="auto"/>
        </w:rPr>
      </w:pPr>
    </w:p>
    <w:p>
      <w:pPr>
        <w:ind w:left="160" w:right="120"/>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Competitive Activities</w:t>
      </w:r>
      <w:r>
        <w:rPr>
          <w:rFonts w:ascii="Arial" w:cs="Arial" w:eastAsia="Arial" w:hAnsi="Arial"/>
          <w:sz w:val="18"/>
          <w:szCs w:val="18"/>
          <w:color w:val="auto"/>
        </w:rPr>
        <w:t>. During the term of this Agreement, Consultant will not, directly or indirectly, in any individual or representative capacity, engage or participate in or provide services to any business that is competitive with the types and kinds of business being conducted by Company.</w:t>
      </w:r>
    </w:p>
    <w:p>
      <w:pPr>
        <w:spacing w:after="0" w:line="188" w:lineRule="exact"/>
        <w:rPr>
          <w:sz w:val="20"/>
          <w:szCs w:val="20"/>
          <w:color w:val="auto"/>
        </w:rPr>
      </w:pPr>
    </w:p>
    <w:p>
      <w:pPr>
        <w:ind w:left="160" w:right="160"/>
        <w:spacing w:after="0" w:line="30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Non-Solicitation of Personnel</w:t>
      </w:r>
      <w:r>
        <w:rPr>
          <w:rFonts w:ascii="Arial" w:cs="Arial" w:eastAsia="Arial" w:hAnsi="Arial"/>
          <w:sz w:val="16"/>
          <w:szCs w:val="16"/>
          <w:color w:val="auto"/>
        </w:rPr>
        <w:t>. During the term of this Agreement and for a period of one (1) year thereafter, Consultant will not directly or indirectly solicit the services of any Company employee or consultant for Consultant’s own benefit or for the benefit of any other person or entity.</w:t>
      </w:r>
    </w:p>
    <w:p>
      <w:pPr>
        <w:spacing w:after="0" w:line="299" w:lineRule="exact"/>
        <w:rPr>
          <w:sz w:val="20"/>
          <w:szCs w:val="20"/>
          <w:color w:val="auto"/>
        </w:rPr>
      </w:pPr>
    </w:p>
    <w:p>
      <w:pPr>
        <w:ind w:left="540" w:hanging="372"/>
        <w:spacing w:after="0"/>
        <w:tabs>
          <w:tab w:leader="none" w:pos="54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Consultant will defend, indemnify and hold Company harmless from and against all claims, damages, liabilities, losses, expenses and costs (including reasonable fees and expenses of attorneys and other professionals) arising out of or resulting from:</w:t>
      </w:r>
    </w:p>
    <w:p>
      <w:pPr>
        <w:spacing w:after="0" w:line="79" w:lineRule="exact"/>
        <w:rPr>
          <w:sz w:val="20"/>
          <w:szCs w:val="20"/>
          <w:color w:val="auto"/>
        </w:rPr>
      </w:pPr>
    </w:p>
    <w:p>
      <w:pPr>
        <w:ind w:left="160" w:right="80" w:firstLine="368"/>
        <w:spacing w:after="0" w:line="257" w:lineRule="auto"/>
        <w:tabs>
          <w:tab w:leader="none" w:pos="76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action by a third party against Company that is based on a claim that any Services performed under this Agreement, or the results of such Services (including any Consultant Work Product), or Company’s use thereof, infringe, misappropriate or violate such third party’s Intellectual Property Rights; and</w:t>
      </w:r>
    </w:p>
    <w:p>
      <w:pPr>
        <w:spacing w:after="0" w:line="188" w:lineRule="exact"/>
        <w:rPr>
          <w:rFonts w:ascii="Arial" w:cs="Arial" w:eastAsia="Arial" w:hAnsi="Arial"/>
          <w:sz w:val="18"/>
          <w:szCs w:val="18"/>
          <w:color w:val="auto"/>
        </w:rPr>
      </w:pPr>
    </w:p>
    <w:p>
      <w:pPr>
        <w:ind w:left="160" w:right="80" w:firstLine="368"/>
        <w:spacing w:after="0" w:line="288" w:lineRule="auto"/>
        <w:tabs>
          <w:tab w:leader="none" w:pos="775" w:val="left"/>
        </w:tabs>
        <w:numPr>
          <w:ilvl w:val="1"/>
          <w:numId w:val="361"/>
        </w:numPr>
        <w:rPr>
          <w:rFonts w:ascii="Arial" w:cs="Arial" w:eastAsia="Arial" w:hAnsi="Arial"/>
          <w:sz w:val="16"/>
          <w:szCs w:val="16"/>
          <w:color w:val="auto"/>
        </w:rPr>
      </w:pPr>
      <w:r>
        <w:rPr>
          <w:rFonts w:ascii="Arial" w:cs="Arial" w:eastAsia="Arial" w:hAnsi="Arial"/>
          <w:sz w:val="16"/>
          <w:szCs w:val="16"/>
          <w:color w:val="auto"/>
        </w:rPr>
        <w:t>any action by a third party against Company that is based on any act or omission of Consultant and that results in: (i) personal injury (or death) or tangible or intangible property damage (including loss of use); or</w:t>
      </w:r>
    </w:p>
    <w:p>
      <w:pPr>
        <w:ind w:left="440" w:hanging="272"/>
        <w:spacing w:after="0"/>
        <w:tabs>
          <w:tab w:leader="none" w:pos="4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violation of any statute, ordinance, or regulation.</w:t>
      </w:r>
    </w:p>
    <w:p>
      <w:pPr>
        <w:spacing w:after="0" w:line="355" w:lineRule="exact"/>
        <w:rPr>
          <w:sz w:val="20"/>
          <w:szCs w:val="20"/>
          <w:color w:val="auto"/>
        </w:rPr>
      </w:pPr>
    </w:p>
    <w:p>
      <w:pPr>
        <w:ind w:left="540" w:hanging="372"/>
        <w:spacing w:after="0"/>
        <w:tabs>
          <w:tab w:leader="none" w:pos="54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on the Effective Date and, unless terminated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80" w:space="180"/>
            <w:col w:w="5640"/>
          </w:cols>
          <w:pgMar w:left="240" w:top="328" w:right="359" w:bottom="1440" w:gutter="0" w:footer="0" w:header="0"/>
        </w:sectPr>
      </w:pPr>
    </w:p>
    <w:bookmarkStart w:id="389" w:name="page390"/>
    <w:bookmarkEnd w:id="389"/>
    <w:p>
      <w:pPr>
        <w:ind w:right="40"/>
        <w:spacing w:after="0" w:line="255" w:lineRule="auto"/>
        <w:rPr>
          <w:sz w:val="20"/>
          <w:szCs w:val="20"/>
          <w:color w:val="auto"/>
        </w:rPr>
      </w:pPr>
      <w:r>
        <w:rPr>
          <w:rFonts w:ascii="Arial" w:cs="Arial" w:eastAsia="Arial" w:hAnsi="Arial"/>
          <w:sz w:val="18"/>
          <w:szCs w:val="18"/>
          <w:color w:val="auto"/>
        </w:rPr>
        <w:t>earlier in accordance with the terms of this Agreement, will remain in force and effect for one year, until April 30, 2016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be renewed by the Company for successive one (1) year periods, provided that the Company gives Consultant written notice of its intention to renew at least thirty (30) days prior to the end of the applicable one-year period and Consultant consents in writing to such extension.</w:t>
      </w:r>
    </w:p>
    <w:p>
      <w:pPr>
        <w:spacing w:after="0" w:line="18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Either party may terminate this Agreement (including all Statements of Work) if the other party breaches any material term of this Agreement and fails to cure such breach within thirty (30) days following written notice thereof from the non-breaching party.</w:t>
      </w:r>
    </w:p>
    <w:p>
      <w:pPr>
        <w:spacing w:after="0" w:line="15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Termination for Convenience</w:t>
      </w:r>
      <w:r>
        <w:rPr>
          <w:rFonts w:ascii="Arial" w:cs="Arial" w:eastAsia="Arial" w:hAnsi="Arial"/>
          <w:sz w:val="16"/>
          <w:szCs w:val="16"/>
          <w:color w:val="auto"/>
        </w:rPr>
        <w:t>. Company may terminate this Agreement (including all Statements of Work) at any time, for any reason or no reason, upon at least ten (10) days written notice to Consultant.</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the expiration or termination of this Agreement for any reason: (i) Consultant will promptly deliver to Company all Consultant Work Product, including all work in progress on any Consultant Work Product not previously delivered to Company, if any;</w:t>
      </w:r>
    </w:p>
    <w:p>
      <w:pPr>
        <w:spacing w:after="0" w:line="2" w:lineRule="exact"/>
        <w:rPr>
          <w:sz w:val="20"/>
          <w:szCs w:val="20"/>
          <w:color w:val="auto"/>
        </w:rPr>
      </w:pPr>
    </w:p>
    <w:p>
      <w:pPr>
        <w:ind w:right="100" w:firstLine="8"/>
        <w:spacing w:after="0" w:line="254" w:lineRule="auto"/>
        <w:tabs>
          <w:tab w:leader="none" w:pos="26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Consultant will promptly deliver to Company all Confidential Information in Consultant’s possession or control; and (iii) Company will pay Consultant any accrued but unpaid fees due and payable to Consultant pursuant to Section 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Survival</w:t>
      </w:r>
      <w:r>
        <w:rPr>
          <w:rFonts w:ascii="Arial" w:cs="Arial" w:eastAsia="Arial" w:hAnsi="Arial"/>
          <w:sz w:val="16"/>
          <w:szCs w:val="16"/>
          <w:color w:val="auto"/>
        </w:rPr>
        <w:t>. The rights and obligations of the parties under Sections 2, 3.2,</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3.3, 4, 5, 6.5, 6.6, 7, 8.4, 8.5, 9 and 10 will survive the expiration or termination of this Agreement.</w:t>
      </w:r>
    </w:p>
    <w:p>
      <w:pPr>
        <w:spacing w:after="0" w:line="328" w:lineRule="exact"/>
        <w:rPr>
          <w:sz w:val="20"/>
          <w:szCs w:val="20"/>
          <w:color w:val="auto"/>
        </w:rPr>
      </w:pPr>
    </w:p>
    <w:p>
      <w:pPr>
        <w:ind w:left="380" w:hanging="372"/>
        <w:spacing w:after="0"/>
        <w:tabs>
          <w:tab w:leader="none" w:pos="38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9.1 IN NO EVENT WILL COMPANY BE LIABLE FOR ANY SPECIAL, INCIDENTAL,</w:t>
      </w:r>
    </w:p>
    <w:p>
      <w:pPr>
        <w:spacing w:after="0" w:line="20" w:lineRule="exact"/>
        <w:rPr>
          <w:sz w:val="20"/>
          <w:szCs w:val="20"/>
          <w:color w:val="auto"/>
        </w:rPr>
      </w:pPr>
      <w:r>
        <w:rPr>
          <w:sz w:val="20"/>
          <w:szCs w:val="20"/>
          <w:color w:val="auto"/>
        </w:rPr>
        <w:br w:type="column"/>
      </w:r>
    </w:p>
    <w:p>
      <w:pPr>
        <w:ind w:left="160" w:right="260"/>
        <w:spacing w:after="0" w:line="259" w:lineRule="auto"/>
        <w:rPr>
          <w:sz w:val="20"/>
          <w:szCs w:val="20"/>
          <w:color w:val="auto"/>
        </w:rPr>
      </w:pPr>
      <w:r>
        <w:rPr>
          <w:rFonts w:ascii="Arial" w:cs="Arial" w:eastAsia="Arial" w:hAnsi="Arial"/>
          <w:sz w:val="18"/>
          <w:szCs w:val="18"/>
          <w:color w:val="auto"/>
        </w:rPr>
        <w:t>PUNITIVE, EXEMPLARY OR CONSEQUENTIAL DAMAGES OF ANY KIND IN CONNECTION WITH THIS AGREEMENT, EVEN IF COMPANY HAS BEEN INFORMED IN ADVANCE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-686435</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left="160" w:right="80"/>
        <w:spacing w:after="0" w:line="27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Assignment</w:t>
      </w:r>
      <w:r>
        <w:rPr>
          <w:rFonts w:ascii="Arial" w:cs="Arial" w:eastAsia="Arial" w:hAnsi="Arial"/>
          <w:sz w:val="17"/>
          <w:szCs w:val="17"/>
          <w:color w:val="auto"/>
        </w:rPr>
        <w:t>. Consultant may not assign or transfer this Agreement, in whole or in part, without Company’s express prior written consent. Any attempt to assign this Agreement, without such consent, will be void. Subject to the foregoing, this Agreement will bind and benefit the parties and their respective successors and assigns.</w:t>
      </w:r>
    </w:p>
    <w:p>
      <w:pPr>
        <w:spacing w:after="0" w:line="173" w:lineRule="exact"/>
        <w:rPr>
          <w:sz w:val="20"/>
          <w:szCs w:val="20"/>
          <w:color w:val="auto"/>
        </w:rPr>
      </w:pPr>
    </w:p>
    <w:p>
      <w:pPr>
        <w:ind w:left="160" w:right="100"/>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Election of Remedies</w:t>
      </w:r>
      <w:r>
        <w:rPr>
          <w:rFonts w:ascii="Arial" w:cs="Arial" w:eastAsia="Arial" w:hAnsi="Arial"/>
          <w:sz w:val="18"/>
          <w:szCs w:val="18"/>
          <w:color w:val="auto"/>
        </w:rPr>
        <w:t>. Except as expressly set forth in this Agreement, the exercise by Company of any of its remedies under this Agreement will not be deemed an election of remedies and will be without prejudice to its other remedies under this Agreement or available at law or in equity or otherwise.</w:t>
      </w:r>
    </w:p>
    <w:p>
      <w:pPr>
        <w:spacing w:after="0" w:line="188"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Equitable Remedies</w:t>
      </w:r>
      <w:r>
        <w:rPr>
          <w:rFonts w:ascii="Arial" w:cs="Arial" w:eastAsia="Arial" w:hAnsi="Arial"/>
          <w:sz w:val="17"/>
          <w:szCs w:val="17"/>
          <w:color w:val="auto"/>
        </w:rPr>
        <w:t>. Because the Services are personal and unique and because Consultant will have access to Confidential Information of Company, Company will have the right to enforce this Agreement and any of its provisions by injunction, specific performance or other equitable relief, without having to post a bond or other consideration, in addition to all other remedies that Company may have for a breach of this Agreement at law or otherwise.</w:t>
      </w:r>
    </w:p>
    <w:p>
      <w:pPr>
        <w:spacing w:after="0" w:line="178" w:lineRule="exact"/>
        <w:rPr>
          <w:sz w:val="20"/>
          <w:szCs w:val="20"/>
          <w:color w:val="auto"/>
        </w:rPr>
      </w:pPr>
    </w:p>
    <w:p>
      <w:pPr>
        <w:jc w:val="both"/>
        <w:ind w:left="160" w:right="100"/>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is necessary to enforce the terms of this Agreement, the substantially prevailing party will be entitled to reasonable attorneys’ fees, costs and expenses in addition to any other relief to which such prevailing party may be entitled.</w:t>
      </w:r>
    </w:p>
    <w:p>
      <w:pPr>
        <w:spacing w:after="0" w:line="171"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80" w:space="180"/>
            <w:col w:w="5640"/>
          </w:cols>
          <w:pgMar w:left="240" w:top="328" w:right="359" w:bottom="1440" w:gutter="0" w:footer="0" w:header="0"/>
        </w:sectPr>
      </w:pPr>
    </w:p>
    <w:bookmarkStart w:id="390" w:name="page391"/>
    <w:bookmarkEnd w:id="390"/>
    <w:p>
      <w:pPr>
        <w:spacing w:after="0" w:line="276" w:lineRule="auto"/>
        <w:rPr>
          <w:sz w:val="20"/>
          <w:szCs w:val="20"/>
          <w:color w:val="auto"/>
        </w:rPr>
      </w:pPr>
      <w:r>
        <w:rPr>
          <w:rFonts w:ascii="Arial" w:cs="Arial" w:eastAsia="Arial" w:hAnsi="Arial"/>
          <w:sz w:val="17"/>
          <w:szCs w:val="17"/>
          <w:color w:val="auto"/>
        </w:rPr>
        <w:t>the laws of the State of California, excluding its body of law controlling conflict of laws. Any legal action or proceeding arising under this Agreement will be brought exclusively in the federal or state courts located in the Northern District of California and the parties irrevocably consent to the personal jurisdiction and venue therein.</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 court of competent jurisdiction, the remaining provisions of this Agreement will remain in full force and effect, and the provision affected will be construed so as to be enforceable to the maximum extent permissible by law.</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by either party to enforce any provision of this Agreement will not constitute a waiver of future enforcement of that or any other provision.</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or permitted under this Agreement will be in writing, will reference this Agreement, and will be deemed given:</w:t>
      </w:r>
    </w:p>
    <w:p>
      <w:pPr>
        <w:ind w:firstLine="8"/>
        <w:spacing w:after="0" w:line="252" w:lineRule="auto"/>
        <w:tabs>
          <w:tab w:leader="none" w:pos="21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when delivered personally; (ii) one (1) business day after deposit with a nationally-recognized express courier, with written confirmation of receipt; or (iii) three (3) business days after having been sent by registered or certified mail, return receipt requested, postage prepaid. All such notices will be sent to the addresses set forth above or to such other address as may be specified by either party to the other party in accordance with this Section.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w:t>
      </w:r>
      <w:r>
        <w:rPr>
          <w:rFonts w:ascii="Arial" w:cs="Arial" w:eastAsia="Arial" w:hAnsi="Arial"/>
          <w:sz w:val="18"/>
          <w:szCs w:val="18"/>
          <w:u w:val="single" w:color="auto"/>
          <w:color w:val="auto"/>
        </w:rPr>
        <w:t>Exhibit A</w:t>
      </w:r>
      <w:r>
        <w:rPr>
          <w:rFonts w:ascii="Arial" w:cs="Arial" w:eastAsia="Arial" w:hAnsi="Arial"/>
          <w:sz w:val="18"/>
          <w:szCs w:val="18"/>
          <w:color w:val="auto"/>
        </w:rPr>
        <w:t>, constitutes the complete and exclusive understanding and agreement of the parties with respect to its subject matter and supersedes all prior understandings and agreements, whether written or oral, with respect to its subject matter. Any waiver, modification or amendment of any provision of this Agreement will be effective only if in writing and signed by the parties hereto.</w:t>
      </w:r>
    </w:p>
    <w:p>
      <w:pPr>
        <w:spacing w:after="0" w:line="20" w:lineRule="exact"/>
        <w:rPr>
          <w:sz w:val="20"/>
          <w:szCs w:val="20"/>
          <w:color w:val="auto"/>
        </w:rPr>
      </w:pPr>
      <w:r>
        <w:rPr>
          <w:sz w:val="20"/>
          <w:szCs w:val="20"/>
          <w:color w:val="auto"/>
        </w:rPr>
        <w:br w:type="column"/>
      </w:r>
    </w:p>
    <w:p>
      <w:pPr>
        <w:ind w:left="160" w:right="40"/>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-552450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1" w:lineRule="exact"/>
        <w:rPr>
          <w:sz w:val="20"/>
          <w:szCs w:val="20"/>
          <w:color w:val="auto"/>
        </w:rPr>
      </w:pPr>
    </w:p>
    <w:p>
      <w:pPr>
        <w:ind w:left="160" w:right="120"/>
        <w:spacing w:after="0" w:line="277" w:lineRule="auto"/>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COMPANY:</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Hamza Suria</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w:t>
            </w:r>
            <w:r>
              <w:rPr>
                <w:rFonts w:ascii="Arial" w:cs="Arial" w:eastAsia="Arial" w:hAnsi="Arial"/>
                <w:sz w:val="15"/>
                <w:szCs w:val="15"/>
                <w:color w:val="auto"/>
              </w:rPr>
              <w:t>st</w:t>
            </w:r>
            <w:r>
              <w:rPr>
                <w:rFonts w:ascii="Arial" w:cs="Arial" w:eastAsia="Arial" w:hAnsi="Arial"/>
                <w:sz w:val="18"/>
                <w:szCs w:val="18"/>
                <w:color w:val="auto"/>
              </w:rPr>
              <w:t>, 2015</w:t>
            </w: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r>
      <w:tr>
        <w:trPr>
          <w:trHeight w:val="338"/>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King</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King</w:t>
            </w:r>
          </w:p>
        </w:tc>
      </w:tr>
      <w:tr>
        <w:trPr>
          <w:trHeight w:val="331"/>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xml:space="preserve"> May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40" w:space="220"/>
            <w:col w:w="5640"/>
          </w:cols>
          <w:pgMar w:left="240" w:top="328" w:right="35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AND COMPENSATION</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Statement of Work is issued under and subject to all of the terms and conditions of the Consulting Agreement dated as of May 1, 2015, between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David King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w:t>
      </w:r>
    </w:p>
    <w:p>
      <w:pPr>
        <w:spacing w:after="0" w:line="166" w:lineRule="exact"/>
        <w:rPr>
          <w:sz w:val="20"/>
          <w:szCs w:val="20"/>
          <w:color w:val="auto"/>
        </w:rPr>
      </w:pPr>
    </w:p>
    <w:p>
      <w:pPr>
        <w:ind w:left="180" w:hanging="172"/>
        <w:spacing w:after="0"/>
        <w:tabs>
          <w:tab w:leader="none" w:pos="18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Description of Services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Consultant will provide services as a member of the Company’s Scientific Advisory Board as mutually determined by the Company and Consultant.</w:t>
      </w:r>
    </w:p>
    <w:p>
      <w:pPr>
        <w:spacing w:after="0" w:line="233" w:lineRule="exact"/>
        <w:rPr>
          <w:sz w:val="20"/>
          <w:szCs w:val="20"/>
          <w:color w:val="auto"/>
        </w:rPr>
      </w:pPr>
    </w:p>
    <w:p>
      <w:pPr>
        <w:ind w:left="180" w:hanging="172"/>
        <w:spacing w:after="0"/>
        <w:tabs>
          <w:tab w:leader="none" w:pos="18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Modification of Stock Option Grants</w:t>
      </w:r>
      <w:r>
        <w:rPr>
          <w:rFonts w:ascii="Arial" w:cs="Arial" w:eastAsia="Arial" w:hAnsi="Arial"/>
          <w:sz w:val="18"/>
          <w:szCs w:val="18"/>
          <w:color w:val="auto"/>
        </w:rPr>
        <w:t>:</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Pursuant to the terms of the Stock Option Agreements by and between you and the Company and the Company’s 2006 Equity Incentive Plan (such agreements and plan hereafter collectively referred to as the “</w:t>
      </w:r>
      <w:r>
        <w:rPr>
          <w:rFonts w:ascii="Arial" w:cs="Arial" w:eastAsia="Arial" w:hAnsi="Arial"/>
          <w:sz w:val="16"/>
          <w:szCs w:val="16"/>
          <w:b w:val="1"/>
          <w:bCs w:val="1"/>
          <w:i w:val="1"/>
          <w:iCs w:val="1"/>
          <w:color w:val="auto"/>
        </w:rPr>
        <w:t>Option Agreements</w:t>
      </w:r>
      <w:r>
        <w:rPr>
          <w:rFonts w:ascii="Arial" w:cs="Arial" w:eastAsia="Arial" w:hAnsi="Arial"/>
          <w:sz w:val="16"/>
          <w:szCs w:val="16"/>
          <w:color w:val="auto"/>
        </w:rPr>
        <w:t>”), you were granted options to purchase an aggregate total of 1,333,077 shares of the Company’s Common Stock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As of the Separation Date, the Options have vested as to 1,111,979 shares (the “</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and remain unvested as to 221,098 shares (the “</w:t>
      </w:r>
      <w:r>
        <w:rPr>
          <w:rFonts w:ascii="Arial" w:cs="Arial" w:eastAsia="Arial" w:hAnsi="Arial"/>
          <w:sz w:val="16"/>
          <w:szCs w:val="16"/>
          <w:b w:val="1"/>
          <w:bCs w:val="1"/>
          <w:i w:val="1"/>
          <w:iCs w:val="1"/>
          <w:color w:val="auto"/>
        </w:rPr>
        <w:t>Unvested Shares</w:t>
      </w:r>
      <w:r>
        <w:rPr>
          <w:rFonts w:ascii="Arial" w:cs="Arial" w:eastAsia="Arial" w:hAnsi="Arial"/>
          <w:sz w:val="16"/>
          <w:szCs w:val="16"/>
          <w:color w:val="auto"/>
        </w:rPr>
        <w:t>”). With respect to the Options, you have exercised none of the Vested Shares leaving 1,111,979 unexercised Vested Shares (the “</w:t>
      </w:r>
      <w:r>
        <w:rPr>
          <w:rFonts w:ascii="Arial" w:cs="Arial" w:eastAsia="Arial" w:hAnsi="Arial"/>
          <w:sz w:val="16"/>
          <w:szCs w:val="16"/>
          <w:b w:val="1"/>
          <w:bCs w:val="1"/>
          <w:i w:val="1"/>
          <w:iCs w:val="1"/>
          <w:color w:val="auto"/>
        </w:rPr>
        <w:t>Unexercised Vested Shares</w:t>
      </w:r>
      <w:r>
        <w:rPr>
          <w:rFonts w:ascii="Arial" w:cs="Arial" w:eastAsia="Arial" w:hAnsi="Arial"/>
          <w:sz w:val="16"/>
          <w:szCs w:val="16"/>
          <w:color w:val="auto"/>
        </w:rPr>
        <w:t xml:space="preserve">”). Because your employment is terminating as of May 1st 2015, none of the Unvested Shares would ever vest. However, as compensation for the Services above, the Option will continue to vest under its original vesting schedule during the Term. Per the Option Agreement, you will have three (3) months following the termination of the Term to exercise any then-unexercised vested shares under the Option Agreements. After this date, you will no longer have a right to exercise the Options as to any shares. </w:t>
      </w:r>
      <w:r>
        <w:rPr>
          <w:rFonts w:ascii="Arial" w:cs="Arial" w:eastAsia="Arial" w:hAnsi="Arial"/>
          <w:sz w:val="16"/>
          <w:szCs w:val="16"/>
          <w:b w:val="1"/>
          <w:bCs w:val="1"/>
          <w:u w:val="single" w:color="auto"/>
          <w:color w:val="auto"/>
        </w:rPr>
        <w:t>However, please note that (i) if you do not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exercise the Unexercised Vested Shares within three (3) months of the Separation Date, the Unexercised Vested Shares will cease to have Incentive Stock Option (ISO) status, and will instead be considered Nonqualified Stock Options (NSO); and (ii) any shares that vest during the term of the Consultancy will be NSOs, regardless of when they are exercised. Please consult your accountant or tax advisor with respect to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AGREED AS OF MAY 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6720" w:type="dxa"/>
            <w:vAlign w:val="bottom"/>
            <w:gridSpan w:val="2"/>
          </w:tcPr>
          <w:p>
            <w:pPr>
              <w:ind w:left="2140"/>
              <w:spacing w:after="0"/>
              <w:rPr>
                <w:sz w:val="20"/>
                <w:szCs w:val="20"/>
                <w:color w:val="auto"/>
              </w:rPr>
            </w:pPr>
            <w:r>
              <w:rPr>
                <w:rFonts w:ascii="Arial" w:cs="Arial" w:eastAsia="Arial" w:hAnsi="Arial"/>
                <w:sz w:val="18"/>
                <w:szCs w:val="18"/>
                <w:b w:val="1"/>
                <w:bCs w:val="1"/>
                <w:color w:val="auto"/>
              </w:rPr>
              <w:t>CONSULTANT: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/s/Hamza Suria</w:t>
            </w:r>
          </w:p>
        </w:tc>
        <w:tc>
          <w:tcPr>
            <w:tcW w:w="2740" w:type="dxa"/>
            <w:vAlign w:val="bottom"/>
          </w:tcPr>
          <w:p>
            <w:pPr>
              <w:ind w:left="2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King</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Hamza Suria</w:t>
            </w:r>
          </w:p>
        </w:tc>
        <w:tc>
          <w:tcPr>
            <w:tcW w:w="2740" w:type="dxa"/>
            <w:vAlign w:val="bottom"/>
          </w:tcPr>
          <w:p>
            <w:pPr>
              <w:ind w:left="2140"/>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King</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c>
          <w:tcPr>
            <w:tcW w:w="2740" w:type="dxa"/>
            <w:vAlign w:val="bottom"/>
          </w:tcPr>
          <w:p>
            <w:pPr>
              <w:ind w:left="2140"/>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xml:space="preserve"> May 2015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19</w:t>
            </w:r>
            <w:r>
              <w:rPr>
                <w:rFonts w:ascii="Arial" w:cs="Arial" w:eastAsia="Arial" w:hAnsi="Arial"/>
                <w:sz w:val="15"/>
                <w:szCs w:val="15"/>
                <w:color w:val="auto"/>
              </w:rPr>
              <w:t>th</w:t>
            </w:r>
            <w:r>
              <w:rPr>
                <w:rFonts w:ascii="Arial" w:cs="Arial" w:eastAsia="Arial" w:hAnsi="Arial"/>
                <w:sz w:val="18"/>
                <w:szCs w:val="18"/>
                <w:color w:val="auto"/>
              </w:rPr>
              <w:t xml:space="preserve"> 2015</w:t>
            </w:r>
          </w:p>
        </w:tc>
        <w:tc>
          <w:tcPr>
            <w:tcW w:w="27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from October 20, 2014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Marco Londei (“</w:t>
      </w:r>
      <w:r>
        <w:rPr>
          <w:rFonts w:ascii="Arial" w:cs="Arial" w:eastAsia="Arial" w:hAnsi="Arial"/>
          <w:sz w:val="18"/>
          <w:szCs w:val="18"/>
          <w:b w:val="1"/>
          <w:bCs w:val="1"/>
          <w:i w:val="1"/>
          <w:iCs w:val="1"/>
          <w:color w:val="auto"/>
        </w:rPr>
        <w:t>CDO</w:t>
      </w:r>
      <w:r>
        <w:rPr>
          <w:rFonts w:ascii="Arial" w:cs="Arial" w:eastAsia="Arial" w:hAnsi="Arial"/>
          <w:sz w:val="18"/>
          <w:szCs w:val="18"/>
          <w:color w:val="auto"/>
        </w:rPr>
        <w:t>”). The Company and CDO are hereinafter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desires to continue to employ CDO and CDO is willing to continue to accept such employment by Company, on the terms and subject to the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34" w:lineRule="exact"/>
        <w:rPr>
          <w:sz w:val="20"/>
          <w:szCs w:val="20"/>
          <w:color w:val="auto"/>
        </w:rPr>
      </w:pPr>
    </w:p>
    <w:p>
      <w:pPr>
        <w:ind w:left="900" w:hanging="446"/>
        <w:spacing w:after="0"/>
        <w:tabs>
          <w:tab w:leader="none" w:pos="90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w:t>
      </w:r>
    </w:p>
    <w:p>
      <w:pPr>
        <w:spacing w:after="0" w:line="225" w:lineRule="exact"/>
        <w:rPr>
          <w:sz w:val="20"/>
          <w:szCs w:val="20"/>
          <w:color w:val="auto"/>
        </w:rPr>
      </w:pPr>
    </w:p>
    <w:p>
      <w:pPr>
        <w:ind w:right="560" w:firstLine="913"/>
        <w:spacing w:after="0" w:line="282"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CDO’s position shall be Chief Development Officer of the Company,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207"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1.3 Duties. </w:t>
      </w:r>
      <w:r>
        <w:rPr>
          <w:rFonts w:ascii="Arial" w:cs="Arial" w:eastAsia="Arial" w:hAnsi="Arial"/>
          <w:sz w:val="18"/>
          <w:szCs w:val="18"/>
          <w:color w:val="auto"/>
        </w:rPr>
        <w:t>CDO shall do and perform all services, acts or things necessary or advisable to manage and conduct the business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normally associated with the position of Chief Development Officer. CDO shall report to the Chief Executive Officer.</w:t>
      </w:r>
    </w:p>
    <w:p>
      <w:pPr>
        <w:spacing w:after="0" w:line="162"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 xml:space="preserve">1.4 Policies and Practices. </w:t>
      </w:r>
      <w:r>
        <w:rPr>
          <w:rFonts w:ascii="Arial" w:cs="Arial" w:eastAsia="Arial" w:hAnsi="Arial"/>
          <w:sz w:val="17"/>
          <w:szCs w:val="17"/>
          <w:color w:val="auto"/>
        </w:rPr>
        <w:t>The employment relationship between the Parties shall be governed by this Agreement and by the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58"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b w:val="1"/>
          <w:bCs w:val="1"/>
          <w:color w:val="auto"/>
        </w:rPr>
        <w:t>1.5 Location</w:t>
      </w:r>
      <w:r>
        <w:rPr>
          <w:rFonts w:ascii="Arial" w:cs="Arial" w:eastAsia="Arial" w:hAnsi="Arial"/>
          <w:sz w:val="18"/>
          <w:szCs w:val="18"/>
          <w:color w:val="auto"/>
        </w:rPr>
        <w:t>. Unless the Parties otherwise agree in writing, during the Term CDO shall perform the services CDO is required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at the Company’s offices in San Diego, California, </w:t>
      </w:r>
      <w:r>
        <w:rPr>
          <w:rFonts w:ascii="Arial" w:cs="Arial" w:eastAsia="Arial" w:hAnsi="Arial"/>
          <w:sz w:val="18"/>
          <w:szCs w:val="18"/>
          <w:b w:val="1"/>
          <w:bCs w:val="1"/>
          <w:i w:val="1"/>
          <w:iCs w:val="1"/>
          <w:color w:val="auto"/>
        </w:rPr>
        <w:t>provided, 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the Company may from time to time require CDO to travel temporarily to other locations in connection with the Company’s business.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93" w:name="page394"/>
    <w:bookmarkEnd w:id="393"/>
    <w:p>
      <w:pPr>
        <w:ind w:left="900" w:hanging="446"/>
        <w:spacing w:after="0"/>
        <w:tabs>
          <w:tab w:leader="none" w:pos="90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5"/>
          <w:szCs w:val="15"/>
          <w:b w:val="1"/>
          <w:bCs w:val="1"/>
          <w:color w:val="auto"/>
        </w:rPr>
        <w:t>OYALTY</w:t>
      </w:r>
      <w:r>
        <w:rPr>
          <w:rFonts w:ascii="Arial" w:cs="Arial" w:eastAsia="Arial" w:hAnsi="Arial"/>
          <w:sz w:val="18"/>
          <w:szCs w:val="18"/>
          <w:b w:val="1"/>
          <w:bCs w:val="1"/>
          <w:color w:val="auto"/>
        </w:rPr>
        <w:t>; N</w:t>
      </w:r>
      <w:r>
        <w:rPr>
          <w:rFonts w:ascii="Arial" w:cs="Arial" w:eastAsia="Arial" w:hAnsi="Arial"/>
          <w:sz w:val="15"/>
          <w:szCs w:val="15"/>
          <w:b w:val="1"/>
          <w:bCs w:val="1"/>
          <w:color w:val="auto"/>
        </w:rPr>
        <w:t>ONCOMPETITION</w:t>
      </w:r>
      <w:r>
        <w:rPr>
          <w:rFonts w:ascii="Arial" w:cs="Arial" w:eastAsia="Arial" w:hAnsi="Arial"/>
          <w:sz w:val="18"/>
          <w:szCs w:val="18"/>
          <w:b w:val="1"/>
          <w:bCs w:val="1"/>
          <w:color w:val="auto"/>
        </w:rPr>
        <w:t>; N</w:t>
      </w:r>
      <w:r>
        <w:rPr>
          <w:rFonts w:ascii="Arial" w:cs="Arial" w:eastAsia="Arial" w:hAnsi="Arial"/>
          <w:sz w:val="15"/>
          <w:szCs w:val="15"/>
          <w:b w:val="1"/>
          <w:bCs w:val="1"/>
          <w:color w:val="auto"/>
        </w:rPr>
        <w:t>ONSOLICITATION</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CDO’s employment with the Company, CDO shall devote CDO’s full business energies, interest, abilities and productive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the proper and efficient performance of CDO’s duties under this Agreement.</w:t>
      </w:r>
    </w:p>
    <w:p>
      <w:pPr>
        <w:spacing w:after="0" w:line="16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2.2 Agreement not to Participate in Company’s Competitors</w:t>
      </w:r>
      <w:r>
        <w:rPr>
          <w:rFonts w:ascii="Arial" w:cs="Arial" w:eastAsia="Arial" w:hAnsi="Arial"/>
          <w:sz w:val="16"/>
          <w:szCs w:val="16"/>
          <w:color w:val="auto"/>
        </w:rPr>
        <w:t>. During CDO’s employment with the Company, CDO agrees not to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participate in, directly or indirectly, any position, investment or interest known by CDO to be adverse or antagonistic to the Company, its business, or prospects, financial or otherwise, or in any company, person, or entity that is, directly or indirectly, in competition with the business of the Company or any of its Affiliates (as defined below). Ownership by CDO, in professionally managed funds over which CDO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specific entity, any other entity that, directly or indirectly, through one or more intermediaries, controls, is controlled by or is under common control with such specified entity.</w:t>
      </w:r>
    </w:p>
    <w:p>
      <w:pPr>
        <w:spacing w:after="0" w:line="16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b w:val="1"/>
          <w:bCs w:val="1"/>
          <w:color w:val="auto"/>
        </w:rPr>
        <w:t>2.3 Covenant not to Compete</w:t>
      </w:r>
      <w:r>
        <w:rPr>
          <w:rFonts w:ascii="Arial" w:cs="Arial" w:eastAsia="Arial" w:hAnsi="Arial"/>
          <w:sz w:val="18"/>
          <w:szCs w:val="18"/>
          <w:color w:val="auto"/>
        </w:rPr>
        <w:t>. During CDO’s employment with the Company, CDO shall not engage in competition with the Company and/or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in any manner or capacity, as adviser, principal, agent, affiliate, promoter, partner, officer, director, employee, stockholder, owner, co-owner, consultant, in any phase of the business of developing, manufacturing and marketing of products or services that directly compete with the products or services of the Company, except with the prior written consent of the Board. CDO shall be entitled to request written consent of the Board with respect to potential advisory and/or director opportunities presented to CDO by a third party, which CDO believes in good faith will not interfere or compete with the on-going business of the Company, during CDO’s employment.</w:t>
      </w:r>
    </w:p>
    <w:p>
      <w:pPr>
        <w:spacing w:after="0" w:line="215" w:lineRule="exact"/>
        <w:rPr>
          <w:sz w:val="20"/>
          <w:szCs w:val="20"/>
          <w:color w:val="auto"/>
        </w:rPr>
      </w:pPr>
    </w:p>
    <w:p>
      <w:pPr>
        <w:ind w:left="900" w:hanging="446"/>
        <w:spacing w:after="0"/>
        <w:tabs>
          <w:tab w:leader="none" w:pos="90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OMPENSATION OF</w:t>
      </w:r>
      <w:r>
        <w:rPr>
          <w:rFonts w:ascii="Arial" w:cs="Arial" w:eastAsia="Arial" w:hAnsi="Arial"/>
          <w:sz w:val="18"/>
          <w:szCs w:val="18"/>
          <w:b w:val="1"/>
          <w:bCs w:val="1"/>
          <w:color w:val="auto"/>
        </w:rPr>
        <w:t xml:space="preserve"> CDO.</w:t>
      </w:r>
    </w:p>
    <w:p>
      <w:pPr>
        <w:spacing w:after="0" w:line="225"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CDO a base salary at the annualized rate of $350,000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payroll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required withholdings, payable in regular periodic installments in accordance with the Company’s normal payroll practices. The Base Salary shall be prorated for any partial year of employment on the basis of a 365-day fiscal year.</w:t>
      </w:r>
    </w:p>
    <w:p>
      <w:pPr>
        <w:spacing w:after="0" w:line="17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3.2 Discretionary Bonus. </w:t>
      </w:r>
      <w:r>
        <w:rPr>
          <w:rFonts w:ascii="Arial" w:cs="Arial" w:eastAsia="Arial" w:hAnsi="Arial"/>
          <w:sz w:val="18"/>
          <w:szCs w:val="18"/>
          <w:color w:val="auto"/>
        </w:rPr>
        <w:t>At the sole discretion of the Board and Chief Executive Officer, promptly following each calendar year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CDO shall be eligible to receive a discretionary cash bonus of up to 25% of CDO’s then-current base salary (the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based on CDO’s achievement relative to certain performance goals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to be established by the Chief Executive Officer in writing in a manner reasonably consistent with the Company’s priorities. The determination of whether CDO has met the Performance Goals for any given year, and if so, the amount of any Bonus that will be paid 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94" w:name="page395"/>
    <w:bookmarkEnd w:id="39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year (if any), shall be determined by the Board and Chief Executive Officer in their sole and absolute discretion. In order to be eligible to earn or receive any Bonus, CDO must remain employed by the Company through and including the date of payment of such Bonus.</w:t>
      </w:r>
    </w:p>
    <w:p>
      <w:pPr>
        <w:spacing w:after="0" w:line="166" w:lineRule="exact"/>
        <w:rPr>
          <w:sz w:val="20"/>
          <w:szCs w:val="20"/>
          <w:color w:val="auto"/>
        </w:rPr>
      </w:pPr>
    </w:p>
    <w:p>
      <w:pPr>
        <w:ind w:right="800" w:firstLine="913"/>
        <w:spacing w:after="0" w:line="282" w:lineRule="auto"/>
        <w:rPr>
          <w:sz w:val="20"/>
          <w:szCs w:val="20"/>
          <w:color w:val="auto"/>
        </w:rPr>
      </w:pPr>
      <w:r>
        <w:rPr>
          <w:rFonts w:ascii="Arial" w:cs="Arial" w:eastAsia="Arial" w:hAnsi="Arial"/>
          <w:sz w:val="18"/>
          <w:szCs w:val="18"/>
          <w:b w:val="1"/>
          <w:bCs w:val="1"/>
          <w:color w:val="auto"/>
        </w:rPr>
        <w:t xml:space="preserve">3.3 Additional Discretionary Bonus(es). </w:t>
      </w:r>
      <w:r>
        <w:rPr>
          <w:rFonts w:ascii="Arial" w:cs="Arial" w:eastAsia="Arial" w:hAnsi="Arial"/>
          <w:sz w:val="18"/>
          <w:szCs w:val="18"/>
          <w:color w:val="auto"/>
        </w:rPr>
        <w:t>CDO shall be eligible to receive to following additional performance-based cash bonuses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and Chief Executive Officer in their sole and absolute discretion.</w:t>
      </w:r>
    </w:p>
    <w:p>
      <w:pPr>
        <w:spacing w:after="0" w:line="16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3.4 Stock Option. </w:t>
      </w:r>
      <w:r>
        <w:rPr>
          <w:rFonts w:ascii="Arial" w:cs="Arial" w:eastAsia="Arial" w:hAnsi="Arial"/>
          <w:sz w:val="16"/>
          <w:szCs w:val="16"/>
          <w:color w:val="auto"/>
        </w:rPr>
        <w:t>As soon as practicable following the Effective Date, CDO will be granted an option to purchase up to 1,126,756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(the “Base Option”) pursuant to the terms of the Company’s 2006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For purposes of this Section 3.3, “</w:t>
      </w:r>
      <w:r>
        <w:rPr>
          <w:rFonts w:ascii="Arial" w:cs="Arial" w:eastAsia="Arial" w:hAnsi="Arial"/>
          <w:sz w:val="16"/>
          <w:szCs w:val="16"/>
          <w:b w:val="1"/>
          <w:bCs w:val="1"/>
          <w:i w:val="1"/>
          <w:iCs w:val="1"/>
          <w:color w:val="auto"/>
        </w:rPr>
        <w:t>fully-diluted capitalization of the Company</w:t>
      </w:r>
      <w:r>
        <w:rPr>
          <w:rFonts w:ascii="Arial" w:cs="Arial" w:eastAsia="Arial" w:hAnsi="Arial"/>
          <w:sz w:val="16"/>
          <w:szCs w:val="16"/>
          <w:color w:val="auto"/>
        </w:rPr>
        <w:t>” means (1) all issued and outstanding equity securities of the Company, (2) all shares issuable upon the conversion, exercise, or exchange of any outstanding options, warrants, or other convertible or exchangeable securities of the Company and (3) all shares reserved for future issuance pursuant to the Plan. The Base Option shall be subject to vesting such that, subject to CDO’s continued employment with the Company, 1/4 of the shares subject to the Base Option shall vest as of the first anniversary of the Effective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 For clarity, any and all preferred shares of the Company purchased by CDO, prior to or following the Effective Date, are not included in the aforementioned consideration due to CDO.</w:t>
      </w:r>
    </w:p>
    <w:p>
      <w:pPr>
        <w:spacing w:after="0" w:line="164"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b w:val="1"/>
          <w:bCs w:val="1"/>
          <w:color w:val="auto"/>
        </w:rPr>
        <w:t xml:space="preserve">3.5 Expense Reimbursements. </w:t>
      </w:r>
      <w:r>
        <w:rPr>
          <w:rFonts w:ascii="Arial" w:cs="Arial" w:eastAsia="Arial" w:hAnsi="Arial"/>
          <w:sz w:val="17"/>
          <w:szCs w:val="17"/>
          <w:color w:val="auto"/>
        </w:rPr>
        <w:t>The Company will reimburse CDO for all reasonable business expenses CDO incurs in conducting his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pursuant to the Company’s usual expense reimbursement policies; provided that CDO supplies the appropriate substantiation for such expenses no later than the end of the calendar month following the month in which such expenses were incurred by CDO.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3.6 Changes to Compensation. </w:t>
      </w:r>
      <w:r>
        <w:rPr>
          <w:rFonts w:ascii="Arial" w:cs="Arial" w:eastAsia="Arial" w:hAnsi="Arial"/>
          <w:sz w:val="16"/>
          <w:szCs w:val="16"/>
          <w:color w:val="auto"/>
        </w:rPr>
        <w:t>CDO’s compensation will be reviewed annually and may be changed from time to time in the Company’s sole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07"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3.7 Employment Taxes</w:t>
      </w:r>
      <w:r>
        <w:rPr>
          <w:rFonts w:ascii="Arial" w:cs="Arial" w:eastAsia="Arial" w:hAnsi="Arial"/>
          <w:sz w:val="18"/>
          <w:szCs w:val="18"/>
          <w:color w:val="auto"/>
        </w:rPr>
        <w:t>. All of CDO’s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162" w:lineRule="exact"/>
        <w:rPr>
          <w:sz w:val="20"/>
          <w:szCs w:val="20"/>
          <w:color w:val="auto"/>
        </w:rPr>
      </w:pPr>
    </w:p>
    <w:p>
      <w:pPr>
        <w:ind w:right="140" w:firstLine="913"/>
        <w:spacing w:after="0" w:line="347" w:lineRule="auto"/>
        <w:rPr>
          <w:sz w:val="20"/>
          <w:szCs w:val="20"/>
          <w:color w:val="auto"/>
        </w:rPr>
      </w:pPr>
      <w:r>
        <w:rPr>
          <w:rFonts w:ascii="Arial" w:cs="Arial" w:eastAsia="Arial" w:hAnsi="Arial"/>
          <w:sz w:val="16"/>
          <w:szCs w:val="16"/>
          <w:b w:val="1"/>
          <w:bCs w:val="1"/>
          <w:color w:val="auto"/>
        </w:rPr>
        <w:t>3.8 Benefits</w:t>
      </w:r>
      <w:r>
        <w:rPr>
          <w:rFonts w:ascii="Arial" w:cs="Arial" w:eastAsia="Arial" w:hAnsi="Arial"/>
          <w:sz w:val="16"/>
          <w:szCs w:val="16"/>
          <w:color w:val="auto"/>
        </w:rPr>
        <w:t>. CDO shall, in accordance with Company policy and the terms of the applicable plan documents,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benefit plan or arrangement that may be in effect from time to time and made available to the Company’s senior management employees.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95" w:name="page396"/>
    <w:bookmarkEnd w:id="395"/>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3.9 Holidays and Vacation. </w:t>
      </w:r>
      <w:r>
        <w:rPr>
          <w:rFonts w:ascii="Arial" w:cs="Arial" w:eastAsia="Arial" w:hAnsi="Arial"/>
          <w:sz w:val="16"/>
          <w:szCs w:val="16"/>
          <w:color w:val="auto"/>
        </w:rPr>
        <w:t>CDO shall be eligible for paid holiday and vacation time in accordance with Company policy as in effect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34" w:lineRule="exact"/>
        <w:rPr>
          <w:sz w:val="20"/>
          <w:szCs w:val="20"/>
          <w:color w:val="auto"/>
        </w:rPr>
      </w:pPr>
    </w:p>
    <w:p>
      <w:pPr>
        <w:ind w:left="900" w:hanging="446"/>
        <w:spacing w:after="0"/>
        <w:tabs>
          <w:tab w:leader="none" w:pos="90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4.1 Termination by the Company</w:t>
      </w:r>
      <w:r>
        <w:rPr>
          <w:rFonts w:ascii="Arial" w:cs="Arial" w:eastAsia="Arial" w:hAnsi="Arial"/>
          <w:sz w:val="18"/>
          <w:szCs w:val="18"/>
          <w:color w:val="auto"/>
        </w:rPr>
        <w:t>. CDO’s employment with the Company is at will and may be terminated by the Company at any time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or for no reason, including, but not limited to, under the following conditions:</w:t>
      </w:r>
    </w:p>
    <w:p>
      <w:pPr>
        <w:spacing w:after="0" w:line="162" w:lineRule="exact"/>
        <w:rPr>
          <w:sz w:val="20"/>
          <w:szCs w:val="20"/>
          <w:color w:val="auto"/>
        </w:rPr>
      </w:pPr>
    </w:p>
    <w:p>
      <w:pPr>
        <w:ind w:right="20" w:firstLine="1484"/>
        <w:spacing w:after="0" w:line="266" w:lineRule="auto"/>
        <w:rPr>
          <w:sz w:val="20"/>
          <w:szCs w:val="20"/>
          <w:color w:val="auto"/>
        </w:rPr>
      </w:pPr>
      <w:r>
        <w:rPr>
          <w:rFonts w:ascii="Arial" w:cs="Arial" w:eastAsia="Arial" w:hAnsi="Arial"/>
          <w:sz w:val="18"/>
          <w:szCs w:val="18"/>
          <w:b w:val="1"/>
          <w:bCs w:val="1"/>
          <w:color w:val="auto"/>
        </w:rPr>
        <w:t>4.1.1 Termination by the Company for Cause</w:t>
      </w:r>
      <w:r>
        <w:rPr>
          <w:rFonts w:ascii="Arial" w:cs="Arial" w:eastAsia="Arial" w:hAnsi="Arial"/>
          <w:sz w:val="18"/>
          <w:szCs w:val="18"/>
          <w:color w:val="auto"/>
        </w:rPr>
        <w:t>. The Company may terminate CDO’s employment under this Agreement for “Cause”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by delivery of written notice to CDO. Any notice of termination given pursuant to this section shall effect termination as of the date of the notice, or as of such other date specified in the notice.</w:t>
      </w:r>
    </w:p>
    <w:p>
      <w:pPr>
        <w:spacing w:after="0" w:line="176" w:lineRule="exact"/>
        <w:rPr>
          <w:sz w:val="20"/>
          <w:szCs w:val="20"/>
          <w:color w:val="auto"/>
        </w:rPr>
      </w:pPr>
    </w:p>
    <w:p>
      <w:pPr>
        <w:jc w:val="both"/>
        <w:ind w:right="220" w:firstLine="1484"/>
        <w:spacing w:after="0" w:line="266" w:lineRule="auto"/>
        <w:rPr>
          <w:sz w:val="20"/>
          <w:szCs w:val="20"/>
          <w:color w:val="auto"/>
        </w:rPr>
      </w:pPr>
      <w:r>
        <w:rPr>
          <w:rFonts w:ascii="Arial" w:cs="Arial" w:eastAsia="Arial" w:hAnsi="Arial"/>
          <w:sz w:val="18"/>
          <w:szCs w:val="18"/>
          <w:b w:val="1"/>
          <w:bCs w:val="1"/>
          <w:color w:val="auto"/>
        </w:rPr>
        <w:t>4.1.2 Termination by the Company without Cause</w:t>
      </w:r>
      <w:r>
        <w:rPr>
          <w:rFonts w:ascii="Arial" w:cs="Arial" w:eastAsia="Arial" w:hAnsi="Arial"/>
          <w:sz w:val="18"/>
          <w:szCs w:val="18"/>
          <w:color w:val="auto"/>
        </w:rPr>
        <w:t>. The Company may terminate CDO’s employment under this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and for any reason, or for no reason. Such termination shall be effective on the date CDO is so informed, or as otherwise specified by the Company.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4.2 Termination by CDO</w:t>
      </w:r>
      <w:r>
        <w:rPr>
          <w:rFonts w:ascii="Arial" w:cs="Arial" w:eastAsia="Arial" w:hAnsi="Arial"/>
          <w:sz w:val="16"/>
          <w:szCs w:val="16"/>
          <w:color w:val="auto"/>
        </w:rPr>
        <w:t>. CDO may terminate his employment with the Company at any time and for any reason, or for no reason, upon thirty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(30) days written notice to the Company.</w:t>
      </w:r>
    </w:p>
    <w:p>
      <w:pPr>
        <w:spacing w:after="0" w:line="207"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4.3 Termination for Death or Disability</w:t>
      </w:r>
      <w:r>
        <w:rPr>
          <w:rFonts w:ascii="Arial" w:cs="Arial" w:eastAsia="Arial" w:hAnsi="Arial"/>
          <w:sz w:val="18"/>
          <w:szCs w:val="18"/>
          <w:color w:val="auto"/>
        </w:rPr>
        <w:t>. CDO’s employment with the Company shall automatically terminate effective upon the date of CDO’s</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(as defined in the Plan).</w:t>
      </w:r>
    </w:p>
    <w:p>
      <w:pPr>
        <w:spacing w:after="0" w:line="162" w:lineRule="exact"/>
        <w:rPr>
          <w:sz w:val="20"/>
          <w:szCs w:val="20"/>
          <w:color w:val="auto"/>
        </w:rPr>
      </w:pPr>
    </w:p>
    <w:p>
      <w:pPr>
        <w:ind w:right="260" w:firstLine="913"/>
        <w:spacing w:after="0" w:line="313" w:lineRule="auto"/>
        <w:rPr>
          <w:sz w:val="20"/>
          <w:szCs w:val="20"/>
          <w:color w:val="auto"/>
        </w:rPr>
      </w:pPr>
      <w:r>
        <w:rPr>
          <w:rFonts w:ascii="Arial" w:cs="Arial" w:eastAsia="Arial" w:hAnsi="Arial"/>
          <w:sz w:val="17"/>
          <w:szCs w:val="17"/>
          <w:b w:val="1"/>
          <w:bCs w:val="1"/>
          <w:color w:val="auto"/>
        </w:rPr>
        <w:t>4.4 Termination by Mutual Agreement of the Parties</w:t>
      </w:r>
      <w:r>
        <w:rPr>
          <w:rFonts w:ascii="Arial" w:cs="Arial" w:eastAsia="Arial" w:hAnsi="Arial"/>
          <w:sz w:val="17"/>
          <w:szCs w:val="17"/>
          <w:color w:val="auto"/>
        </w:rPr>
        <w:t>. CDO’s employment with the Company may be terminated at any time upon a mutual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writing of the Parties. Any such termination of employment shall have the consequences specified in such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225" w:lineRule="exact"/>
        <w:rPr>
          <w:sz w:val="20"/>
          <w:szCs w:val="20"/>
          <w:color w:val="auto"/>
        </w:rPr>
      </w:pPr>
    </w:p>
    <w:p>
      <w:pPr>
        <w:ind w:right="20" w:firstLine="1484"/>
        <w:spacing w:after="0" w:line="261" w:lineRule="auto"/>
        <w:rPr>
          <w:sz w:val="20"/>
          <w:szCs w:val="20"/>
          <w:color w:val="auto"/>
        </w:rPr>
      </w:pPr>
      <w:r>
        <w:rPr>
          <w:rFonts w:ascii="Arial" w:cs="Arial" w:eastAsia="Arial" w:hAnsi="Arial"/>
          <w:sz w:val="18"/>
          <w:szCs w:val="18"/>
          <w:b w:val="1"/>
          <w:bCs w:val="1"/>
          <w:color w:val="auto"/>
        </w:rPr>
        <w:t>4.5.1 Death or Disability</w:t>
      </w:r>
      <w:r>
        <w:rPr>
          <w:rFonts w:ascii="Arial" w:cs="Arial" w:eastAsia="Arial" w:hAnsi="Arial"/>
          <w:sz w:val="18"/>
          <w:szCs w:val="18"/>
          <w:color w:val="auto"/>
        </w:rPr>
        <w:t>. If CDO’s employment is terminated by death or Disability, the Company shall pay to CDO, or to CDO’s heirs,</w:t>
      </w:r>
      <w:r>
        <w:rPr>
          <w:rFonts w:ascii="Arial" w:cs="Arial" w:eastAsia="Arial" w:hAnsi="Arial"/>
          <w:sz w:val="18"/>
          <w:szCs w:val="18"/>
          <w:b w:val="1"/>
          <w:bCs w:val="1"/>
          <w:color w:val="auto"/>
        </w:rPr>
        <w:t xml:space="preserve"> </w:t>
      </w:r>
      <w:r>
        <w:rPr>
          <w:rFonts w:ascii="Arial" w:cs="Arial" w:eastAsia="Arial" w:hAnsi="Arial"/>
          <w:sz w:val="18"/>
          <w:szCs w:val="18"/>
          <w:color w:val="auto"/>
        </w:rPr>
        <w:t>CDO’s base salary and accrued and unused vacation benefits earned through the date of termination at the rate in effect at the time of termination, less standard deductions and withholdings. The Company shall thereafter have no further obligations to CDO and/or CDO’s heirs under this Agreement, except as otherwise provided by law.</w:t>
      </w:r>
    </w:p>
    <w:p>
      <w:pPr>
        <w:spacing w:after="0" w:line="180" w:lineRule="exact"/>
        <w:rPr>
          <w:sz w:val="20"/>
          <w:szCs w:val="20"/>
          <w:color w:val="auto"/>
        </w:rPr>
      </w:pPr>
    </w:p>
    <w:p>
      <w:pPr>
        <w:ind w:firstLine="1484"/>
        <w:spacing w:after="0" w:line="314" w:lineRule="auto"/>
        <w:rPr>
          <w:sz w:val="20"/>
          <w:szCs w:val="20"/>
          <w:color w:val="auto"/>
        </w:rPr>
      </w:pPr>
      <w:r>
        <w:rPr>
          <w:rFonts w:ascii="Arial" w:cs="Arial" w:eastAsia="Arial" w:hAnsi="Arial"/>
          <w:sz w:val="16"/>
          <w:szCs w:val="16"/>
          <w:b w:val="1"/>
          <w:bCs w:val="1"/>
          <w:color w:val="auto"/>
        </w:rPr>
        <w:t xml:space="preserve">4.5.2 Termination For Cause. </w:t>
      </w:r>
      <w:r>
        <w:rPr>
          <w:rFonts w:ascii="Arial" w:cs="Arial" w:eastAsia="Arial" w:hAnsi="Arial"/>
          <w:sz w:val="16"/>
          <w:szCs w:val="16"/>
          <w:color w:val="auto"/>
        </w:rPr>
        <w:t>If the Company terminates CDO’s employment for Cause, then the Company shall pay CDO’s 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and accrued and unused vacation benefits earned through the date of termination, at the rate in effect at the time of termination, less standard deductions and withholdings. The Company shall thereafter have no further obligations to CDO under this Agreement, except as otherwise provided by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396" w:name="page397"/>
    <w:bookmarkEnd w:id="396"/>
    <w:p>
      <w:pPr>
        <w:ind w:right="20" w:firstLine="1484"/>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4.5.3 Termination by Company Without Cause or by CDO for Good Reason Not In Connection with a Change in Control.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terminates CDO’s employment without Cause or if CDO resigns his employment for Good Reason, in either case at any time other than upon the occurrence of, or within the 13 months immediately following, the effective date of a Change in Control, the Company shall pay CDO’s base salary and accrued and unused vacation benefits earned through the date of termination, at the rate in effect at the time of termination, less standard deductions and withholdings. In addition, if CDO furnishes to the Company an executed waiver and release of claims in the form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(or in such other form as may be specified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within the time period specified therein, but in no event later than 45 days following CDO’s termination, and if CDO allows such Release to become effective in accordance with its terms, then (i) CDO shall be entitled to severance in the form of continuation of his base salary, at the base salary rate in effect at the time of termination (the “</w:t>
      </w:r>
      <w:r>
        <w:rPr>
          <w:rFonts w:ascii="Arial" w:cs="Arial" w:eastAsia="Arial" w:hAnsi="Arial"/>
          <w:sz w:val="17"/>
          <w:szCs w:val="17"/>
          <w:b w:val="1"/>
          <w:bCs w:val="1"/>
          <w:i w:val="1"/>
          <w:iCs w:val="1"/>
          <w:color w:val="auto"/>
        </w:rPr>
        <w:t>Severance Payments</w:t>
      </w:r>
      <w:r>
        <w:rPr>
          <w:rFonts w:ascii="Arial" w:cs="Arial" w:eastAsia="Arial" w:hAnsi="Arial"/>
          <w:sz w:val="17"/>
          <w:szCs w:val="17"/>
          <w:color w:val="auto"/>
        </w:rPr>
        <w:t>”), for a period of nine months following the termination date (the “</w:t>
      </w:r>
      <w:r>
        <w:rPr>
          <w:rFonts w:ascii="Arial" w:cs="Arial" w:eastAsia="Arial" w:hAnsi="Arial"/>
          <w:sz w:val="17"/>
          <w:szCs w:val="17"/>
          <w:b w:val="1"/>
          <w:bCs w:val="1"/>
          <w:i w:val="1"/>
          <w:iCs w:val="1"/>
          <w:color w:val="auto"/>
        </w:rPr>
        <w:t>Severance Period</w:t>
      </w:r>
      <w:r>
        <w:rPr>
          <w:rFonts w:ascii="Arial" w:cs="Arial" w:eastAsia="Arial" w:hAnsi="Arial"/>
          <w:sz w:val="17"/>
          <w:szCs w:val="17"/>
          <w:color w:val="auto"/>
        </w:rPr>
        <w:t xml:space="preserve">”), and (ii) the Company will pay directly to the insurance provider the premium for COBRA continuation coverage for CDO and CDO’s family during the Severance Period or until he obtains new employment, whichever comes first (the </w:t>
      </w:r>
      <w:r>
        <w:rPr>
          <w:rFonts w:ascii="Arial" w:cs="Arial" w:eastAsia="Arial" w:hAnsi="Arial"/>
          <w:sz w:val="17"/>
          <w:szCs w:val="17"/>
          <w:b w:val="1"/>
          <w:bCs w:val="1"/>
          <w:i w:val="1"/>
          <w:iCs w:val="1"/>
          <w:color w:val="auto"/>
        </w:rPr>
        <w:t>“COBRA Coverage”</w:t>
      </w:r>
      <w:r>
        <w:rPr>
          <w:rFonts w:ascii="Arial" w:cs="Arial" w:eastAsia="Arial" w:hAnsi="Arial"/>
          <w:sz w:val="17"/>
          <w:szCs w:val="17"/>
          <w:color w:val="auto"/>
        </w:rPr>
        <w:t>).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The Company shall thereafter have no further obligations to CDO under this Agreement, except as otherwise provided by law.</w:t>
      </w:r>
    </w:p>
    <w:p>
      <w:pPr>
        <w:spacing w:after="0" w:line="185"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b w:val="1"/>
          <w:bCs w:val="1"/>
          <w:color w:val="auto"/>
        </w:rPr>
        <w:t xml:space="preserve">4.5.4 Termination by Company Without Cause or by CDO for Good Reason In Connection with a Change in Control.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terminates CDO’s employment without Cause or if CDO resigns his employment for Good Reason, in either case upon the occurrence of, or within the 13 months immediately following, the effective date of a Change in Control, the Company shall pay CDO’s base salary and accrued and unused vacation benefits earned through the date of termination, at the rate in effect at the time of termination, less standard deductions and withholdings. In addition, if CDO furnishes to the Company an executed Release within the time period specified therein, but in no event later than 45 days following CDO’s termination, and if CDO allows such Release to become effective in accordance with its terms, then CDO shall be entitled to: (1) the Severance Payments and COBRA coverage described in Section 4.5.3 above and (2) accelerated vesting of any unvested shares subject to the Base Option such that CDO shall become vested in 100% of the shares subject to such Base Option on the effective date of the Release. The Company shall thereafter have no further obligations to CDO under this Agreement, except as otherwise provided by law.</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4.6 Definitions</w:t>
      </w:r>
      <w:r>
        <w:rPr>
          <w:rFonts w:ascii="Arial" w:cs="Arial" w:eastAsia="Arial" w:hAnsi="Arial"/>
          <w:sz w:val="18"/>
          <w:szCs w:val="18"/>
          <w:color w:val="auto"/>
        </w:rPr>
        <w:t>. For purposes of this Agreement, the following terms shall have the following meanings:</w:t>
      </w:r>
    </w:p>
    <w:p>
      <w:pPr>
        <w:spacing w:after="0" w:line="225" w:lineRule="exact"/>
        <w:rPr>
          <w:sz w:val="20"/>
          <w:szCs w:val="20"/>
          <w:color w:val="auto"/>
        </w:rPr>
      </w:pPr>
    </w:p>
    <w:p>
      <w:pPr>
        <w:ind w:right="140" w:firstLine="1484"/>
        <w:spacing w:after="0" w:line="314" w:lineRule="auto"/>
        <w:rPr>
          <w:sz w:val="20"/>
          <w:szCs w:val="20"/>
          <w:color w:val="auto"/>
        </w:rPr>
      </w:pPr>
      <w:r>
        <w:rPr>
          <w:rFonts w:ascii="Arial" w:cs="Arial" w:eastAsia="Arial" w:hAnsi="Arial"/>
          <w:sz w:val="16"/>
          <w:szCs w:val="16"/>
          <w:b w:val="1"/>
          <w:bCs w:val="1"/>
          <w:color w:val="auto"/>
        </w:rPr>
        <w:t>4.6.1 Cause</w:t>
      </w:r>
      <w:r>
        <w:rPr>
          <w:rFonts w:ascii="Arial" w:cs="Arial" w:eastAsia="Arial" w:hAnsi="Arial"/>
          <w:sz w:val="16"/>
          <w:szCs w:val="16"/>
          <w:color w:val="auto"/>
        </w:rPr>
        <w: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the occurrence of any one or more of the following: (i) CDO’s commission of any crime involving</w:t>
      </w:r>
      <w:r>
        <w:rPr>
          <w:rFonts w:ascii="Arial" w:cs="Arial" w:eastAsia="Arial" w:hAnsi="Arial"/>
          <w:sz w:val="16"/>
          <w:szCs w:val="16"/>
          <w:b w:val="1"/>
          <w:bCs w:val="1"/>
          <w:color w:val="auto"/>
        </w:rPr>
        <w:t xml:space="preserve"> </w:t>
      </w:r>
      <w:r>
        <w:rPr>
          <w:rFonts w:ascii="Arial" w:cs="Arial" w:eastAsia="Arial" w:hAnsi="Arial"/>
          <w:sz w:val="16"/>
          <w:szCs w:val="16"/>
          <w:color w:val="auto"/>
        </w:rPr>
        <w:t>fraud, dishonesty or moral turpitude; (ii) CDO’s attempted commission of or participation in a fraud or act of dishonesty against the Company that results in (or might have reasonably resulted in) material harm to the business of the Company; (iii) CDO’s intentional, material violation of any contract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97" w:name="page398"/>
    <w:bookmarkEnd w:id="39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between CDO and the Company or any statutory duty CDO owes to the Company; or (iv) CDO’s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action or conduct described in clauses (iii) and (iv) above will constitute “Cause” only if such action or conduct continues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provided CDO with written notice thereof and thirty (30) days to cure, or otherwise remedy to the extent possible under direct control of the CDO, the same. An occurrence of “Cause” as set forth in the preceding sentence shall be based upon a good faith determination by the Board. CDO’s Disability shall not constitute Cause as set forth herein. The determination that a termination is for Cause shall be by the Board in its sole and exclusive judgment and discretion.</w:t>
      </w:r>
    </w:p>
    <w:p>
      <w:pPr>
        <w:spacing w:after="0" w:line="185" w:lineRule="exact"/>
        <w:rPr>
          <w:sz w:val="20"/>
          <w:szCs w:val="20"/>
          <w:color w:val="auto"/>
        </w:rPr>
      </w:pPr>
    </w:p>
    <w:p>
      <w:pPr>
        <w:ind w:right="40" w:firstLine="1484"/>
        <w:spacing w:after="0" w:line="254"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any of the following actions: (i) the assignment to CDO of any duties or responsibilities that results in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diminution in CDO’s function as in effect immediately prior to the effective date of the Change in Control; provided, however, that a change in CDO’s title or reporting relationships shall not provide the basis for a voluntary termination with Good Reason; (ii) a reduction by the Company in CDO’s annual base salary as in effect on the effective date of the Change in Control; provided, however, that Good Reason shall not be deemed to have occurred in the event of a reduction in CDO’s annual base salary that is pursuant to a salary reduction program affecting substantially all of the employees of the Company and that does not adversely affect CDO to a greater extent than other similarly situated employees; or (iii) a relocation of CDO’s primary business office to a location more than 50 miles from the location of CDO’s primary business office as of the effective date of the Change in Control, except for required travel by CDO on the Company’s business to an extent substantially consistent with CDO’s business travel obligations prior to the effective date of the Change in Control.</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4.7 Survival of Certain Sections. </w:t>
      </w:r>
      <w:r>
        <w:rPr>
          <w:rFonts w:ascii="Arial" w:cs="Arial" w:eastAsia="Arial" w:hAnsi="Arial"/>
          <w:sz w:val="17"/>
          <w:szCs w:val="17"/>
          <w:color w:val="auto"/>
        </w:rPr>
        <w:t>Sections 2, 3.4 and 4 through 18 of this Agreement will survive the termination of this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 Parachute Payment. </w:t>
      </w:r>
      <w:r>
        <w:rPr>
          <w:rFonts w:ascii="Arial" w:cs="Arial" w:eastAsia="Arial" w:hAnsi="Arial"/>
          <w:sz w:val="17"/>
          <w:szCs w:val="17"/>
          <w:color w:val="auto"/>
        </w:rPr>
        <w:t>If any payment or benefit CDO would receive pursuant to this Agreement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color w:val="auto"/>
        </w:rPr>
        <w:t>” 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taxes, and the Excise Tax (all computed at the highest applicable marginal rate), results in CDO’s receipt, on an after-tax basis, of the greatest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for CDO. If more than one method of reduction will result in the same economic benefit, the items so reduced will be reduced pro rata.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398" w:name="page399"/>
    <w:bookmarkEnd w:id="39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it is subsequently determined by the Internal Revenue Service that some portion of the Reduced Amount (as determined pursuant to clause</w:t>
      </w:r>
    </w:p>
    <w:p>
      <w:pPr>
        <w:spacing w:after="0" w:line="46" w:lineRule="exact"/>
        <w:rPr>
          <w:sz w:val="20"/>
          <w:szCs w:val="20"/>
          <w:color w:val="auto"/>
        </w:rPr>
      </w:pPr>
    </w:p>
    <w:p>
      <w:pPr>
        <w:ind w:right="320" w:firstLine="8"/>
        <w:spacing w:after="0" w:line="281" w:lineRule="auto"/>
        <w:tabs>
          <w:tab w:leader="none" w:pos="25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CDO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 the preceding paragraph, CDO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CDO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shall use commercially reasonable efforts such that the accounting, law or consulting firm engaged to make the determinations hereunder shall provide its calculations, together with detailed supporting documentation, to CDO and the Company within 15 calendar days after the date on which CDO’s right to a Payment is triggered (if requested at that time by CDO or the Company) or such other time as requested by CDO or the Company.</w:t>
      </w:r>
    </w:p>
    <w:p>
      <w:pPr>
        <w:spacing w:after="0" w:line="143"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b w:val="1"/>
          <w:bCs w:val="1"/>
          <w:color w:val="auto"/>
        </w:rPr>
        <w:t xml:space="preserve">4.9 Application of Internal Revenue Code Section 409A. </w:t>
      </w:r>
      <w:r>
        <w:rPr>
          <w:rFonts w:ascii="Arial" w:cs="Arial" w:eastAsia="Arial" w:hAnsi="Arial"/>
          <w:sz w:val="16"/>
          <w:szCs w:val="16"/>
          <w:color w:val="auto"/>
        </w:rPr>
        <w:t>Notwithstanding anything to the contrary set forth herein, any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under this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that constitute “deferred compensation” within the meaning of Section 409A of the Code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shall not commence in connection with CDO’s termination of employment unless and until CDO has also incurred a “separation from service” (as such term is defined in Treasury Regulation</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unless the Company reasonably determines that such amounts may be provided to CDO without causing CDO to incur the additional 20% tax under Section 409A.</w:t>
      </w:r>
    </w:p>
    <w:p>
      <w:pPr>
        <w:spacing w:after="0" w:line="184"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w:t>
      </w:r>
    </w:p>
    <w:p>
      <w:pPr>
        <w:ind w:firstLine="8"/>
        <w:spacing w:after="0" w:line="252" w:lineRule="auto"/>
        <w:tabs>
          <w:tab w:leader="none" w:pos="25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and 1.409A-1(b)(9). However, if the Company (or, if applicable, the successor entity thereto) determines that the Severance Benefits constitute “deferred compensation” under Section 409A and CDO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CDO’s Separation From Service, or (ii) the date of CDO’s death (such applicable date, the “</w:t>
      </w:r>
      <w:r>
        <w:rPr>
          <w:rFonts w:ascii="Arial" w:cs="Arial" w:eastAsia="Arial" w:hAnsi="Arial"/>
          <w:sz w:val="18"/>
          <w:szCs w:val="18"/>
          <w:b w:val="1"/>
          <w:bCs w:val="1"/>
          <w:i w:val="1"/>
          <w:iCs w:val="1"/>
          <w:color w:val="auto"/>
        </w:rPr>
        <w:t>Specified Employee Initial Payment Date</w:t>
      </w:r>
      <w:r>
        <w:rPr>
          <w:rFonts w:ascii="Arial" w:cs="Arial" w:eastAsia="Arial" w:hAnsi="Arial"/>
          <w:sz w:val="18"/>
          <w:szCs w:val="18"/>
          <w:color w:val="auto"/>
        </w:rPr>
        <w:t>”), the Company (or the successor entity thereto, as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99" w:name="page400"/>
    <w:bookmarkEnd w:id="399"/>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(A) pay to CDO a lump sum amount equal to the sum of the Severance Benefit payments that CDO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set forth herein, CDO shall receive the Severance Benefits described above, if and only if CDO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CDO the Severance Benefits CDO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89" w:lineRule="exact"/>
        <w:rPr>
          <w:sz w:val="20"/>
          <w:szCs w:val="20"/>
          <w:color w:val="auto"/>
        </w:rPr>
      </w:pPr>
    </w:p>
    <w:p>
      <w:pPr>
        <w:ind w:left="900" w:hanging="446"/>
        <w:spacing w:after="0"/>
        <w:tabs>
          <w:tab w:leader="none" w:pos="90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CDO has already executed, as a condition of CDO’s employment with the Company, the Company’s standard form of Proprietary Information and Inventions Agreement (the “</w:t>
      </w:r>
      <w:r>
        <w:rPr>
          <w:rFonts w:ascii="Arial" w:cs="Arial" w:eastAsia="Arial" w:hAnsi="Arial"/>
          <w:sz w:val="18"/>
          <w:szCs w:val="18"/>
          <w:b w:val="1"/>
          <w:bCs w:val="1"/>
          <w:i w:val="1"/>
          <w:iCs w:val="1"/>
          <w:color w:val="auto"/>
        </w:rPr>
        <w:t>PIIA</w:t>
      </w:r>
      <w:r>
        <w:rPr>
          <w:rFonts w:ascii="Arial" w:cs="Arial" w:eastAsia="Arial" w:hAnsi="Arial"/>
          <w:sz w:val="18"/>
          <w:szCs w:val="18"/>
          <w:color w:val="auto"/>
        </w:rPr>
        <w:t>”). The PIIA remains in full force and effect.</w:t>
      </w:r>
    </w:p>
    <w:p>
      <w:pPr>
        <w:spacing w:after="0" w:line="193" w:lineRule="exact"/>
        <w:rPr>
          <w:sz w:val="20"/>
          <w:szCs w:val="20"/>
          <w:color w:val="auto"/>
        </w:rPr>
      </w:pPr>
    </w:p>
    <w:p>
      <w:pPr>
        <w:ind w:left="900" w:hanging="446"/>
        <w:spacing w:after="0"/>
        <w:tabs>
          <w:tab w:leader="none" w:pos="90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SSIGNMENT AND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INDING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FFECT</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This Agreement shall be binding upon and inure to the benefit of CDO and CDO’s heirs, executors, personal representatives, assigns, administrators and legal representatives. Because of the unique and personal nature of CDO’s duties under this Agreement, neither this Agreement nor any rights or obligations under this Agreement shall be assignable by CDO.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201"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CDO under this Agreement shall be given in writing and shall be personally delivered (and receipted for) or faxed during normal business hours or mailed by certified mail, return receipt requested, postage prepaid, addressed as follows: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00" w:name="page401"/>
    <w:bookmarkEnd w:id="40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CDO:</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152400</wp:posOffset>
            </wp:positionV>
            <wp:extent cx="30441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30441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204" w:lineRule="exact"/>
        <w:rPr>
          <w:sz w:val="20"/>
          <w:szCs w:val="20"/>
          <w:color w:val="auto"/>
        </w:rPr>
      </w:pPr>
    </w:p>
    <w:p>
      <w:pPr>
        <w:ind w:left="900" w:hanging="446"/>
        <w:spacing w:after="0"/>
        <w:tabs>
          <w:tab w:leader="none" w:pos="90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193" w:lineRule="exact"/>
        <w:rPr>
          <w:sz w:val="20"/>
          <w:szCs w:val="20"/>
          <w:color w:val="auto"/>
        </w:rPr>
      </w:pPr>
    </w:p>
    <w:p>
      <w:pPr>
        <w:ind w:left="900" w:hanging="446"/>
        <w:spacing w:after="0"/>
        <w:tabs>
          <w:tab w:leader="none" w:pos="90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NTEGRATION</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CDO’s employment and the termination of CDO’s employment, and supersedes any and all prior and/or contemporaneous oral and written employment agreements or arrangements between the Parties.</w:t>
      </w:r>
    </w:p>
    <w:p>
      <w:pPr>
        <w:spacing w:after="0" w:line="203" w:lineRule="exact"/>
        <w:rPr>
          <w:sz w:val="20"/>
          <w:szCs w:val="20"/>
          <w:color w:val="auto"/>
        </w:rPr>
      </w:pPr>
    </w:p>
    <w:p>
      <w:pPr>
        <w:ind w:left="900" w:hanging="446"/>
        <w:spacing w:after="0"/>
        <w:tabs>
          <w:tab w:leader="none" w:pos="90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CDO and the Company.</w:t>
      </w:r>
    </w:p>
    <w:p>
      <w:pPr>
        <w:spacing w:after="0" w:line="248" w:lineRule="exact"/>
        <w:rPr>
          <w:sz w:val="20"/>
          <w:szCs w:val="20"/>
          <w:color w:val="auto"/>
        </w:rPr>
      </w:pPr>
    </w:p>
    <w:p>
      <w:pPr>
        <w:ind w:left="900" w:hanging="446"/>
        <w:spacing w:after="0"/>
        <w:tabs>
          <w:tab w:leader="none" w:pos="90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204" w:lineRule="exact"/>
        <w:rPr>
          <w:sz w:val="20"/>
          <w:szCs w:val="20"/>
          <w:color w:val="auto"/>
        </w:rPr>
      </w:pPr>
    </w:p>
    <w:p>
      <w:pPr>
        <w:ind w:left="900" w:hanging="446"/>
        <w:spacing w:after="0"/>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0" w:right="33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which most accurately represents the Parties’ intention with respect to the invalid or unenforceable term, or provision.</w:t>
      </w:r>
    </w:p>
    <w:p>
      <w:pPr>
        <w:spacing w:after="0" w:line="248" w:lineRule="exact"/>
        <w:rPr>
          <w:sz w:val="20"/>
          <w:szCs w:val="20"/>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NTERPRETATION</w:t>
      </w:r>
      <w:r>
        <w:rPr>
          <w:rFonts w:ascii="Arial" w:cs="Arial" w:eastAsia="Arial" w:hAnsi="Arial"/>
          <w:sz w:val="18"/>
          <w:szCs w:val="18"/>
          <w:b w:val="1"/>
          <w:bCs w:val="1"/>
          <w:color w:val="auto"/>
        </w:rPr>
        <w:t>; C</w:t>
      </w:r>
      <w:r>
        <w:rPr>
          <w:rFonts w:ascii="Arial" w:cs="Arial" w:eastAsia="Arial" w:hAnsi="Arial"/>
          <w:sz w:val="15"/>
          <w:szCs w:val="15"/>
          <w:b w:val="1"/>
          <w:bCs w:val="1"/>
          <w:color w:val="auto"/>
        </w:rPr>
        <w:t>ONSTRUCTION</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CDO has been encouraged to consult with, and has consulted with, CDO’s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96" w:lineRule="exact"/>
        <w:rPr>
          <w:sz w:val="20"/>
          <w:szCs w:val="20"/>
          <w:color w:val="auto"/>
        </w:rPr>
      </w:pPr>
    </w:p>
    <w:p>
      <w:pPr>
        <w:ind w:left="900" w:hanging="446"/>
        <w:spacing w:after="0"/>
        <w:tabs>
          <w:tab w:leader="none" w:pos="90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CDO represents and warrants that CDO is not restricted or prohibited, contractually or otherwise, from entering into and performing each of the terms and covenants contained in this Agreement, and that CDO’s execution and performance of this Agreement will not violate or breach any other agreements between CDO and any other person or entity.</w:t>
      </w:r>
    </w:p>
    <w:p>
      <w:pPr>
        <w:spacing w:after="0" w:line="204" w:lineRule="exact"/>
        <w:rPr>
          <w:sz w:val="20"/>
          <w:szCs w:val="20"/>
          <w:color w:val="auto"/>
        </w:rPr>
      </w:pPr>
    </w:p>
    <w:p>
      <w:pPr>
        <w:ind w:left="900" w:hanging="446"/>
        <w:spacing w:after="0"/>
        <w:tabs>
          <w:tab w:leader="none" w:pos="90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OUNTERPARTS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193" w:lineRule="exact"/>
        <w:rPr>
          <w:sz w:val="20"/>
          <w:szCs w:val="20"/>
          <w:color w:val="auto"/>
        </w:rPr>
      </w:pPr>
    </w:p>
    <w:p>
      <w:pPr>
        <w:ind w:left="900" w:hanging="446"/>
        <w:spacing w:after="0"/>
        <w:tabs>
          <w:tab w:leader="none" w:pos="90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RBITRATION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To ensure the rapid and economical resolution of disputes that may arise in connection with CDO’s employment with the Company, CDO and the Company agree that any and all disputes, claims, or causes of action, in law or equity, arising from or relating to CDO’s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CDO and the Company hereby waive any right to a jury trial. Both CDO and the Company shall be entitled to all rights and remedies that either CDO or the Company would be entitled to pursue in a court of law. The Company shall pay any JAMS filing fee and shall pay the arbitrator’s fee. Nothing in this Agreement is intended to prevent either CDO or the Company from obtaining injunctive relief in court to prevent irreparable harm pending the conclusion of any such arbitration. Notwithstanding the foregoing, CDO and the Company each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02" w:name="page403"/>
    <w:bookmarkEnd w:id="40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the right to resolve any issue or dispute involving confidential, proprietary or trade secret information, or intellectual property rights, by Court action instead of arbitration.</w:t>
      </w:r>
    </w:p>
    <w:p>
      <w:pPr>
        <w:spacing w:after="0" w:line="193" w:lineRule="exact"/>
        <w:rPr>
          <w:sz w:val="20"/>
          <w:szCs w:val="20"/>
          <w:color w:val="auto"/>
        </w:rPr>
      </w:pPr>
    </w:p>
    <w:p>
      <w:pPr>
        <w:ind w:left="900" w:hanging="446"/>
        <w:spacing w:after="0"/>
        <w:tabs>
          <w:tab w:leader="none" w:pos="90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RADE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ECRETS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THERS</w:t>
      </w:r>
      <w:r>
        <w:rPr>
          <w:rFonts w:ascii="Arial" w:cs="Arial" w:eastAsia="Arial" w:hAnsi="Arial"/>
          <w:sz w:val="18"/>
          <w:szCs w:val="18"/>
          <w:b w:val="1"/>
          <w:bCs w:val="1"/>
          <w:color w:val="auto"/>
        </w:rPr>
        <w:t>.</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It is the understanding of both the Company and CDO that CDO shall not divulge to the Company and/or its subsidiaries any confidential information or trade secrets belonging to others, including CDO’s former employers, nor shall the Company and/or its Affiliates seek to elicit from CDO any such information. Consistent with the foregoing, CDO shall not provide to the Company and/or its Affiliates, and the Company and/or its Affiliates shall not request, any documents or copies of documents containing such information.</w:t>
      </w:r>
    </w:p>
    <w:p>
      <w:pPr>
        <w:spacing w:after="0" w:line="210" w:lineRule="exact"/>
        <w:rPr>
          <w:sz w:val="20"/>
          <w:szCs w:val="20"/>
          <w:color w:val="auto"/>
        </w:rPr>
      </w:pPr>
    </w:p>
    <w:p>
      <w:pPr>
        <w:ind w:left="900" w:hanging="446"/>
        <w:spacing w:after="0"/>
        <w:tabs>
          <w:tab w:leader="none" w:pos="90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DVERTISING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CDO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CDO’s name and/or pictures of CDO taken in the course of CDO’s provision of services to the Company appear. CDO hereby waives and releases any claim or right CDO may otherwise have arising out of such use, publication or distribution.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3" w:right="339" w:bottom="1440" w:gutter="0" w:footer="0" w:header="0"/>
        </w:sectPr>
      </w:pPr>
    </w:p>
    <w:bookmarkStart w:id="403" w:name="page404"/>
    <w:bookmarkEnd w:id="40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executed this Agreement as of the dates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   Hamza Suria</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1"/>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920" w:type="dxa"/>
            <w:vAlign w:val="bottom"/>
          </w:tcPr>
          <w:p>
            <w:pPr>
              <w:spacing w:after="0"/>
              <w:rPr>
                <w:sz w:val="20"/>
                <w:szCs w:val="20"/>
                <w:color w:val="auto"/>
              </w:rPr>
            </w:pPr>
            <w:r>
              <w:rPr>
                <w:rFonts w:ascii="Arial" w:cs="Arial" w:eastAsia="Arial" w:hAnsi="Arial"/>
                <w:sz w:val="18"/>
                <w:szCs w:val="18"/>
                <w:color w:val="auto"/>
              </w:rPr>
              <w:t>July 8</w:t>
            </w:r>
            <w:r>
              <w:rPr>
                <w:rFonts w:ascii="Arial" w:cs="Arial" w:eastAsia="Arial" w:hAnsi="Arial"/>
                <w:sz w:val="15"/>
                <w:szCs w:val="15"/>
                <w:color w:val="auto"/>
              </w:rPr>
              <w:t>th</w:t>
            </w:r>
            <w:r>
              <w:rPr>
                <w:rFonts w:ascii="Arial" w:cs="Arial" w:eastAsia="Arial" w:hAnsi="Arial"/>
                <w:sz w:val="18"/>
                <w:szCs w:val="18"/>
                <w:color w:val="auto"/>
              </w:rPr>
              <w:t xml:space="preserve"> 2015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ARCO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ONDEI</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8</w:t>
      </w:r>
      <w:r>
        <w:rPr>
          <w:rFonts w:ascii="Arial" w:cs="Arial" w:eastAsia="Arial" w:hAnsi="Arial"/>
          <w:sz w:val="13"/>
          <w:szCs w:val="13"/>
          <w:color w:val="auto"/>
        </w:rPr>
        <w:t>th</w:t>
      </w:r>
      <w:r>
        <w:rPr>
          <w:rFonts w:ascii="Arial" w:cs="Arial" w:eastAsia="Arial" w:hAnsi="Arial"/>
          <w:sz w:val="16"/>
          <w:szCs w:val="16"/>
          <w:color w:val="auto"/>
        </w:rPr>
        <w:t xml:space="preserve"> 2015</w:t>
      </w:r>
    </w:p>
    <w:p>
      <w:pPr>
        <w:spacing w:after="0" w:line="225"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E</w:t>
      </w:r>
      <w:r>
        <w:rPr>
          <w:rFonts w:ascii="Arial" w:cs="Arial" w:eastAsia="Arial" w:hAnsi="Arial"/>
          <w:sz w:val="15"/>
          <w:szCs w:val="15"/>
          <w:color w:val="auto"/>
        </w:rPr>
        <w:t>MPLOYMENT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19"/>
          </w:cols>
          <w:pgMar w:left="240" w:top="269" w:right="1440" w:bottom="1440" w:gutter="0" w:footer="0" w:header="0"/>
        </w:sectPr>
      </w:pPr>
    </w:p>
    <w:bookmarkStart w:id="404" w:name="page405"/>
    <w:bookmarkEnd w:id="4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AND WAIVER OF CLAIMS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In consideration of the payments and other benefits set forth in the Employment Agreement effective , 2015, to which this form is attached, I, Marco Londei, hereby furnish </w:t>
      </w: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following release and waiver (</w:t>
      </w:r>
      <w:r>
        <w:rPr>
          <w:rFonts w:ascii="Arial" w:cs="Arial" w:eastAsia="Arial" w:hAnsi="Arial"/>
          <w:sz w:val="17"/>
          <w:szCs w:val="17"/>
          <w:b w:val="1"/>
          <w:bCs w:val="1"/>
          <w:i w:val="1"/>
          <w:iCs w:val="1"/>
          <w:color w:val="auto"/>
        </w:rPr>
        <w:t>“Release and Waiver”</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completely release the Company and its current and former directors, officers, employees, stockholders, partners, agents, attorneys, predecessors,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known and unknown, that arise out of or are in any way related to events, acts, conduct, or omissions occurring prior to or on the date that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(a) all claims arising out of or in any way related to my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or the termination of that employment; (b) all claims related to my compensation or benefits from the Company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bonuses, commissions, vacation pay, expense reimbursements, severance pay, fringe benefits, stock, stock options, or any other ownership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 all claims for breach of contract, wrongful termination, and breach of the implied covenant of good faith and fair dealing; (d) all tort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fraud, defamation, emotional distress, and discharge in violation of public policy; and (e) all federal, state, and local statutory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discrimination, harassment, retaliation, misclassification, attorneys’ fees, or other claims arising under the federal Civil Rights Act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1964 (as amended), the federal Americans with Disabilities Act of 1990, the federal Age Discrimination in Employment Act of 1967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California Labor Code, and the California Fair Employment and Housing Act (as amended). Notwithstanding the foregoing, the following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(a) any rights or claims for indemnification I may have pursuant to the charter or bylaws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or under applicable law; (b) any rights or claims to unemployment compensation, funds accrued in my 401k account, or any vested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incentives; (c) any rights that are not waivable as a matter of law; or (d) any claims arising from the breach of this Agreement. I hereby represent and warrant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other than the Excluded Claims, I am not aware of any claims I have or might have against any of the Released Parties that are not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70" w:right="259" w:bottom="1440" w:gutter="0" w:footer="0" w:header="0"/>
        </w:sectPr>
      </w:pPr>
    </w:p>
    <w:bookmarkStart w:id="405" w:name="page406"/>
    <w:bookmarkEnd w:id="405"/>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8001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Marco Londei</w:t>
      </w:r>
    </w:p>
    <w:p>
      <w:pPr>
        <w:sectPr>
          <w:pgSz w:w="11900" w:h="16838" w:orient="portrait"/>
          <w:cols w:equalWidth="0" w:num="1">
            <w:col w:w="11400"/>
          </w:cols>
          <w:pgMar w:left="240" w:top="274" w:right="25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OFFICE LEASE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KILROY REALTY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KILROY REALTY, L.P.,</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limited partnership,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ANAPTYSBIO, INC.,</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10220"/>
          </w:cols>
          <w:pgMar w:left="1440" w:top="121" w:right="239" w:bottom="1440" w:gutter="0" w:footer="0" w:header="0"/>
        </w:sectPr>
      </w:pPr>
    </w:p>
    <w:bookmarkStart w:id="407" w:name="page408"/>
    <w:bookmarkEnd w:id="40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vMerge w:val="restart"/>
          </w:tcPr>
          <w:p>
            <w:pPr>
              <w:spacing w:after="0"/>
              <w:rPr>
                <w:sz w:val="20"/>
                <w:szCs w:val="20"/>
                <w:color w:val="auto"/>
              </w:rPr>
            </w:pPr>
            <w:r>
              <w:rPr>
                <w:rFonts w:ascii="Arial" w:cs="Arial" w:eastAsia="Arial" w:hAnsi="Arial"/>
                <w:sz w:val="18"/>
                <w:szCs w:val="18"/>
                <w:color w:val="auto"/>
              </w:rPr>
              <w:t>ARTICLE 1 PREMISES, BUILDING, PROJECT, AND COMMON AREAS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2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020" w:type="dxa"/>
            <w:vAlign w:val="bottom"/>
          </w:tcPr>
          <w:p>
            <w:pPr>
              <w:spacing w:after="0"/>
              <w:rPr>
                <w:sz w:val="20"/>
                <w:szCs w:val="20"/>
                <w:color w:val="auto"/>
              </w:rPr>
            </w:pPr>
            <w:r>
              <w:rPr>
                <w:rFonts w:ascii="Arial" w:cs="Arial" w:eastAsia="Arial" w:hAnsi="Arial"/>
                <w:sz w:val="18"/>
                <w:szCs w:val="18"/>
                <w:color w:val="auto"/>
              </w:rPr>
              <w:t>ARTICLE 2 LEASE TERM; TERMINATION RIGHT, OPTION TERM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3 BASE RENT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4 ADDITIONAL RENT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5 USE OF PREMISES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6 SERVICES AND UTILITIES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7 REPAIRS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8 ADDITIONS AND ALTERATIONS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9 COVENANT AGAINST LIENS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10 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11 DAMAGE AND DESTRUCTION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12 NONWAIVER</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13 CONDEMNATION</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14 ASSIGNMENT AND SUBLETTING</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15 SURRENDER OF PREMISES; OWNERSHIP AND REMOVAL OF TRADE FIXTURES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16 HOLDING OVER</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17 ESTOPPEL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18 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19 DEFAULTS;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20 COVENANT OF QUIET ENJOYMENT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21 SECURITY DEPOSIT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22 LETTER OF CREDIT</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20" w:type="dxa"/>
            <w:vAlign w:val="bottom"/>
          </w:tcPr>
          <w:p>
            <w:pPr>
              <w:spacing w:after="0"/>
              <w:rPr>
                <w:sz w:val="20"/>
                <w:szCs w:val="20"/>
                <w:color w:val="auto"/>
              </w:rPr>
            </w:pPr>
            <w:r>
              <w:rPr>
                <w:rFonts w:ascii="Arial" w:cs="Arial" w:eastAsia="Arial" w:hAnsi="Arial"/>
                <w:sz w:val="18"/>
                <w:szCs w:val="18"/>
                <w:color w:val="auto"/>
              </w:rPr>
              <w:t>ARTICLE 23 SIGNS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020" w:type="dxa"/>
            <w:vAlign w:val="bottom"/>
          </w:tcPr>
          <w:p>
            <w:pPr>
              <w:ind w:left="568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9" w:right="339" w:bottom="1440" w:gutter="0" w:footer="0" w:header="0"/>
        </w:sectPr>
      </w:pPr>
    </w:p>
    <w:bookmarkStart w:id="408" w:name="page409"/>
    <w:bookmarkEnd w:id="4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ARTICLE 24 COMPLIANCE WITH LAW</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25 LATE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26 LANDLORD’S RIGHT TO CURE DEFAULT; PAYMENTS BY TENANT</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27 ENTRY BY LANDLORD</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28 TENANT PARKING</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ARTICLE 29 MISCELLANEOUS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81" w:right="33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460" w:type="dxa"/>
            <w:vAlign w:val="bottom"/>
          </w:tcPr>
          <w:p>
            <w:pPr>
              <w:jc w:val="right"/>
              <w:ind w:right="5230"/>
              <w:spacing w:after="0"/>
              <w:rPr>
                <w:sz w:val="20"/>
                <w:szCs w:val="20"/>
                <w:color w:val="auto"/>
              </w:rPr>
            </w:pPr>
            <w:r>
              <w:rPr>
                <w:rFonts w:ascii="Arial" w:cs="Arial" w:eastAsia="Arial" w:hAnsi="Arial"/>
                <w:sz w:val="18"/>
                <w:szCs w:val="18"/>
                <w:b w:val="1"/>
                <w:bCs w:val="1"/>
                <w:color w:val="auto"/>
              </w:rPr>
              <w:t>INDEX</w:t>
            </w:r>
          </w:p>
        </w:tc>
      </w:tr>
      <w:tr>
        <w:trPr>
          <w:trHeight w:val="377"/>
        </w:trPr>
        <w:tc>
          <w:tcPr>
            <w:tcW w:w="3860" w:type="dxa"/>
            <w:vAlign w:val="bottom"/>
          </w:tcPr>
          <w:p>
            <w:pPr>
              <w:spacing w:after="0"/>
              <w:rPr>
                <w:sz w:val="24"/>
                <w:szCs w:val="24"/>
                <w:color w:val="auto"/>
              </w:rPr>
            </w:pPr>
          </w:p>
        </w:tc>
        <w:tc>
          <w:tcPr>
            <w:tcW w:w="746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Abatement Event</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Accountant</w:t>
            </w:r>
          </w:p>
        </w:tc>
        <w:tc>
          <w:tcPr>
            <w:tcW w:w="7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Additional Notice</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Additional Rent</w:t>
            </w:r>
          </w:p>
        </w:tc>
        <w:tc>
          <w:tcPr>
            <w:tcW w:w="7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Alterations</w:t>
            </w:r>
          </w:p>
        </w:tc>
        <w:tc>
          <w:tcPr>
            <w:tcW w:w="7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Applicable Laws</w:t>
            </w:r>
          </w:p>
        </w:tc>
        <w:tc>
          <w:tcPr>
            <w:tcW w:w="7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Award</w:t>
            </w:r>
          </w:p>
        </w:tc>
        <w:tc>
          <w:tcPr>
            <w:tcW w:w="7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w:t>
            </w:r>
          </w:p>
        </w:tc>
        <w:tc>
          <w:tcPr>
            <w:tcW w:w="7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 Prime Loan</w:t>
            </w:r>
          </w:p>
        </w:tc>
        <w:tc>
          <w:tcPr>
            <w:tcW w:w="7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Bank’s Credit Rating Threshold</w:t>
            </w:r>
          </w:p>
        </w:tc>
        <w:tc>
          <w:tcPr>
            <w:tcW w:w="7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Bankruptcy Code</w:t>
            </w:r>
          </w:p>
        </w:tc>
        <w:tc>
          <w:tcPr>
            <w:tcW w:w="7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Building</w:t>
            </w:r>
          </w:p>
        </w:tc>
        <w:tc>
          <w:tcPr>
            <w:tcW w:w="7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w:t>
            </w:r>
          </w:p>
        </w:tc>
        <w:tc>
          <w:tcPr>
            <w:tcW w:w="7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 Abatement</w:t>
            </w:r>
          </w:p>
        </w:tc>
        <w:tc>
          <w:tcPr>
            <w:tcW w:w="7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 Abatement Period</w:t>
            </w:r>
          </w:p>
        </w:tc>
        <w:tc>
          <w:tcPr>
            <w:tcW w:w="7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Brokers</w:t>
            </w:r>
          </w:p>
        </w:tc>
        <w:tc>
          <w:tcPr>
            <w:tcW w:w="7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BS/BS Exception</w:t>
            </w:r>
          </w:p>
        </w:tc>
        <w:tc>
          <w:tcPr>
            <w:tcW w:w="7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w:t>
            </w:r>
          </w:p>
        </w:tc>
        <w:tc>
          <w:tcPr>
            <w:tcW w:w="7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Common Areas,</w:t>
            </w:r>
          </w:p>
        </w:tc>
        <w:tc>
          <w:tcPr>
            <w:tcW w:w="7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Common Areas</w:t>
            </w:r>
          </w:p>
        </w:tc>
        <w:tc>
          <w:tcPr>
            <w:tcW w:w="7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Hours</w:t>
            </w:r>
          </w:p>
        </w:tc>
        <w:tc>
          <w:tcPr>
            <w:tcW w:w="7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Structure</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Systems</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Building-Top Sign</w:t>
            </w:r>
          </w:p>
        </w:tc>
        <w:tc>
          <w:tcPr>
            <w:tcW w:w="7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CC&amp;Rs</w:t>
            </w:r>
          </w:p>
        </w:tc>
        <w:tc>
          <w:tcPr>
            <w:tcW w:w="7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Comparable Buildings</w:t>
            </w:r>
          </w:p>
        </w:tc>
        <w:tc>
          <w:tcPr>
            <w:tcW w:w="7460" w:type="dxa"/>
            <w:vAlign w:val="bottom"/>
          </w:tcPr>
          <w:p>
            <w:pPr>
              <w:jc w:val="right"/>
              <w:spacing w:after="0"/>
              <w:rPr>
                <w:sz w:val="20"/>
                <w:szCs w:val="20"/>
                <w:color w:val="auto"/>
              </w:rPr>
            </w:pPr>
            <w:r>
              <w:rPr>
                <w:rFonts w:ascii="Arial" w:cs="Arial" w:eastAsia="Arial" w:hAnsi="Arial"/>
                <w:sz w:val="18"/>
                <w:szCs w:val="18"/>
                <w:color w:val="auto"/>
              </w:rPr>
              <w:t>5, 2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Contemplated Effective Date</w:t>
            </w:r>
          </w:p>
        </w:tc>
        <w:tc>
          <w:tcPr>
            <w:tcW w:w="7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Contemplated Transfer Space</w:t>
            </w:r>
          </w:p>
        </w:tc>
        <w:tc>
          <w:tcPr>
            <w:tcW w:w="7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Control</w:t>
            </w:r>
          </w:p>
        </w:tc>
        <w:tc>
          <w:tcPr>
            <w:tcW w:w="7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Controllable Expenses</w:t>
            </w:r>
          </w:p>
        </w:tc>
        <w:tc>
          <w:tcPr>
            <w:tcW w:w="7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Cosmetic Alterations</w:t>
            </w:r>
          </w:p>
        </w:tc>
        <w:tc>
          <w:tcPr>
            <w:tcW w:w="7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Damage Termination Date</w:t>
            </w:r>
          </w:p>
        </w:tc>
        <w:tc>
          <w:tcPr>
            <w:tcW w:w="7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Damage Termination Notice</w:t>
            </w:r>
          </w:p>
        </w:tc>
        <w:tc>
          <w:tcPr>
            <w:tcW w:w="7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Direct Expenses</w:t>
            </w:r>
          </w:p>
        </w:tc>
        <w:tc>
          <w:tcPr>
            <w:tcW w:w="7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Eligibility Period</w:t>
            </w:r>
          </w:p>
        </w:tc>
        <w:tc>
          <w:tcPr>
            <w:tcW w:w="7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Environmental Laws</w:t>
            </w:r>
          </w:p>
        </w:tc>
        <w:tc>
          <w:tcPr>
            <w:tcW w:w="7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w:t>
            </w:r>
          </w:p>
        </w:tc>
        <w:tc>
          <w:tcPr>
            <w:tcW w:w="7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 Statement</w:t>
            </w:r>
          </w:p>
        </w:tc>
        <w:tc>
          <w:tcPr>
            <w:tcW w:w="7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Estimated Direct Expenses</w:t>
            </w:r>
          </w:p>
        </w:tc>
        <w:tc>
          <w:tcPr>
            <w:tcW w:w="7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Excess</w:t>
            </w:r>
          </w:p>
        </w:tc>
        <w:tc>
          <w:tcPr>
            <w:tcW w:w="7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Exercise Notice</w:t>
            </w:r>
          </w:p>
        </w:tc>
        <w:tc>
          <w:tcPr>
            <w:tcW w:w="7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Expense Year</w:t>
            </w:r>
          </w:p>
        </w:tc>
        <w:tc>
          <w:tcPr>
            <w:tcW w:w="7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Force Majeure</w:t>
            </w:r>
          </w:p>
        </w:tc>
        <w:tc>
          <w:tcPr>
            <w:tcW w:w="74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Hazardous Material(s)</w:t>
            </w:r>
          </w:p>
        </w:tc>
        <w:tc>
          <w:tcPr>
            <w:tcW w:w="4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Holidays</w:t>
            </w:r>
          </w:p>
        </w:tc>
        <w:tc>
          <w:tcPr>
            <w:tcW w:w="4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HVAC</w:t>
            </w:r>
          </w:p>
        </w:tc>
        <w:tc>
          <w:tcPr>
            <w:tcW w:w="4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Initial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Intention to Transfer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Rate</w:t>
            </w:r>
          </w:p>
        </w:tc>
        <w:tc>
          <w:tcPr>
            <w:tcW w:w="4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w:t>
            </w:r>
          </w:p>
        </w:tc>
        <w:tc>
          <w:tcPr>
            <w:tcW w:w="446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Parties</w:t>
            </w:r>
          </w:p>
        </w:tc>
        <w:tc>
          <w:tcPr>
            <w:tcW w:w="4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Repair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Response Date</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 Response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Landlord’s Option Rent Calculation</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Amount</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Draw Event</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Expiration Date</w:t>
            </w:r>
          </w:p>
        </w:tc>
        <w:tc>
          <w:tcPr>
            <w:tcW w:w="4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L-C FDIC Replacement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w:t>
            </w:r>
          </w:p>
        </w:tc>
        <w:tc>
          <w:tcPr>
            <w:tcW w:w="4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Commencement Date</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Expiration Date</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Term</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 Year</w:t>
            </w:r>
          </w:p>
        </w:tc>
        <w:tc>
          <w:tcPr>
            <w:tcW w:w="4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Lines</w:t>
            </w:r>
          </w:p>
        </w:tc>
        <w:tc>
          <w:tcPr>
            <w:tcW w:w="4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Mail</w:t>
            </w:r>
          </w:p>
        </w:tc>
        <w:tc>
          <w:tcPr>
            <w:tcW w:w="4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Management Fee Cap</w:t>
            </w:r>
          </w:p>
        </w:tc>
        <w:tc>
          <w:tcPr>
            <w:tcW w:w="4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Neutral Arbitrator</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Nine Month Period</w:t>
            </w:r>
          </w:p>
        </w:tc>
        <w:tc>
          <w:tcPr>
            <w:tcW w:w="4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Notices</w:t>
            </w:r>
          </w:p>
        </w:tc>
        <w:tc>
          <w:tcPr>
            <w:tcW w:w="4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4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Option Rent</w:t>
            </w:r>
          </w:p>
        </w:tc>
        <w:tc>
          <w:tcPr>
            <w:tcW w:w="4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Option Term</w:t>
            </w:r>
          </w:p>
        </w:tc>
        <w:tc>
          <w:tcPr>
            <w:tcW w:w="4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Original Tenant</w:t>
            </w:r>
          </w:p>
        </w:tc>
        <w:tc>
          <w:tcPr>
            <w:tcW w:w="4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Outside Agreement Date</w:t>
            </w:r>
          </w:p>
        </w:tc>
        <w:tc>
          <w:tcPr>
            <w:tcW w:w="4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Permitted Transferee</w:t>
            </w:r>
          </w:p>
        </w:tc>
        <w:tc>
          <w:tcPr>
            <w:tcW w:w="4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Premises</w:t>
            </w:r>
          </w:p>
        </w:tc>
        <w:tc>
          <w:tcPr>
            <w:tcW w:w="4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w:t>
            </w:r>
          </w:p>
        </w:tc>
        <w:tc>
          <w:tcPr>
            <w:tcW w:w="4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 Common Areas</w:t>
            </w:r>
          </w:p>
        </w:tc>
        <w:tc>
          <w:tcPr>
            <w:tcW w:w="4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Project Common Areas,</w:t>
            </w:r>
          </w:p>
        </w:tc>
        <w:tc>
          <w:tcPr>
            <w:tcW w:w="4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Proposition 13</w:t>
            </w:r>
          </w:p>
        </w:tc>
        <w:tc>
          <w:tcPr>
            <w:tcW w:w="4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Recapture Notice</w:t>
            </w:r>
          </w:p>
        </w:tc>
        <w:tc>
          <w:tcPr>
            <w:tcW w:w="4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Renovations</w:t>
            </w:r>
          </w:p>
        </w:tc>
        <w:tc>
          <w:tcPr>
            <w:tcW w:w="4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Rent.</w:t>
            </w:r>
          </w:p>
        </w:tc>
        <w:tc>
          <w:tcPr>
            <w:tcW w:w="4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Review Period</w:t>
            </w:r>
          </w:p>
        </w:tc>
        <w:tc>
          <w:tcPr>
            <w:tcW w:w="4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Security Deposit</w:t>
            </w:r>
          </w:p>
        </w:tc>
        <w:tc>
          <w:tcPr>
            <w:tcW w:w="4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Security Deposit Laws</w:t>
            </w:r>
          </w:p>
        </w:tc>
        <w:tc>
          <w:tcPr>
            <w:tcW w:w="4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Sign Specifications</w:t>
            </w:r>
          </w:p>
        </w:tc>
        <w:tc>
          <w:tcPr>
            <w:tcW w:w="44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411" w:name="page412"/>
    <w:bookmarkEnd w:id="411"/>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Statement</w:t>
            </w:r>
          </w:p>
        </w:tc>
        <w:tc>
          <w:tcPr>
            <w:tcW w:w="4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Subject Space</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Summary</w:t>
            </w:r>
          </w:p>
        </w:tc>
        <w:tc>
          <w:tcPr>
            <w:tcW w:w="454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Tax Expenses</w:t>
            </w:r>
          </w:p>
        </w:tc>
        <w:tc>
          <w:tcPr>
            <w:tcW w:w="4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TCCs</w:t>
            </w:r>
          </w:p>
        </w:tc>
        <w:tc>
          <w:tcPr>
            <w:tcW w:w="4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Telecommunications Equipment</w:t>
            </w:r>
          </w:p>
        </w:tc>
        <w:tc>
          <w:tcPr>
            <w:tcW w:w="4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w:t>
            </w:r>
          </w:p>
        </w:tc>
        <w:tc>
          <w:tcPr>
            <w:tcW w:w="4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Tenant’s Occupants</w:t>
            </w:r>
          </w:p>
        </w:tc>
        <w:tc>
          <w:tcPr>
            <w:tcW w:w="4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Tenant’s Option Rent Calculation</w:t>
            </w:r>
          </w:p>
        </w:tc>
        <w:tc>
          <w:tcPr>
            <w:tcW w:w="4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Tenant’s Share</w:t>
            </w:r>
          </w:p>
        </w:tc>
        <w:tc>
          <w:tcPr>
            <w:tcW w:w="4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Termination Date</w:t>
            </w:r>
          </w:p>
        </w:tc>
        <w:tc>
          <w:tcPr>
            <w:tcW w:w="4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Termination Fee</w:t>
            </w:r>
          </w:p>
        </w:tc>
        <w:tc>
          <w:tcPr>
            <w:tcW w:w="4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Termination Notice</w:t>
            </w:r>
          </w:p>
        </w:tc>
        <w:tc>
          <w:tcPr>
            <w:tcW w:w="4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Third Party Contractor</w:t>
            </w:r>
          </w:p>
        </w:tc>
        <w:tc>
          <w:tcPr>
            <w:tcW w:w="4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w:t>
            </w:r>
          </w:p>
        </w:tc>
        <w:tc>
          <w:tcPr>
            <w:tcW w:w="4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 Notice</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 Premium</w:t>
            </w:r>
          </w:p>
        </w:tc>
        <w:tc>
          <w:tcPr>
            <w:tcW w:w="4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Transferee</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Transfers</w:t>
            </w: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Utilities Costs</w:t>
            </w:r>
          </w:p>
        </w:tc>
        <w:tc>
          <w:tcPr>
            <w:tcW w:w="4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Violation Notice</w:t>
            </w:r>
          </w:p>
        </w:tc>
        <w:tc>
          <w:tcPr>
            <w:tcW w:w="4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Work Letter</w:t>
            </w:r>
          </w:p>
        </w:tc>
        <w:tc>
          <w:tcPr>
            <w:tcW w:w="45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PACIFIC CORPORATE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Office Lease (the “</w:t>
      </w:r>
      <w:r>
        <w:rPr>
          <w:rFonts w:ascii="Arial" w:cs="Arial" w:eastAsia="Arial" w:hAnsi="Arial"/>
          <w:sz w:val="17"/>
          <w:szCs w:val="17"/>
          <w:b w:val="1"/>
          <w:bCs w:val="1"/>
          <w:color w:val="auto"/>
        </w:rPr>
        <w:t>Lease</w:t>
      </w:r>
      <w:r>
        <w:rPr>
          <w:rFonts w:ascii="Arial" w:cs="Arial" w:eastAsia="Arial" w:hAnsi="Arial"/>
          <w:sz w:val="17"/>
          <w:szCs w:val="17"/>
          <w:color w:val="auto"/>
        </w:rPr>
        <w:t>”), dated as of the date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Section l</w:t>
      </w:r>
      <w:r>
        <w:rPr>
          <w:rFonts w:ascii="Arial" w:cs="Arial" w:eastAsia="Arial" w:hAnsi="Arial"/>
          <w:sz w:val="17"/>
          <w:szCs w:val="17"/>
          <w:color w:val="auto"/>
        </w:rPr>
        <w:t xml:space="preserve"> of the Summary of Basic Lease Information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Summary</w:t>
      </w:r>
      <w:r>
        <w:rPr>
          <w:rFonts w:ascii="Arial" w:cs="Arial" w:eastAsia="Arial" w:hAnsi="Arial"/>
          <w:sz w:val="16"/>
          <w:szCs w:val="16"/>
          <w:color w:val="auto"/>
        </w:rPr>
        <w:t>”), below, is made by and between KILROY REALTY, L.P., a Delaware limited partnership (“</w:t>
      </w:r>
      <w:r>
        <w:rPr>
          <w:rFonts w:ascii="Arial" w:cs="Arial" w:eastAsia="Arial" w:hAnsi="Arial"/>
          <w:sz w:val="16"/>
          <w:szCs w:val="16"/>
          <w:b w:val="1"/>
          <w:bCs w:val="1"/>
          <w:color w:val="auto"/>
        </w:rPr>
        <w:t>Landlord</w:t>
      </w:r>
      <w:r>
        <w:rPr>
          <w:rFonts w:ascii="Arial" w:cs="Arial" w:eastAsia="Arial" w:hAnsi="Arial"/>
          <w:sz w:val="16"/>
          <w:szCs w:val="16"/>
          <w:color w:val="auto"/>
        </w:rPr>
        <w:t>”), and ANAPTYSBIO, INC.,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SUMMARY OF BASIC LEASE INFORMATION</w:t>
            </w:r>
          </w:p>
        </w:tc>
        <w:tc>
          <w:tcPr>
            <w:tcW w:w="3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1.</w:t>
            </w: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TERMS OF LEASE</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gridSpan w:val="5"/>
          </w:tcPr>
          <w:p>
            <w:pPr>
              <w:ind w:left="30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24"/>
        </w:trPr>
        <w:tc>
          <w:tcPr>
            <w:tcW w:w="360" w:type="dxa"/>
            <w:vAlign w:val="bottom"/>
            <w:vMerge w:val="continue"/>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40" w:type="dxa"/>
            <w:vAlign w:val="bottom"/>
          </w:tcPr>
          <w:p>
            <w:pPr>
              <w:spacing w:after="0"/>
              <w:rPr>
                <w:sz w:val="19"/>
                <w:szCs w:val="19"/>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rPr>
              <w:t>April 19, 2011.</w:t>
            </w:r>
          </w:p>
        </w:tc>
        <w:tc>
          <w:tcPr>
            <w:tcW w:w="0" w:type="dxa"/>
            <w:vAlign w:val="bottom"/>
          </w:tcPr>
          <w:p>
            <w:pPr>
              <w:spacing w:after="0"/>
              <w:rPr>
                <w:sz w:val="1"/>
                <w:szCs w:val="1"/>
                <w:color w:val="auto"/>
              </w:rPr>
            </w:pPr>
          </w:p>
        </w:tc>
      </w:tr>
      <w:tr>
        <w:trPr>
          <w:trHeight w:val="31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310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2.1</w:t>
            </w:r>
          </w:p>
        </w:tc>
        <w:tc>
          <w:tcPr>
            <w:tcW w:w="2860" w:type="dxa"/>
            <w:vAlign w:val="bottom"/>
          </w:tcPr>
          <w:p>
            <w:pPr>
              <w:ind w:left="20"/>
              <w:spacing w:after="0"/>
              <w:rPr>
                <w:sz w:val="20"/>
                <w:szCs w:val="20"/>
                <w:color w:val="auto"/>
              </w:rPr>
            </w:pPr>
            <w:r>
              <w:rPr>
                <w:rFonts w:ascii="Arial" w:cs="Arial" w:eastAsia="Arial" w:hAnsi="Arial"/>
                <w:sz w:val="18"/>
                <w:szCs w:val="18"/>
                <w:color w:val="auto"/>
              </w:rPr>
              <w:t>Building:</w:t>
            </w:r>
          </w:p>
        </w:tc>
        <w:tc>
          <w:tcPr>
            <w:tcW w:w="14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2"/>
              </w:rPr>
              <w:t>That certain building located at 10421 Pacific Center Court, San Diego, California 92121, containing a 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rPr>
              <w:t>of 75,745 rentable square feet of space.</w:t>
            </w: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2.2</w:t>
            </w:r>
          </w:p>
        </w:tc>
        <w:tc>
          <w:tcPr>
            <w:tcW w:w="2860" w:type="dxa"/>
            <w:vAlign w:val="bottom"/>
          </w:tcPr>
          <w:p>
            <w:pPr>
              <w:ind w:left="20"/>
              <w:spacing w:after="0"/>
              <w:rPr>
                <w:sz w:val="20"/>
                <w:szCs w:val="20"/>
                <w:color w:val="auto"/>
              </w:rPr>
            </w:pPr>
            <w:r>
              <w:rPr>
                <w:rFonts w:ascii="Arial" w:cs="Arial" w:eastAsia="Arial" w:hAnsi="Arial"/>
                <w:sz w:val="18"/>
                <w:szCs w:val="18"/>
                <w:color w:val="auto"/>
              </w:rPr>
              <w:t>Premises:</w:t>
            </w:r>
          </w:p>
        </w:tc>
        <w:tc>
          <w:tcPr>
            <w:tcW w:w="14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6"/>
              </w:rPr>
              <w:t>Approximately 25,296 rentable square feet of space consisting (i) primarily of Suite 200 located on the</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1"/>
              </w:rPr>
              <w:t>second (2</w:t>
            </w:r>
            <w:r>
              <w:rPr>
                <w:rFonts w:ascii="Arial" w:cs="Arial" w:eastAsia="Arial" w:hAnsi="Arial"/>
                <w:sz w:val="15"/>
                <w:szCs w:val="15"/>
                <w:color w:val="auto"/>
                <w:w w:val="91"/>
              </w:rPr>
              <w:t>nd</w:t>
            </w:r>
            <w:r>
              <w:rPr>
                <w:rFonts w:ascii="Arial" w:cs="Arial" w:eastAsia="Arial" w:hAnsi="Arial"/>
                <w:sz w:val="18"/>
                <w:szCs w:val="18"/>
                <w:color w:val="auto"/>
                <w:w w:val="91"/>
              </w:rPr>
              <w:t>) floor of the Building, and (ii) an approximately 154 square foot conference room located on the</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20" w:type="dxa"/>
            <w:vAlign w:val="bottom"/>
            <w:gridSpan w:val="7"/>
          </w:tcPr>
          <w:p>
            <w:pPr>
              <w:spacing w:after="0" w:line="194" w:lineRule="exact"/>
              <w:rPr>
                <w:sz w:val="20"/>
                <w:szCs w:val="20"/>
                <w:color w:val="auto"/>
              </w:rPr>
            </w:pPr>
            <w:r>
              <w:rPr>
                <w:rFonts w:ascii="Arial" w:cs="Arial" w:eastAsia="Arial" w:hAnsi="Arial"/>
                <w:sz w:val="18"/>
                <w:szCs w:val="18"/>
                <w:color w:val="auto"/>
                <w:w w:val="96"/>
              </w:rPr>
              <w:t>first (1</w:t>
            </w:r>
            <w:r>
              <w:rPr>
                <w:rFonts w:ascii="Arial" w:cs="Arial" w:eastAsia="Arial" w:hAnsi="Arial"/>
                <w:sz w:val="15"/>
                <w:szCs w:val="15"/>
                <w:color w:val="auto"/>
                <w:w w:val="96"/>
              </w:rPr>
              <w:t>st</w:t>
            </w:r>
            <w:r>
              <w:rPr>
                <w:rFonts w:ascii="Arial" w:cs="Arial" w:eastAsia="Arial" w:hAnsi="Arial"/>
                <w:sz w:val="18"/>
                <w:szCs w:val="18"/>
                <w:color w:val="auto"/>
                <w:w w:val="96"/>
              </w:rPr>
              <w:t xml:space="preserve">) floor of the Building adjoining the main lobby areas, all as further set forth in </w:t>
            </w:r>
            <w:r>
              <w:rPr>
                <w:rFonts w:ascii="Arial" w:cs="Arial" w:eastAsia="Arial" w:hAnsi="Arial"/>
                <w:sz w:val="18"/>
                <w:szCs w:val="18"/>
                <w:b w:val="1"/>
                <w:bCs w:val="1"/>
                <w:color w:val="auto"/>
                <w:w w:val="96"/>
              </w:rPr>
              <w:t>Exhibit A</w:t>
            </w:r>
            <w:r>
              <w:rPr>
                <w:rFonts w:ascii="Arial" w:cs="Arial" w:eastAsia="Arial" w:hAnsi="Arial"/>
                <w:sz w:val="18"/>
                <w:szCs w:val="18"/>
                <w:color w:val="auto"/>
                <w:w w:val="96"/>
              </w:rPr>
              <w:t xml:space="preserve"> to the</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80" w:type="dxa"/>
            <w:vAlign w:val="bottom"/>
            <w:gridSpan w:val="4"/>
          </w:tcPr>
          <w:p>
            <w:pPr>
              <w:spacing w:after="0"/>
              <w:rPr>
                <w:sz w:val="20"/>
                <w:szCs w:val="20"/>
                <w:color w:val="auto"/>
              </w:rPr>
            </w:pPr>
            <w:r>
              <w:rPr>
                <w:rFonts w:ascii="Arial" w:cs="Arial" w:eastAsia="Arial" w:hAnsi="Arial"/>
                <w:sz w:val="18"/>
                <w:szCs w:val="18"/>
                <w:color w:val="auto"/>
              </w:rPr>
              <w:t>Office Lease.</w:t>
            </w:r>
          </w:p>
        </w:tc>
        <w:tc>
          <w:tcPr>
            <w:tcW w:w="740" w:type="dxa"/>
            <w:vAlign w:val="bottom"/>
            <w:tcBorders>
              <w:top w:val="single" w:sz="8" w:color="auto"/>
            </w:tcBorders>
          </w:tcPr>
          <w:p>
            <w:pPr>
              <w:spacing w:after="0"/>
              <w:rPr>
                <w:sz w:val="20"/>
                <w:szCs w:val="20"/>
                <w:color w:val="auto"/>
              </w:rPr>
            </w:pPr>
          </w:p>
        </w:tc>
        <w:tc>
          <w:tcPr>
            <w:tcW w:w="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2.3</w:t>
            </w:r>
          </w:p>
        </w:tc>
        <w:tc>
          <w:tcPr>
            <w:tcW w:w="2860" w:type="dxa"/>
            <w:vAlign w:val="bottom"/>
          </w:tcPr>
          <w:p>
            <w:pPr>
              <w:ind w:left="20"/>
              <w:spacing w:after="0"/>
              <w:rPr>
                <w:sz w:val="20"/>
                <w:szCs w:val="20"/>
                <w:color w:val="auto"/>
              </w:rPr>
            </w:pPr>
            <w:r>
              <w:rPr>
                <w:rFonts w:ascii="Arial" w:cs="Arial" w:eastAsia="Arial" w:hAnsi="Arial"/>
                <w:sz w:val="18"/>
                <w:szCs w:val="18"/>
                <w:color w:val="auto"/>
              </w:rPr>
              <w:t>Project:</w:t>
            </w:r>
          </w:p>
        </w:tc>
        <w:tc>
          <w:tcPr>
            <w:tcW w:w="14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Arial" w:cs="Arial" w:eastAsia="Arial" w:hAnsi="Arial"/>
                <w:sz w:val="18"/>
                <w:szCs w:val="18"/>
                <w:color w:val="auto"/>
                <w:w w:val="91"/>
              </w:rPr>
              <w:t>The Building is part of an office project known as “</w:t>
            </w:r>
            <w:r>
              <w:rPr>
                <w:rFonts w:ascii="Arial" w:cs="Arial" w:eastAsia="Arial" w:hAnsi="Arial"/>
                <w:sz w:val="18"/>
                <w:szCs w:val="18"/>
                <w:b w:val="1"/>
                <w:bCs w:val="1"/>
                <w:i w:val="1"/>
                <w:iCs w:val="1"/>
                <w:color w:val="auto"/>
                <w:w w:val="91"/>
              </w:rPr>
              <w:t>Pacific Corporate Center</w:t>
            </w:r>
            <w:r>
              <w:rPr>
                <w:rFonts w:ascii="Arial" w:cs="Arial" w:eastAsia="Arial" w:hAnsi="Arial"/>
                <w:sz w:val="18"/>
                <w:szCs w:val="18"/>
                <w:color w:val="auto"/>
                <w:w w:val="91"/>
              </w:rPr>
              <w:t>,” as further set forth in Section</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6"/>
          </w:tcPr>
          <w:p>
            <w:pPr>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1.2</w:t>
            </w:r>
            <w:r>
              <w:rPr>
                <w:rFonts w:ascii="Arial" w:cs="Arial" w:eastAsia="Arial" w:hAnsi="Arial"/>
                <w:sz w:val="18"/>
                <w:szCs w:val="18"/>
                <w:color w:val="auto"/>
              </w:rPr>
              <w:t xml:space="preserve"> of this Lease.</w:t>
            </w:r>
          </w:p>
        </w:tc>
        <w:tc>
          <w:tcPr>
            <w:tcW w:w="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360" w:right="10220" w:hanging="352"/>
        <w:spacing w:after="0" w:line="381" w:lineRule="auto"/>
        <w:tabs>
          <w:tab w:leader="none" w:pos="36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Lease Term (</w:t>
      </w:r>
      <w:r>
        <w:rPr>
          <w:rFonts w:ascii="Arial" w:cs="Arial" w:eastAsia="Arial" w:hAnsi="Arial"/>
          <w:sz w:val="15"/>
          <w:szCs w:val="15"/>
          <w:u w:val="single" w:color="auto"/>
          <w:color w:val="auto"/>
        </w:rPr>
        <w:t>Article 2)</w:t>
      </w:r>
      <w:r>
        <w:rPr>
          <w:rFonts w:ascii="Arial" w:cs="Arial" w:eastAsia="Arial" w:hAnsi="Arial"/>
          <w:sz w:val="15"/>
          <w:szCs w:val="15"/>
          <w:color w:val="auto"/>
        </w:rPr>
        <w:t>:</w:t>
      </w:r>
    </w:p>
    <w:p>
      <w:pPr>
        <w:spacing w:after="0" w:line="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2540" w:type="dxa"/>
            <w:vAlign w:val="bottom"/>
          </w:tcPr>
          <w:p>
            <w:pPr>
              <w:ind w:left="20"/>
              <w:spacing w:after="0"/>
              <w:rPr>
                <w:sz w:val="20"/>
                <w:szCs w:val="20"/>
                <w:color w:val="auto"/>
              </w:rPr>
            </w:pPr>
            <w:r>
              <w:rPr>
                <w:rFonts w:ascii="Arial" w:cs="Arial" w:eastAsia="Arial" w:hAnsi="Arial"/>
                <w:sz w:val="18"/>
                <w:szCs w:val="18"/>
                <w:color w:val="auto"/>
              </w:rPr>
              <w:t>Length of Term:</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rPr>
              <w:t>Approximately five (5) years.</w:t>
            </w:r>
          </w:p>
        </w:tc>
      </w:tr>
      <w:tr>
        <w:trPr>
          <w:trHeight w:val="324"/>
        </w:trPr>
        <w:tc>
          <w:tcPr>
            <w:tcW w:w="24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2540" w:type="dxa"/>
            <w:vAlign w:val="bottom"/>
          </w:tcPr>
          <w:p>
            <w:pPr>
              <w:ind w:left="20"/>
              <w:spacing w:after="0"/>
              <w:rPr>
                <w:sz w:val="20"/>
                <w:szCs w:val="20"/>
                <w:color w:val="auto"/>
              </w:rPr>
            </w:pPr>
            <w:r>
              <w:rPr>
                <w:rFonts w:ascii="Arial" w:cs="Arial" w:eastAsia="Arial" w:hAnsi="Arial"/>
                <w:sz w:val="18"/>
                <w:szCs w:val="18"/>
                <w:color w:val="auto"/>
              </w:rPr>
              <w:t>Lease Commencement Date:</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rPr>
              <w:t>August 16, 2011.</w:t>
            </w:r>
          </w:p>
        </w:tc>
      </w:tr>
      <w:tr>
        <w:trPr>
          <w:trHeight w:val="324"/>
        </w:trPr>
        <w:tc>
          <w:tcPr>
            <w:tcW w:w="24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2540" w:type="dxa"/>
            <w:vAlign w:val="bottom"/>
          </w:tcPr>
          <w:p>
            <w:pPr>
              <w:ind w:left="20"/>
              <w:spacing w:after="0"/>
              <w:rPr>
                <w:sz w:val="20"/>
                <w:szCs w:val="20"/>
                <w:color w:val="auto"/>
              </w:rPr>
            </w:pPr>
            <w:r>
              <w:rPr>
                <w:rFonts w:ascii="Arial" w:cs="Arial" w:eastAsia="Arial" w:hAnsi="Arial"/>
                <w:sz w:val="18"/>
                <w:szCs w:val="18"/>
                <w:color w:val="auto"/>
              </w:rPr>
              <w:t>Lease Expiration Date:</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rPr>
              <w:t>August 31, 2016.</w:t>
            </w:r>
          </w:p>
        </w:tc>
      </w:tr>
      <w:tr>
        <w:trPr>
          <w:trHeight w:val="284"/>
        </w:trPr>
        <w:tc>
          <w:tcPr>
            <w:tcW w:w="24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2540" w:type="dxa"/>
            <w:vAlign w:val="bottom"/>
          </w:tcPr>
          <w:p>
            <w:pPr>
              <w:ind w:left="20"/>
              <w:spacing w:after="0"/>
              <w:rPr>
                <w:sz w:val="20"/>
                <w:szCs w:val="20"/>
                <w:color w:val="auto"/>
              </w:rPr>
            </w:pPr>
            <w:r>
              <w:rPr>
                <w:rFonts w:ascii="Arial" w:cs="Arial" w:eastAsia="Arial" w:hAnsi="Arial"/>
                <w:sz w:val="18"/>
                <w:szCs w:val="18"/>
                <w:color w:val="auto"/>
              </w:rPr>
              <w:t>Option Term:</w:t>
            </w:r>
          </w:p>
        </w:tc>
        <w:tc>
          <w:tcPr>
            <w:tcW w:w="7320" w:type="dxa"/>
            <w:vAlign w:val="bottom"/>
            <w:gridSpan w:val="3"/>
          </w:tcPr>
          <w:p>
            <w:pPr>
              <w:ind w:left="440"/>
              <w:spacing w:after="0"/>
              <w:rPr>
                <w:sz w:val="20"/>
                <w:szCs w:val="20"/>
                <w:color w:val="auto"/>
              </w:rPr>
            </w:pPr>
            <w:r>
              <w:rPr>
                <w:rFonts w:ascii="Arial" w:cs="Arial" w:eastAsia="Arial" w:hAnsi="Arial"/>
                <w:sz w:val="18"/>
                <w:szCs w:val="18"/>
                <w:color w:val="auto"/>
                <w:w w:val="91"/>
              </w:rPr>
              <w:t>One (1) five (5)-year option to renew, as more particularly set forth in Section 2.2 of this Lease.</w:t>
            </w:r>
          </w:p>
        </w:tc>
      </w:tr>
      <w:tr>
        <w:trPr>
          <w:trHeight w:val="20"/>
        </w:trPr>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413" w:name="page414"/>
    <w:bookmarkEnd w:id="413"/>
    <w:p>
      <w:pPr>
        <w:ind w:left="360" w:hanging="352"/>
        <w:spacing w:after="0"/>
        <w:tabs>
          <w:tab w:leader="none" w:pos="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Rent (Article 3):</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Monthly</w:t>
            </w: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Annual</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Rental Rate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1"/>
              </w:rPr>
              <w:t>Lease Year</w:t>
            </w:r>
          </w:p>
        </w:tc>
        <w:tc>
          <w:tcPr>
            <w:tcW w:w="5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Installment</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Rentable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514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Base Rent*</w:t>
            </w:r>
          </w:p>
        </w:tc>
        <w:tc>
          <w:tcPr>
            <w:tcW w:w="280" w:type="dxa"/>
            <w:vAlign w:val="bottom"/>
          </w:tcPr>
          <w:p>
            <w:pPr>
              <w:spacing w:after="0"/>
              <w:rPr>
                <w:sz w:val="15"/>
                <w:szCs w:val="15"/>
                <w:color w:val="auto"/>
              </w:rPr>
            </w:pPr>
          </w:p>
        </w:tc>
        <w:tc>
          <w:tcPr>
            <w:tcW w:w="13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of Base Rent*</w:t>
            </w:r>
          </w:p>
        </w:tc>
        <w:tc>
          <w:tcPr>
            <w:tcW w:w="9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Square Foot*</w:t>
            </w:r>
          </w:p>
        </w:tc>
        <w:tc>
          <w:tcPr>
            <w:tcW w:w="0" w:type="dxa"/>
            <w:vAlign w:val="bottom"/>
          </w:tcPr>
          <w:p>
            <w:pPr>
              <w:spacing w:after="0"/>
              <w:rPr>
                <w:sz w:val="1"/>
                <w:szCs w:val="1"/>
                <w:color w:val="auto"/>
              </w:rPr>
            </w:pPr>
          </w:p>
        </w:tc>
      </w:tr>
      <w:tr>
        <w:trPr>
          <w:trHeight w:val="203"/>
        </w:trPr>
        <w:tc>
          <w:tcPr>
            <w:tcW w:w="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w:t>
            </w:r>
          </w:p>
        </w:tc>
        <w:tc>
          <w:tcPr>
            <w:tcW w:w="5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$449,256.96</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$ 37,438.08</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4"/>
              </w:rPr>
              <w:t>1.480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630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$462,734.67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$ 38,561.22</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30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$476,616.71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$ 39,718.06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630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$490,915.21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$ 40,909.60</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30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$505,642.67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$ 42,136.89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312" w:lineRule="auto"/>
        <w:tabs>
          <w:tab w:leader="none" w:pos="4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initial Annual Base Rent (and Monthly Installment of Base Rent) was calculated by multiplying the initial Monthly Rental Rate per Rentable Square Foot by the number of rentable square feet of space in the Premises. In all subsequent Lease Years, the calculation of Annual Base Rent (and Monthly Installment of Base Rent) reflects an annual increase of three percent (3.0%), with the corresponding Monthly Rental Rate per Rentable</w:t>
      </w:r>
    </w:p>
    <w:p>
      <w:pPr>
        <w:spacing w:after="0" w:line="147" w:lineRule="exact"/>
        <w:rPr>
          <w:sz w:val="20"/>
          <w:szCs w:val="20"/>
          <w:color w:val="auto"/>
        </w:rPr>
      </w:pPr>
    </w:p>
    <w:p>
      <w:pPr>
        <w:ind w:left="460" w:right="80" w:hanging="452"/>
        <w:spacing w:after="0" w:line="264"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Pursuant to the express terms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Lease, and notwithstanding any provision to the contrary set forth herein, Tenant shall not be obligated to pay, and shall not pay, the monthly installments of Base Rent attributable to the “Base Rent Abatement Period” (as that term is defined in, and as more particularly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below).</w:t>
      </w:r>
    </w:p>
    <w:p>
      <w:pPr>
        <w:spacing w:after="0" w:line="208" w:lineRule="exact"/>
        <w:rPr>
          <w:sz w:val="20"/>
          <w:szCs w:val="20"/>
          <w:color w:val="auto"/>
        </w:rPr>
      </w:pPr>
    </w:p>
    <w:p>
      <w:pPr>
        <w:ind w:left="380" w:right="9440" w:hanging="372"/>
        <w:spacing w:after="0" w:line="277" w:lineRule="auto"/>
        <w:tabs>
          <w:tab w:leader="none" w:pos="3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Intentionally Omitted (Article 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3400" w:type="dxa"/>
            <w:vAlign w:val="bottom"/>
            <w:gridSpan w:val="3"/>
          </w:tcPr>
          <w:p>
            <w:pPr>
              <w:ind w:left="120"/>
              <w:spacing w:after="0"/>
              <w:rPr>
                <w:sz w:val="20"/>
                <w:szCs w:val="20"/>
                <w:color w:val="auto"/>
              </w:rPr>
            </w:pPr>
            <w:r>
              <w:rPr>
                <w:rFonts w:ascii="Arial" w:cs="Arial" w:eastAsia="Arial" w:hAnsi="Arial"/>
                <w:sz w:val="18"/>
                <w:szCs w:val="18"/>
                <w:color w:val="auto"/>
              </w:rPr>
              <w:t>Tenant’s Share</w:t>
            </w:r>
          </w:p>
        </w:tc>
        <w:tc>
          <w:tcPr>
            <w:tcW w:w="7700" w:type="dxa"/>
            <w:vAlign w:val="bottom"/>
            <w:gridSpan w:val="4"/>
          </w:tcPr>
          <w:p>
            <w:pPr>
              <w:spacing w:after="0"/>
              <w:rPr>
                <w:sz w:val="20"/>
                <w:szCs w:val="20"/>
                <w:color w:val="auto"/>
              </w:rPr>
            </w:pPr>
            <w:r>
              <w:rPr>
                <w:rFonts w:ascii="Arial" w:cs="Arial" w:eastAsia="Arial" w:hAnsi="Arial"/>
                <w:sz w:val="18"/>
                <w:szCs w:val="18"/>
                <w:color w:val="auto"/>
              </w:rPr>
              <w:t>Approximately 33.3963%.</w:t>
            </w:r>
          </w:p>
        </w:tc>
      </w:tr>
      <w:tr>
        <w:trPr>
          <w:trHeight w:val="190"/>
        </w:trPr>
        <w:tc>
          <w:tcPr>
            <w:tcW w:w="260" w:type="dxa"/>
            <w:vAlign w:val="bottom"/>
          </w:tcPr>
          <w:p>
            <w:pPr>
              <w:spacing w:after="0"/>
              <w:rPr>
                <w:sz w:val="16"/>
                <w:szCs w:val="16"/>
                <w:color w:val="auto"/>
              </w:rPr>
            </w:pPr>
          </w:p>
        </w:tc>
        <w:tc>
          <w:tcPr>
            <w:tcW w:w="34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(Article 4):</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30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4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7.</w:t>
            </w:r>
          </w:p>
        </w:tc>
        <w:tc>
          <w:tcPr>
            <w:tcW w:w="3400" w:type="dxa"/>
            <w:vAlign w:val="bottom"/>
            <w:gridSpan w:val="3"/>
          </w:tcPr>
          <w:p>
            <w:pPr>
              <w:ind w:left="120"/>
              <w:spacing w:after="0"/>
              <w:rPr>
                <w:sz w:val="20"/>
                <w:szCs w:val="20"/>
                <w:color w:val="auto"/>
              </w:rPr>
            </w:pPr>
            <w:r>
              <w:rPr>
                <w:rFonts w:ascii="Arial" w:cs="Arial" w:eastAsia="Arial" w:hAnsi="Arial"/>
                <w:sz w:val="18"/>
                <w:szCs w:val="18"/>
                <w:color w:val="auto"/>
              </w:rPr>
              <w:t>Permitted Use</w:t>
            </w:r>
          </w:p>
        </w:tc>
        <w:tc>
          <w:tcPr>
            <w:tcW w:w="7700" w:type="dxa"/>
            <w:vAlign w:val="bottom"/>
            <w:gridSpan w:val="4"/>
          </w:tcPr>
          <w:p>
            <w:pPr>
              <w:spacing w:after="0"/>
              <w:rPr>
                <w:sz w:val="20"/>
                <w:szCs w:val="20"/>
                <w:color w:val="auto"/>
              </w:rPr>
            </w:pPr>
            <w:r>
              <w:rPr>
                <w:rFonts w:ascii="Arial" w:cs="Arial" w:eastAsia="Arial" w:hAnsi="Arial"/>
                <w:sz w:val="18"/>
                <w:szCs w:val="18"/>
                <w:color w:val="auto"/>
                <w:w w:val="90"/>
              </w:rPr>
              <w:t>Tenant shall use the Premises solely for (i) general office use, (ii) the manufacturing, testing, and research</w:t>
            </w:r>
          </w:p>
        </w:tc>
      </w:tr>
      <w:tr>
        <w:trPr>
          <w:trHeight w:val="190"/>
        </w:trPr>
        <w:tc>
          <w:tcPr>
            <w:tcW w:w="260" w:type="dxa"/>
            <w:vAlign w:val="bottom"/>
          </w:tcPr>
          <w:p>
            <w:pPr>
              <w:spacing w:after="0"/>
              <w:rPr>
                <w:sz w:val="16"/>
                <w:szCs w:val="16"/>
                <w:color w:val="auto"/>
              </w:rPr>
            </w:pPr>
          </w:p>
        </w:tc>
        <w:tc>
          <w:tcPr>
            <w:tcW w:w="34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(Article 5):</w:t>
            </w:r>
          </w:p>
        </w:tc>
        <w:tc>
          <w:tcPr>
            <w:tcW w:w="7700" w:type="dxa"/>
            <w:vAlign w:val="bottom"/>
            <w:gridSpan w:val="4"/>
          </w:tcPr>
          <w:p>
            <w:pPr>
              <w:spacing w:after="0" w:line="190" w:lineRule="exact"/>
              <w:rPr>
                <w:sz w:val="20"/>
                <w:szCs w:val="20"/>
                <w:color w:val="auto"/>
              </w:rPr>
            </w:pPr>
            <w:r>
              <w:rPr>
                <w:rFonts w:ascii="Arial" w:cs="Arial" w:eastAsia="Arial" w:hAnsi="Arial"/>
                <w:sz w:val="18"/>
                <w:szCs w:val="18"/>
                <w:color w:val="auto"/>
                <w:w w:val="93"/>
              </w:rPr>
              <w:t>and development of biotechnology and/or pharmaceutical products, (iii) a rodent vivarium, and (iv) other</w:t>
            </w:r>
          </w:p>
        </w:tc>
      </w:tr>
      <w:tr>
        <w:trPr>
          <w:trHeight w:val="222"/>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w w:val="92"/>
              </w:rPr>
              <w:t>uses, to the extent the foregoing are permitted under (A) all “Applicable Laws,” as that term is set forth in</w:t>
            </w:r>
          </w:p>
        </w:tc>
      </w:tr>
      <w:tr>
        <w:trPr>
          <w:trHeight w:val="190"/>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700" w:type="dxa"/>
            <w:vAlign w:val="bottom"/>
            <w:gridSpan w:val="4"/>
          </w:tcPr>
          <w:p>
            <w:pPr>
              <w:spacing w:after="0" w:line="190" w:lineRule="exact"/>
              <w:rPr>
                <w:sz w:val="20"/>
                <w:szCs w:val="20"/>
                <w:color w:val="auto"/>
              </w:rPr>
            </w:pPr>
            <w:r>
              <w:rPr>
                <w:rFonts w:ascii="Arial" w:cs="Arial" w:eastAsia="Arial" w:hAnsi="Arial"/>
                <w:sz w:val="18"/>
                <w:szCs w:val="18"/>
                <w:color w:val="auto"/>
                <w:w w:val="95"/>
              </w:rPr>
              <w:t>Article 24 of this Lease, (B) all applicable zoning, building codes and the “CC&amp;Rs,” as that term is set</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700" w:type="dxa"/>
            <w:vAlign w:val="bottom"/>
            <w:gridSpan w:val="4"/>
          </w:tcPr>
          <w:p>
            <w:pPr>
              <w:spacing w:after="0" w:line="196" w:lineRule="exact"/>
              <w:rPr>
                <w:sz w:val="20"/>
                <w:szCs w:val="20"/>
                <w:color w:val="auto"/>
              </w:rPr>
            </w:pPr>
            <w:r>
              <w:rPr>
                <w:rFonts w:ascii="Arial" w:cs="Arial" w:eastAsia="Arial" w:hAnsi="Arial"/>
                <w:sz w:val="18"/>
                <w:szCs w:val="18"/>
                <w:color w:val="auto"/>
                <w:w w:val="90"/>
              </w:rPr>
              <w:t>forth in Section 5.3 of this Lease, and (C) the character of the Project as a first-class office building Project</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rPr>
              <w:t>(collectively, as applicable, the “</w:t>
            </w:r>
            <w:r>
              <w:rPr>
                <w:rFonts w:ascii="Arial" w:cs="Arial" w:eastAsia="Arial" w:hAnsi="Arial"/>
                <w:sz w:val="18"/>
                <w:szCs w:val="18"/>
                <w:b w:val="1"/>
                <w:bCs w:val="1"/>
                <w:color w:val="auto"/>
              </w:rPr>
              <w:t>Permitted Use</w:t>
            </w:r>
            <w:r>
              <w:rPr>
                <w:rFonts w:ascii="Arial" w:cs="Arial" w:eastAsia="Arial" w:hAnsi="Arial"/>
                <w:sz w:val="18"/>
                <w:szCs w:val="18"/>
                <w:color w:val="auto"/>
              </w:rPr>
              <w:t>”).</w:t>
            </w:r>
          </w:p>
        </w:tc>
      </w:tr>
      <w:tr>
        <w:trPr>
          <w:trHeight w:val="365"/>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700" w:type="dxa"/>
            <w:vAlign w:val="bottom"/>
            <w:gridSpan w:val="4"/>
          </w:tcPr>
          <w:p>
            <w:pPr>
              <w:ind w:left="20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60"/>
          </w:cols>
          <w:pgMar w:left="240" w:top="381" w:right="299" w:bottom="1440" w:gutter="0" w:footer="0" w:header="0"/>
        </w:sectPr>
      </w:pPr>
    </w:p>
    <w:bookmarkStart w:id="414" w:name="page415"/>
    <w:bookmarkEnd w:id="414"/>
    <w:p>
      <w:pPr>
        <w:ind w:left="372" w:hanging="372"/>
        <w:spacing w:after="0"/>
        <w:tabs>
          <w:tab w:leader="none" w:pos="372" w:val="left"/>
        </w:tabs>
        <w:numPr>
          <w:ilvl w:val="0"/>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Enhancement:</w:t>
      </w:r>
    </w:p>
    <w:p>
      <w:pPr>
        <w:spacing w:after="0" w:line="117" w:lineRule="exact"/>
        <w:rPr>
          <w:sz w:val="20"/>
          <w:szCs w:val="20"/>
          <w:color w:val="auto"/>
        </w:rPr>
      </w:pPr>
    </w:p>
    <w:tbl>
      <w:tblPr>
        <w:tblLayout w:type="fixed"/>
        <w:tblInd w:w="372"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8.1</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Security Deposit</w:t>
            </w: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$42,136.89.</w:t>
            </w:r>
          </w:p>
        </w:tc>
        <w:tc>
          <w:tcPr>
            <w:tcW w:w="6280" w:type="dxa"/>
            <w:vAlign w:val="bottom"/>
          </w:tcPr>
          <w:p>
            <w:pPr>
              <w:spacing w:after="0"/>
              <w:rPr>
                <w:sz w:val="18"/>
                <w:szCs w:val="18"/>
                <w:color w:val="auto"/>
              </w:rPr>
            </w:pPr>
          </w:p>
        </w:tc>
      </w:tr>
      <w:tr>
        <w:trPr>
          <w:trHeight w:val="190"/>
        </w:trPr>
        <w:tc>
          <w:tcPr>
            <w:tcW w:w="280" w:type="dxa"/>
            <w:vAlign w:val="bottom"/>
          </w:tcPr>
          <w:p>
            <w:pPr>
              <w:spacing w:after="0"/>
              <w:rPr>
                <w:sz w:val="16"/>
                <w:szCs w:val="16"/>
                <w:color w:val="auto"/>
              </w:rPr>
            </w:pPr>
          </w:p>
        </w:tc>
        <w:tc>
          <w:tcPr>
            <w:tcW w:w="2620" w:type="dxa"/>
            <w:vAlign w:val="bottom"/>
            <w:gridSpan w:val="8"/>
          </w:tcPr>
          <w:p>
            <w:pPr>
              <w:ind w:left="80"/>
              <w:spacing w:after="0" w:line="190" w:lineRule="exact"/>
              <w:rPr>
                <w:sz w:val="20"/>
                <w:szCs w:val="20"/>
                <w:color w:val="auto"/>
              </w:rPr>
            </w:pPr>
            <w:r>
              <w:rPr>
                <w:rFonts w:ascii="Arial" w:cs="Arial" w:eastAsia="Arial" w:hAnsi="Arial"/>
                <w:sz w:val="18"/>
                <w:szCs w:val="18"/>
                <w:color w:val="auto"/>
              </w:rPr>
              <w:t>(Article 21):</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8"/>
                <w:szCs w:val="18"/>
                <w:color w:val="auto"/>
              </w:rPr>
              <w:t>8.2</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Letter of Credit</w:t>
            </w: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$160,000.00.</w:t>
            </w:r>
          </w:p>
        </w:tc>
        <w:tc>
          <w:tcPr>
            <w:tcW w:w="628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2620" w:type="dxa"/>
            <w:vAlign w:val="bottom"/>
            <w:gridSpan w:val="8"/>
          </w:tcPr>
          <w:p>
            <w:pPr>
              <w:ind w:left="20"/>
              <w:spacing w:after="0" w:line="190" w:lineRule="exact"/>
              <w:rPr>
                <w:sz w:val="20"/>
                <w:szCs w:val="20"/>
                <w:color w:val="auto"/>
              </w:rPr>
            </w:pPr>
            <w:r>
              <w:rPr>
                <w:rFonts w:ascii="Arial" w:cs="Arial" w:eastAsia="Arial" w:hAnsi="Arial"/>
                <w:sz w:val="18"/>
                <w:szCs w:val="18"/>
                <w:color w:val="auto"/>
              </w:rPr>
              <w:t>(Article 22):</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Parking Pass Ratio</w:t>
            </w:r>
          </w:p>
        </w:tc>
        <w:tc>
          <w:tcPr>
            <w:tcW w:w="7960" w:type="dxa"/>
            <w:vAlign w:val="bottom"/>
            <w:gridSpan w:val="3"/>
          </w:tcPr>
          <w:p>
            <w:pPr>
              <w:ind w:left="380"/>
              <w:spacing w:after="0" w:line="222" w:lineRule="exact"/>
              <w:rPr>
                <w:sz w:val="20"/>
                <w:szCs w:val="20"/>
                <w:color w:val="auto"/>
              </w:rPr>
            </w:pPr>
            <w:r>
              <w:rPr>
                <w:rFonts w:ascii="Arial" w:cs="Arial" w:eastAsia="Arial" w:hAnsi="Arial"/>
                <w:sz w:val="16"/>
                <w:szCs w:val="16"/>
                <w:color w:val="auto"/>
                <w:w w:val="99"/>
              </w:rPr>
              <w:t xml:space="preserve">Three and one-half (3 </w:t>
            </w:r>
            <w:r>
              <w:rPr>
                <w:rFonts w:ascii="Arial" w:cs="Arial" w:eastAsia="Arial" w:hAnsi="Arial"/>
                <w:sz w:val="25"/>
                <w:szCs w:val="25"/>
                <w:color w:val="auto"/>
                <w:w w:val="99"/>
                <w:vertAlign w:val="superscript"/>
              </w:rPr>
              <w:t>1</w:t>
            </w:r>
            <w:r>
              <w:rPr>
                <w:rFonts w:ascii="Arial" w:cs="Arial" w:eastAsia="Arial" w:hAnsi="Arial"/>
                <w:sz w:val="16"/>
                <w:szCs w:val="16"/>
                <w:color w:val="auto"/>
                <w:w w:val="99"/>
              </w:rPr>
              <w:t>⁄</w:t>
            </w:r>
            <w:r>
              <w:rPr>
                <w:rFonts w:ascii="Arial" w:cs="Arial" w:eastAsia="Arial" w:hAnsi="Arial"/>
                <w:sz w:val="25"/>
                <w:szCs w:val="25"/>
                <w:color w:val="auto"/>
                <w:w w:val="99"/>
                <w:vertAlign w:val="subscript"/>
              </w:rPr>
              <w:t>2</w:t>
            </w:r>
            <w:r>
              <w:rPr>
                <w:rFonts w:ascii="Arial" w:cs="Arial" w:eastAsia="Arial" w:hAnsi="Arial"/>
                <w:sz w:val="16"/>
                <w:szCs w:val="16"/>
                <w:color w:val="auto"/>
                <w:w w:val="99"/>
              </w:rPr>
              <w:t>) unreserved parking passes for every 1,000 rentable square feet of the Premises.</w:t>
            </w:r>
          </w:p>
        </w:tc>
      </w:tr>
      <w:tr>
        <w:trPr>
          <w:trHeight w:val="190"/>
        </w:trPr>
        <w:tc>
          <w:tcPr>
            <w:tcW w:w="280" w:type="dxa"/>
            <w:vAlign w:val="bottom"/>
          </w:tcPr>
          <w:p>
            <w:pPr>
              <w:spacing w:after="0"/>
              <w:rPr>
                <w:sz w:val="16"/>
                <w:szCs w:val="16"/>
                <w:color w:val="auto"/>
              </w:rPr>
            </w:pPr>
          </w:p>
        </w:tc>
        <w:tc>
          <w:tcPr>
            <w:tcW w:w="2620" w:type="dxa"/>
            <w:vAlign w:val="bottom"/>
            <w:gridSpan w:val="8"/>
          </w:tcPr>
          <w:p>
            <w:pPr>
              <w:ind w:left="80"/>
              <w:spacing w:after="0" w:line="190" w:lineRule="exact"/>
              <w:rPr>
                <w:sz w:val="20"/>
                <w:szCs w:val="20"/>
                <w:color w:val="auto"/>
              </w:rPr>
            </w:pPr>
            <w:r>
              <w:rPr>
                <w:rFonts w:ascii="Arial" w:cs="Arial" w:eastAsia="Arial" w:hAnsi="Arial"/>
                <w:sz w:val="18"/>
                <w:szCs w:val="18"/>
                <w:color w:val="auto"/>
              </w:rPr>
              <w:t>(Article 28):</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2620" w:type="dxa"/>
            <w:vAlign w:val="bottom"/>
            <w:gridSpan w:val="8"/>
          </w:tcPr>
          <w:p>
            <w:pPr>
              <w:ind w:left="60"/>
              <w:spacing w:after="0"/>
              <w:rPr>
                <w:sz w:val="20"/>
                <w:szCs w:val="20"/>
                <w:color w:val="auto"/>
              </w:rPr>
            </w:pPr>
            <w:r>
              <w:rPr>
                <w:rFonts w:ascii="Arial" w:cs="Arial" w:eastAsia="Arial" w:hAnsi="Arial"/>
                <w:sz w:val="18"/>
                <w:szCs w:val="18"/>
                <w:color w:val="auto"/>
              </w:rPr>
              <w:t>Address of Tenant</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AnaptysBio, Inc.</w:t>
            </w:r>
          </w:p>
        </w:tc>
      </w:tr>
      <w:tr>
        <w:trPr>
          <w:trHeight w:val="190"/>
        </w:trPr>
        <w:tc>
          <w:tcPr>
            <w:tcW w:w="280" w:type="dxa"/>
            <w:vAlign w:val="bottom"/>
          </w:tcPr>
          <w:p>
            <w:pPr>
              <w:spacing w:after="0"/>
              <w:rPr>
                <w:sz w:val="16"/>
                <w:szCs w:val="16"/>
                <w:color w:val="auto"/>
              </w:rPr>
            </w:pPr>
          </w:p>
        </w:tc>
        <w:tc>
          <w:tcPr>
            <w:tcW w:w="2620" w:type="dxa"/>
            <w:vAlign w:val="bottom"/>
            <w:gridSpan w:val="8"/>
          </w:tcPr>
          <w:p>
            <w:pPr>
              <w:ind w:left="20"/>
              <w:spacing w:after="0" w:line="190" w:lineRule="exact"/>
              <w:rPr>
                <w:sz w:val="20"/>
                <w:szCs w:val="20"/>
                <w:color w:val="auto"/>
              </w:rPr>
            </w:pPr>
            <w:r>
              <w:rPr>
                <w:rFonts w:ascii="Arial" w:cs="Arial" w:eastAsia="Arial" w:hAnsi="Arial"/>
                <w:sz w:val="18"/>
                <w:szCs w:val="18"/>
                <w:color w:val="auto"/>
              </w:rPr>
              <w:t>(Section 29.18):</w:t>
            </w:r>
          </w:p>
        </w:tc>
        <w:tc>
          <w:tcPr>
            <w:tcW w:w="796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10835 Road to the Cure, Suite 100</w:t>
            </w:r>
          </w:p>
        </w:tc>
      </w:tr>
      <w:tr>
        <w:trPr>
          <w:trHeight w:val="222"/>
        </w:trPr>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San Diego, California 92121</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Attention: Chairman and CEO</w:t>
            </w:r>
          </w:p>
        </w:tc>
      </w:tr>
      <w:tr>
        <w:trPr>
          <w:trHeight w:val="230"/>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to Lease Commencement Date</w:t>
            </w:r>
            <w:r>
              <w:rPr>
                <w:rFonts w:ascii="Arial" w:cs="Arial" w:eastAsia="Arial" w:hAnsi="Arial"/>
                <w:sz w:val="18"/>
                <w:szCs w:val="18"/>
                <w:color w:val="auto"/>
              </w:rPr>
              <w:t>)</w:t>
            </w: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AnaptysBio, Inc.</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10421 Pacific Center Court, Suite 200</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San Diego, California 92121</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Attention: Chairman and CEO</w:t>
            </w:r>
          </w:p>
        </w:tc>
      </w:tr>
      <w:tr>
        <w:trPr>
          <w:trHeight w:val="230"/>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After Lease Commencement Date</w:t>
            </w:r>
            <w:r>
              <w:rPr>
                <w:rFonts w:ascii="Arial" w:cs="Arial" w:eastAsia="Arial" w:hAnsi="Arial"/>
                <w:sz w:val="18"/>
                <w:szCs w:val="18"/>
                <w:color w:val="auto"/>
              </w:rPr>
              <w:t>)</w:t>
            </w:r>
          </w:p>
        </w:tc>
      </w:tr>
      <w:tr>
        <w:trPr>
          <w:trHeight w:val="297"/>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2620" w:type="dxa"/>
            <w:vAlign w:val="bottom"/>
            <w:gridSpan w:val="8"/>
          </w:tcPr>
          <w:p>
            <w:pPr>
              <w:ind w:left="60"/>
              <w:spacing w:after="0"/>
              <w:rPr>
                <w:sz w:val="20"/>
                <w:szCs w:val="20"/>
                <w:color w:val="auto"/>
              </w:rPr>
            </w:pPr>
            <w:r>
              <w:rPr>
                <w:rFonts w:ascii="Arial" w:cs="Arial" w:eastAsia="Arial" w:hAnsi="Arial"/>
                <w:sz w:val="18"/>
                <w:szCs w:val="18"/>
                <w:color w:val="auto"/>
              </w:rPr>
              <w:t>Address of Landlord</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See Section 29.18 of the Lease.</w:t>
            </w:r>
          </w:p>
        </w:tc>
      </w:tr>
      <w:tr>
        <w:trPr>
          <w:trHeight w:val="196"/>
        </w:trPr>
        <w:tc>
          <w:tcPr>
            <w:tcW w:w="280" w:type="dxa"/>
            <w:vAlign w:val="bottom"/>
          </w:tcPr>
          <w:p>
            <w:pPr>
              <w:spacing w:after="0"/>
              <w:rPr>
                <w:sz w:val="17"/>
                <w:szCs w:val="17"/>
                <w:color w:val="auto"/>
              </w:rPr>
            </w:pPr>
          </w:p>
        </w:tc>
        <w:tc>
          <w:tcPr>
            <w:tcW w:w="2620" w:type="dxa"/>
            <w:vAlign w:val="bottom"/>
            <w:gridSpan w:val="8"/>
          </w:tcPr>
          <w:p>
            <w:pPr>
              <w:ind w:left="80"/>
              <w:spacing w:after="0" w:line="196" w:lineRule="exact"/>
              <w:rPr>
                <w:sz w:val="20"/>
                <w:szCs w:val="20"/>
                <w:color w:val="auto"/>
              </w:rPr>
            </w:pPr>
            <w:r>
              <w:rPr>
                <w:rFonts w:ascii="Arial" w:cs="Arial" w:eastAsia="Arial" w:hAnsi="Arial"/>
                <w:sz w:val="18"/>
                <w:szCs w:val="18"/>
                <w:color w:val="auto"/>
              </w:rPr>
              <w:t>(Section 29.18):</w:t>
            </w:r>
          </w:p>
        </w:tc>
        <w:tc>
          <w:tcPr>
            <w:tcW w:w="7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8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Broker(s)</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2620" w:type="dxa"/>
            <w:vAlign w:val="bottom"/>
            <w:gridSpan w:val="8"/>
          </w:tcPr>
          <w:p>
            <w:pPr>
              <w:ind w:left="20"/>
              <w:spacing w:after="0" w:line="190" w:lineRule="exact"/>
              <w:rPr>
                <w:sz w:val="20"/>
                <w:szCs w:val="20"/>
                <w:color w:val="auto"/>
              </w:rPr>
            </w:pPr>
            <w:r>
              <w:rPr>
                <w:rFonts w:ascii="Arial" w:cs="Arial" w:eastAsia="Arial" w:hAnsi="Arial"/>
                <w:sz w:val="18"/>
                <w:szCs w:val="18"/>
                <w:color w:val="auto"/>
              </w:rPr>
              <w:t>(Section 29.24):</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0"/>
        </w:trPr>
        <w:tc>
          <w:tcPr>
            <w:tcW w:w="380" w:type="dxa"/>
            <w:vAlign w:val="bottom"/>
            <w:gridSpan w:val="3"/>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60" w:type="dxa"/>
            <w:vAlign w:val="bottom"/>
            <w:gridSpan w:val="3"/>
          </w:tcPr>
          <w:p>
            <w:pPr>
              <w:spacing w:after="0" w:line="20" w:lineRule="exact"/>
              <w:rPr>
                <w:sz w:val="1"/>
                <w:szCs w:val="1"/>
                <w:color w:val="auto"/>
              </w:rPr>
            </w:pPr>
          </w:p>
        </w:tc>
      </w:tr>
      <w:tr>
        <w:trPr>
          <w:trHeight w:val="345"/>
        </w:trPr>
        <w:tc>
          <w:tcPr>
            <w:tcW w:w="2900" w:type="dxa"/>
            <w:vAlign w:val="bottom"/>
            <w:gridSpan w:val="9"/>
          </w:tcPr>
          <w:p>
            <w:pPr>
              <w:spacing w:after="0"/>
              <w:rPr>
                <w:sz w:val="20"/>
                <w:szCs w:val="20"/>
                <w:color w:val="auto"/>
              </w:rPr>
            </w:pPr>
            <w:r>
              <w:rPr>
                <w:rFonts w:ascii="Arial" w:cs="Arial" w:eastAsia="Arial" w:hAnsi="Arial"/>
                <w:sz w:val="18"/>
                <w:szCs w:val="18"/>
                <w:i w:val="1"/>
                <w:iCs w:val="1"/>
                <w:color w:val="auto"/>
              </w:rPr>
              <w:t>Representing Tenant:</w:t>
            </w:r>
          </w:p>
        </w:tc>
        <w:tc>
          <w:tcPr>
            <w:tcW w:w="7960" w:type="dxa"/>
            <w:vAlign w:val="bottom"/>
            <w:gridSpan w:val="3"/>
          </w:tcPr>
          <w:p>
            <w:pPr>
              <w:ind w:left="380"/>
              <w:spacing w:after="0"/>
              <w:rPr>
                <w:sz w:val="20"/>
                <w:szCs w:val="20"/>
                <w:color w:val="auto"/>
              </w:rPr>
            </w:pPr>
            <w:r>
              <w:rPr>
                <w:rFonts w:ascii="Arial" w:cs="Arial" w:eastAsia="Arial" w:hAnsi="Arial"/>
                <w:sz w:val="18"/>
                <w:szCs w:val="18"/>
                <w:i w:val="1"/>
                <w:iCs w:val="1"/>
                <w:color w:val="auto"/>
              </w:rPr>
              <w:t>Representing Landlord:</w:t>
            </w:r>
          </w:p>
        </w:tc>
      </w:tr>
      <w:tr>
        <w:trPr>
          <w:trHeight w:val="324"/>
        </w:trPr>
        <w:tc>
          <w:tcPr>
            <w:tcW w:w="2900" w:type="dxa"/>
            <w:vAlign w:val="bottom"/>
            <w:gridSpan w:val="9"/>
          </w:tcPr>
          <w:p>
            <w:pPr>
              <w:spacing w:after="0"/>
              <w:rPr>
                <w:sz w:val="20"/>
                <w:szCs w:val="20"/>
                <w:color w:val="auto"/>
              </w:rPr>
            </w:pPr>
            <w:r>
              <w:rPr>
                <w:rFonts w:ascii="Arial" w:cs="Arial" w:eastAsia="Arial" w:hAnsi="Arial"/>
                <w:sz w:val="18"/>
                <w:szCs w:val="18"/>
                <w:color w:val="auto"/>
              </w:rPr>
              <w:t xml:space="preserve">Irving Hughes </w:t>
            </w:r>
            <w:r>
              <w:rPr>
                <w:rFonts w:ascii="Arial" w:cs="Arial" w:eastAsia="Arial" w:hAnsi="Arial"/>
                <w:sz w:val="18"/>
                <w:szCs w:val="18"/>
                <w:i w:val="1"/>
                <w:iCs w:val="1"/>
                <w:color w:val="auto"/>
              </w:rPr>
              <w:t>and</w:t>
            </w:r>
            <w:r>
              <w:rPr>
                <w:rFonts w:ascii="Arial" w:cs="Arial" w:eastAsia="Arial" w:hAnsi="Arial"/>
                <w:sz w:val="18"/>
                <w:szCs w:val="18"/>
                <w:color w:val="auto"/>
              </w:rPr>
              <w:t xml:space="preserve"> Hughes Marino</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rPr>
              <w:t>Colliers International</w:t>
            </w:r>
          </w:p>
        </w:tc>
      </w:tr>
      <w:tr>
        <w:trPr>
          <w:trHeight w:val="30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2620" w:type="dxa"/>
            <w:vAlign w:val="bottom"/>
            <w:gridSpan w:val="8"/>
          </w:tcPr>
          <w:p>
            <w:pPr>
              <w:ind w:left="80"/>
              <w:spacing w:after="0"/>
              <w:rPr>
                <w:sz w:val="20"/>
                <w:szCs w:val="20"/>
                <w:color w:val="auto"/>
              </w:rPr>
            </w:pPr>
            <w:r>
              <w:rPr>
                <w:rFonts w:ascii="Arial" w:cs="Arial" w:eastAsia="Arial" w:hAnsi="Arial"/>
                <w:sz w:val="18"/>
                <w:szCs w:val="18"/>
                <w:color w:val="auto"/>
              </w:rPr>
              <w:t>Improvement Allowance</w:t>
            </w:r>
          </w:p>
        </w:tc>
        <w:tc>
          <w:tcPr>
            <w:tcW w:w="7960" w:type="dxa"/>
            <w:vAlign w:val="bottom"/>
            <w:gridSpan w:val="3"/>
          </w:tcPr>
          <w:p>
            <w:pPr>
              <w:ind w:left="380"/>
              <w:spacing w:after="0"/>
              <w:rPr>
                <w:sz w:val="20"/>
                <w:szCs w:val="20"/>
                <w:color w:val="auto"/>
              </w:rPr>
            </w:pPr>
            <w:r>
              <w:rPr>
                <w:rFonts w:ascii="Arial" w:cs="Arial" w:eastAsia="Arial" w:hAnsi="Arial"/>
                <w:sz w:val="18"/>
                <w:szCs w:val="18"/>
                <w:color w:val="auto"/>
                <w:w w:val="92"/>
              </w:rPr>
              <w:t>$328,848.00 (</w:t>
            </w:r>
            <w:r>
              <w:rPr>
                <w:rFonts w:ascii="Arial" w:cs="Arial" w:eastAsia="Arial" w:hAnsi="Arial"/>
                <w:sz w:val="18"/>
                <w:szCs w:val="18"/>
                <w:i w:val="1"/>
                <w:iCs w:val="1"/>
                <w:color w:val="auto"/>
                <w:w w:val="92"/>
              </w:rPr>
              <w:t>i.e</w:t>
            </w:r>
            <w:r>
              <w:rPr>
                <w:rFonts w:ascii="Arial" w:cs="Arial" w:eastAsia="Arial" w:hAnsi="Arial"/>
                <w:sz w:val="18"/>
                <w:szCs w:val="18"/>
                <w:color w:val="auto"/>
                <w:w w:val="92"/>
              </w:rPr>
              <w:t>., Thirteen and No/100 Dollars ($13.00) for each rentable square foot of the Premises).</w:t>
            </w:r>
          </w:p>
        </w:tc>
      </w:tr>
      <w:tr>
        <w:trPr>
          <w:trHeight w:val="194"/>
        </w:trPr>
        <w:tc>
          <w:tcPr>
            <w:tcW w:w="280" w:type="dxa"/>
            <w:vAlign w:val="bottom"/>
          </w:tcPr>
          <w:p>
            <w:pPr>
              <w:spacing w:after="0"/>
              <w:rPr>
                <w:sz w:val="16"/>
                <w:szCs w:val="16"/>
                <w:color w:val="auto"/>
              </w:rPr>
            </w:pPr>
          </w:p>
        </w:tc>
        <w:tc>
          <w:tcPr>
            <w:tcW w:w="2620" w:type="dxa"/>
            <w:vAlign w:val="bottom"/>
            <w:gridSpan w:val="8"/>
          </w:tcPr>
          <w:p>
            <w:pPr>
              <w:ind w:left="20"/>
              <w:spacing w:after="0" w:line="194" w:lineRule="exact"/>
              <w:rPr>
                <w:sz w:val="20"/>
                <w:szCs w:val="20"/>
                <w:color w:val="auto"/>
              </w:rPr>
            </w:pPr>
            <w:r>
              <w:rPr>
                <w:rFonts w:ascii="Arial" w:cs="Arial" w:eastAsia="Arial" w:hAnsi="Arial"/>
                <w:sz w:val="18"/>
                <w:szCs w:val="18"/>
                <w:color w:val="auto"/>
              </w:rPr>
              <w:t xml:space="preserve">(Section 2 of </w:t>
            </w:r>
            <w:r>
              <w:rPr>
                <w:rFonts w:ascii="Arial" w:cs="Arial" w:eastAsia="Arial" w:hAnsi="Arial"/>
                <w:sz w:val="18"/>
                <w:szCs w:val="18"/>
                <w:b w:val="1"/>
                <w:bCs w:val="1"/>
                <w:color w:val="auto"/>
              </w:rPr>
              <w:t>Exhibit B</w:t>
            </w:r>
            <w:r>
              <w:rPr>
                <w:rFonts w:ascii="Arial" w:cs="Arial" w:eastAsia="Arial" w:hAnsi="Arial"/>
                <w:sz w:val="18"/>
                <w:szCs w:val="18"/>
                <w:color w:val="auto"/>
              </w:rPr>
              <w:t>):</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385"/>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gridSpan w:val="3"/>
          </w:tcPr>
          <w:p>
            <w:pPr>
              <w:ind w:left="23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32"/>
          </w:cols>
          <w:pgMar w:left="248" w:top="382" w:right="419" w:bottom="1440" w:gutter="0" w:footer="0" w:header="0"/>
        </w:sectPr>
      </w:pPr>
    </w:p>
    <w:bookmarkStart w:id="415" w:name="page416"/>
    <w:bookmarkEnd w:id="415"/>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PREMISES, BUILDING, PROJECT, AND COMMON AREAS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Premises, Building, Project and Common Areas</w:t>
      </w:r>
      <w:r>
        <w:rPr>
          <w:rFonts w:ascii="Arial" w:cs="Arial" w:eastAsia="Arial" w:hAnsi="Arial"/>
          <w:sz w:val="18"/>
          <w:szCs w:val="18"/>
          <w:u w:val="single" w:color="auto"/>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 of the Premises is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and contains approximately the number of rentable square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feet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parties hereto agree that the lease of the Premises is upon and subject to the terms, covenants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 “</w:t>
      </w:r>
      <w:r>
        <w:rPr>
          <w:rFonts w:ascii="Arial" w:cs="Arial" w:eastAsia="Arial" w:hAnsi="Arial"/>
          <w:sz w:val="16"/>
          <w:szCs w:val="16"/>
          <w:b w:val="1"/>
          <w:bCs w:val="1"/>
          <w:color w:val="auto"/>
        </w:rPr>
        <w:t>TCCs</w:t>
      </w:r>
      <w:r>
        <w:rPr>
          <w:rFonts w:ascii="Arial" w:cs="Arial" w:eastAsia="Arial" w:hAnsi="Arial"/>
          <w:sz w:val="16"/>
          <w:szCs w:val="16"/>
          <w:color w:val="auto"/>
        </w:rPr>
        <w:t>”) herein set forth, and Tenant covenants as a material part of the consideration for this Lease to keep and perform each and all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TCCs by it to be kept and performed and that this Lease is made upon the condition of such performance. The parties hereto hereby acknowledge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approximate location of the Premises in the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below, only, and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is not meant to constitute an agreement, representation or warranty as to the construction of the Premises, the precise area thereof or the specific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location of the “</w:t>
      </w:r>
      <w:r>
        <w:rPr>
          <w:rFonts w:ascii="Arial" w:cs="Arial" w:eastAsia="Arial" w:hAnsi="Arial"/>
          <w:sz w:val="17"/>
          <w:szCs w:val="17"/>
          <w:b w:val="1"/>
          <w:bCs w:val="1"/>
          <w:color w:val="auto"/>
        </w:rPr>
        <w:t>Common Areas</w:t>
      </w:r>
      <w:r>
        <w:rPr>
          <w:rFonts w:ascii="Arial" w:cs="Arial" w:eastAsia="Arial" w:hAnsi="Arial"/>
          <w:sz w:val="17"/>
          <w:szCs w:val="17"/>
          <w:color w:val="auto"/>
        </w:rPr>
        <w:t xml:space="preserve">,” as that term is defined in </w:t>
      </w:r>
      <w:r>
        <w:rPr>
          <w:rFonts w:ascii="Arial" w:cs="Arial" w:eastAsia="Arial" w:hAnsi="Arial"/>
          <w:sz w:val="17"/>
          <w:szCs w:val="17"/>
          <w:u w:val="single" w:color="auto"/>
          <w:color w:val="auto"/>
        </w:rPr>
        <w:t>Section 1.1.3</w:t>
      </w:r>
      <w:r>
        <w:rPr>
          <w:rFonts w:ascii="Arial" w:cs="Arial" w:eastAsia="Arial" w:hAnsi="Arial"/>
          <w:sz w:val="17"/>
          <w:szCs w:val="17"/>
          <w:color w:val="auto"/>
        </w:rPr>
        <w:t>, below, or the elements thereof or of the accessways to the Premises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w:t>
      </w:r>
      <w:r>
        <w:rPr>
          <w:rFonts w:ascii="Arial" w:cs="Arial" w:eastAsia="Arial" w:hAnsi="Arial"/>
          <w:sz w:val="16"/>
          <w:szCs w:val="16"/>
          <w:color w:val="auto"/>
        </w:rPr>
        <w:t xml:space="preserve">,”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Except as specifically set forth in this Lease and in the Work Letter attached hereto as </w:t>
      </w:r>
      <w:r>
        <w:rPr>
          <w:rFonts w:ascii="Arial" w:cs="Arial" w:eastAsia="Arial" w:hAnsi="Arial"/>
          <w:sz w:val="16"/>
          <w:szCs w:val="16"/>
          <w:b w:val="1"/>
          <w:bCs w:val="1"/>
          <w:u w:val="single" w:color="auto"/>
          <w:color w:val="auto"/>
        </w:rPr>
        <w:t>Exhibit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Work Letter</w:t>
      </w:r>
      <w:r>
        <w:rPr>
          <w:rFonts w:ascii="Arial" w:cs="Arial" w:eastAsia="Arial" w:hAnsi="Arial"/>
          <w:sz w:val="16"/>
          <w:szCs w:val="16"/>
          <w:color w:val="auto"/>
        </w:rPr>
        <w:t>”), Landlord shall not be obligated to provide or pay for any improvement work or services related to the improvement of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also acknowledges that neither Landlord nor any agent of Landlord has made any representation or warranty regarding the condition of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Building or the Project or with respect to the suitability of any of the foregoing for the conduct of Tenant’s business, except as specifically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and the Work Letter. The taking of possession of the Premises by Tenant shall conclusively establish that the Premises and the Building were at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in good and sanitary order, condition and repair, subject only to (i) Landlord’s obligations under the Work Letter with respect to a list of punchlist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prepared by Landlord and Tenant in accordance therewith, (ii) latent defects as well as defects in the mechanical, electrical and plumbing systems brought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Landlord’s attention in writing within one (1) year following Landlord’s delivery of the Premises to Tenant, (iii) Landlord’s obligations set forth in </w:t>
      </w:r>
      <w:r>
        <w:rPr>
          <w:rFonts w:ascii="Arial" w:cs="Arial" w:eastAsia="Arial" w:hAnsi="Arial"/>
          <w:sz w:val="17"/>
          <w:szCs w:val="17"/>
          <w:u w:val="single" w:color="auto"/>
          <w:color w:val="auto"/>
        </w:rPr>
        <w:t>Article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this Lease, (iv) Landlord’s obligations set forth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of this Lease, and (v) Landlord’s obligations set forth in Section </w:t>
      </w:r>
      <w:r>
        <w:rPr>
          <w:rFonts w:ascii="Arial" w:cs="Arial" w:eastAsia="Arial" w:hAnsi="Arial"/>
          <w:sz w:val="16"/>
          <w:szCs w:val="16"/>
          <w:u w:val="single" w:color="auto"/>
          <w:color w:val="auto"/>
        </w:rPr>
        <w:t>29.33</w:t>
      </w:r>
      <w:r>
        <w:rPr>
          <w:rFonts w:ascii="Arial" w:cs="Arial" w:eastAsia="Arial" w:hAnsi="Arial"/>
          <w:sz w:val="16"/>
          <w:szCs w:val="16"/>
          <w:color w:val="auto"/>
        </w:rPr>
        <w:t xml:space="preserve"> of this Lease.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 knowledge of Mrs. Kathleen Bristol (Landlord’s Asset Manager with respect to the Project), Mr. Brian Galligan (Landlord’s Vice President of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Ms. Theresa Amos (Property Manager of the Building), without any duty of investigation or any duty of inquiry, Landlord has not,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Date, received from any applicable governmental agency any written notice (a “</w:t>
      </w:r>
      <w:r>
        <w:rPr>
          <w:rFonts w:ascii="Arial" w:cs="Arial" w:eastAsia="Arial" w:hAnsi="Arial"/>
          <w:sz w:val="16"/>
          <w:szCs w:val="16"/>
          <w:b w:val="1"/>
          <w:bCs w:val="1"/>
          <w:color w:val="auto"/>
        </w:rPr>
        <w:t>Violation Notice</w:t>
      </w:r>
      <w:r>
        <w:rPr>
          <w:rFonts w:ascii="Arial" w:cs="Arial" w:eastAsia="Arial" w:hAnsi="Arial"/>
          <w:sz w:val="16"/>
          <w:szCs w:val="16"/>
          <w:color w:val="auto"/>
        </w:rPr>
        <w:t>”) of violation or violations (or claim thereof)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relating to Applicable Laws, or applicable zoning, ordinances, building codes or CC&amp;Rs with regard to the Premises or the Building existing as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provided, however, the foregoing representation does not apply with respect to any alterations, additions or improvements made (or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by Tenant. Landlord represents and warrants that, as of the Effective Date and as it pertains to Landlord’s organization, the three (3) individuals listed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are the suitable individuals as it relates to knowledge of the Premises. If Landlord receives any Violation Notice at any time after the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promptly deliver a copy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416" w:name="page417"/>
    <w:bookmarkEnd w:id="41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Violation Notice to Tenant. In the event of a conflict between the terms set forth in the Summary and the TCCs of the body of this Lease, the latter shall control.</w:t>
      </w:r>
    </w:p>
    <w:p>
      <w:pPr>
        <w:spacing w:after="0" w:line="58"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xml:space="preserve">. The Premises are a part of the building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Building</w:t>
      </w:r>
      <w:r>
        <w:rPr>
          <w:rFonts w:ascii="Arial" w:cs="Arial" w:eastAsia="Arial" w:hAnsi="Arial"/>
          <w:sz w:val="16"/>
          <w:szCs w:val="16"/>
          <w:color w:val="auto"/>
        </w:rPr>
        <w:t>”). The Building is part of an office project known as “</w:t>
      </w:r>
      <w:r>
        <w:rPr>
          <w:rFonts w:ascii="Arial" w:cs="Arial" w:eastAsia="Arial" w:hAnsi="Arial"/>
          <w:sz w:val="16"/>
          <w:szCs w:val="16"/>
          <w:b w:val="1"/>
          <w:bCs w:val="1"/>
          <w:i w:val="1"/>
          <w:iCs w:val="1"/>
          <w:color w:val="auto"/>
        </w:rPr>
        <w:t>Pacific Corporate Center</w:t>
      </w:r>
      <w:r>
        <w:rPr>
          <w:rFonts w:ascii="Arial" w:cs="Arial" w:eastAsia="Arial" w:hAnsi="Arial"/>
          <w:sz w:val="16"/>
          <w:szCs w:val="16"/>
          <w:color w:val="auto"/>
        </w:rPr>
        <w:t>.” The term “</w:t>
      </w:r>
      <w:r>
        <w:rPr>
          <w:rFonts w:ascii="Arial" w:cs="Arial" w:eastAsia="Arial" w:hAnsi="Arial"/>
          <w:sz w:val="16"/>
          <w:szCs w:val="16"/>
          <w:b w:val="1"/>
          <w:bCs w:val="1"/>
          <w:color w:val="auto"/>
        </w:rPr>
        <w:t>Project</w:t>
      </w:r>
      <w:r>
        <w:rPr>
          <w:rFonts w:ascii="Arial" w:cs="Arial" w:eastAsia="Arial" w:hAnsi="Arial"/>
          <w:sz w:val="16"/>
          <w:szCs w:val="16"/>
          <w:color w:val="auto"/>
        </w:rPr>
        <w:t>,” as used in this Lease, shall mean (i) the Building and the Common Areas, and (ii) the land (which is improved with landscaping, parking facilities and other improvements) upon which the Building and the Common Areas are located, and (iii) the other office building located adjacent to the Building and the land upon which such adjacent office building is located.</w:t>
      </w:r>
    </w:p>
    <w:p>
      <w:pPr>
        <w:spacing w:after="0" w:line="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Tenant shall have the non-exclusive right to use in common with other tenants in the Project, and subject to the rules and regulations referred to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[such as those areas reserved for the exclusive use of the tenant leasing the balance of the Building, which areas are identified as “Tanvex Exclusive Areas” on the attached </w:t>
      </w:r>
      <w:r>
        <w:rPr>
          <w:rFonts w:ascii="Arial" w:cs="Arial" w:eastAsia="Arial" w:hAnsi="Arial"/>
          <w:sz w:val="16"/>
          <w:szCs w:val="16"/>
          <w:b w:val="1"/>
          <w:bCs w:val="1"/>
          <w:u w:val="single" w:color="auto"/>
          <w:color w:val="auto"/>
        </w:rPr>
        <w:t>Exhibit A-2</w:t>
      </w:r>
      <w:r>
        <w:rPr>
          <w:rFonts w:ascii="Arial" w:cs="Arial" w:eastAsia="Arial" w:hAnsi="Arial"/>
          <w:sz w:val="16"/>
          <w:szCs w:val="16"/>
          <w:color w:val="auto"/>
        </w:rPr>
        <w:t>], or to otherwise be shared by Landlord and certain tenants,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The Common Areas shall consist of the “</w:t>
      </w:r>
      <w:r>
        <w:rPr>
          <w:rFonts w:ascii="Arial" w:cs="Arial" w:eastAsia="Arial" w:hAnsi="Arial"/>
          <w:sz w:val="16"/>
          <w:szCs w:val="16"/>
          <w:b w:val="1"/>
          <w:bCs w:val="1"/>
          <w:color w:val="auto"/>
        </w:rPr>
        <w:t>Project Common Areas</w:t>
      </w:r>
      <w:r>
        <w:rPr>
          <w:rFonts w:ascii="Arial" w:cs="Arial" w:eastAsia="Arial" w:hAnsi="Arial"/>
          <w:sz w:val="16"/>
          <w:szCs w:val="16"/>
          <w:color w:val="auto"/>
        </w:rPr>
        <w:t>” and the “</w:t>
      </w:r>
      <w:r>
        <w:rPr>
          <w:rFonts w:ascii="Arial" w:cs="Arial" w:eastAsia="Arial" w:hAnsi="Arial"/>
          <w:sz w:val="16"/>
          <w:szCs w:val="16"/>
          <w:b w:val="1"/>
          <w:bCs w:val="1"/>
          <w:color w:val="auto"/>
        </w:rPr>
        <w:t>Building Common</w:t>
      </w:r>
      <w:r>
        <w:rPr>
          <w:rFonts w:ascii="Arial" w:cs="Arial" w:eastAsia="Arial" w:hAnsi="Arial"/>
          <w:sz w:val="16"/>
          <w:szCs w:val="16"/>
          <w:color w:val="auto"/>
        </w:rPr>
        <w:t xml:space="preserve"> </w:t>
      </w:r>
      <w:r>
        <w:rPr>
          <w:rFonts w:ascii="Arial" w:cs="Arial" w:eastAsia="Arial" w:hAnsi="Arial"/>
          <w:sz w:val="16"/>
          <w:szCs w:val="16"/>
          <w:b w:val="1"/>
          <w:bCs w:val="1"/>
          <w:color w:val="auto"/>
        </w:rPr>
        <w:t>Areas</w:t>
      </w:r>
      <w:r>
        <w:rPr>
          <w:rFonts w:ascii="Arial" w:cs="Arial" w:eastAsia="Arial" w:hAnsi="Arial"/>
          <w:sz w:val="16"/>
          <w:szCs w:val="16"/>
          <w:color w:val="auto"/>
        </w:rPr>
        <w:t>.” The term “</w:t>
      </w:r>
      <w:r>
        <w:rPr>
          <w:rFonts w:ascii="Arial" w:cs="Arial" w:eastAsia="Arial" w:hAnsi="Arial"/>
          <w:sz w:val="16"/>
          <w:szCs w:val="16"/>
          <w:b w:val="1"/>
          <w:bCs w:val="1"/>
          <w:color w:val="auto"/>
        </w:rPr>
        <w:t>Project Common Areas</w:t>
      </w:r>
      <w:r>
        <w:rPr>
          <w:rFonts w:ascii="Arial" w:cs="Arial" w:eastAsia="Arial" w:hAnsi="Arial"/>
          <w:sz w:val="16"/>
          <w:szCs w:val="16"/>
          <w:color w:val="auto"/>
        </w:rPr>
        <w:t>,” as used in this Lease, shall mean the portion of the Project designated as such by Landlord. The term “</w:t>
      </w:r>
      <w:r>
        <w:rPr>
          <w:rFonts w:ascii="Arial" w:cs="Arial" w:eastAsia="Arial" w:hAnsi="Arial"/>
          <w:sz w:val="16"/>
          <w:szCs w:val="16"/>
          <w:b w:val="1"/>
          <w:bCs w:val="1"/>
          <w:color w:val="auto"/>
        </w:rPr>
        <w:t>Building Common Areas</w:t>
      </w:r>
      <w:r>
        <w:rPr>
          <w:rFonts w:ascii="Arial" w:cs="Arial" w:eastAsia="Arial" w:hAnsi="Arial"/>
          <w:sz w:val="16"/>
          <w:szCs w:val="16"/>
          <w:color w:val="auto"/>
        </w:rPr>
        <w:t>,” as used in this Lease, shall mean the portions of the Common Areas located within the Building designated as such by Landlord.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in which the Common Areas are maintained and operated shall be at the sole discretion of Landlord, provided that Landlord shall maintain and operate the same in a manner consistent with that of other Comparable Buildings (as that term is defined in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xml:space="preserve"> attached hereto) and the use thereof shall be subject to such rules, regulations and restrictions as Landlord may make from time to time, provided that such rules, regulations and restrictions do not unreasonably interfere with the rights granted to Tenant under this Lease and the Permitted Use (as that term is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 Summary and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below). Upon reasonable prior written notice to Tenant (except in the event of emergencies) Landlord reserves the right to close temporarily, make alterations or additions to, or change the location of elements of the Project and the Common Areas; provided that no such changes shall be permitted which materially reduce Tenant’s rights or access hereunder. Except when and where Tenant’s right of access is specifically excluded in this Lease, Tenant shall have the right of access to the Premises, the Building, and the Project parking facility twenty-four (24) hours per day, seven (7) days per week during the “Lease Term,”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below.</w:t>
      </w:r>
    </w:p>
    <w:p>
      <w:pPr>
        <w:spacing w:after="0" w:line="6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Stipulation of Rentable Square Feet of Premises</w:t>
      </w:r>
      <w:r>
        <w:rPr>
          <w:rFonts w:ascii="Arial" w:cs="Arial" w:eastAsia="Arial" w:hAnsi="Arial"/>
          <w:sz w:val="18"/>
          <w:szCs w:val="18"/>
          <w:color w:val="auto"/>
        </w:rPr>
        <w:t xml:space="preserve">. For purposes of this Lease, “rentable square feet” of the Premises shall be deemed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17" w:name="page418"/>
    <w:bookmarkEnd w:id="41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LEASE TERM; TERMINATION RIGHT, OPTION TERM</w:t>
      </w:r>
    </w:p>
    <w:p>
      <w:pPr>
        <w:spacing w:after="0" w:line="22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Initial Lease Term</w:t>
      </w:r>
      <w:r>
        <w:rPr>
          <w:rFonts w:ascii="Arial" w:cs="Arial" w:eastAsia="Arial" w:hAnsi="Arial"/>
          <w:sz w:val="16"/>
          <w:szCs w:val="16"/>
          <w:color w:val="auto"/>
        </w:rPr>
        <w:t>. The TCCs and provisions of this Lease shall be effective as of the Effective Date. The term of this Lease (the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shall be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Summary, shall commence on the date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Commencement Date</w:t>
      </w:r>
      <w:r>
        <w:rPr>
          <w:rFonts w:ascii="Arial" w:cs="Arial" w:eastAsia="Arial" w:hAnsi="Arial"/>
          <w:sz w:val="16"/>
          <w:szCs w:val="16"/>
          <w:color w:val="auto"/>
        </w:rPr>
        <w:t xml:space="preserve">”), and shall terminate on the date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Expiration Date</w:t>
      </w:r>
      <w:r>
        <w:rPr>
          <w:rFonts w:ascii="Arial" w:cs="Arial" w:eastAsia="Arial" w:hAnsi="Arial"/>
          <w:sz w:val="16"/>
          <w:szCs w:val="16"/>
          <w:color w:val="auto"/>
        </w:rPr>
        <w:t xml:space="preserve">”) unless this Lease is sooner terminated as hereinafter provided; provided, however, the Lease Commencement Date and the Lease Expiration Date shall be subject to tolling as more particularly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Tenant Work Letter. For purposes of this Lease, the term “</w:t>
      </w:r>
      <w:r>
        <w:rPr>
          <w:rFonts w:ascii="Arial" w:cs="Arial" w:eastAsia="Arial" w:hAnsi="Arial"/>
          <w:sz w:val="16"/>
          <w:szCs w:val="16"/>
          <w:b w:val="1"/>
          <w:bCs w:val="1"/>
          <w:color w:val="auto"/>
        </w:rPr>
        <w:t>Lease Year</w:t>
      </w:r>
      <w:r>
        <w:rPr>
          <w:rFonts w:ascii="Arial" w:cs="Arial" w:eastAsia="Arial" w:hAnsi="Arial"/>
          <w:sz w:val="16"/>
          <w:szCs w:val="16"/>
          <w:color w:val="auto"/>
        </w:rPr>
        <w:t xml:space="preserve">” shall mean each consecutive twelve (12) month period during the Lease Term; provided, however, that the first Lease Year shall commence on the Lease Commencement Date (e.g., August 16, 2011, as previously scheduled) and end on the last day of the month in which the first anniversary of the Lease Commencement Date occurs (e.g., August 31, 2012, as previously scheduled), and the second and each succeeding Lease Year shall commence on the first day of the next calendar month; and further provided that the last Lease Year shall end on the Lease Expiration Date. At any time during the Lease Term, Landlord may deliver to Tenant a factually correct notice in the form as set forth in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attached hereto, as a confirmation only of the information set forth therein, which Tenant shall execute and return to Landlord within five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days of receipt thereof to the extent such notice is factually correct.</w:t>
      </w:r>
    </w:p>
    <w:p>
      <w:pPr>
        <w:spacing w:after="0" w:line="9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Tenant Termination Right</w:t>
      </w:r>
      <w:r>
        <w:rPr>
          <w:rFonts w:ascii="Arial" w:cs="Arial" w:eastAsia="Arial" w:hAnsi="Arial"/>
          <w:sz w:val="16"/>
          <w:szCs w:val="16"/>
          <w:color w:val="auto"/>
        </w:rPr>
        <w:t>. Notwithstanding any provision to the contrary contained in this Lease, Tenant shall have the right to terminate and cancel this Lease in its entirety effective as of either August 31, 2012, August 31, 2013, August 31, 2014 or August 31, 2015 (as applicable, the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upon Tenant’s delivery of written notice to Landlord (the “</w:t>
      </w:r>
      <w:r>
        <w:rPr>
          <w:rFonts w:ascii="Arial" w:cs="Arial" w:eastAsia="Arial" w:hAnsi="Arial"/>
          <w:sz w:val="16"/>
          <w:szCs w:val="16"/>
          <w:b w:val="1"/>
          <w:bCs w:val="1"/>
          <w:color w:val="auto"/>
        </w:rPr>
        <w:t>Termination Notice</w:t>
      </w:r>
      <w:r>
        <w:rPr>
          <w:rFonts w:ascii="Arial" w:cs="Arial" w:eastAsia="Arial" w:hAnsi="Arial"/>
          <w:sz w:val="16"/>
          <w:szCs w:val="16"/>
          <w:color w:val="auto"/>
        </w:rPr>
        <w:t>”), which notice shall be delivered to Landlord on or before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six (6) full calendar months prior to the subject Termination Date, and, concurrently with its delivery of such Termination Notice, Tenant shall deliver to Landlord the “Termination Fee,’’ as that term is defined hereinbelow, as consideration for and as a condition precedent to such early termination. The “</w:t>
      </w:r>
      <w:r>
        <w:rPr>
          <w:rFonts w:ascii="Arial" w:cs="Arial" w:eastAsia="Arial" w:hAnsi="Arial"/>
          <w:sz w:val="16"/>
          <w:szCs w:val="16"/>
          <w:b w:val="1"/>
          <w:bCs w:val="1"/>
          <w:color w:val="auto"/>
        </w:rPr>
        <w:t>Termination Fee</w:t>
      </w:r>
      <w:r>
        <w:rPr>
          <w:rFonts w:ascii="Arial" w:cs="Arial" w:eastAsia="Arial" w:hAnsi="Arial"/>
          <w:sz w:val="16"/>
          <w:szCs w:val="16"/>
          <w:color w:val="auto"/>
        </w:rPr>
        <w:t>” shall be equal to either (A) Four Hundred Forty-Two Thousand Seven Hundred Eighty One and No/100 Dollars ($442,781.00) in connection with an August 31, 2012 termination, (B) Three Hundred Thirty-Two Thousand Eighty-Six and No/100 Dollars ($332,086.00) in connection with an August 31, 2013 termination, (C) Two Hundred Twenty-One Thousand Three Hundred Ninety and No/100 Dollars ($221,390.00) in connection with an August 31, 2014 termination, or (D) One Hundred Ten Thousand Six Hundred Ninety-Six and No/100 Dollars ($110,696.00) in connection with an</w:t>
      </w:r>
    </w:p>
    <w:p>
      <w:pPr>
        <w:spacing w:after="0" w:line="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August 31, 2015 termination. Subject to Landlord’s timely receipt of the Termination Notice and the corresponding Termination Fee, this Lease shall automatically terminate and be of no further force or effect as of the Termination Date, and Landlord and Tenant shall be relieved of their respective obligations under this Lease, as of the Termination Date, except with respect to those obligations set forth in this Lease, which specifically survive the expiration or earlier termination of this Lease, including, without limitation, the payment by Tenant of all amounts owed by Tenant under this Lease, up to and including the Termination Date. The termination right granted to Tenant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automatically terminate and be of no further force or effect in the event (w) Tenant fails to properly and timely exercise such termination right as set forth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418" w:name="page419"/>
    <w:bookmarkEnd w:id="418"/>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(x) Tenant assigns or subleases all or essentially all of the Premises for all or essentially all of the then-remaining Lease Term to entities or persons other than “Permitted Transferees” (as that term is defined in </w:t>
      </w:r>
      <w:r>
        <w:rPr>
          <w:rFonts w:ascii="Arial" w:cs="Arial" w:eastAsia="Arial" w:hAnsi="Arial"/>
          <w:sz w:val="16"/>
          <w:szCs w:val="16"/>
          <w:u w:val="single" w:color="auto"/>
          <w:color w:val="auto"/>
        </w:rPr>
        <w:t>Section 14.8</w:t>
      </w:r>
      <w:r>
        <w:rPr>
          <w:rFonts w:ascii="Arial" w:cs="Arial" w:eastAsia="Arial" w:hAnsi="Arial"/>
          <w:sz w:val="16"/>
          <w:szCs w:val="16"/>
          <w:color w:val="auto"/>
        </w:rPr>
        <w:t xml:space="preserve">, below), (y) Tenant’s right to possession of the Premises has previously been terminated pursuant to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of this Lease, or (z) Tenant is in “Economic Default” (as defined in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below) under this Lease (beyond any applicable notice and cure periods), as of the date of Tenant’s delivery of the Termination Notice to Landlord or, at Landlord’s election, as of the Termination Date. The termination right granted to Tenant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is personal to the Tenant named in this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and any Permitted Transferee, and may not be exercised by any other assignee, sublessee, or transferee of the Original Tenant’s interest in this Lease.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Option Term(s)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Landlord hereby grants the Original Tenant and its Permitted Transferees one (1) option to extend the Lease Term for the entire Premises by a period of five (5) years (the “</w:t>
      </w:r>
      <w:r>
        <w:rPr>
          <w:rFonts w:ascii="Arial" w:cs="Arial" w:eastAsia="Arial" w:hAnsi="Arial"/>
          <w:sz w:val="16"/>
          <w:szCs w:val="16"/>
          <w:b w:val="1"/>
          <w:bCs w:val="1"/>
          <w:color w:val="auto"/>
        </w:rPr>
        <w:t>Option Term</w:t>
      </w:r>
      <w:r>
        <w:rPr>
          <w:rFonts w:ascii="Arial" w:cs="Arial" w:eastAsia="Arial" w:hAnsi="Arial"/>
          <w:sz w:val="16"/>
          <w:szCs w:val="16"/>
          <w:color w:val="auto"/>
        </w:rPr>
        <w:t xml:space="preserve">”). Such option shall be exercisable only by Notice delivered by Tenant to Landlord as provided below, provided that, as of the date of delivery of such Notice, (i) Tenant is not then in “Economic Default” or “Material Non-Economic Default” under this Lease (beyond the applicable notice and cure periods), and (ii) Tenant has not been in Economic Default or Material Non-Economic Default under this Lease (beyond the applicable notice and cure periods) more than twice during the prior twenty-four (24) month period. Upon the proper exercise of such option to extend, and provided that, as of the end of the Lease Term, (A) Tenant is not in Economic Default or Material Non-Economic Default under this Lease (beyond the applicable notice and cure periods), and (B) Tenant has not been in Economic Default or Material Non-Economic Default under this Lease (beyond the applicable notice and cure periods) more than twice during the prior twenty-four (24) month period, then the Lease Term, as it applies to the entire Premises, shall be extended for a period of five (5) years. The rights contained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only be exercised by the Original Tenant or its Permitted Transferee (and not any other assignee, sublessee or other transferee of the Original Tenant’s interest in this Lease) if Original Tenant and/or its Permitted Transferee is in occupancy of not less than fifty percent (50%) of the Premises. For purposes hereof, an “</w:t>
      </w:r>
      <w:r>
        <w:rPr>
          <w:rFonts w:ascii="Arial" w:cs="Arial" w:eastAsia="Arial" w:hAnsi="Arial"/>
          <w:sz w:val="16"/>
          <w:szCs w:val="16"/>
          <w:b w:val="1"/>
          <w:bCs w:val="1"/>
          <w:color w:val="auto"/>
        </w:rPr>
        <w:t>Economic Default</w:t>
      </w:r>
      <w:r>
        <w:rPr>
          <w:rFonts w:ascii="Arial" w:cs="Arial" w:eastAsia="Arial" w:hAnsi="Arial"/>
          <w:sz w:val="16"/>
          <w:szCs w:val="16"/>
          <w:color w:val="auto"/>
        </w:rPr>
        <w:t xml:space="preserve">” shall mean any default contemplated by the terms of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this Lease, and a “</w:t>
      </w:r>
      <w:r>
        <w:rPr>
          <w:rFonts w:ascii="Arial" w:cs="Arial" w:eastAsia="Arial" w:hAnsi="Arial"/>
          <w:sz w:val="16"/>
          <w:szCs w:val="16"/>
          <w:b w:val="1"/>
          <w:bCs w:val="1"/>
          <w:color w:val="auto"/>
        </w:rPr>
        <w:t>Material Non-Economic Default</w:t>
      </w:r>
      <w:r>
        <w:rPr>
          <w:rFonts w:ascii="Arial" w:cs="Arial" w:eastAsia="Arial" w:hAnsi="Arial"/>
          <w:sz w:val="16"/>
          <w:szCs w:val="16"/>
          <w:color w:val="auto"/>
        </w:rPr>
        <w:t xml:space="preserve">” shall mean any of the defaults identified in Sections </w:t>
      </w:r>
      <w:r>
        <w:rPr>
          <w:rFonts w:ascii="Arial" w:cs="Arial" w:eastAsia="Arial" w:hAnsi="Arial"/>
          <w:sz w:val="16"/>
          <w:szCs w:val="16"/>
          <w:u w:val="single" w:color="auto"/>
          <w:color w:val="auto"/>
        </w:rPr>
        <w:t>19.1.3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19.1.6</w:t>
      </w:r>
      <w:r>
        <w:rPr>
          <w:rFonts w:ascii="Arial" w:cs="Arial" w:eastAsia="Arial" w:hAnsi="Arial"/>
          <w:sz w:val="16"/>
          <w:szCs w:val="16"/>
          <w:color w:val="auto"/>
        </w:rPr>
        <w:t xml:space="preserve"> of this Lease; provided, however, that in no event shall (1) any one circumstance (e.g. an instance of failed rent payment, a failure to timely complete an estoppel certificate, a failure to comply with CC&amp;Rs, etc.) result in, or constitute, more than one Economic Default or Material Non-Economic Default, and/or (2) any circumstance be deemed an Economic Default or Material Non-Economic Default under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to the extent such matter has been reasonably disputed in accordance with the TCCs of this Lease by Tenant and remains unresolved.</w:t>
      </w:r>
    </w:p>
    <w:p>
      <w:pPr>
        <w:spacing w:after="0" w:line="57"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Option Rent</w:t>
      </w:r>
      <w:r>
        <w:rPr>
          <w:rFonts w:ascii="Arial" w:cs="Arial" w:eastAsia="Arial" w:hAnsi="Arial"/>
          <w:sz w:val="18"/>
          <w:szCs w:val="18"/>
          <w:color w:val="auto"/>
        </w:rPr>
        <w:t>. The Rent payable by Tenant during the Option Terms (the “</w:t>
      </w:r>
      <w:r>
        <w:rPr>
          <w:rFonts w:ascii="Arial" w:cs="Arial" w:eastAsia="Arial" w:hAnsi="Arial"/>
          <w:sz w:val="18"/>
          <w:szCs w:val="18"/>
          <w:b w:val="1"/>
          <w:bCs w:val="1"/>
          <w:color w:val="auto"/>
        </w:rPr>
        <w:t>Option Rent</w:t>
      </w:r>
      <w:r>
        <w:rPr>
          <w:rFonts w:ascii="Arial" w:cs="Arial" w:eastAsia="Arial" w:hAnsi="Arial"/>
          <w:sz w:val="18"/>
          <w:szCs w:val="18"/>
          <w:color w:val="auto"/>
        </w:rPr>
        <w:t xml:space="preserve">”) shall be equal to the “Market Rent,” as that term is defined in, and determined pursuant to,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attached hereto, which Market Rent shall include annual escalations in connection with such Market Rent determination. The calculation of the Market Rent shall be derived from a review of, and comparison to, the “Net Equivalent Lease Rates” of the “Comparable Transactions,” as provided for in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419" w:name="page420"/>
    <w:bookmarkEnd w:id="419"/>
    <w:p>
      <w:pPr>
        <w:ind w:right="6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2.3.3 </w:t>
      </w: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xml:space="preserve">. The option contained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exercised by Tenant, if at all, only in the manner set forth in this </w:t>
      </w:r>
      <w:r>
        <w:rPr>
          <w:rFonts w:ascii="Arial" w:cs="Arial" w:eastAsia="Arial" w:hAnsi="Arial"/>
          <w:sz w:val="16"/>
          <w:szCs w:val="16"/>
          <w:u w:val="single" w:color="auto"/>
          <w:color w:val="auto"/>
        </w:rPr>
        <w:t>Section 2.3</w:t>
      </w:r>
      <w:r>
        <w:rPr>
          <w:rFonts w:ascii="Arial" w:cs="Arial" w:eastAsia="Arial" w:hAnsi="Arial"/>
          <w:sz w:val="16"/>
          <w:szCs w:val="16"/>
          <w:color w:val="auto"/>
        </w:rPr>
        <w:t>. Tenant shall deliver notice (the “</w:t>
      </w:r>
      <w:r>
        <w:rPr>
          <w:rFonts w:ascii="Arial" w:cs="Arial" w:eastAsia="Arial" w:hAnsi="Arial"/>
          <w:sz w:val="16"/>
          <w:szCs w:val="16"/>
          <w:b w:val="1"/>
          <w:bCs w:val="1"/>
          <w:color w:val="auto"/>
        </w:rPr>
        <w:t>Exercise Notice</w:t>
      </w:r>
      <w:r>
        <w:rPr>
          <w:rFonts w:ascii="Arial" w:cs="Arial" w:eastAsia="Arial" w:hAnsi="Arial"/>
          <w:sz w:val="16"/>
          <w:szCs w:val="16"/>
          <w:color w:val="auto"/>
        </w:rPr>
        <w:t>”) to Landlord not more than twelve (12) months nor less than nine (9) months prior to the expiration of the initial Lease Term, stating that Tenant is exercising its option. Concurrently with such Exercise Notice, Tenant shall deliver to Landlord Tenant’s calculation of the Market Rent (the “</w:t>
      </w:r>
      <w:r>
        <w:rPr>
          <w:rFonts w:ascii="Arial" w:cs="Arial" w:eastAsia="Arial" w:hAnsi="Arial"/>
          <w:sz w:val="16"/>
          <w:szCs w:val="16"/>
          <w:b w:val="1"/>
          <w:bCs w:val="1"/>
          <w:color w:val="auto"/>
        </w:rPr>
        <w:t>Tenant’s Option Rent Calculation</w:t>
      </w:r>
      <w:r>
        <w:rPr>
          <w:rFonts w:ascii="Arial" w:cs="Arial" w:eastAsia="Arial" w:hAnsi="Arial"/>
          <w:sz w:val="16"/>
          <w:szCs w:val="16"/>
          <w:color w:val="auto"/>
        </w:rPr>
        <w:t>”). Landlord shall deliver notice (the “</w:t>
      </w:r>
      <w:r>
        <w:rPr>
          <w:rFonts w:ascii="Arial" w:cs="Arial" w:eastAsia="Arial" w:hAnsi="Arial"/>
          <w:sz w:val="16"/>
          <w:szCs w:val="16"/>
          <w:b w:val="1"/>
          <w:bCs w:val="1"/>
          <w:color w:val="auto"/>
        </w:rPr>
        <w:t>Landlord Response Notice</w:t>
      </w:r>
      <w:r>
        <w:rPr>
          <w:rFonts w:ascii="Arial" w:cs="Arial" w:eastAsia="Arial" w:hAnsi="Arial"/>
          <w:sz w:val="16"/>
          <w:szCs w:val="16"/>
          <w:color w:val="auto"/>
        </w:rPr>
        <w:t>”) to Tenant on or before the date which is thirty (30) days after Landlord’s receipt of the Exercise Notice and Tenant’s Option Rent Calculation (the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Response Date</w:t>
      </w:r>
      <w:r>
        <w:rPr>
          <w:rFonts w:ascii="Arial" w:cs="Arial" w:eastAsia="Arial" w:hAnsi="Arial"/>
          <w:sz w:val="16"/>
          <w:szCs w:val="16"/>
          <w:color w:val="auto"/>
        </w:rPr>
        <w:t>”), stating that (A) Landlord is accepting Tenant’s Option Rent Calculation as the Market Rent, or (B) rejecting Tenant’s Option Rent</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and setting forth Landlord’s calculation of the Market Rent (the “</w:t>
      </w:r>
      <w:r>
        <w:rPr>
          <w:rFonts w:ascii="Arial" w:cs="Arial" w:eastAsia="Arial" w:hAnsi="Arial"/>
          <w:sz w:val="16"/>
          <w:szCs w:val="16"/>
          <w:b w:val="1"/>
          <w:bCs w:val="1"/>
          <w:color w:val="auto"/>
        </w:rPr>
        <w:t>Landlord’s Option Rent Calculation</w:t>
      </w:r>
      <w:r>
        <w:rPr>
          <w:rFonts w:ascii="Arial" w:cs="Arial" w:eastAsia="Arial" w:hAnsi="Arial"/>
          <w:sz w:val="16"/>
          <w:szCs w:val="16"/>
          <w:color w:val="auto"/>
        </w:rPr>
        <w:t xml:space="preserve">”). Within ten (10) business days of its receipt of the Landlord Response Notice, Tenant may, at its option, accept the Market Rent contained in the Landlord’s Option Rent Calculation. If Tenant does not affirmatively accept or Tenant rejects the Market Rent specified in the Landlord’s Option Rent Calculation, the parties shall follow the procedure set forth in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below, and the Market Rent shall be determined in accordance with the terms of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below.</w:t>
      </w:r>
    </w:p>
    <w:p>
      <w:pPr>
        <w:spacing w:after="0" w:line="5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b w:val="1"/>
          <w:bCs w:val="1"/>
          <w:u w:val="single" w:color="auto"/>
          <w:color w:val="auto"/>
        </w:rPr>
        <w:t>Determination of Market Rent</w:t>
      </w:r>
      <w:r>
        <w:rPr>
          <w:rFonts w:ascii="Arial" w:cs="Arial" w:eastAsia="Arial" w:hAnsi="Arial"/>
          <w:sz w:val="16"/>
          <w:szCs w:val="16"/>
          <w:color w:val="auto"/>
        </w:rPr>
        <w:t>. In the event Tenant objects or is deemed to have objected to the Market Rent, Landlord and Tenant shall attempt to agree upon the Market Rent using reasonable good-faith efforts. If Landlord and Tenant fail to reach agreement within sixty (60) days following Tenant’s objection or deemed objection to the Landlord’s Option Rent Calculation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within two (2) business days following such Outside Agreement Date, (</w:t>
      </w:r>
      <w:r>
        <w:rPr>
          <w:rFonts w:ascii="Arial" w:cs="Arial" w:eastAsia="Arial" w:hAnsi="Arial"/>
          <w:sz w:val="16"/>
          <w:szCs w:val="16"/>
          <w:i w:val="1"/>
          <w:iCs w:val="1"/>
          <w:color w:val="auto"/>
        </w:rPr>
        <w:t>x</w:t>
      </w:r>
      <w:r>
        <w:rPr>
          <w:rFonts w:ascii="Arial" w:cs="Arial" w:eastAsia="Arial" w:hAnsi="Arial"/>
          <w:sz w:val="16"/>
          <w:szCs w:val="16"/>
          <w:color w:val="auto"/>
        </w:rPr>
        <w:t>) Landlord may re-calculate the Landlord’s Option Rent Calculation by delivering written notice thereof to Tenant, and (</w:t>
      </w:r>
      <w:r>
        <w:rPr>
          <w:rFonts w:ascii="Arial" w:cs="Arial" w:eastAsia="Arial" w:hAnsi="Arial"/>
          <w:sz w:val="16"/>
          <w:szCs w:val="16"/>
          <w:i w:val="1"/>
          <w:iCs w:val="1"/>
          <w:color w:val="auto"/>
        </w:rPr>
        <w:t>y</w:t>
      </w:r>
      <w:r>
        <w:rPr>
          <w:rFonts w:ascii="Arial" w:cs="Arial" w:eastAsia="Arial" w:hAnsi="Arial"/>
          <w:sz w:val="16"/>
          <w:szCs w:val="16"/>
          <w:color w:val="auto"/>
        </w:rPr>
        <w:t xml:space="preserve">) Tenant may re-calculate the Tenant’s Option Rent Calculation by delivering written notice thereof to Tenant. If Landlord and Tenant thereafter fail to reach agreement within seven (7) business days of the Outside Agreement Date, then in connection with the Option Rent, Landlord’s Option Rent Calculation and Tenant’s Option Rent Calculation, each as most recently delivered to the other party pursuant to the TCCs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submitted to the “Neutral Arbitrator,” as that term is defined in </w:t>
      </w:r>
      <w:r>
        <w:rPr>
          <w:rFonts w:ascii="Arial" w:cs="Arial" w:eastAsia="Arial" w:hAnsi="Arial"/>
          <w:sz w:val="16"/>
          <w:szCs w:val="16"/>
          <w:u w:val="single" w:color="auto"/>
          <w:color w:val="auto"/>
        </w:rPr>
        <w:t>Section 2.3.4.1</w:t>
      </w:r>
      <w:r>
        <w:rPr>
          <w:rFonts w:ascii="Arial" w:cs="Arial" w:eastAsia="Arial" w:hAnsi="Arial"/>
          <w:sz w:val="16"/>
          <w:szCs w:val="16"/>
          <w:color w:val="auto"/>
        </w:rPr>
        <w:t xml:space="preserve"> of this Lease, pursuant to the TCCs of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The submittals shall be made concurrently with the selection of the Neutral Arbitrator pursuant to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and shall be submitted to arbitration in accordance with </w:t>
      </w:r>
      <w:r>
        <w:rPr>
          <w:rFonts w:ascii="Arial" w:cs="Arial" w:eastAsia="Arial" w:hAnsi="Arial"/>
          <w:sz w:val="16"/>
          <w:szCs w:val="16"/>
          <w:u w:val="single" w:color="auto"/>
          <w:color w:val="auto"/>
        </w:rPr>
        <w:t>Section 2.3.4.1</w:t>
      </w:r>
      <w:r>
        <w:rPr>
          <w:rFonts w:ascii="Arial" w:cs="Arial" w:eastAsia="Arial" w:hAnsi="Arial"/>
          <w:sz w:val="16"/>
          <w:szCs w:val="16"/>
          <w:color w:val="auto"/>
        </w:rPr>
        <w:t xml:space="preserve"> </w:t>
      </w:r>
      <w:r>
        <w:rPr>
          <w:rFonts w:ascii="Arial" w:cs="Arial" w:eastAsia="Arial" w:hAnsi="Arial"/>
          <w:sz w:val="16"/>
          <w:szCs w:val="16"/>
          <w:u w:val="single" w:color="auto"/>
          <w:color w:val="auto"/>
        </w:rPr>
        <w:t>through 2.3.4.5</w:t>
      </w:r>
      <w:r>
        <w:rPr>
          <w:rFonts w:ascii="Arial" w:cs="Arial" w:eastAsia="Arial" w:hAnsi="Arial"/>
          <w:sz w:val="16"/>
          <w:szCs w:val="16"/>
          <w:color w:val="auto"/>
        </w:rPr>
        <w:t xml:space="preserve"> of this Lease, but subject to the conditions, when appropriate, of </w:t>
      </w:r>
      <w:r>
        <w:rPr>
          <w:rFonts w:ascii="Arial" w:cs="Arial" w:eastAsia="Arial" w:hAnsi="Arial"/>
          <w:sz w:val="16"/>
          <w:szCs w:val="16"/>
          <w:u w:val="single" w:color="auto"/>
          <w:color w:val="auto"/>
        </w:rPr>
        <w:t>Section 2.3.3</w:t>
      </w:r>
      <w:r>
        <w:rPr>
          <w:rFonts w:ascii="Arial" w:cs="Arial" w:eastAsia="Arial" w:hAnsi="Arial"/>
          <w:sz w:val="16"/>
          <w:szCs w:val="16"/>
          <w:color w:val="auto"/>
        </w:rPr>
        <w:t>.</w:t>
      </w:r>
    </w:p>
    <w:p>
      <w:pPr>
        <w:spacing w:after="0" w:line="57" w:lineRule="exact"/>
        <w:rPr>
          <w:sz w:val="20"/>
          <w:szCs w:val="20"/>
          <w:color w:val="auto"/>
        </w:rPr>
      </w:pPr>
    </w:p>
    <w:p>
      <w:pPr>
        <w:ind w:right="100" w:firstLine="1484"/>
        <w:spacing w:after="0" w:line="271" w:lineRule="auto"/>
        <w:rPr>
          <w:sz w:val="20"/>
          <w:szCs w:val="20"/>
          <w:color w:val="auto"/>
        </w:rPr>
      </w:pPr>
      <w:r>
        <w:rPr>
          <w:rFonts w:ascii="Arial" w:cs="Arial" w:eastAsia="Arial" w:hAnsi="Arial"/>
          <w:sz w:val="17"/>
          <w:szCs w:val="17"/>
          <w:color w:val="auto"/>
        </w:rPr>
        <w:t>2.3.4.1 Landlord and Tenant shall mutually and reasonably agree on the appointment of one (1) arbitrator who shall by profession be a real estate broker, appraiser or attorney who shall have been active over the five (5) year period ending on the date of such appointment in the leasing (or appraisal, as the case may be) of first-class commercial properties in the Comparable Area (the “</w:t>
      </w:r>
      <w:r>
        <w:rPr>
          <w:rFonts w:ascii="Arial" w:cs="Arial" w:eastAsia="Arial" w:hAnsi="Arial"/>
          <w:sz w:val="17"/>
          <w:szCs w:val="17"/>
          <w:b w:val="1"/>
          <w:bCs w:val="1"/>
          <w:color w:val="auto"/>
        </w:rPr>
        <w:t>Neutral Arbitrator</w:t>
      </w:r>
      <w:r>
        <w:rPr>
          <w:rFonts w:ascii="Arial" w:cs="Arial" w:eastAsia="Arial" w:hAnsi="Arial"/>
          <w:sz w:val="17"/>
          <w:szCs w:val="17"/>
          <w:color w:val="auto"/>
        </w:rPr>
        <w:t xml:space="preserve">”). The determination of the Neutral Arbitrator shall be limited solely to the issue of whether Landlord’s Option Rent Calculation or Tenant’s Option Rent Calculation, each as submitted to the Neutral Arbitrator pursuant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above, is the closest to the actual Market Rent as determined by such Neutral Arbitrator, taking into account the requirements of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of this Lease. Such Neutral Arbitrator shall be appointed within fifteen (15) days after the applicable Outside Agreement Date. Neither the Landlord or Tenant or either party’s arbitrator may, directly or indirectly, consult with the Neutral Arbitrator prior to, or subsequent to, his or her appearance. The Neutral Arbitrator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retained via an engagement letter jointly prepared by Landlord’s counsel and Tenant’s counsel.</w:t>
      </w:r>
    </w:p>
    <w:p>
      <w:pPr>
        <w:spacing w:after="0" w:line="117"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2.3.4.2 The Neutral Arbitrator shall, within thirty (30) days of his/her appointment, reach a decision as to Market Rent and determine whether the Landlord’s Option Rent Calculation or Tenant’s Option Rent Calculation, each as submitted to the Neutral Arbitrator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above, is closest to Market Rent as determined by such Neutral Arbitrator and simultaneously publish a ruling (“</w:t>
      </w:r>
      <w:r>
        <w:rPr>
          <w:rFonts w:ascii="Arial" w:cs="Arial" w:eastAsia="Arial" w:hAnsi="Arial"/>
          <w:sz w:val="18"/>
          <w:szCs w:val="18"/>
          <w:b w:val="1"/>
          <w:bCs w:val="1"/>
          <w:color w:val="auto"/>
        </w:rPr>
        <w:t>Award</w:t>
      </w:r>
      <w:r>
        <w:rPr>
          <w:rFonts w:ascii="Arial" w:cs="Arial" w:eastAsia="Arial" w:hAnsi="Arial"/>
          <w:sz w:val="18"/>
          <w:szCs w:val="18"/>
          <w:color w:val="auto"/>
        </w:rPr>
        <w:t>”) indicating whether Landlord’s Option Rent Calculation or Tenant’s Option Rent Calculation is closest to the Market Rent as determined by such Neutral Arbitrator. Following notification of the Award, the Landlord’s Option Rent Calculation or Tenant’s Option Rent Calculation, whichever is selected by the Neutral Arbitrator as being closest to Market Rent, shall become the then applicable Option Rent.</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2.3.4.3 The Award issued by such Neutral Arbitrator shall be binding upon Landlord and Tenant.</w:t>
      </w:r>
    </w:p>
    <w:p>
      <w:pPr>
        <w:spacing w:after="0" w:line="117" w:lineRule="exact"/>
        <w:rPr>
          <w:sz w:val="20"/>
          <w:szCs w:val="20"/>
          <w:color w:val="auto"/>
        </w:rPr>
      </w:pPr>
    </w:p>
    <w:p>
      <w:pPr>
        <w:ind w:firstLine="1484"/>
        <w:spacing w:after="0" w:line="274" w:lineRule="auto"/>
        <w:rPr>
          <w:sz w:val="20"/>
          <w:szCs w:val="20"/>
          <w:color w:val="auto"/>
        </w:rPr>
      </w:pPr>
      <w:r>
        <w:rPr>
          <w:rFonts w:ascii="Arial" w:cs="Arial" w:eastAsia="Arial" w:hAnsi="Arial"/>
          <w:sz w:val="17"/>
          <w:szCs w:val="17"/>
          <w:color w:val="auto"/>
        </w:rPr>
        <w:t>2.3.4.4 If Landlord and Tenant fail to appoint the Neutral Arbitrator within fifteen (15) days after the applicable Outside Agreement Date, either party may petition the presiding judge of the Superior Court of San Diego County to appoint such Neutral Arbitrator subject to the criteria in</w:t>
      </w:r>
    </w:p>
    <w:p>
      <w:pPr>
        <w:ind w:right="360"/>
        <w:spacing w:after="0" w:line="261" w:lineRule="auto"/>
        <w:rPr>
          <w:sz w:val="20"/>
          <w:szCs w:val="20"/>
          <w:color w:val="auto"/>
        </w:rPr>
      </w:pPr>
      <w:r>
        <w:rPr>
          <w:rFonts w:ascii="Arial" w:cs="Arial" w:eastAsia="Arial" w:hAnsi="Arial"/>
          <w:sz w:val="18"/>
          <w:szCs w:val="18"/>
          <w:u w:val="single" w:color="auto"/>
          <w:color w:val="auto"/>
        </w:rPr>
        <w:t>Section 2.2.4.1</w:t>
      </w:r>
      <w:r>
        <w:rPr>
          <w:rFonts w:ascii="Arial" w:cs="Arial" w:eastAsia="Arial" w:hAnsi="Arial"/>
          <w:sz w:val="18"/>
          <w:szCs w:val="18"/>
          <w:color w:val="auto"/>
        </w:rPr>
        <w:t xml:space="preserve"> of this Lease, or if he or she refuses to act, either party may petition any judge having jurisdiction over the parties to appoint such Neutral Arbitrator.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arbitration shall be paid by Landlord and Tenant equally.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BASE RENT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7"/>
          <w:szCs w:val="17"/>
          <w:b w:val="1"/>
          <w:bCs w:val="1"/>
          <w:color w:val="auto"/>
        </w:rPr>
        <w:t>Base Rent</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payable in equal monthly installments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in advance on or before the first day of each and every calendar month during the Lease Term, without any setoff or deduction whatsoever (unless and to the extent otherwise expressly set forth in this Lease). In connection with the designated place for payment identified in the preceding sentence, to the extent Landlord elects to effectuate any change in location for such payment, Landlord shall deliver written notice setting forth such newly designated place no less than fifteen (15) days in advance of the due date of the first such payment of Base Rent following such re-designation.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such fractional month shall accrue on a daily basis during such fractional month and shall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421" w:name="page422"/>
    <w:bookmarkEnd w:id="42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an amount equal to the product of (i) a fraction, the numerator of which is the number of days in such fractional month and the denominator of which is the actual number of days occurring in such calendar month, and (ii) the then-applicable Monthly Installment of Base Rent. All other payments or adjustments required to be made under the TCCs of this Lease that require proration on a time basis shall be prorated on the same basis.</w:t>
      </w:r>
    </w:p>
    <w:p>
      <w:pPr>
        <w:spacing w:after="0" w:line="53"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Abated Base Rent</w:t>
      </w:r>
      <w:r>
        <w:rPr>
          <w:rFonts w:ascii="Arial" w:cs="Arial" w:eastAsia="Arial" w:hAnsi="Arial"/>
          <w:sz w:val="16"/>
          <w:szCs w:val="16"/>
          <w:color w:val="auto"/>
        </w:rPr>
        <w:t xml:space="preserve">. Notwithstanding any contrary provisions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Tenant shall not be obligated to pay (and therefore shall not pay) the monthly installments of Base Rent attributable to the Premises (the “</w:t>
      </w:r>
      <w:r>
        <w:rPr>
          <w:rFonts w:ascii="Arial" w:cs="Arial" w:eastAsia="Arial" w:hAnsi="Arial"/>
          <w:sz w:val="16"/>
          <w:szCs w:val="16"/>
          <w:b w:val="1"/>
          <w:bCs w:val="1"/>
          <w:color w:val="auto"/>
        </w:rPr>
        <w:t>Base Rent Abatement</w:t>
      </w:r>
      <w:r>
        <w:rPr>
          <w:rFonts w:ascii="Arial" w:cs="Arial" w:eastAsia="Arial" w:hAnsi="Arial"/>
          <w:sz w:val="16"/>
          <w:szCs w:val="16"/>
          <w:color w:val="auto"/>
        </w:rPr>
        <w:t>”) for the six</w:t>
      </w:r>
    </w:p>
    <w:p>
      <w:pPr>
        <w:spacing w:after="0" w:line="1" w:lineRule="exact"/>
        <w:rPr>
          <w:sz w:val="20"/>
          <w:szCs w:val="20"/>
          <w:color w:val="auto"/>
        </w:rPr>
      </w:pPr>
    </w:p>
    <w:p>
      <w:pPr>
        <w:ind w:right="20" w:firstLine="8"/>
        <w:spacing w:after="0" w:line="284" w:lineRule="auto"/>
        <w:tabs>
          <w:tab w:leader="none" w:pos="25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month period commencing on November 1, 2011 and ending on April 30, 2012 (the “</w:t>
      </w:r>
      <w:r>
        <w:rPr>
          <w:rFonts w:ascii="Arial" w:cs="Arial" w:eastAsia="Arial" w:hAnsi="Arial"/>
          <w:sz w:val="16"/>
          <w:szCs w:val="16"/>
          <w:b w:val="1"/>
          <w:bCs w:val="1"/>
          <w:color w:val="auto"/>
        </w:rPr>
        <w:t>Base Rent Abatement Period</w:t>
      </w:r>
      <w:r>
        <w:rPr>
          <w:rFonts w:ascii="Arial" w:cs="Arial" w:eastAsia="Arial" w:hAnsi="Arial"/>
          <w:sz w:val="16"/>
          <w:szCs w:val="16"/>
          <w:color w:val="auto"/>
        </w:rPr>
        <w:t xml:space="preserve">”). In connection with the foregoing, the Base Rent Abatement provided to Tenant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during the Base Rent Abatement Period shall not exceed an aggregate of Two Hundred Twenty-Four Thousand Six Hundred Twenty-Eight and 48/100 Dollars ($224,628.48). Tenant acknowledges and agrees that during such Base Rent Abatement Period, such abatement of Base Rent shall have no effect on the calculation of any Direct Expenses payable by Tenant pursuant to the terms of this Lease, which any Direct Expenses shall be payable during the Base Rent Abatement Period without regard to the Base Rent Abatement. Additionally, notwithstanding the foregoing, Tenant shall be obligated to pay all “Additional Rent,’’ as that term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below, during the Base Rent Abatement Period. The foregoing Base Rent Abatement has been agreed to by Landlord and Tenant as additional consideration for entering into this Lease, and for Tenant’s agreement to pay the rent and for the parties to perform the terms and conditions otherwise required under this Lease. If Tenant shall be in Economic Default of this Lease and shall fail to cure such default within any applicable notice and cure period, then Landlord may elect at its option, by notice to Tenant and in addition to any other remedies Landlord may have under this Lease, that the dollar amount of the unapplied portion of such Base Rent Abatement as of such default shall be converted to a credit to be applied to the Base Rent applicable to the Premises at the end of the Lease Term and Tenant shall immediately be obligated to begin paying Base Rent for the Premises in full; provided however, to the extent the Lease is terminated pursuant to the provisions of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below, then as a part of the recovery set forth in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below, Landlord shall be entitled to recover the then-unamortized portion of the monthly Base Rent that was abated under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which Base Rent Abatement shall be amortized on a level payment basis over a period of sixty (60) months, employing an interest factor of zero percent (0%).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RENT</w:t>
      </w:r>
    </w:p>
    <w:p>
      <w:pPr>
        <w:spacing w:after="0" w:line="22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additionally pay “</w:t>
      </w:r>
      <w:r>
        <w:rPr>
          <w:rFonts w:ascii="Arial" w:cs="Arial" w:eastAsia="Arial" w:hAnsi="Arial"/>
          <w:sz w:val="16"/>
          <w:szCs w:val="16"/>
          <w:b w:val="1"/>
          <w:bCs w:val="1"/>
          <w:color w:val="auto"/>
        </w:rPr>
        <w:t>Tenant’s Share</w:t>
      </w:r>
      <w:r>
        <w:rPr>
          <w:rFonts w:ascii="Arial" w:cs="Arial" w:eastAsia="Arial" w:hAnsi="Arial"/>
          <w:sz w:val="16"/>
          <w:szCs w:val="16"/>
          <w:color w:val="auto"/>
        </w:rPr>
        <w:t>” of the annual “</w:t>
      </w:r>
      <w:r>
        <w:rPr>
          <w:rFonts w:ascii="Arial" w:cs="Arial" w:eastAsia="Arial" w:hAnsi="Arial"/>
          <w:sz w:val="16"/>
          <w:szCs w:val="16"/>
          <w:b w:val="1"/>
          <w:bCs w:val="1"/>
          <w:color w:val="auto"/>
        </w:rPr>
        <w:t>Direct Expenses</w:t>
      </w:r>
      <w:r>
        <w:rPr>
          <w:rFonts w:ascii="Arial" w:cs="Arial" w:eastAsia="Arial" w:hAnsi="Arial"/>
          <w:sz w:val="16"/>
          <w:szCs w:val="16"/>
          <w:color w:val="auto"/>
        </w:rPr>
        <w:t xml:space="preserve">,’’ as those terms are defined in </w:t>
      </w:r>
      <w:r>
        <w:rPr>
          <w:rFonts w:ascii="Arial" w:cs="Arial" w:eastAsia="Arial" w:hAnsi="Arial"/>
          <w:sz w:val="16"/>
          <w:szCs w:val="16"/>
          <w:u w:val="single" w:color="auto"/>
          <w:color w:val="auto"/>
        </w:rPr>
        <w:t>Sections 4.2.6 and 4.2.2</w:t>
      </w:r>
      <w:r>
        <w:rPr>
          <w:rFonts w:ascii="Arial" w:cs="Arial" w:eastAsia="Arial" w:hAnsi="Arial"/>
          <w:sz w:val="16"/>
          <w:szCs w:val="16"/>
          <w:color w:val="auto"/>
        </w:rPr>
        <w:t>, respectively, of this Lease. Such additional payments by Tenant, together with any and all other amounts payable by Tenant to Landlord pursuant to the TCCs of this Lease (exclusive of Base Rent),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Without limitation on other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22" w:name="page423"/>
    <w:bookmarkEnd w:id="42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Tenant which survive the expiration of the Lease Term, the obligations of Tenant to pay the Additional Rent provided for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survive the expiration of the Lease Term (subject to the limitation in </w:t>
      </w:r>
      <w:r>
        <w:rPr>
          <w:rFonts w:ascii="Arial" w:cs="Arial" w:eastAsia="Arial" w:hAnsi="Arial"/>
          <w:sz w:val="18"/>
          <w:szCs w:val="18"/>
          <w:u w:val="single" w:color="auto"/>
          <w:color w:val="auto"/>
        </w:rPr>
        <w:t>Section 4.4. l</w:t>
      </w:r>
      <w:r>
        <w:rPr>
          <w:rFonts w:ascii="Arial" w:cs="Arial" w:eastAsia="Arial" w:hAnsi="Arial"/>
          <w:sz w:val="18"/>
          <w:szCs w:val="18"/>
          <w:color w:val="auto"/>
        </w:rPr>
        <w:t xml:space="preserve"> below).</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Definitions of Key Terms Relating to Additional Rent</w:t>
      </w:r>
      <w:r>
        <w:rPr>
          <w:rFonts w:ascii="Arial" w:cs="Arial" w:eastAsia="Arial" w:hAnsi="Arial"/>
          <w:sz w:val="17"/>
          <w:szCs w:val="17"/>
          <w:color w:val="auto"/>
        </w:rPr>
        <w:t xml:space="preserve">. As used m this </w:t>
      </w:r>
      <w:r>
        <w:rPr>
          <w:rFonts w:ascii="Arial" w:cs="Arial" w:eastAsia="Arial" w:hAnsi="Arial"/>
          <w:sz w:val="17"/>
          <w:szCs w:val="17"/>
          <w:u w:val="single" w:color="auto"/>
          <w:color w:val="auto"/>
        </w:rPr>
        <w:t>Article 4</w:t>
      </w:r>
      <w:r>
        <w:rPr>
          <w:rFonts w:ascii="Arial" w:cs="Arial" w:eastAsia="Arial" w:hAnsi="Arial"/>
          <w:sz w:val="17"/>
          <w:szCs w:val="17"/>
          <w:color w:val="auto"/>
        </w:rPr>
        <w:t>, the following terms shall have the meanings hereinafter 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4.2.1 Intentionally Deleted.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Direct Expenses</w:t>
      </w:r>
      <w:r>
        <w:rPr>
          <w:rFonts w:ascii="Arial" w:cs="Arial" w:eastAsia="Arial" w:hAnsi="Arial"/>
          <w:sz w:val="18"/>
          <w:szCs w:val="18"/>
          <w:color w:val="auto"/>
        </w:rPr>
        <w:t>” shall mean “Operating Expenses” “Tax Expenses” and “Utility Costs.”</w:t>
      </w:r>
    </w:p>
    <w:p>
      <w:pPr>
        <w:spacing w:after="0" w:line="11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color w:val="auto"/>
        </w:rPr>
        <w:t>“Expense Year</w:t>
      </w:r>
      <w:r>
        <w:rPr>
          <w:rFonts w:ascii="Arial" w:cs="Arial" w:eastAsia="Arial" w:hAnsi="Arial"/>
          <w:sz w:val="18"/>
          <w:szCs w:val="18"/>
          <w:color w:val="auto"/>
        </w:rPr>
        <w:t>” shall mean each calendar year in which any portion of the Lease Term falls, through and including the calendar year in which the Lease Term expires, provided that Landlord, upon notice to Tenant and receipt of reasonable approval from Tenant, may change the Expense Year from time to time to any other twelve (12) consecutive month period, and, in the event of any such change, Tenant’s Share of Direct Expenses shall be equitably adjusted for any Expense Year involved in any such change; provided, however, in no event shall any such change in the Expense Year result in any net increase in Rent due under this Lease.</w:t>
      </w:r>
    </w:p>
    <w:p>
      <w:pPr>
        <w:spacing w:after="0" w:line="76"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4.2.4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expenses, costs and amounts which Landlord pays or accrues during any Expense Year because of or in connection with the ownership, management, maintenance, security, repair, replacement, restoration or operation of the Project, or any portion thereof, in accordance with sound real estate management and accounting principles, consistently applied. Without limiting the generality of the foregoing, Operating Expenses shall specifically include the following: (i) the cost of operating, repairing, maintaining, and renovating the utility, telephone, mechanical, sanitary, storm drainage, and elevator systems, and the cost of maintenance and service contracts in connection therewith; (ii) the cost of licenses, certificates, permits and inspections, the costs incurred in connection with a governmentally mandated transportation system management program or similar program and to the extent savings therefrom are reasonably anticipated, the cost of contesting any governmental enactments which may affect Operating Expenses,; (iii) the cost of all insurance carried by Landlord in connection with the Project; (iv) the cost of landscaping, relamping, and all supplies, tools, equipment and materials used in the operation, repair and maintenance of the Project, or any portion thereof; (v) costs incurred in connection with the parking areas servicing the Project; (vi) fees and other costs, including management fees (subject to the Management Fee Cap set forth hereinbelow), consulting fees, legal fees and accounting fees, of all contractors and consultants in connection with the management, operation, maintenance and repair of the Project; (vii) payments under any equipment rental agreements and the fair rental value of any management office space; (viii) wages, salaries and other compensation and benefits, including taxes levied thereon, of all persons (other than persons generally considered to be higher in rank than the position of “Property Manager”) to the extent engaged in the operation, maintenance and security of the Project; (ix) costs under any instrument pertaining to the sharing of costs by the Project;</w:t>
      </w:r>
    </w:p>
    <w:p>
      <w:pPr>
        <w:spacing w:after="0" w:line="6" w:lineRule="exact"/>
        <w:rPr>
          <w:sz w:val="20"/>
          <w:szCs w:val="20"/>
          <w:color w:val="auto"/>
        </w:rPr>
      </w:pPr>
    </w:p>
    <w:p>
      <w:pPr>
        <w:ind w:left="260" w:hanging="252"/>
        <w:spacing w:after="0"/>
        <w:tabs>
          <w:tab w:leader="none" w:pos="2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operation, repair, maintenance and replacement (subject to item (xiii), below) of all systems and equipment and components thereof of the Building;</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cost of janitorial, alarm, security and other services, replacement of wall and floor coverings, ceiling tiles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423" w:name="page424"/>
    <w:bookmarkEnd w:id="42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fixtures in common areas, maintenance and replacement of curbs and walkways, repair to roofs and re-roofing; (xii) amortization of the cost of acquiring or the rental expense of personal property used in the maintenance, operation and repair of the Project, or any portion thereof (which amortization calculation shall include interest at the “Interest Rate,” as that term is set forth in </w:t>
      </w:r>
      <w:r>
        <w:rPr>
          <w:rFonts w:ascii="Arial" w:cs="Arial" w:eastAsia="Arial" w:hAnsi="Arial"/>
          <w:sz w:val="17"/>
          <w:szCs w:val="17"/>
          <w:u w:val="single" w:color="auto"/>
          <w:color w:val="auto"/>
        </w:rPr>
        <w:t>Article 25</w:t>
      </w:r>
      <w:r>
        <w:rPr>
          <w:rFonts w:ascii="Arial" w:cs="Arial" w:eastAsia="Arial" w:hAnsi="Arial"/>
          <w:sz w:val="17"/>
          <w:szCs w:val="17"/>
          <w:color w:val="auto"/>
        </w:rPr>
        <w:t xml:space="preserve"> of this Lease); (xiii) the cost of capital improvements or other costs incurred in connection with the Project (A) which are intended to effect economies in the operation or maintenance of the Project, or any portion thereof, (B) that are required to comply with mandatory conservation programs, or (C) that are required under any governmental law or regulation by a federal, state or local governmental agency, except for capital repairs, replacements or other improvements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then-current interpretation of such governmental laws or regulations by the applicable governmental authority as of the Lease Commencement Date; provided, however, that any capital expenditure shall be shall be amortized with interest at the Interest Rate its useful life as Landlord shall reasonably determine in accordance with sound real estate management and accounting principles;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7"/>
          <w:szCs w:val="17"/>
          <w:u w:val="single" w:color="auto"/>
          <w:color w:val="auto"/>
        </w:rPr>
        <w:t>Section 4.2.5</w:t>
      </w:r>
      <w:r>
        <w:rPr>
          <w:rFonts w:ascii="Arial" w:cs="Arial" w:eastAsia="Arial" w:hAnsi="Arial"/>
          <w:sz w:val="17"/>
          <w:szCs w:val="17"/>
          <w:color w:val="auto"/>
        </w:rPr>
        <w:t>, below; and (xv) payments under any easement, license, operating agreement, declaration, restrictive covenant, or instrument pertaining to the sharing of costs by the Building. Notwithstanding the foregoing, for purposes of this Lease, Operating Expenses shall not, however, include:</w:t>
      </w:r>
    </w:p>
    <w:p>
      <w:pPr>
        <w:spacing w:after="0" w:line="75" w:lineRule="exact"/>
        <w:rPr>
          <w:sz w:val="20"/>
          <w:szCs w:val="20"/>
          <w:color w:val="auto"/>
        </w:rPr>
      </w:pPr>
    </w:p>
    <w:p>
      <w:pPr>
        <w:ind w:firstLine="1492"/>
        <w:spacing w:after="0" w:line="257" w:lineRule="auto"/>
        <w:tabs>
          <w:tab w:leader="none" w:pos="172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premises for tenants or other occupants of the Project;</w:t>
      </w:r>
    </w:p>
    <w:p>
      <w:pPr>
        <w:spacing w:after="0" w:line="80" w:lineRule="exact"/>
        <w:rPr>
          <w:rFonts w:ascii="Arial" w:cs="Arial" w:eastAsia="Arial" w:hAnsi="Arial"/>
          <w:sz w:val="18"/>
          <w:szCs w:val="18"/>
          <w:color w:val="auto"/>
        </w:rPr>
      </w:pPr>
    </w:p>
    <w:p>
      <w:pPr>
        <w:ind w:right="40" w:firstLine="1492"/>
        <w:spacing w:after="0" w:line="308" w:lineRule="auto"/>
        <w:tabs>
          <w:tab w:leader="none" w:pos="173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except as set forth in items (xii), (xiii), and (xiv) above, costs of capital repairs and alterations, and costs of capital improvements and equipment, and depreciation, interest and principal payments on mortgages and other debt costs, if any, penalties and interest;</w:t>
      </w:r>
    </w:p>
    <w:p>
      <w:pPr>
        <w:spacing w:after="0" w:line="38" w:lineRule="exact"/>
        <w:rPr>
          <w:rFonts w:ascii="Arial" w:cs="Arial" w:eastAsia="Arial" w:hAnsi="Arial"/>
          <w:sz w:val="17"/>
          <w:szCs w:val="17"/>
          <w:color w:val="auto"/>
        </w:rPr>
      </w:pPr>
    </w:p>
    <w:p>
      <w:pPr>
        <w:ind w:right="120" w:firstLine="1492"/>
        <w:spacing w:after="0" w:line="264" w:lineRule="auto"/>
        <w:tabs>
          <w:tab w:leader="none" w:pos="172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costs for which the Landlord is reimbursed (or is otherwise entitled to reimbursement) by any tenant or occupant of the Project or by insurance by its carrier or any tenant’s carrier or by anyone else, and electric power and other utility costs for which any tenant directly contracts with the local public service company;</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117" w:lineRule="exact"/>
        <w:rPr>
          <w:rFonts w:ascii="Arial" w:cs="Arial" w:eastAsia="Arial" w:hAnsi="Arial"/>
          <w:sz w:val="18"/>
          <w:szCs w:val="18"/>
          <w:color w:val="auto"/>
        </w:rPr>
      </w:pPr>
    </w:p>
    <w:p>
      <w:pPr>
        <w:ind w:right="640" w:firstLine="1492"/>
        <w:spacing w:after="0" w:line="277" w:lineRule="auto"/>
        <w:tabs>
          <w:tab w:leader="none" w:pos="172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costs associated with the operation of the business of the partnership or entity which constitutes the Landlord, as the same are distinguished from the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24" w:name="page425"/>
    <w:bookmarkEnd w:id="42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spacing w:after="0" w:line="85" w:lineRule="exact"/>
        <w:rPr>
          <w:sz w:val="20"/>
          <w:szCs w:val="20"/>
          <w:color w:val="auto"/>
        </w:rPr>
      </w:pPr>
    </w:p>
    <w:p>
      <w:pPr>
        <w:ind w:right="140" w:firstLine="1492"/>
        <w:spacing w:after="0" w:line="259" w:lineRule="auto"/>
        <w:tabs>
          <w:tab w:leader="none" w:pos="170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amount paid as ground rental for the Project by the Landlord;</w:t>
      </w:r>
    </w:p>
    <w:p>
      <w:pPr>
        <w:spacing w:after="0" w:line="117" w:lineRule="exact"/>
        <w:rPr>
          <w:rFonts w:ascii="Arial" w:cs="Arial" w:eastAsia="Arial" w:hAnsi="Arial"/>
          <w:sz w:val="18"/>
          <w:szCs w:val="18"/>
          <w:color w:val="auto"/>
        </w:rPr>
      </w:pPr>
    </w:p>
    <w:p>
      <w:pPr>
        <w:ind w:right="300" w:firstLine="1492"/>
        <w:spacing w:after="0" w:line="308" w:lineRule="auto"/>
        <w:tabs>
          <w:tab w:leader="none" w:pos="173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38" w:lineRule="exact"/>
        <w:rPr>
          <w:rFonts w:ascii="Arial" w:cs="Arial" w:eastAsia="Arial" w:hAnsi="Arial"/>
          <w:sz w:val="17"/>
          <w:szCs w:val="17"/>
          <w:color w:val="auto"/>
        </w:rPr>
      </w:pPr>
    </w:p>
    <w:p>
      <w:pPr>
        <w:ind w:right="140" w:firstLine="1492"/>
        <w:spacing w:after="0" w:line="277" w:lineRule="auto"/>
        <w:tabs>
          <w:tab w:leader="none" w:pos="169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62" w:lineRule="exact"/>
        <w:rPr>
          <w:rFonts w:ascii="Arial" w:cs="Arial" w:eastAsia="Arial" w:hAnsi="Arial"/>
          <w:sz w:val="18"/>
          <w:szCs w:val="18"/>
          <w:color w:val="auto"/>
        </w:rPr>
      </w:pPr>
    </w:p>
    <w:p>
      <w:pPr>
        <w:ind w:right="20" w:firstLine="1492"/>
        <w:spacing w:after="0" w:line="312" w:lineRule="auto"/>
        <w:tabs>
          <w:tab w:leader="none" w:pos="1698" w:val="left"/>
        </w:tabs>
        <w:numPr>
          <w:ilvl w:val="0"/>
          <w:numId w:val="398"/>
        </w:numPr>
        <w:rPr>
          <w:rFonts w:ascii="Arial" w:cs="Arial" w:eastAsia="Arial" w:hAnsi="Arial"/>
          <w:sz w:val="16"/>
          <w:szCs w:val="16"/>
          <w:color w:val="auto"/>
        </w:rPr>
      </w:pPr>
      <w:r>
        <w:rPr>
          <w:rFonts w:ascii="Arial" w:cs="Arial" w:eastAsia="Arial" w:hAnsi="Arial"/>
          <w:sz w:val="16"/>
          <w:szCs w:val="16"/>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38" w:lineRule="exact"/>
        <w:rPr>
          <w:rFonts w:ascii="Arial" w:cs="Arial" w:eastAsia="Arial" w:hAnsi="Arial"/>
          <w:sz w:val="16"/>
          <w:szCs w:val="16"/>
          <w:color w:val="auto"/>
        </w:rPr>
      </w:pPr>
    </w:p>
    <w:p>
      <w:pPr>
        <w:ind w:firstLine="1492"/>
        <w:spacing w:after="0" w:line="277" w:lineRule="auto"/>
        <w:tabs>
          <w:tab w:leader="none" w:pos="173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costs, other than those incurred in ordinary maintenance and repair, for sculpture, paintings, fountains or other objects of art;</w:t>
      </w:r>
    </w:p>
    <w:p>
      <w:pPr>
        <w:spacing w:after="0" w:line="128" w:lineRule="exact"/>
        <w:rPr>
          <w:rFonts w:ascii="Arial" w:cs="Arial" w:eastAsia="Arial" w:hAnsi="Arial"/>
          <w:sz w:val="17"/>
          <w:szCs w:val="17"/>
          <w:color w:val="auto"/>
        </w:rPr>
      </w:pPr>
    </w:p>
    <w:p>
      <w:pPr>
        <w:ind w:left="1800" w:hanging="308"/>
        <w:spacing w:after="0"/>
        <w:tabs>
          <w:tab w:leader="none" w:pos="18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117"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vicinity of the Building, with adjustment where appropriate for the size of the applicable project;</w:t>
      </w:r>
    </w:p>
    <w:p>
      <w:pPr>
        <w:spacing w:after="0" w:line="117" w:lineRule="exact"/>
        <w:rPr>
          <w:sz w:val="20"/>
          <w:szCs w:val="20"/>
          <w:color w:val="auto"/>
        </w:rPr>
      </w:pPr>
    </w:p>
    <w:p>
      <w:pPr>
        <w:ind w:right="80" w:firstLine="1492"/>
        <w:spacing w:after="0" w:line="277" w:lineRule="auto"/>
        <w:tabs>
          <w:tab w:leader="none" w:pos="173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costs to the extent arising from the gross negligence or willful misconduct of Landlord or its agents, employees, vendors, contractors, or providers of materials or services; and</w:t>
      </w:r>
    </w:p>
    <w:p>
      <w:pPr>
        <w:spacing w:after="0" w:line="62" w:lineRule="exact"/>
        <w:rPr>
          <w:rFonts w:ascii="Arial" w:cs="Arial" w:eastAsia="Arial" w:hAnsi="Arial"/>
          <w:sz w:val="18"/>
          <w:szCs w:val="18"/>
          <w:color w:val="auto"/>
        </w:rPr>
      </w:pPr>
    </w:p>
    <w:p>
      <w:pPr>
        <w:ind w:firstLine="1492"/>
        <w:spacing w:after="0" w:line="255" w:lineRule="auto"/>
        <w:tabs>
          <w:tab w:leader="none" w:pos="173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costs incurred to comply with Applicable Law with respect to “Hazardous Material,” as that term is defined in </w:t>
      </w:r>
      <w:r>
        <w:rPr>
          <w:rFonts w:ascii="Arial" w:cs="Arial" w:eastAsia="Arial" w:hAnsi="Arial"/>
          <w:sz w:val="18"/>
          <w:szCs w:val="18"/>
          <w:u w:val="single" w:color="auto"/>
          <w:color w:val="auto"/>
        </w:rPr>
        <w:t>Section 29.33</w:t>
      </w:r>
      <w:r>
        <w:rPr>
          <w:rFonts w:ascii="Arial" w:cs="Arial" w:eastAsia="Arial" w:hAnsi="Arial"/>
          <w:sz w:val="18"/>
          <w:szCs w:val="18"/>
          <w:color w:val="auto"/>
        </w:rPr>
        <w:t xml:space="preserve"> of this Lease, (including, without limitation, with respect to the monitoring, testing and reporting relating thereto) which was in existence in the Building or on the Project prior to the Lease Commencement Date; and costs incurred with respect to Hazardous Material (including, without limitation, with respect to the monitoring, testing and reporting relating thereto), which Hazardous Material is brought into the Building or onto the Project after the date hereof by Landlord or any other tenant of the Project or by anyone other than Tenant or its partners, subpartners and their respective officers, agents, servants, employees, and independent contractors ·</w:t>
      </w:r>
    </w:p>
    <w:p>
      <w:pPr>
        <w:spacing w:after="0" w:line="85" w:lineRule="exact"/>
        <w:rPr>
          <w:rFonts w:ascii="Arial" w:cs="Arial" w:eastAsia="Arial" w:hAnsi="Arial"/>
          <w:sz w:val="18"/>
          <w:szCs w:val="18"/>
          <w:color w:val="auto"/>
        </w:rPr>
      </w:pPr>
    </w:p>
    <w:p>
      <w:pPr>
        <w:ind w:right="520" w:firstLine="1492"/>
        <w:spacing w:after="0" w:line="277" w:lineRule="auto"/>
        <w:tabs>
          <w:tab w:leader="none" w:pos="173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tax penalties incurred as a result of Landlord’s negligence, inability or unwillingness to make payments when due or to file any income tax or informational returns when due;</w:t>
      </w:r>
    </w:p>
    <w:p>
      <w:pPr>
        <w:spacing w:after="0" w:line="62" w:lineRule="exact"/>
        <w:rPr>
          <w:rFonts w:ascii="Arial" w:cs="Arial" w:eastAsia="Arial" w:hAnsi="Arial"/>
          <w:sz w:val="18"/>
          <w:szCs w:val="18"/>
          <w:color w:val="auto"/>
        </w:rPr>
      </w:pPr>
    </w:p>
    <w:p>
      <w:pPr>
        <w:ind w:right="100" w:firstLine="1492"/>
        <w:spacing w:after="0" w:line="277" w:lineRule="auto"/>
        <w:tabs>
          <w:tab w:leader="none" w:pos="170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any Tax Expenses or Utility Costs due to the fact that such expenses are to be included as Direct Expenses pursuant to </w:t>
      </w:r>
      <w:r>
        <w:rPr>
          <w:rFonts w:ascii="Arial" w:cs="Arial" w:eastAsia="Arial" w:hAnsi="Arial"/>
          <w:sz w:val="18"/>
          <w:szCs w:val="18"/>
          <w:u w:val="single" w:color="auto"/>
          <w:color w:val="auto"/>
        </w:rPr>
        <w:t>Sections 4.2.2</w:t>
      </w:r>
      <w:r>
        <w:rPr>
          <w:rFonts w:ascii="Arial" w:cs="Arial" w:eastAsia="Arial" w:hAnsi="Arial"/>
          <w:sz w:val="18"/>
          <w:szCs w:val="18"/>
          <w:color w:val="auto"/>
        </w:rPr>
        <w:t xml:space="preserve">, </w:t>
      </w:r>
      <w:r>
        <w:rPr>
          <w:rFonts w:ascii="Arial" w:cs="Arial" w:eastAsia="Arial" w:hAnsi="Arial"/>
          <w:sz w:val="18"/>
          <w:szCs w:val="18"/>
          <w:u w:val="single" w:color="auto"/>
          <w:color w:val="auto"/>
        </w:rPr>
        <w:t>4.2.5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4.2.7</w:t>
      </w:r>
      <w:r>
        <w:rPr>
          <w:rFonts w:ascii="Arial" w:cs="Arial" w:eastAsia="Arial" w:hAnsi="Arial"/>
          <w:sz w:val="18"/>
          <w:szCs w:val="18"/>
          <w:color w:val="auto"/>
        </w:rPr>
        <w:t xml:space="preserve"> of this Lease;</w:t>
      </w:r>
    </w:p>
    <w:p>
      <w:pPr>
        <w:spacing w:after="0" w:line="62" w:lineRule="exact"/>
        <w:rPr>
          <w:rFonts w:ascii="Arial" w:cs="Arial" w:eastAsia="Arial" w:hAnsi="Arial"/>
          <w:sz w:val="18"/>
          <w:szCs w:val="18"/>
          <w:color w:val="auto"/>
        </w:rPr>
      </w:pPr>
    </w:p>
    <w:p>
      <w:pPr>
        <w:ind w:right="260" w:firstLine="1492"/>
        <w:spacing w:after="0" w:line="277" w:lineRule="auto"/>
        <w:tabs>
          <w:tab w:leader="none" w:pos="171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rentals for items (except as expressly permitted under </w:t>
      </w:r>
      <w:r>
        <w:rPr>
          <w:rFonts w:ascii="Arial" w:cs="Arial" w:eastAsia="Arial" w:hAnsi="Arial"/>
          <w:sz w:val="18"/>
          <w:szCs w:val="18"/>
          <w:u w:val="single" w:color="auto"/>
          <w:color w:val="auto"/>
        </w:rPr>
        <w:t>Section 4.2.4(xii)</w:t>
      </w:r>
      <w:r>
        <w:rPr>
          <w:rFonts w:ascii="Arial" w:cs="Arial" w:eastAsia="Arial" w:hAnsi="Arial"/>
          <w:sz w:val="18"/>
          <w:szCs w:val="18"/>
          <w:color w:val="auto"/>
        </w:rPr>
        <w:t>) which, if purchased, rather than rented, would constitute a capital improvement specifically excluded above;</w:t>
      </w:r>
    </w:p>
    <w:p>
      <w:pPr>
        <w:spacing w:after="0" w:line="62" w:lineRule="exact"/>
        <w:rPr>
          <w:rFonts w:ascii="Arial" w:cs="Arial" w:eastAsia="Arial" w:hAnsi="Arial"/>
          <w:sz w:val="18"/>
          <w:szCs w:val="18"/>
          <w:color w:val="auto"/>
        </w:rPr>
      </w:pPr>
    </w:p>
    <w:p>
      <w:pPr>
        <w:ind w:right="320" w:firstLine="1492"/>
        <w:spacing w:after="0" w:line="276" w:lineRule="auto"/>
        <w:tabs>
          <w:tab w:leader="none" w:pos="169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costs (including, without limitation, fines, penalties, interest, and costs of repairs, replacements, alterations and/or improvements) incurred in bringing the Project into compliance with laws in effect as of the Lease Commencement Date and as interpreted by applicable governmental authorities as of such date, including, without limitation, any costs to correct building code violations pertaining to the initial design or construction of the Building or any other improvements to the Project, to the extent such violations exist as of the Lease Commencement Date under any applicable building codes in effect and as interpreted by applicable governmental authorities as of such date;</w:t>
      </w:r>
    </w:p>
    <w:p>
      <w:pPr>
        <w:spacing w:after="0" w:line="64" w:lineRule="exact"/>
        <w:rPr>
          <w:rFonts w:ascii="Arial" w:cs="Arial" w:eastAsia="Arial" w:hAnsi="Arial"/>
          <w:sz w:val="17"/>
          <w:szCs w:val="17"/>
          <w:color w:val="auto"/>
        </w:rPr>
      </w:pPr>
    </w:p>
    <w:p>
      <w:pPr>
        <w:ind w:left="1740" w:hanging="248"/>
        <w:spacing w:after="0"/>
        <w:tabs>
          <w:tab w:leader="none" w:pos="17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costs for the initial development or future expansion of the Project;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117" w:lineRule="exact"/>
        <w:rPr>
          <w:rFonts w:ascii="Arial" w:cs="Arial" w:eastAsia="Arial" w:hAnsi="Arial"/>
          <w:sz w:val="18"/>
          <w:szCs w:val="18"/>
          <w:color w:val="auto"/>
        </w:rPr>
      </w:pPr>
    </w:p>
    <w:p>
      <w:pPr>
        <w:ind w:left="1780" w:hanging="288"/>
        <w:spacing w:after="0"/>
        <w:tabs>
          <w:tab w:leader="none" w:pos="17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costs of any “tap fees” or any sewer or water connection fees for the benefit of any particular tenant of the Project;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any “above-standard” cleaning, including, but not limited to construction cleanup or special cleanings associated with parties/events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specific tenant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in excess of services provided to Tenant, including related trash collection, removal, hauling and dumping</w:t>
      </w:r>
    </w:p>
    <w:p>
      <w:pPr>
        <w:spacing w:after="0" w:line="117" w:lineRule="exact"/>
        <w:rPr>
          <w:sz w:val="20"/>
          <w:szCs w:val="20"/>
          <w:color w:val="auto"/>
        </w:rPr>
      </w:pPr>
    </w:p>
    <w:p>
      <w:pPr>
        <w:ind w:left="1740" w:hanging="248"/>
        <w:spacing w:after="0"/>
        <w:tabs>
          <w:tab w:leader="none" w:pos="17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“in-house” legal and/or accounting fees;</w:t>
      </w:r>
    </w:p>
    <w:p>
      <w:pPr>
        <w:spacing w:after="0" w:line="117" w:lineRule="exact"/>
        <w:rPr>
          <w:rFonts w:ascii="Arial" w:cs="Arial" w:eastAsia="Arial" w:hAnsi="Arial"/>
          <w:sz w:val="18"/>
          <w:szCs w:val="18"/>
          <w:color w:val="auto"/>
        </w:rPr>
      </w:pPr>
    </w:p>
    <w:p>
      <w:pPr>
        <w:ind w:right="40" w:firstLine="1492"/>
        <w:spacing w:after="0" w:line="259" w:lineRule="auto"/>
        <w:tabs>
          <w:tab w:leader="none" w:pos="17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expenses incurred by Landlord to the extent related to the use of any portions of the Project to accommodate shows, promotions, kiosks, displays, filming, photography, private events or parties, ceremonies, and advertising (as opposed to, without limitation, the normal expenses otherwise attributable to providing services, such as lighting and HYAC, to such public portions of the Project as would be incurred in normal operations of Project during standard hours of operation);</w:t>
      </w:r>
    </w:p>
    <w:p>
      <w:pPr>
        <w:spacing w:after="0" w:line="79" w:lineRule="exact"/>
        <w:rPr>
          <w:sz w:val="20"/>
          <w:szCs w:val="20"/>
          <w:color w:val="auto"/>
        </w:rPr>
      </w:pPr>
    </w:p>
    <w:p>
      <w:pPr>
        <w:ind w:right="740" w:firstLine="1492"/>
        <w:spacing w:after="0" w:line="308" w:lineRule="auto"/>
        <w:tabs>
          <w:tab w:leader="none" w:pos="180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any balloons, flowers, or other gifts provided to any entity whatsoever, to include, but not limited to, Tenant, other tenants, employees, vendors, contractors, prospective tenants, and agents; and</w:t>
      </w:r>
    </w:p>
    <w:p>
      <w:pPr>
        <w:spacing w:after="0" w:line="34" w:lineRule="exact"/>
        <w:rPr>
          <w:rFonts w:ascii="Arial" w:cs="Arial" w:eastAsia="Arial" w:hAnsi="Arial"/>
          <w:sz w:val="17"/>
          <w:szCs w:val="17"/>
          <w:color w:val="auto"/>
        </w:rPr>
      </w:pPr>
    </w:p>
    <w:p>
      <w:pPr>
        <w:jc w:val="both"/>
        <w:ind w:right="600" w:firstLine="1492"/>
        <w:spacing w:after="0" w:line="347" w:lineRule="auto"/>
        <w:tabs>
          <w:tab w:leader="none" w:pos="1828" w:val="left"/>
        </w:tabs>
        <w:numPr>
          <w:ilvl w:val="0"/>
          <w:numId w:val="401"/>
        </w:numPr>
        <w:rPr>
          <w:rFonts w:ascii="Arial" w:cs="Arial" w:eastAsia="Arial" w:hAnsi="Arial"/>
          <w:sz w:val="16"/>
          <w:szCs w:val="16"/>
          <w:color w:val="auto"/>
        </w:rPr>
      </w:pPr>
      <w:r>
        <w:rPr>
          <w:rFonts w:ascii="Arial" w:cs="Arial" w:eastAsia="Arial" w:hAnsi="Arial"/>
          <w:sz w:val="16"/>
          <w:szCs w:val="16"/>
          <w:color w:val="auto"/>
        </w:rPr>
        <w:t>fees payable by Landlord for management of the Project in excess of three percent (3.0%) (the “</w:t>
      </w:r>
      <w:r>
        <w:rPr>
          <w:rFonts w:ascii="Arial" w:cs="Arial" w:eastAsia="Arial" w:hAnsi="Arial"/>
          <w:sz w:val="16"/>
          <w:szCs w:val="16"/>
          <w:b w:val="1"/>
          <w:bCs w:val="1"/>
          <w:color w:val="auto"/>
        </w:rPr>
        <w:t>Management Fee Cap</w:t>
      </w:r>
      <w:r>
        <w:rPr>
          <w:rFonts w:ascii="Arial" w:cs="Arial" w:eastAsia="Arial" w:hAnsi="Arial"/>
          <w:sz w:val="16"/>
          <w:szCs w:val="16"/>
          <w:color w:val="auto"/>
        </w:rPr>
        <w:t>”) of Landlord’s gross rental revenues (but excluding the cost of after hours services or utilities) from the Building for any calendar year or portion thereof.</w:t>
      </w:r>
    </w:p>
    <w:p>
      <w:pPr>
        <w:spacing w:after="0" w:line="12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any Expense Year, Landlord may elect to make an appropriate adjustment to the components of Operating Expenses for such year to determine the amount of Operating Expenses that would have been incurred had the Project been one hundred percent (100%) occupied; and the amount so determined shall be deemed to have been the amount of Operating Expenses for such year.</w:t>
      </w:r>
    </w:p>
    <w:p>
      <w:pPr>
        <w:spacing w:after="0" w:line="178"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Landlord’s determination of Operating Expenses shall take into account and adjust for all cash discounts, trade discounts, or quantity discounts as and when actually received by Landlord in connection with the purchase of any goods, services or utilities in connection with the operation of the Project.</w:t>
      </w:r>
    </w:p>
    <w:p>
      <w:pPr>
        <w:spacing w:after="0" w:line="124"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Notwithstanding any provision to the contrary set forth in this </w:t>
      </w:r>
      <w:r>
        <w:rPr>
          <w:rFonts w:ascii="Arial" w:cs="Arial" w:eastAsia="Arial" w:hAnsi="Arial"/>
          <w:sz w:val="16"/>
          <w:szCs w:val="16"/>
          <w:u w:val="single" w:color="auto"/>
          <w:color w:val="auto"/>
        </w:rPr>
        <w:t>Article 4</w:t>
      </w:r>
      <w:r>
        <w:rPr>
          <w:rFonts w:ascii="Arial" w:cs="Arial" w:eastAsia="Arial" w:hAnsi="Arial"/>
          <w:sz w:val="16"/>
          <w:szCs w:val="16"/>
          <w:color w:val="auto"/>
        </w:rPr>
        <w:t>, in no event shall (a) Tenant’s Share of Direct Expenses for the initial Expense Year exceed an amount equal to Forty-Nine Cents ($.49) per rentable square foot per month, or (b) those components of Direct Expenses constituting “Controllable Expenses” (defined below) exceed, on an aggregate basis for any Expense Year following the initial Expense Year, the amount that the Controllable Expenses would have been had they increased by ten percent (10%) per Expense Year following such initial Expense Year. For purposes of this Lease, “</w:t>
      </w:r>
      <w:r>
        <w:rPr>
          <w:rFonts w:ascii="Arial" w:cs="Arial" w:eastAsia="Arial" w:hAnsi="Arial"/>
          <w:sz w:val="16"/>
          <w:szCs w:val="16"/>
          <w:b w:val="1"/>
          <w:bCs w:val="1"/>
          <w:color w:val="auto"/>
        </w:rPr>
        <w:t>Controllable Expenses</w:t>
      </w:r>
      <w:r>
        <w:rPr>
          <w:rFonts w:ascii="Arial" w:cs="Arial" w:eastAsia="Arial" w:hAnsi="Arial"/>
          <w:sz w:val="16"/>
          <w:szCs w:val="16"/>
          <w:color w:val="auto"/>
        </w:rPr>
        <w:t>” shall mean all Direct Expenses except (a) Tax Expenses, (b) Utilities Costs, (c) insurance charges, (d) costs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427" w:name="page428"/>
    <w:bookmarkEnd w:id="42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provided under a union contract, (e) payments under CC&amp;Rs, and (f) costs associated with repairs due to casualty, vandalism or other sources outside of Landlord’s reasonable control.</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color w:val="auto"/>
        </w:rPr>
        <w:t>4.2.5.1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68" w:lineRule="exact"/>
        <w:rPr>
          <w:sz w:val="20"/>
          <w:szCs w:val="20"/>
          <w:color w:val="auto"/>
        </w:rPr>
      </w:pPr>
    </w:p>
    <w:p>
      <w:pPr>
        <w:ind w:right="40" w:firstLine="1484"/>
        <w:spacing w:after="0" w:line="268" w:lineRule="auto"/>
        <w:rPr>
          <w:sz w:val="20"/>
          <w:szCs w:val="20"/>
          <w:color w:val="auto"/>
        </w:rPr>
      </w:pPr>
      <w:r>
        <w:rPr>
          <w:rFonts w:ascii="Arial" w:cs="Arial" w:eastAsia="Arial" w:hAnsi="Arial"/>
          <w:sz w:val="17"/>
          <w:szCs w:val="17"/>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7"/>
          <w:szCs w:val="17"/>
          <w:b w:val="1"/>
          <w:bCs w:val="1"/>
          <w:color w:val="auto"/>
        </w:rPr>
        <w:t>Proposition 13</w:t>
      </w:r>
      <w:r>
        <w:rPr>
          <w:rFonts w:ascii="Arial" w:cs="Arial" w:eastAsia="Arial" w:hAnsi="Arial"/>
          <w:sz w:val="17"/>
          <w:szCs w:val="17"/>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w:t>
      </w:r>
    </w:p>
    <w:p>
      <w:pPr>
        <w:spacing w:after="0" w:line="80"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color w:val="auto"/>
        </w:rPr>
        <w:t xml:space="preserve">4.2.5.3 Any costs and expenses (including, without limitation, reasonable attorneys’ fees) incurred in attempting to protest, reduce or minimize Tax Expenses shall be included in Tax Expenses in the Expense Year such expenses are paid. Except as set forth in </w:t>
      </w:r>
      <w:r>
        <w:rPr>
          <w:rFonts w:ascii="Arial" w:cs="Arial" w:eastAsia="Arial" w:hAnsi="Arial"/>
          <w:sz w:val="17"/>
          <w:szCs w:val="17"/>
          <w:u w:val="single" w:color="auto"/>
          <w:color w:val="auto"/>
        </w:rPr>
        <w:t>Section 4.2.5.4</w:t>
      </w:r>
      <w:r>
        <w:rPr>
          <w:rFonts w:ascii="Arial" w:cs="Arial" w:eastAsia="Arial" w:hAnsi="Arial"/>
          <w:sz w:val="17"/>
          <w:szCs w:val="17"/>
          <w:color w:val="auto"/>
        </w:rPr>
        <w:t xml:space="preserve">, below,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for such Expense Year. If Tax Expenses for any period during the Lease Term or any extension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428" w:name="page429"/>
    <w:bookmarkEnd w:id="42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TCCs of this Lease. Notwithstanding anything to the contrary contained in this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4.2.5.1</w:t>
      </w:r>
      <w:r>
        <w:rPr>
          <w:rFonts w:ascii="Arial" w:cs="Arial" w:eastAsia="Arial" w:hAnsi="Arial"/>
          <w:sz w:val="18"/>
          <w:szCs w:val="18"/>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of this Lease, (iv) any Tax Expenses to the extent accruing during and applicable to any period of time occurring either prior to the Lease Commencement Date or after the expiration or earlier termination of this Lease, and (v) any special assessments or special taxes as a means of financing improvements to the Building or Project.</w:t>
      </w:r>
    </w:p>
    <w:p>
      <w:pPr>
        <w:spacing w:after="0" w:line="85" w:lineRule="exact"/>
        <w:rPr>
          <w:sz w:val="20"/>
          <w:szCs w:val="20"/>
          <w:color w:val="auto"/>
        </w:rPr>
      </w:pPr>
    </w:p>
    <w:p>
      <w:pPr>
        <w:ind w:right="80" w:firstLine="1484"/>
        <w:spacing w:after="0" w:line="266" w:lineRule="auto"/>
        <w:rPr>
          <w:sz w:val="20"/>
          <w:szCs w:val="20"/>
          <w:color w:val="auto"/>
        </w:rPr>
      </w:pPr>
      <w:r>
        <w:rPr>
          <w:rFonts w:ascii="Arial" w:cs="Arial" w:eastAsia="Arial" w:hAnsi="Arial"/>
          <w:sz w:val="18"/>
          <w:szCs w:val="18"/>
          <w:color w:val="auto"/>
        </w:rPr>
        <w:t>4.2.6 “</w:t>
      </w:r>
      <w:r>
        <w:rPr>
          <w:rFonts w:ascii="Arial" w:cs="Arial" w:eastAsia="Arial" w:hAnsi="Arial"/>
          <w:sz w:val="18"/>
          <w:szCs w:val="18"/>
          <w:b w:val="1"/>
          <w:bCs w:val="1"/>
          <w:color w:val="auto"/>
        </w:rPr>
        <w:t>Tenant’s Share</w:t>
      </w:r>
      <w:r>
        <w:rPr>
          <w:rFonts w:ascii="Arial" w:cs="Arial" w:eastAsia="Arial" w:hAnsi="Arial"/>
          <w:sz w:val="18"/>
          <w:szCs w:val="18"/>
          <w:color w:val="auto"/>
        </w:rPr>
        <w:t>” shall mean the percentage set forth in Section 6 of the Summary. Tenant’s Share is stated as a percentage calculated as a fraction where the numerator equals the number of rentable square feet of the Premises and the denominator is the 75,745 rentable square feet in the Building.</w:t>
      </w:r>
    </w:p>
    <w:p>
      <w:pPr>
        <w:spacing w:after="0" w:line="68" w:lineRule="exact"/>
        <w:rPr>
          <w:sz w:val="20"/>
          <w:szCs w:val="20"/>
          <w:color w:val="auto"/>
        </w:rPr>
      </w:pPr>
    </w:p>
    <w:p>
      <w:pPr>
        <w:ind w:right="180" w:firstLine="1484"/>
        <w:spacing w:after="0" w:line="271" w:lineRule="auto"/>
        <w:rPr>
          <w:sz w:val="20"/>
          <w:szCs w:val="20"/>
          <w:color w:val="auto"/>
        </w:rPr>
      </w:pPr>
      <w:r>
        <w:rPr>
          <w:rFonts w:ascii="Arial" w:cs="Arial" w:eastAsia="Arial" w:hAnsi="Arial"/>
          <w:sz w:val="17"/>
          <w:szCs w:val="17"/>
          <w:color w:val="auto"/>
        </w:rPr>
        <w:t>4.2.7 “</w:t>
      </w:r>
      <w:r>
        <w:rPr>
          <w:rFonts w:ascii="Arial" w:cs="Arial" w:eastAsia="Arial" w:hAnsi="Arial"/>
          <w:sz w:val="17"/>
          <w:szCs w:val="17"/>
          <w:b w:val="1"/>
          <w:bCs w:val="1"/>
          <w:color w:val="auto"/>
        </w:rPr>
        <w:t>Utilities Costs</w:t>
      </w:r>
      <w:r>
        <w:rPr>
          <w:rFonts w:ascii="Arial" w:cs="Arial" w:eastAsia="Arial" w:hAnsi="Arial"/>
          <w:sz w:val="17"/>
          <w:szCs w:val="17"/>
          <w:color w:val="auto"/>
        </w:rPr>
        <w:t xml:space="preserve">” shall mean all actual charges for utilities for the Building and the Project which Landlord shall pay during any Expense Year, including, but not limited to, the costs of water, sewer and electricity, and the costs of HVAC and other utilities (but excluding (i) the cost of electricity consumed in any area of the Project that is not part of the Common Areas (i.e., excluding the Premises, the premises of other tenants of the Building and any other buildings in the Project, and other leasable space throughout the Project that is not then occupied by a tenant, (since Tenant is separately paying for the cost of electricity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below) and (ii) those charges for which tenants directly reimburse Landlord or otherwise pay directly to the utility company) as well as related fees, assessments and surcharges. Tenant’s Share of Utilities Costs shall be calculated assuming the Buildings are one hundred percent ( 100%) occupied. Utilities Costs shall include any costs of utilities which are allocated to the Real Property under any declaration, restrictive covenant, or other instrument pertaining to the sharing of costs by the Real Property or any portion thereof, including any covenants, conditions or restrictions now or hereafter recorded against or affecting the Real Property.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429" w:name="page430"/>
    <w:bookmarkEnd w:id="429"/>
    <w:p>
      <w:pPr>
        <w:ind w:right="80" w:firstLine="456"/>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6"/>
          <w:szCs w:val="16"/>
          <w:b w:val="1"/>
          <w:bCs w:val="1"/>
          <w:u w:val="single" w:color="auto"/>
          <w:color w:val="auto"/>
        </w:rPr>
        <w:t>Allocation of Direct Expenses</w:t>
      </w:r>
      <w:r>
        <w:rPr>
          <w:rFonts w:ascii="Arial" w:cs="Arial" w:eastAsia="Arial" w:hAnsi="Arial"/>
          <w:sz w:val="16"/>
          <w:szCs w:val="16"/>
          <w:color w:val="auto"/>
        </w:rPr>
        <w:t>. The parties acknowledge that the Building is a part of a multi-building project and that the costs and expenses incurred in connection with the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the Direct Expenses) should be shared between the tenants of the Building and the tenants of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Tax Expenses and Utilities Costs) are determined annually for the Project as a whole, and a portion of the Direct Expenses, which portion shall be determined by Landlord on an equitable basis, shall be allocated to the tenants of the Building (as opposed to the tenants of any other buildings in the Project) and such portion shall be the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54"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Calculation and Payment of Additional Rent</w:t>
      </w:r>
      <w:r>
        <w:rPr>
          <w:rFonts w:ascii="Arial" w:cs="Arial" w:eastAsia="Arial" w:hAnsi="Arial"/>
          <w:sz w:val="18"/>
          <w:szCs w:val="18"/>
          <w:color w:val="auto"/>
        </w:rPr>
        <w:t xml:space="preserve">. Tenant shall pay to Landlord, in the manner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 below, and as Additional Rent, Tenant’s Share of Direct Expenses for each Expense Year.</w:t>
      </w:r>
    </w:p>
    <w:p>
      <w:pPr>
        <w:spacing w:after="0" w:line="5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Direct Expenses and Payment by Tenant</w:t>
      </w:r>
      <w:r>
        <w:rPr>
          <w:rFonts w:ascii="Arial" w:cs="Arial" w:eastAsia="Arial" w:hAnsi="Arial"/>
          <w:sz w:val="16"/>
          <w:szCs w:val="16"/>
          <w:color w:val="auto"/>
        </w:rPr>
        <w:t>. Landlord shall give to Tenant following the end of each Expense Year, 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xml:space="preserve">”) which shall state in general major categories the Direct Expenses incurred or accrued for such preceding Expense Year, and which shall indicate the amount of Tenant’s Share of Direct Expenses. Landlord shall use commercially reasonable efforts to deliver such Statement to Tenant on or before April 15 following the end of the Expense Year to which such Statement relates. Upon receipt of the Statement for each Expense Year commencing or ending during the Lease Term, Tenant shall pay, within thirty (30) days after receipt of the Statement, the full amount of Tenant’s Share of Direct Expenses for such Expense Year, less the amounts, if any, paid during such Expense Year as “Estimated Direct Expenses,” as that term is defined in </w:t>
      </w:r>
      <w:r>
        <w:rPr>
          <w:rFonts w:ascii="Arial" w:cs="Arial" w:eastAsia="Arial" w:hAnsi="Arial"/>
          <w:sz w:val="16"/>
          <w:szCs w:val="16"/>
          <w:u w:val="single" w:color="auto"/>
          <w:color w:val="auto"/>
        </w:rPr>
        <w:t>Section 4.4.2</w:t>
      </w:r>
      <w:r>
        <w:rPr>
          <w:rFonts w:ascii="Arial" w:cs="Arial" w:eastAsia="Arial" w:hAnsi="Arial"/>
          <w:sz w:val="16"/>
          <w:szCs w:val="16"/>
          <w:color w:val="auto"/>
        </w:rPr>
        <w:t>, below, and if Tenant paid more as Estimated Direct Expenses than the actual Tenant’s Share of Direct Expenses (an “</w:t>
      </w:r>
      <w:r>
        <w:rPr>
          <w:rFonts w:ascii="Arial" w:cs="Arial" w:eastAsia="Arial" w:hAnsi="Arial"/>
          <w:sz w:val="16"/>
          <w:szCs w:val="16"/>
          <w:b w:val="1"/>
          <w:bCs w:val="1"/>
          <w:color w:val="auto"/>
        </w:rPr>
        <w:t>Excess</w:t>
      </w:r>
      <w:r>
        <w:rPr>
          <w:rFonts w:ascii="Arial" w:cs="Arial" w:eastAsia="Arial" w:hAnsi="Arial"/>
          <w:sz w:val="16"/>
          <w:szCs w:val="16"/>
          <w:color w:val="auto"/>
        </w:rPr>
        <w:t xml:space="preserve">”), Tenant shall receive a credit in the amount of such Excess against Rent next due under this Lease. The failure of Landlord to timely furnish the Statement for any Expense Year shall not prejudice Landlord or Tenant from enforcing its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Even though the Lease Term has expired and Tenant has vacated the Premises, when the final determination is made of Tenant’s Share of Direct Expenses for the Expense Year in which this Lease terminates, if Tenant’s Share of Direct Expenses is greater than the amount of Estimated Direct Expenses previously paid by Tenant to Landlord, Tenant shall, within thirty (30) days after receipt of the Statement, pay to Landlord such amount, and if Tenant paid more as Estimated Direct Expenses than the actual Tenant’s Share of Direct Expenses (again, an Excess), Landlord shall, within thirty (30) days, deliver a check payable to Tenant in the amount of such Excess. The provisions of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nine (9) months after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430" w:name="page431"/>
    <w:bookmarkEnd w:id="430"/>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give Tenant a yearly expense estimate statement (the “</w:t>
      </w:r>
      <w:r>
        <w:rPr>
          <w:rFonts w:ascii="Arial" w:cs="Arial" w:eastAsia="Arial" w:hAnsi="Arial"/>
          <w:sz w:val="16"/>
          <w:szCs w:val="16"/>
          <w:b w:val="1"/>
          <w:bCs w:val="1"/>
          <w:color w:val="auto"/>
        </w:rPr>
        <w:t>Estimate</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which shall set forth in general major categories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what the total amount of Direct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then-current Expense Year shall be and the estimated Tenant’s Share of Direct Expenses (the “</w:t>
      </w:r>
      <w:r>
        <w:rPr>
          <w:rFonts w:ascii="Arial" w:cs="Arial" w:eastAsia="Arial" w:hAnsi="Arial"/>
          <w:sz w:val="16"/>
          <w:szCs w:val="16"/>
          <w:b w:val="1"/>
          <w:bCs w:val="1"/>
          <w:color w:val="auto"/>
        </w:rPr>
        <w:t>Estimated Direct Expenses</w:t>
      </w:r>
      <w:r>
        <w:rPr>
          <w:rFonts w:ascii="Arial" w:cs="Arial" w:eastAsia="Arial" w:hAnsi="Arial"/>
          <w:sz w:val="16"/>
          <w:szCs w:val="16"/>
          <w:color w:val="auto"/>
        </w:rPr>
        <w:t xml:space="preserve">”). Landlord shall use commercially reasonable efforts to deliver such Estimate Statement to Tenant on or before April 15 following the end of the Expense Year to which such Estimate Statement relates. The failure of Landlord to timely furnish the Estimate Statement for any Expense Year shall not preclude Landlord from enforcing its rights to collect any Estimated Direct Expenses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nor shall Landlord be prohibited from revising any Estimate Statement or Estimated Direct Expenses theretofore delivered to the extent necessary. Thereafter, Tenant shall pay, within thirty (30) days after receipt of the Estimate Statement, a fraction of the Estimated Direct Expenses for the then-current Expense Year (reduced by any amounts paid pursuant to the second to last sentence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Throughout the Lease Term Landlord shall maintain books and records with respect to Direct Expenses in accordance with generally accepted real estate accounting and management practices, consistently applied.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 and Other Charges for Which Tenant Is Directly Responsible</w:t>
      </w:r>
      <w:r>
        <w:rPr>
          <w:rFonts w:ascii="Arial" w:cs="Arial" w:eastAsia="Arial" w:hAnsi="Arial"/>
          <w:sz w:val="18"/>
          <w:szCs w:val="18"/>
          <w:color w:val="auto"/>
        </w:rPr>
        <w:t>.</w:t>
      </w:r>
    </w:p>
    <w:p>
      <w:pPr>
        <w:spacing w:after="0" w:line="12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to the extent resulting from such increase in the assessment, as the case may be.</w:t>
      </w:r>
    </w:p>
    <w:p>
      <w:pPr>
        <w:spacing w:after="0" w:line="5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8"/>
          <w:szCs w:val="18"/>
          <w:u w:val="single" w:color="auto"/>
          <w:color w:val="auto"/>
        </w:rPr>
        <w:t>Section 4.5.1</w:t>
      </w:r>
      <w:r>
        <w:rPr>
          <w:rFonts w:ascii="Arial" w:cs="Arial" w:eastAsia="Arial" w:hAnsi="Arial"/>
          <w:sz w:val="18"/>
          <w:szCs w:val="18"/>
          <w:color w:val="auto"/>
        </w:rPr>
        <w:t>, above.</w:t>
      </w:r>
    </w:p>
    <w:p>
      <w:pPr>
        <w:spacing w:after="0" w:line="8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69" w:right="259" w:bottom="1440" w:gutter="0" w:footer="0" w:header="0"/>
        </w:sectPr>
      </w:pPr>
    </w:p>
    <w:bookmarkStart w:id="431" w:name="page432"/>
    <w:bookmarkEnd w:id="43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6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Landlord’s Books and Records</w:t>
      </w:r>
      <w:r>
        <w:rPr>
          <w:rFonts w:ascii="Arial" w:cs="Arial" w:eastAsia="Arial" w:hAnsi="Arial"/>
          <w:sz w:val="16"/>
          <w:szCs w:val="16"/>
          <w:color w:val="auto"/>
        </w:rPr>
        <w:t>. Upon Tenant’s written request given not more than ninety (90) days after Tenant’s receipt of a Statement for a particular Expense Year, and provided that Tenant is not then in default under this Lease beyond the applicable cure period provided in this Lease, Landlord shall furnish Tenant with such reasonable supporting documentation in connection with said Direct Expenses as Tenant may reasonably request. Landlord shall provide said information to Tenant within sixty (60) days after Tenant’s written request therefor. Within one hundred eighty ( 180) days after receipt of a Statement by Tenant (the “</w:t>
      </w:r>
      <w:r>
        <w:rPr>
          <w:rFonts w:ascii="Arial" w:cs="Arial" w:eastAsia="Arial" w:hAnsi="Arial"/>
          <w:sz w:val="16"/>
          <w:szCs w:val="16"/>
          <w:b w:val="1"/>
          <w:bCs w:val="1"/>
          <w:color w:val="auto"/>
        </w:rPr>
        <w:t>Review Period</w:t>
      </w:r>
      <w:r>
        <w:rPr>
          <w:rFonts w:ascii="Arial" w:cs="Arial" w:eastAsia="Arial" w:hAnsi="Arial"/>
          <w:sz w:val="16"/>
          <w:szCs w:val="16"/>
          <w:color w:val="auto"/>
        </w:rPr>
        <w:t>”), if Tenant disputes the amount of Additional Rent set forth in the Statement, an independent certified public accountant (which accountant (A) is a member of a nationally or regionally recognized accounting firm, and (B) is not working on a contingency fee basis), designated and paid for by Tenant, may, after reasonable notice to Landlord and at reasonable times, inspect Landlord’s records with respect to the Statement at Landlord’s offices, provided that Tenant is not then in default under this Lease (beyond any applicable notice and cure periods)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the Review Period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 at Tenant’s expense , by an independent certified public accountant (the “</w:t>
      </w:r>
      <w:r>
        <w:rPr>
          <w:rFonts w:ascii="Arial" w:cs="Arial" w:eastAsia="Arial" w:hAnsi="Arial"/>
          <w:sz w:val="16"/>
          <w:szCs w:val="16"/>
          <w:b w:val="1"/>
          <w:bCs w:val="1"/>
          <w:color w:val="auto"/>
        </w:rPr>
        <w:t>Accountant</w:t>
      </w:r>
      <w:r>
        <w:rPr>
          <w:rFonts w:ascii="Arial" w:cs="Arial" w:eastAsia="Arial" w:hAnsi="Arial"/>
          <w:sz w:val="16"/>
          <w:szCs w:val="16"/>
          <w:color w:val="auto"/>
        </w:rPr>
        <w:t xml:space="preserve">”) selected by Landlord and subject to Tenant’s reasonable approval; provided that if such determination by the Accountant proves that Direct Expenses were overstated by more than four percent (4%),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Arial" w:cs="Arial" w:eastAsia="Arial" w:hAnsi="Arial"/>
          <w:sz w:val="16"/>
          <w:szCs w:val="16"/>
          <w:u w:val="single" w:color="auto"/>
          <w:color w:val="auto"/>
        </w:rPr>
        <w:t>Section 4.6</w:t>
      </w:r>
      <w:r>
        <w:rPr>
          <w:rFonts w:ascii="Arial" w:cs="Arial" w:eastAsia="Arial" w:hAnsi="Arial"/>
          <w:sz w:val="16"/>
          <w:szCs w:val="16"/>
          <w:color w:val="auto"/>
        </w:rPr>
        <w:t>, and Tenant hereby waives any and all other rights pursuant to applicable law to inspect such books and records and/or to contest the amount of Direct Expenses payable by Tenant.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 OF PREMISES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6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Prohibited Uses</w:t>
      </w:r>
      <w:r>
        <w:rPr>
          <w:rFonts w:ascii="Arial" w:cs="Arial" w:eastAsia="Arial" w:hAnsi="Arial"/>
          <w:sz w:val="18"/>
          <w:szCs w:val="18"/>
          <w:color w:val="auto"/>
        </w:rPr>
        <w:t>. The uses prohibited under this Lease shall include, without limitation, use of the Premises or a portion thereof for (i) offices of any agency or bureau of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432" w:name="page433"/>
    <w:bookmarkEnd w:id="432"/>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United States or any state or political subdivision thereof; (ii) offices or agencies of any foreign governmental or political subdivision thereof; (iii) offices of any health care professionals or health care service organization to the extent providing on-site health services to patients; (iv) schools or other training facilities which are not ancillary to corporate, executive or professional office use; provided, however, Landlord hereby agrees that intermittent training sessions conducted by or for Tenant (or any Permitted Transferee or any of Tenant’s Occupants) with respect to methods and procedures related to the biopharmaceutical industry and/or general business practices, shall not be so prohibited; (v) retail or restaurant uses; or (vi) communications firms such as radio and/or television stations. Tenant shall not allow occupancy density of use of the Premises which is greater than five (5) persons per each one thousand (1,000) rentable square feet of the Premises.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provided, however, Landlord shall not enforce, change or modify the Rules and Regulations in a discriminatory manner and Landlord agrees that the Rules and Regulations shall not be unreasonably modified or enforced in a manner which will unreasonably interfere with the normal and customary conduct of Tenant’s business. Tenant shall not do or permit anything to be done in or about the Premises which will in any way obstruct or interfere with the rights of other tenants or occupants of the Building, or injure or annoy them or use or allow the Premises to be used for any unlawful purpose, nor shall Tenant cause, maintain or permit any nuisance in, on or about the Premises.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CC&amp;Rs</w:t>
      </w:r>
      <w:r>
        <w:rPr>
          <w:rFonts w:ascii="Arial" w:cs="Arial" w:eastAsia="Arial" w:hAnsi="Arial"/>
          <w:sz w:val="17"/>
          <w:szCs w:val="17"/>
          <w:color w:val="auto"/>
        </w:rPr>
        <w:t>. Tenant shall comply with all recorded covenants, conditions, and restrictions currently affecting the Project, a copy of which has been provided by Landlord to Tenant. Additionally, Tenant acknowledges that the Project may be subject to any future covenants, conditions, and restrictions (the “</w:t>
      </w:r>
      <w:r>
        <w:rPr>
          <w:rFonts w:ascii="Arial" w:cs="Arial" w:eastAsia="Arial" w:hAnsi="Arial"/>
          <w:sz w:val="17"/>
          <w:szCs w:val="17"/>
          <w:b w:val="1"/>
          <w:bCs w:val="1"/>
          <w:color w:val="auto"/>
        </w:rPr>
        <w:t>CC&amp;Rs</w:t>
      </w:r>
      <w:r>
        <w:rPr>
          <w:rFonts w:ascii="Arial" w:cs="Arial" w:eastAsia="Arial" w:hAnsi="Arial"/>
          <w:sz w:val="17"/>
          <w:szCs w:val="17"/>
          <w:color w:val="auto"/>
        </w:rPr>
        <w:t xml:space="preserve">”) which Landlord, in Landlord’s discretion, deems reasonably necessary or desirable; provided that no such CC&amp;Rs shall be permitted which materially reduce Tenant’s rights or access hereunder, or materially increase Tenant’s obligations hereunder, and Tenant agrees that this Lease shall be subject and subordinate to such CC&amp;Rs. Subject to the terms of the immediately preceding sentence, Landlord shall have the right to require Tenant to execute and acknowledge, within fifteen ( 15) business days of a request by Landlord, a “Recognition of Covenants, Conditions, and Restriction,” in a form substantially similar to that attached hereto as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 agreeing to and acknowledging the CC&amp;Rs.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SERVICES AND UTILITIES</w:t>
      </w:r>
    </w:p>
    <w:p>
      <w:pPr>
        <w:spacing w:after="0" w:line="117"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Standard Tenant Services</w:t>
      </w:r>
      <w:r>
        <w:rPr>
          <w:rFonts w:ascii="Arial" w:cs="Arial" w:eastAsia="Arial" w:hAnsi="Arial"/>
          <w:sz w:val="16"/>
          <w:szCs w:val="16"/>
          <w:color w:val="auto"/>
        </w:rPr>
        <w:t>. Landlord shall maintain and operate the Building in a manner consistent with the Comparable Buildings, and shall keep the Building Structure and Building Systems in good condition and repair and otherwise in a condition consistent with the Comparable Buildings, and in no event in a condition materially inferior to the existing condition as of the Effective Date. In addition, Landlord shall provide, as part of the Building Structure,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433" w:name="page434"/>
    <w:bookmarkEnd w:id="433"/>
    <w:p>
      <w:pPr>
        <w:ind w:right="280" w:firstLine="8"/>
        <w:spacing w:after="0" w:line="277" w:lineRule="auto"/>
        <w:tabs>
          <w:tab w:leader="none" w:pos="215"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currently existing electrical wiring and subpanel facilities applicable to the Premises, which are currently directly metered to the Premises, and over which Tenant shall have exclusive control, and (ii) city water and sewer stubbed to the Premises.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Notwithstanding the foregoing, Tenant shall pay the cost of all utilities (including without limitation, electricity, sewer, water and, if applicable, gas) provided to and/or consumed in the Premises (including normal and excess consumption and including the actual cost of electricity to operate the HVAC air handlers serving the Premises) and shall also provide its own janitorial and security services for the Premises as more particularly set forth below. In connection with the foregoing, Tenant’s payment for electricity and water shall be directly to the applicable utility company pursuant to such utility companies’ separate meters which are dedicated for the Premises. Such utility use shall include electricity, water, and gas use for lighting, incidental use and any heating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as that term is defined below. All such Premises-specific utility, janitorial and security payments shall be excluded from Operating Expenses and shall be paid directly by Tenant prior to the date on which the same are due to the utility provider, janitorial company and/or security company, as applicable. The Premises is currently separately metered for electrical usage. Landlord and Tenant acknowledge and agree that the foregoing shall not apply with regard to utilities applicable to the Common Areas to the extent otherwise charged to and paid by Tenant (and other tenants, as the case may be) as part of Utilities Costs.</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Landlord shall not be required to provide any services other than with regard to its maintenance and repair obligation relating to the Building Systems, the Building Structure and the Common Areas.</w:t>
      </w:r>
    </w:p>
    <w:p>
      <w:pPr>
        <w:spacing w:after="0" w:line="58"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Tenant Maintained One-Pass Air and Other Systems</w:t>
      </w:r>
      <w:r>
        <w:rPr>
          <w:rFonts w:ascii="Arial" w:cs="Arial" w:eastAsia="Arial" w:hAnsi="Arial"/>
          <w:sz w:val="16"/>
          <w:szCs w:val="16"/>
          <w:color w:val="auto"/>
        </w:rPr>
        <w:t>. Tenant shall, at Tenant’s sole cost and expense, maintain those systems and the remaining portions of the Premises which consist of any One-Pass Air System installed in the Premises as provided in Section 8.7, below, or which are otherwise installed by or on behalf of Tenant as Improvements or Alterations) to the extent the same are not part of the Building Structure and Building Systems to be maintained and repaired by Landlord pursuant to this Lease (collectively, “</w:t>
      </w:r>
      <w:r>
        <w:rPr>
          <w:rFonts w:ascii="Arial" w:cs="Arial" w:eastAsia="Arial" w:hAnsi="Arial"/>
          <w:sz w:val="16"/>
          <w:szCs w:val="16"/>
          <w:b w:val="1"/>
          <w:bCs w:val="1"/>
          <w:color w:val="auto"/>
        </w:rPr>
        <w:t>Tenant Maintained Systems</w:t>
      </w:r>
      <w:r>
        <w:rPr>
          <w:rFonts w:ascii="Arial" w:cs="Arial" w:eastAsia="Arial" w:hAnsi="Arial"/>
          <w:sz w:val="16"/>
          <w:szCs w:val="16"/>
          <w:color w:val="auto"/>
        </w:rPr>
        <w:t>”). All such Tenant Maintained Systems shall be maintained by Tenant in accordance with manufacturer specifications and in a commercially reasonable condition. In addition, upon request from Landlord, Tenant shall provide to Landlord copies of any service contracts and records of Tenant’s maintenance of Tenant Maintained Systems.</w:t>
      </w:r>
    </w:p>
    <w:p>
      <w:pPr>
        <w:spacing w:after="0" w:line="48" w:lineRule="exact"/>
        <w:rPr>
          <w:sz w:val="20"/>
          <w:szCs w:val="20"/>
          <w:color w:val="auto"/>
        </w:rPr>
      </w:pPr>
    </w:p>
    <w:p>
      <w:pPr>
        <w:ind w:right="100" w:firstLine="456"/>
        <w:spacing w:after="0" w:line="29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Tenant Maintained Security</w:t>
      </w:r>
      <w:r>
        <w:rPr>
          <w:rFonts w:ascii="Arial" w:cs="Arial" w:eastAsia="Arial" w:hAnsi="Arial"/>
          <w:sz w:val="16"/>
          <w:szCs w:val="16"/>
          <w:color w:val="auto"/>
        </w:rPr>
        <w:t>. Tenant hereby acknowledges that Landlord shall have no obligation to provide, or otherwise pay for, any guard service or other security measures for the benefit of the Premises, the Building or the Project; provided, however, the parties acknowledge that the Premises includes an existing card access system (the “Northern System”) which Tenant may use without charge during the Lease Term, it being further acknowledge, however, that Landlord makes no representation or warranty with regard to the condition of such card access system and Tenant shall accept the same in its presently existing, as-is condition. Tenant hereby assumes all responsibility for the protection of Tenant and its agents, employees, contractors, invitees and guests, and the property thereof, from acts of third parties, including keeping doors locked and other means of entry to the Premises closed.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434" w:name="page435"/>
    <w:bookmarkEnd w:id="4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b w:val="1"/>
          <w:bCs w:val="1"/>
          <w:u w:val="single" w:color="auto"/>
          <w:color w:val="auto"/>
        </w:rPr>
        <w:t>Tenant Maintained Janitorial; Vivarium Waste; Pest Control</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b w:val="1"/>
          <w:bCs w:val="1"/>
          <w:u w:val="single" w:color="auto"/>
          <w:color w:val="auto"/>
        </w:rPr>
        <w:t>Premises Janitorial</w:t>
      </w:r>
      <w:r>
        <w:rPr>
          <w:rFonts w:ascii="Arial" w:cs="Arial" w:eastAsia="Arial" w:hAnsi="Arial"/>
          <w:sz w:val="18"/>
          <w:szCs w:val="18"/>
          <w:color w:val="auto"/>
        </w:rPr>
        <w:t>. As indicated above, Tenant shall itself provide (or otherwise directly contract for) its own janitorial services for the Premises, which janitorial services shall be performed in a first-class manner consistent with the nature of the Building as a first-class office building and as otherwise reasonably requested by Landlord.</w:t>
      </w:r>
    </w:p>
    <w:p>
      <w:pPr>
        <w:spacing w:after="0" w:line="68"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Vivarium Waste</w:t>
      </w:r>
      <w:r>
        <w:rPr>
          <w:rFonts w:ascii="Arial" w:cs="Arial" w:eastAsia="Arial" w:hAnsi="Arial"/>
          <w:sz w:val="18"/>
          <w:szCs w:val="18"/>
          <w:color w:val="auto"/>
        </w:rPr>
        <w:t xml:space="preserve">. Upon any use of the rodent vivarium, in connection with the janitorial services identified in </w:t>
      </w:r>
      <w:r>
        <w:rPr>
          <w:rFonts w:ascii="Arial" w:cs="Arial" w:eastAsia="Arial" w:hAnsi="Arial"/>
          <w:sz w:val="18"/>
          <w:szCs w:val="18"/>
          <w:u w:val="single" w:color="auto"/>
          <w:color w:val="auto"/>
        </w:rPr>
        <w:t>Section 6.4.1</w:t>
      </w:r>
      <w:r>
        <w:rPr>
          <w:rFonts w:ascii="Arial" w:cs="Arial" w:eastAsia="Arial" w:hAnsi="Arial"/>
          <w:sz w:val="18"/>
          <w:szCs w:val="18"/>
          <w:color w:val="auto"/>
        </w:rPr>
        <w:t>, above, Tenant hereby expressly acknowledges and agrees that Tenant shall itself directly collect and dispose of (or otherwise directly contract for the disposal of), any and all waste relating to the rodent vivarium (“</w:t>
      </w:r>
      <w:r>
        <w:rPr>
          <w:rFonts w:ascii="Arial" w:cs="Arial" w:eastAsia="Arial" w:hAnsi="Arial"/>
          <w:sz w:val="18"/>
          <w:szCs w:val="18"/>
          <w:b w:val="1"/>
          <w:bCs w:val="1"/>
          <w:color w:val="auto"/>
        </w:rPr>
        <w:t>Vivarium Waste</w:t>
      </w:r>
      <w:r>
        <w:rPr>
          <w:rFonts w:ascii="Arial" w:cs="Arial" w:eastAsia="Arial" w:hAnsi="Arial"/>
          <w:sz w:val="18"/>
          <w:szCs w:val="18"/>
          <w:color w:val="auto"/>
        </w:rPr>
        <w:t>”) which collection and disposal shall be conducted in a manner consistent with the then-applicable best practices of similar research facilities in San Diego, California.</w:t>
      </w:r>
    </w:p>
    <w:p>
      <w:pPr>
        <w:spacing w:after="0" w:line="7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Pest Control</w:t>
      </w:r>
      <w:r>
        <w:rPr>
          <w:rFonts w:ascii="Arial" w:cs="Arial" w:eastAsia="Arial" w:hAnsi="Arial"/>
          <w:sz w:val="16"/>
          <w:szCs w:val="16"/>
          <w:color w:val="auto"/>
        </w:rPr>
        <w:t>. Landlord and Tenant hereby acknowledge and agree that, once Tenant commences rodent vivarium use in the Premises, with regard to the remaining portions of the Premises and the Building, Tenant shall at its expense shall maintain at all times throughout the Lease Term, a written service contract with a licensed, bonded professional pest and sanitation control service to perform inspection and services for the purposes of keeping the non-vivarium portions of the Premises and Common Areas constantly pest-free and vermin-free. In connection therewith, Tenant agrees to co-operate fully in Building pest control efforts including, but not limited to, (a) moving provisions, food stuffs and equipment during inspection and spraying by exterminator,</w:t>
      </w:r>
    </w:p>
    <w:p>
      <w:pPr>
        <w:spacing w:after="0" w:line="2" w:lineRule="exact"/>
        <w:rPr>
          <w:sz w:val="20"/>
          <w:szCs w:val="20"/>
          <w:color w:val="auto"/>
        </w:rPr>
      </w:pPr>
    </w:p>
    <w:p>
      <w:pPr>
        <w:ind w:right="20" w:firstLine="8"/>
        <w:spacing w:after="0" w:line="254" w:lineRule="auto"/>
        <w:tabs>
          <w:tab w:leader="none" w:pos="255"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maintaining the Premises in a clean, trash free (except as temporarily stored in trash receptacles) and sanitary condition, and (c) allowing exterminator to perform inspections and/or spraying. In the event Tenant refuses or fails to satisfy its obligations set forth in this </w:t>
      </w:r>
      <w:r>
        <w:rPr>
          <w:rFonts w:ascii="Arial" w:cs="Arial" w:eastAsia="Arial" w:hAnsi="Arial"/>
          <w:sz w:val="18"/>
          <w:szCs w:val="18"/>
          <w:u w:val="single" w:color="auto"/>
          <w:color w:val="auto"/>
        </w:rPr>
        <w:t>Section 6.4.2</w:t>
      </w:r>
      <w:r>
        <w:rPr>
          <w:rFonts w:ascii="Arial" w:cs="Arial" w:eastAsia="Arial" w:hAnsi="Arial"/>
          <w:sz w:val="18"/>
          <w:szCs w:val="18"/>
          <w:color w:val="auto"/>
        </w:rPr>
        <w:t>, then the Landlord may, but shall not be obligated to, take such actions on Tenant’s behalf in which event, the costs incurred by Landlord in connection with same shall be paid by Tenant as Additional Rent within ten (10) days after demand therefor.</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Lobby Elevator; Warehouse Elevator; Excess Services</w:t>
      </w:r>
      <w:r>
        <w:rPr>
          <w:rFonts w:ascii="Arial" w:cs="Arial" w:eastAsia="Arial" w:hAnsi="Arial"/>
          <w:sz w:val="18"/>
          <w:szCs w:val="18"/>
          <w:color w:val="auto"/>
        </w:rPr>
        <w:t>.</w:t>
      </w:r>
    </w:p>
    <w:p>
      <w:pPr>
        <w:spacing w:after="0" w:line="12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6.5.1 Landlord shall provide nonexclusive, non-attended automatic passenger elevator service in the Main Lobby portion of the Building Common Areas at all times. For purposes of this Lease, “</w:t>
      </w:r>
      <w:r>
        <w:rPr>
          <w:rFonts w:ascii="Arial" w:cs="Arial" w:eastAsia="Arial" w:hAnsi="Arial"/>
          <w:sz w:val="16"/>
          <w:szCs w:val="16"/>
          <w:b w:val="1"/>
          <w:bCs w:val="1"/>
          <w:color w:val="auto"/>
        </w:rPr>
        <w:t>Building Hours</w:t>
      </w:r>
      <w:r>
        <w:rPr>
          <w:rFonts w:ascii="Arial" w:cs="Arial" w:eastAsia="Arial" w:hAnsi="Arial"/>
          <w:sz w:val="16"/>
          <w:szCs w:val="16"/>
          <w:color w:val="auto"/>
        </w:rPr>
        <w:t>”), shall collectively mean 7:00 A.M. to 7:00 P.M. Monday through Friday, and on Saturdays from 7:00 A.M. to 3:00 P.M., except for the date of observation of New Year’s Day, Memorial Day, Independence Day, Labor Day, Thanksgiving Day, Christmas Day and, at Landlord’s discretion, other locally or nationally recognized holidays (collectively, the “</w:t>
      </w:r>
      <w:r>
        <w:rPr>
          <w:rFonts w:ascii="Arial" w:cs="Arial" w:eastAsia="Arial" w:hAnsi="Arial"/>
          <w:sz w:val="16"/>
          <w:szCs w:val="16"/>
          <w:b w:val="1"/>
          <w:bCs w:val="1"/>
          <w:color w:val="auto"/>
        </w:rPr>
        <w:t>Holidays</w:t>
      </w:r>
      <w:r>
        <w:rPr>
          <w:rFonts w:ascii="Arial" w:cs="Arial" w:eastAsia="Arial" w:hAnsi="Arial"/>
          <w:sz w:val="16"/>
          <w:szCs w:val="16"/>
          <w:color w:val="auto"/>
        </w:rPr>
        <w:t>”). Landlord agrees that the front lobby doors may remain locked at all times on weekends to the extent mutually agreed upon by all then-current tenants at the Building.</w:t>
      </w:r>
    </w:p>
    <w:p>
      <w:pPr>
        <w:spacing w:after="0" w:line="5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6.5.2 Landlord shall use commercially reasonable efforts to coordinate with Tanvex, the tenant of the remainder of the Building, to allow Tenant the temporary use of the Building elevator located in the back warehouse portion the first floor, which elevator services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0" w:right="299" w:bottom="1440" w:gutter="0" w:footer="0" w:header="0"/>
        </w:sectPr>
      </w:pPr>
    </w:p>
    <w:bookmarkStart w:id="435" w:name="page436"/>
    <w:bookmarkEnd w:id="4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Building mezzanine, for (a) three (3) full consecutive days in order to initially move Tenant’s furniture, fixtures and equipment into the Premises, (b) three</w:t>
      </w:r>
    </w:p>
    <w:p>
      <w:pPr>
        <w:spacing w:after="0" w:line="46" w:lineRule="exact"/>
        <w:rPr>
          <w:sz w:val="20"/>
          <w:szCs w:val="20"/>
          <w:color w:val="auto"/>
        </w:rPr>
      </w:pPr>
    </w:p>
    <w:p>
      <w:pPr>
        <w:ind w:firstLine="8"/>
        <w:spacing w:after="0" w:line="252" w:lineRule="auto"/>
        <w:tabs>
          <w:tab w:leader="none" w:pos="25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full consecutive days to remove Tenant’s furniture, fixtures and equipment from the Premises prior to the expiration or immediately following any earlier termination of this Lease, and (c) as reasonably required thereafter during the Lease Term. Tenant acknowledges that such Building elevator is under Tanvex’s control (as opposed to Landlord’s control), and Tenant hereby acknowledges that Landlord has made no representation or warranty to Tenant with respect to the probability of obtaining Tanvex’s consent to Tenant’s use of such elevator for all, or any of the time periods identified hereinabove. In the event that Landlord is unable to obtain Tanvex’s consent to Tenant’s use of the elevator (or if Landlord is unable to obtain Tanvex’s consent to Tenant’s use of the elevator for all or any of the time periods identified hereinabove), Tenant’s and Landlord’s rights and obligations under the remaining terms and conditions of the Lease shall be unaffected.</w:t>
      </w:r>
    </w:p>
    <w:p>
      <w:pPr>
        <w:spacing w:after="0" w:line="85"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 xml:space="preserve">6.5.3 Notwithstanding anything to the contrary set forth in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Article 6</w:t>
      </w:r>
      <w:r>
        <w:rPr>
          <w:rFonts w:ascii="Arial" w:cs="Arial" w:eastAsia="Arial" w:hAnsi="Arial"/>
          <w:sz w:val="16"/>
          <w:szCs w:val="16"/>
          <w:color w:val="auto"/>
        </w:rPr>
        <w:t>, Tenant shall directly pay to Landlord one hundred percent (100%) of the total cost (including any permitting and/or other implementation costs) of providing all services (and related equipment) affirmatively requested and required by Tenant which are in excess of the Building-standard services to be provided by Landlord hereunder , including, but not limited to, any security services for the Project, (ii) any janitorial services to the Premises or above-standard janitorial services in any Common Areas, (iii) day-porter service, and (iv) parking management systems, equipment and/or personnel; provided, however, to the extent Tenant requests in advance from Landlord the cost of providing any such services, Tenant shall only be obligated to reimburse Landlord up to the amount so quoted.</w:t>
      </w:r>
    </w:p>
    <w:p>
      <w:pPr>
        <w:spacing w:after="0" w:line="5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u w:val="single" w:color="auto"/>
          <w:color w:val="auto"/>
        </w:rPr>
        <w:t>Interruption of Use</w:t>
      </w:r>
      <w:r>
        <w:rPr>
          <w:rFonts w:ascii="Arial" w:cs="Arial" w:eastAsia="Arial" w:hAnsi="Arial"/>
          <w:sz w:val="17"/>
          <w:szCs w:val="17"/>
          <w:color w:val="auto"/>
        </w:rPr>
        <w:t xml:space="preserve">. Except and to the extent expressly set forth in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below,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 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Abatement Event</w:t>
      </w:r>
      <w:r>
        <w:rPr>
          <w:rFonts w:ascii="Arial" w:cs="Arial" w:eastAsia="Arial" w:hAnsi="Arial"/>
          <w:sz w:val="16"/>
          <w:szCs w:val="16"/>
          <w:color w:val="auto"/>
        </w:rPr>
        <w:t>. If (i) Landlord fails to perform the obligations required of Landlord under the TCCs of this Lease or to otherwise perform an act required by Landlord to avoid such interference, and (ii) such failure causes all or a portion of the Premises to be untenantable and unusable by Tenant, and</w:t>
      </w:r>
    </w:p>
    <w:p>
      <w:pPr>
        <w:spacing w:after="0" w:line="1" w:lineRule="exact"/>
        <w:rPr>
          <w:sz w:val="20"/>
          <w:szCs w:val="20"/>
          <w:color w:val="auto"/>
        </w:rPr>
      </w:pPr>
    </w:p>
    <w:p>
      <w:pPr>
        <w:ind w:right="40" w:firstLine="8"/>
        <w:spacing w:after="0" w:line="261" w:lineRule="auto"/>
        <w:tabs>
          <w:tab w:leader="none" w:pos="31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such failure related to (A) the nonfunctioning of any Building System or utility service to the Premises, or (B) a failure to provide access to the Premises, Tenant shall give Landlord notice (the “</w:t>
      </w:r>
      <w:r>
        <w:rPr>
          <w:rFonts w:ascii="Arial" w:cs="Arial" w:eastAsia="Arial" w:hAnsi="Arial"/>
          <w:sz w:val="18"/>
          <w:szCs w:val="18"/>
          <w:b w:val="1"/>
          <w:bCs w:val="1"/>
          <w:color w:val="auto"/>
        </w:rPr>
        <w:t>Initial Notice</w:t>
      </w:r>
      <w:r>
        <w:rPr>
          <w:rFonts w:ascii="Arial" w:cs="Arial" w:eastAsia="Arial" w:hAnsi="Arial"/>
          <w:sz w:val="18"/>
          <w:szCs w:val="18"/>
          <w:color w:val="auto"/>
        </w:rPr>
        <w:t>”), specifying such failure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3" w:right="259" w:bottom="1440" w:gutter="0" w:footer="0" w:header="0"/>
        </w:sectPr>
      </w:pPr>
    </w:p>
    <w:bookmarkStart w:id="436" w:name="page437"/>
    <w:bookmarkEnd w:id="43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 by Landlord (the “</w:t>
      </w:r>
      <w:r>
        <w:rPr>
          <w:rFonts w:ascii="Arial" w:cs="Arial" w:eastAsia="Arial" w:hAnsi="Arial"/>
          <w:sz w:val="17"/>
          <w:szCs w:val="17"/>
          <w:b w:val="1"/>
          <w:bCs w:val="1"/>
          <w:color w:val="auto"/>
        </w:rPr>
        <w:t>Abatement Event</w:t>
      </w:r>
      <w:r>
        <w:rPr>
          <w:rFonts w:ascii="Arial" w:cs="Arial" w:eastAsia="Arial" w:hAnsi="Arial"/>
          <w:sz w:val="17"/>
          <w:szCs w:val="17"/>
          <w:color w:val="auto"/>
        </w:rPr>
        <w:t>”). If Landlord has not cured such Abatement Event within three (3) business days after the receipt of the Initial Notice (the “</w:t>
      </w:r>
      <w:r>
        <w:rPr>
          <w:rFonts w:ascii="Arial" w:cs="Arial" w:eastAsia="Arial" w:hAnsi="Arial"/>
          <w:sz w:val="17"/>
          <w:szCs w:val="17"/>
          <w:b w:val="1"/>
          <w:bCs w:val="1"/>
          <w:color w:val="auto"/>
        </w:rPr>
        <w:t>Eligibility Period</w:t>
      </w:r>
      <w:r>
        <w:rPr>
          <w:rFonts w:ascii="Arial" w:cs="Arial" w:eastAsia="Arial" w:hAnsi="Arial"/>
          <w:sz w:val="17"/>
          <w:szCs w:val="17"/>
          <w:color w:val="auto"/>
        </w:rPr>
        <w:t>”), Tenant may deliver an additional notice to Landlord (the “</w:t>
      </w:r>
      <w:r>
        <w:rPr>
          <w:rFonts w:ascii="Arial" w:cs="Arial" w:eastAsia="Arial" w:hAnsi="Arial"/>
          <w:sz w:val="17"/>
          <w:szCs w:val="17"/>
          <w:b w:val="1"/>
          <w:bCs w:val="1"/>
          <w:color w:val="auto"/>
        </w:rPr>
        <w:t>Additional Notice</w:t>
      </w:r>
      <w:r>
        <w:rPr>
          <w:rFonts w:ascii="Arial" w:cs="Arial" w:eastAsia="Arial" w:hAnsi="Arial"/>
          <w:sz w:val="17"/>
          <w:szCs w:val="17"/>
          <w:color w:val="auto"/>
        </w:rPr>
        <w:t>”), specifying such Abatement Event and Tenant’s intention to abate the payment of Rent under this Lease. If Landlord does not cure such Abatement Event within two (2) business days of receipt of the Additional Notice, Tenant may, upon written notice to Landlord, immediately abate Rent payable under this Lease for that portion of the Premises rendered untenantable and not used by Tenant, for the period beginning on the date five (5) business days after the Initial Notice to the earlier of the date Landlord cures such Abatement Event or the date Tenant recommences the use of such portion of the Premises (or as to all of the Premises, if the portion which is untenantable materially impairs Tenant’s ability to conduct business from the Premises). Such right to abate Rent shall be Tenant’s sole and exclusive remedy at law or in equity for an Abatement Event. Except as otherwise provided in this Lease, nothing contained herein shall be interpreted to mean that Tenant is excused from paying Rent due hereunder.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REPAIRS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During the entire Lease Term, Landlord shall maintain in first-class condition and operating order and keep in good repair and condition the structural portions of the Building, including without limitation the foundation, floor/ceiling slabs, roof structure (as opposed to roof membrane), curtain wall, exterior glass and mullions, columns, beams, shafts (including elevator shafts), stairs, stairwells, elevator cab, men’s and women’s washrooms, Building mechanical, electrical and telephone closets, and all common and public areas servicing the Building, including the parking areas, landscaping and exterior Project signage (collectively, “</w:t>
      </w:r>
      <w:r>
        <w:rPr>
          <w:rFonts w:ascii="Arial" w:cs="Arial" w:eastAsia="Arial" w:hAnsi="Arial"/>
          <w:sz w:val="16"/>
          <w:szCs w:val="16"/>
          <w:b w:val="1"/>
          <w:bCs w:val="1"/>
          <w:color w:val="auto"/>
        </w:rPr>
        <w:t>Building Structure</w:t>
      </w:r>
      <w:r>
        <w:rPr>
          <w:rFonts w:ascii="Arial" w:cs="Arial" w:eastAsia="Arial" w:hAnsi="Arial"/>
          <w:sz w:val="16"/>
          <w:szCs w:val="16"/>
          <w:color w:val="auto"/>
        </w:rPr>
        <w:t>”) and the Base Building mechanical, electrical, life safety, building access, plumbing , sprinkler systems and HVAC systems (other than the Tenant Maintained Systems) (collectively,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xml:space="preserve">”) and the Project Common Areas. Without modifying Landlord’s obligations set forth above, pursuant to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shall promptly cure any latent defects in the Premises brought to Landlord’s attention in writing within one (I ) year following Landlord’s delivery of the Premises to Tenant. In addition, Landlord hereby warrants that the Building Systems (exclusive of Tenant Maintained Systems, but including without limitation all other mechanical, electrical, life safety, building access, plumbing, sprinkler systems and HVAC systems in the Premises and not included within the definition of Building Systems) are, as of the Effective Date, in reasonably good working order and condition for Permitted Use, and that any actual defects thereto (excluding de minimus defects) brought to Landlord’s attention in writing within one (1) year following Landlord’s delivery of the Premises to Tenant, shall be repaired or replaced (to the extent reasonably necessary) by Landlord, at Landlord’s sole cost and expense (i.e., not to be included as an Operating Expense), but only to the extent such defects were not caused or otherwise contributed to by Tenant; provided, however, and except to the extent resulting directly from the particular nature of Tenant’s tissue culture room and rodent vivarium uses, in no event shall Tenant’s use of the Premises for the Permitted Use in the ordinary course of business be deemed to be a cause or contributing factor to any defects. Notwithstanding anything in this Lease to the contrary, Tenant shall be required to repair the Building Structure and/or the Building Systems to the extent caused by Tenant’s use of the Premises for other than the Permitted Use (but which for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9" w:right="239" w:bottom="1440" w:gutter="0" w:footer="0" w:header="0"/>
        </w:sectPr>
      </w:pPr>
    </w:p>
    <w:bookmarkStart w:id="437" w:name="page438"/>
    <w:bookmarkEnd w:id="43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purposes of this provision shall not apply to the extent resulting directly from particular nature of Tenant’s tissue culture room and rodent vivarium uses), unless and to the extent such damage is covered by insurance carried or required to be carried by Landlord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to which the waiver of subrogation is applicable (such foregoing obligations will hereinafter be defined as the “</w:t>
      </w:r>
      <w:r>
        <w:rPr>
          <w:rFonts w:ascii="Arial" w:cs="Arial" w:eastAsia="Arial" w:hAnsi="Arial"/>
          <w:sz w:val="16"/>
          <w:szCs w:val="16"/>
          <w:b w:val="1"/>
          <w:bCs w:val="1"/>
          <w:color w:val="auto"/>
        </w:rPr>
        <w:t>BS/BS Exception</w:t>
      </w:r>
      <w:r>
        <w:rPr>
          <w:rFonts w:ascii="Arial" w:cs="Arial" w:eastAsia="Arial" w:hAnsi="Arial"/>
          <w:sz w:val="16"/>
          <w:szCs w:val="16"/>
          <w:color w:val="auto"/>
        </w:rPr>
        <w:t xml:space="preserve">”). Tenant shall, at Tenant’s own expense, keep the Premises, including all improvements, fixtures and furnishings therein, in good order, repair and condition at all times during the Lease Term, but such obligation shall not extend to the Building Structure and the Building Systems except pursuant to the BS/BS Exception. In addition, Tenant shall, at Tenant’s own expense, but under the supervision and subject to the prior approval of Landlord, and within any reasonable period of time specified by Landlord, promptly and adequately repair all damage to the Premises and replace or repair all damaged, broken, or worn fixtures and appurtenances (but such obligation shall not extend to the Building Structure and the Building Systems except pursuant to the BS/BS Exception) except for damage caused by ordinary wear and tear or beyond the reasonable control of Tenant; provided however, that if Tenant fails to make such repairs, Landlord may, after written notice to Tenant and Tenant’s failure to repair within ten (10) business days thereafter, but need not, make such repairs and replacements, and Tenant shall pay Landlord’s out-of-pocket cost in direct connection therewith, including a percentage of the cost thereof (to be uniformly established for the Building and/or the Project) sufficient to reimburse Landlord for all overhead, general conditions, fees and other costs or expenses to the extent arising from Landlord’s involvement with such repairs and replacements upon receipt of a reasonably detailed invoice for same. Subject to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below,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provided, however, except for (i) emergencies, or (ii) repairs, alterations, improvements or additions required by governmental or quasi-governmental authorities or court order or decree, any such entry into the Premises by Landlord shall be performed in a manner so as not to materially interfere with Tenant’s use of, or access to, the Premises; provided that, with respect to item (ii) above, Landlord shall use commercially reasonable efforts to not materially interfere with Tenant’s use of, or access to, the Premises. Tenant hereby waives any and all rights under and benefits of subsection l of Section 1932 and Sections 1941 and 1942 of the California Civil Code or under any similar law, statute, or ordinance now or hereafter in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ADDITIONS AND ALTERATIONS</w:t>
      </w:r>
    </w:p>
    <w:p>
      <w:pPr>
        <w:spacing w:after="0" w:line="2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Landlord’s Consent to Alterations</w:t>
      </w:r>
      <w:r>
        <w:rPr>
          <w:rFonts w:ascii="Arial" w:cs="Arial" w:eastAsia="Arial" w:hAnsi="Arial"/>
          <w:sz w:val="18"/>
          <w:szCs w:val="18"/>
          <w:color w:val="auto"/>
        </w:rPr>
        <w:t>. Tenant may not make any improvements, alterations, additions or changes to the Premises or any mechanical, plumbing or HYAC facilities or systems pertaining to the Premises (collectively, the “</w:t>
      </w:r>
      <w:r>
        <w:rPr>
          <w:rFonts w:ascii="Arial" w:cs="Arial" w:eastAsia="Arial" w:hAnsi="Arial"/>
          <w:sz w:val="18"/>
          <w:szCs w:val="18"/>
          <w:b w:val="1"/>
          <w:bCs w:val="1"/>
          <w:color w:val="auto"/>
        </w:rPr>
        <w:t>Alterations</w:t>
      </w:r>
      <w:r>
        <w:rPr>
          <w:rFonts w:ascii="Arial" w:cs="Arial" w:eastAsia="Arial" w:hAnsi="Arial"/>
          <w:sz w:val="18"/>
          <w:szCs w:val="18"/>
          <w:color w:val="auto"/>
        </w:rPr>
        <w:t>”) without first procuring the prior written consent of Landlord to such Alterations, which consent shall be requested by Tenant not less than fifteen (15)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438" w:name="page439"/>
    <w:bookmarkEnd w:id="43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ten (10) business days notice to Landlord, but without Landlord’s prior consent, to the extent that such Alterations do not (i) adversely affect the systems and equipment of the Building, exterior appearance of the Building, or structural aspects of the Building, or adversely affect the value of the Premises or Building (the “</w:t>
      </w:r>
      <w:r>
        <w:rPr>
          <w:rFonts w:ascii="Arial" w:cs="Arial" w:eastAsia="Arial" w:hAnsi="Arial"/>
          <w:sz w:val="18"/>
          <w:szCs w:val="18"/>
          <w:b w:val="1"/>
          <w:bCs w:val="1"/>
          <w:color w:val="auto"/>
        </w:rPr>
        <w:t>Cosmetic Alterations</w:t>
      </w:r>
      <w:r>
        <w:rPr>
          <w:rFonts w:ascii="Arial" w:cs="Arial" w:eastAsia="Arial" w:hAnsi="Arial"/>
          <w:sz w:val="18"/>
          <w:szCs w:val="18"/>
          <w:color w:val="auto"/>
        </w:rPr>
        <w:t xml:space="preserve">”). The construction of the initial improvements to the Premises shall be governed by the terms of the Work Letter and not the terms of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7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xml:space="preserve">. Landlord may impose, as a condition of its consent to any and all Alterations or repairs of the Premises or about the Premises, such requirements as Landlord in its reasonable discretion may deem reasonably necessary to protect the Building Structure and/or Building Systems, including, but not limited to, the requirement that Tenant utilize for such purposes only contractors reasonably approved by Landlord. Upon Landlord’s timely request (as more particularly set forth in </w:t>
      </w:r>
      <w:r>
        <w:rPr>
          <w:rFonts w:ascii="Arial" w:cs="Arial" w:eastAsia="Arial" w:hAnsi="Arial"/>
          <w:sz w:val="16"/>
          <w:szCs w:val="16"/>
          <w:u w:val="single" w:color="auto"/>
          <w:color w:val="auto"/>
        </w:rPr>
        <w:t>Section 8.5, below</w:t>
      </w:r>
      <w:r>
        <w:rPr>
          <w:rFonts w:ascii="Arial" w:cs="Arial" w:eastAsia="Arial" w:hAnsi="Arial"/>
          <w:sz w:val="16"/>
          <w:szCs w:val="16"/>
          <w:color w:val="auto"/>
        </w:rPr>
        <w:t>), Tenant shall, at Tenant’s expense, remove any Alterations upon the expiration or any early termination of the Lease Term and return the affected portion of the Premises to its condition as of the Effective Date. Tenant shall construct such Alterations and perform such repairs in a good and workmanlike manner, in conformance with any and all applicable federal, state, county or municipal laws, rules and regulations and pursuant to a valid building permit, issued by the City of San Diego,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Building</w:t>
      </w:r>
      <w:r>
        <w:rPr>
          <w:rFonts w:ascii="Arial" w:cs="Arial" w:eastAsia="Arial" w:hAnsi="Arial"/>
          <w:sz w:val="16"/>
          <w:szCs w:val="16"/>
          <w:color w:val="auto"/>
        </w:rPr>
        <w:t>” shall include the structural portions of the Building, and the public restrooms, elevators, exit stairwells and the systems and equipment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internal core of the Building on the floor or floors on which the Premises are located.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of San Diego in accordance with Section 3093 of the Civil Code of the State of California or any successor statute, and Tenant shall deliver to the Project construction manager a reproducible copy of the “as built” drawings of the Alterations, to the extent applicable, as well as all permits, approvals and other documents issued by any governmental agency in connection with the Alterations.</w:t>
      </w:r>
    </w:p>
    <w:p>
      <w:pPr>
        <w:spacing w:after="0" w:line="6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Payment for Improvements</w:t>
      </w:r>
      <w:r>
        <w:rPr>
          <w:rFonts w:ascii="Arial" w:cs="Arial" w:eastAsia="Arial" w:hAnsi="Arial"/>
          <w:sz w:val="18"/>
          <w:szCs w:val="18"/>
          <w:color w:val="auto"/>
        </w:rPr>
        <w:t>. If payment is made directly to contractors, Tenant shall (i) comply with Landlord’s requirements for final lien releases and waivers in connection with Tenant’s payment for work to contractors, and (ii) sign Landlord’s standard contractor’s rules and regulations. If Tenant orders any work directly from Landlord, Tenant shall pay to Landlord an amount mutually agreed upon in advance by Landlord and Tenant to compensate Landlord for all overhead, general conditions, fees and other costs and expenses arising from Landlord’s involvement with such work; provided, however, to the extent that Tenant, prior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39" w:name="page440"/>
    <w:bookmarkEnd w:id="4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ordering such working directly from Landlord, requests in writing that Landlord provide Tenant with a pre-review estimate of the costs to be incurred by Landlord in connection with such review, then such costs shall be subject to the reasonable pre-approval of Tenant. If Tenant does not order any work directly from Landlord, Tenant shall, reimburse Landlord for Landlord’s reasonable, actual, out-of-pocket costs and expenses actually incurred in connection with Landlord’s review of such work.</w:t>
      </w:r>
    </w:p>
    <w:p>
      <w:pPr>
        <w:spacing w:after="0" w:line="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Construction Insurance</w:t>
      </w:r>
      <w:r>
        <w:rPr>
          <w:rFonts w:ascii="Arial" w:cs="Arial" w:eastAsia="Arial" w:hAnsi="Arial"/>
          <w:sz w:val="17"/>
          <w:szCs w:val="17"/>
          <w:color w:val="auto"/>
        </w:rPr>
        <w:t xml:space="preserve">. In addition to the requirements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in the event that Tenant makes any Alterations, prior to the commencement of such Alterations, Tenant shall provide Landlord with evidence that Tenant carries “Builder’s All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immediately upon completion thereof. In addition, Landlord may, in its reasonable discretion, require Tenant to obtain a lien and completion bond or some alternate form of security satisfactory to Landlord in an amount sufficient to ensure the lien-free completion of such Alterations and naming Landlord as a co-obligee.</w:t>
      </w:r>
    </w:p>
    <w:p>
      <w:pPr>
        <w:spacing w:after="0" w:line="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Landlord’s Property</w:t>
      </w:r>
      <w:r>
        <w:rPr>
          <w:rFonts w:ascii="Arial" w:cs="Arial" w:eastAsia="Arial" w:hAnsi="Arial"/>
          <w:sz w:val="16"/>
          <w:szCs w:val="16"/>
          <w:color w:val="auto"/>
        </w:rPr>
        <w:t xml:space="preserve">. Landlord and Tenant hereby acknowledge and agree that (i) all Alterations, improvements, fixtures, equipment and/or appurtenances which Tenant may have installed or placed in or about the Premises, from time to time, shall be at the sole cost of Tenant and shall be and become part of the Premises and the property of Landlord, and (ii) the Improvements to be constructed in the Premises pursuant to the TCCs of the Work Letter shall, upon completion of the same, be and become a part of the Premises and the property of Landlord. Furthermore, Landlord may, by written notice to Tenant prior to the end of the Lease Term, or given following any earlier termination of this Lease, require Tenant, at Tenant’s expense, to remove any Alterations (as opposed to the Improvements being constructed pursuant to the Work Letter, which Improvements Tenant shall not be required to remove unless otherwise expressly identified by Landlord at the time of approval in accordance with the terms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of the Work Letter), and to repair any damage to the Premises and Building caused by such removal and return the affected portion of the Premises to the condition existing immediately prior to the performance of the subject Alterations; provided, however, if, in connection with its notice to Landlord with respect to any such Alterations or Cosmetic Alterations, (x) Tenant requests Landlord’s decision with regard to the removal of such Alterations or Cosmetic Alterations, and (y) Landlord thereafter agrees in writing to waive the removal requirement with regard to such Alterations or Cosmetic Alterations, then Tenant shall not be required to so remove such Alterations or Cosmetic Alterations; provided further, however, that if Tenant requests such a determination from Landlord and Landlord, within ten (10) business days following Landlord’s receipt of such request from Tenant with respect to Alterations or Cosmetic Alterations, fails to address the removal requirement with regard to such Alterations or Cosmetic Alterations, Landlord shall be deemed to have agreed to waive the removal requirement with regard to such Alterations or Cosmetic Alterations. If Tenant fails to complete such removal and/or to repair any damage caused by the removal of any Alterations or improvements in the Premises, and returns the affected portion of the Premises to the condition existing immediately prior to the performance of the subject Alterations, then at Landlord’s option Landlord may do so and may charge the cost thereof to Tenant. Except to the extent of Landlord’s negligence or willful misconduct, Tenant hereby protects, defends, indemnifies and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440" w:name="page441"/>
    <w:bookmarkEnd w:id="440"/>
    <w:p>
      <w:pPr>
        <w:jc w:val="both"/>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69"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u w:val="single" w:color="auto"/>
          <w:color w:val="auto"/>
        </w:rPr>
        <w:t>Exceptions to Landlord’s Property</w:t>
      </w:r>
      <w:r>
        <w:rPr>
          <w:rFonts w:ascii="Arial" w:cs="Arial" w:eastAsia="Arial" w:hAnsi="Arial"/>
          <w:sz w:val="17"/>
          <w:szCs w:val="17"/>
          <w:color w:val="auto"/>
        </w:rPr>
        <w:t xml:space="preserve">. Landlord and Tenant hereby acknowledge and agree that Tenant shall maintain ownership of, and be permitted to remove upon the expiration or earlier termination of this Lease (subject to the repair provisions set forth in </w:t>
      </w:r>
      <w:r>
        <w:rPr>
          <w:rFonts w:ascii="Arial" w:cs="Arial" w:eastAsia="Arial" w:hAnsi="Arial"/>
          <w:sz w:val="17"/>
          <w:szCs w:val="17"/>
          <w:u w:val="single" w:color="auto"/>
          <w:color w:val="auto"/>
        </w:rPr>
        <w:t>Section 8.5</w:t>
      </w:r>
      <w:r>
        <w:rPr>
          <w:rFonts w:ascii="Arial" w:cs="Arial" w:eastAsia="Arial" w:hAnsi="Arial"/>
          <w:sz w:val="17"/>
          <w:szCs w:val="17"/>
          <w:color w:val="auto"/>
        </w:rPr>
        <w:t>, above), any equipment installed or placed in, or about, or affixed to the Premises, but only to the extent such equipment was paid for in its entirety by Tenant.</w:t>
      </w:r>
    </w:p>
    <w:p>
      <w:pPr>
        <w:spacing w:after="0" w:line="5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One Pass Air</w:t>
      </w:r>
      <w:r>
        <w:rPr>
          <w:rFonts w:ascii="Arial" w:cs="Arial" w:eastAsia="Arial" w:hAnsi="Arial"/>
          <w:sz w:val="18"/>
          <w:szCs w:val="18"/>
          <w:color w:val="auto"/>
        </w:rPr>
        <w:t>. Landlord acknowledges that during the Lease Term Tenant may desire to install a supplemental HVAC (i.e., “</w:t>
      </w:r>
      <w:r>
        <w:rPr>
          <w:rFonts w:ascii="Arial" w:cs="Arial" w:eastAsia="Arial" w:hAnsi="Arial"/>
          <w:sz w:val="18"/>
          <w:szCs w:val="18"/>
          <w:b w:val="1"/>
          <w:bCs w:val="1"/>
          <w:color w:val="auto"/>
        </w:rPr>
        <w:t>One-Pass Air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 in the tissue culture room, rodent vivarium and/or other specialty lab space in the Premises, which Alterations are, in concept, pre-approved.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the parties acknowledge and agree that in the event that Tenant desires any such One-Pass Air System in the Premises, the plans and specifications related thereto (including, without limitation, related to the size, location, venting, and structural components) shall remain subject to Landlord’s prior written consent, which consent shall not be unreasonably withheld by Landlord, provided it shall be deemed reasonable for Landlord to withhold its consent to any portion of the One-Pass Air System which adversely affects the structural portions or the systems or equipment of the Building or is visible from the exterior of the Building.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 AGAINST LIENS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five (5)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 Notwithstanding anything to the contrary set forth in this Lease, Tenant may enter into certain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3" w:right="279" w:bottom="1440" w:gutter="0" w:footer="0" w:header="0"/>
        </w:sectPr>
      </w:pPr>
    </w:p>
    <w:bookmarkStart w:id="441" w:name="page442"/>
    <w:bookmarkEnd w:id="44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 financing and/or leasing arrangements with an equipment-seller or equipment-lessor to secure necessary furniture and equipment (collectively, the “</w:t>
      </w:r>
      <w:r>
        <w:rPr>
          <w:rFonts w:ascii="Arial" w:cs="Arial" w:eastAsia="Arial" w:hAnsi="Arial"/>
          <w:sz w:val="18"/>
          <w:szCs w:val="18"/>
          <w:b w:val="1"/>
          <w:bCs w:val="1"/>
          <w:color w:val="auto"/>
        </w:rPr>
        <w:t>Tenant’s Equipment</w:t>
      </w:r>
      <w:r>
        <w:rPr>
          <w:rFonts w:ascii="Arial" w:cs="Arial" w:eastAsia="Arial" w:hAnsi="Arial"/>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INSURANCE</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Except to the extent caused by the negligence or willful misconduct of the “Landlord Parties” (as that term is defined below) , Tenant hereby assumes all risk of damage to property or injury to persons in, upon or about the Premises from any cause whatsoever and agrees that Landlord, its partners, subpartners and their respective officers, agents, servants, employees, and independent contractors (collectively,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shall not be liable for, and are hereby released from any responsibility for, any damage either to person or property or resulting from the loss of use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which damage is sustained by Tenant or by other persons claiming through Tenant. Tenant shall indemnify, defend, protect, and hold harmless the Land lord Parties from any and all loss, cost, damage, expense and liability (including without limitation court costs and reasonable attorneys’ fees) incurred in connection with or arising from: (a) any causes in or on the Premises; (b) the use or occupancy of the Premises by Tenant or any person claiming under Tenant; (c) any activity, work, or thing done, or permitted or suffered by Tenant in or about the Premises; (d) any acts, omission, or negligence of Tenant or any person claiming under Tenant, or the contractors, agents, employees, invitees, or visitors of Tenant or any such person; (e)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(f) any injury or damage to the person, property, or business of Tenant, its employees, agents, contractors, invitees, visitors, or any other person entering upon the Premises under the express or implied invitation of Tenant; or (g) the placement of any personal property or other items within the Premises; provided, however, that the terms of the foregoing indemnity shall not apply to the extent of the negligence or willful misconduct of Landlord or the Landlord Parties.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appraisers’, accountants’ and attorneys’ fees. Subject to Tenant’s indemnity and the waiver of subrogation provided below, Landlord shall indemnify, defend, protect, and hold harmless Tenant, its partners, and their respective officers, agents, servants, employees, and independent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from any and all loss, cost, damage, expense, and liability (including, without limitation, court costs and reasonable attorneys’ fees) arising from the negligence or willful misconduct of Landlord or the Landlord Parties in, on or about the Project either prior to or during the Lease Term, and/or as a result of Landlord’s breach of this Lease, except to the extent caused by the negligence or willful misconduct of Tenant or the Tenant Parties. Further, Tenant’s agreement to indemnify Landlord pursuant to this</w:t>
      </w:r>
    </w:p>
    <w:p>
      <w:pPr>
        <w:ind w:right="200"/>
        <w:spacing w:after="0" w:line="254" w:lineRule="auto"/>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The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survive the expiration or sooner termination of this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3" w:right="239" w:bottom="1440" w:gutter="0" w:footer="0" w:header="0"/>
        </w:sectPr>
      </w:pPr>
    </w:p>
    <w:bookmarkStart w:id="442" w:name="page443"/>
    <w:bookmarkEnd w:id="44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 with respect to any claims or liability arising in connection with any event occurring prior to such expiration or termination.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in accordance with the TCCS of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of this Lease.</w:t>
      </w:r>
    </w:p>
    <w:p>
      <w:pPr>
        <w:spacing w:after="0" w:line="5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Tenant’s Compliance With Landlord’s Fire and Casualty Insurance</w:t>
      </w:r>
      <w:r>
        <w:rPr>
          <w:rFonts w:ascii="Arial" w:cs="Arial" w:eastAsia="Arial" w:hAnsi="Arial"/>
          <w:sz w:val="18"/>
          <w:szCs w:val="18"/>
          <w:color w:val="auto"/>
        </w:rPr>
        <w:t>. Tenant shall, at Tenant’s expense, comply with Landlord’s insurance company requirements of which Tenant has received notice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76"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xml:space="preserve">. Throughout the Lease Term, Tenant shall maintain the following coverages in the following amounts. The required evidence of coverage must be delivered to Landlord on or before the date required under </w:t>
      </w:r>
      <w:r>
        <w:rPr>
          <w:rFonts w:ascii="Arial" w:cs="Arial" w:eastAsia="Arial" w:hAnsi="Arial"/>
          <w:sz w:val="17"/>
          <w:szCs w:val="17"/>
          <w:u w:val="single" w:color="auto"/>
          <w:color w:val="auto"/>
        </w:rPr>
        <w:t>Section 10.4(I) sub-sections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10.4(II)</w:t>
      </w:r>
      <w:r>
        <w:rPr>
          <w:rFonts w:ascii="Arial" w:cs="Arial" w:eastAsia="Arial" w:hAnsi="Arial"/>
          <w:sz w:val="17"/>
          <w:szCs w:val="17"/>
          <w:color w:val="auto"/>
        </w:rPr>
        <w:t xml:space="preserve"> below (as applicable). Such policies shall be for a term of at least one (1) year, or the length of the remaining term of this Lease, whichever is less.</w:t>
      </w:r>
    </w:p>
    <w:p>
      <w:pPr>
        <w:spacing w:after="0" w:line="5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Premises and all areas appurtenant thereto. Such insurance shall be written on an “occurrence” basis. Landlord and any other party the Landlord so specifies that has a material financial interest in the Project, including Landlord’s managing agent, ground lessor and/or lender, if any, shall be named as additional insureds as their interests may appear using Insurance Service Organization’s form CG2011 or a comparable form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liabilities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such limits may be achieved through the use of an Umbrella/Excess Policy:</w:t>
      </w:r>
    </w:p>
    <w:p>
      <w:pPr>
        <w:spacing w:after="0" w:line="22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w:t>
            </w:r>
          </w:p>
        </w:tc>
        <w:tc>
          <w:tcPr>
            <w:tcW w:w="4720" w:type="dxa"/>
            <w:vAlign w:val="bottom"/>
            <w:shd w:val="clear" w:color="auto" w:fill="CCEEFF"/>
          </w:tcPr>
          <w:p>
            <w:pPr>
              <w:ind w:left="2580"/>
              <w:spacing w:after="0"/>
              <w:rPr>
                <w:sz w:val="20"/>
                <w:szCs w:val="20"/>
                <w:color w:val="auto"/>
              </w:rPr>
            </w:pPr>
            <w:r>
              <w:rPr>
                <w:rFonts w:ascii="Arial" w:cs="Arial" w:eastAsia="Arial" w:hAnsi="Arial"/>
                <w:sz w:val="18"/>
                <w:szCs w:val="18"/>
                <w:color w:val="auto"/>
                <w:w w:val="92"/>
              </w:rPr>
              <w:t>$5,000,000 each occurrence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Property Damage Liability</w:t>
            </w:r>
          </w:p>
        </w:tc>
        <w:tc>
          <w:tcPr>
            <w:tcW w:w="47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Personal Injury and Advertising</w:t>
            </w:r>
          </w:p>
        </w:tc>
        <w:tc>
          <w:tcPr>
            <w:tcW w:w="4720" w:type="dxa"/>
            <w:vAlign w:val="bottom"/>
            <w:shd w:val="clear" w:color="auto" w:fill="CCEEFF"/>
          </w:tcPr>
          <w:p>
            <w:pPr>
              <w:ind w:left="2580"/>
              <w:spacing w:after="0"/>
              <w:rPr>
                <w:sz w:val="20"/>
                <w:szCs w:val="20"/>
                <w:color w:val="auto"/>
              </w:rPr>
            </w:pPr>
            <w:r>
              <w:rPr>
                <w:rFonts w:ascii="Arial" w:cs="Arial" w:eastAsia="Arial" w:hAnsi="Arial"/>
                <w:sz w:val="18"/>
                <w:szCs w:val="18"/>
                <w:color w:val="auto"/>
                <w:w w:val="92"/>
              </w:rPr>
              <w:t>$5,000,000 each occurrence</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Liability</w:t>
            </w:r>
          </w:p>
        </w:tc>
        <w:tc>
          <w:tcPr>
            <w:tcW w:w="4720" w:type="dxa"/>
            <w:vAlign w:val="bottom"/>
          </w:tcPr>
          <w:p>
            <w:pPr>
              <w:spacing w:after="0"/>
              <w:rPr>
                <w:sz w:val="20"/>
                <w:szCs w:val="20"/>
                <w:color w:val="auto"/>
              </w:rPr>
            </w:pPr>
          </w:p>
        </w:tc>
      </w:tr>
      <w:tr>
        <w:trPr>
          <w:trHeight w:val="350"/>
        </w:trPr>
        <w:tc>
          <w:tcPr>
            <w:tcW w:w="3040" w:type="dxa"/>
            <w:vAlign w:val="bottom"/>
          </w:tcPr>
          <w:p>
            <w:pPr>
              <w:spacing w:after="0"/>
              <w:rPr>
                <w:sz w:val="24"/>
                <w:szCs w:val="24"/>
                <w:color w:val="auto"/>
              </w:rPr>
            </w:pPr>
          </w:p>
        </w:tc>
        <w:tc>
          <w:tcPr>
            <w:tcW w:w="4720" w:type="dxa"/>
            <w:vAlign w:val="bottom"/>
          </w:tcPr>
          <w:p>
            <w:pPr>
              <w:jc w:val="right"/>
              <w:ind w:right="371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74" w:right="239" w:bottom="1440" w:gutter="0" w:footer="0" w:header="0"/>
        </w:sectPr>
      </w:pPr>
    </w:p>
    <w:bookmarkStart w:id="443" w:name="page444"/>
    <w:bookmarkEnd w:id="4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Tenant Legal Liability/Damage to</w:t>
            </w:r>
          </w:p>
        </w:tc>
        <w:tc>
          <w:tcPr>
            <w:tcW w:w="3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Rented Premises Liability</w:t>
            </w:r>
          </w:p>
        </w:tc>
        <w:tc>
          <w:tcPr>
            <w:tcW w:w="3240" w:type="dxa"/>
            <w:vAlign w:val="bottom"/>
          </w:tcPr>
          <w:p>
            <w:pPr>
              <w:spacing w:after="0"/>
              <w:rPr>
                <w:sz w:val="20"/>
                <w:szCs w:val="20"/>
                <w:color w:val="auto"/>
              </w:rPr>
            </w:pPr>
          </w:p>
        </w:tc>
      </w:tr>
    </w:tbl>
    <w:p>
      <w:pPr>
        <w:spacing w:after="0" w:line="18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10.3.2 Property Insurance covering (i) all office furniture, personal property, business and trade fixtures, office equipment, free-standing cabinet work, movable partitions, merchandise and all other items of Tenant’s business personal property on the Premises installed by, for, or at the expense of Tenant, (ii) the “Improvements,”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Work Letter, and (iii) all Alterations performed in the Premises.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CP 10 30 04 02 Coverage Special Form, (b) water damage from any cause whatsoever, including, but not limited to, backup or overflow from sprinkler leakage, bursting, leaking or stoppage of any pipes, explosion, and backup of sewers and drainage, and (c) terrorism (to the extent such terrorism insurance is available as a result of the Terrorism Risk Insurance Act of 2002 (Pub. L. l 07-297, 116 Stat. 2322), the Terrorism Risk Insurance Program Reauthorization Act of 2005 (Pub. l. 109-144), and the Terrorism Risk Insurance Program Reauthorization Act of 2007 (Pub. L. 110-160, 121 Stat. 183), any successor statute or regulation, or is otherwise available at commercially reasonable rates).</w:t>
      </w:r>
    </w:p>
    <w:p>
      <w:pPr>
        <w:spacing w:after="0" w:line="57" w:lineRule="exact"/>
        <w:rPr>
          <w:sz w:val="20"/>
          <w:szCs w:val="20"/>
          <w:color w:val="auto"/>
        </w:rPr>
      </w:pPr>
    </w:p>
    <w:p>
      <w:pPr>
        <w:ind w:right="340" w:firstLine="1484"/>
        <w:spacing w:after="0" w:line="314" w:lineRule="auto"/>
        <w:rPr>
          <w:sz w:val="20"/>
          <w:szCs w:val="20"/>
          <w:color w:val="auto"/>
        </w:rPr>
      </w:pPr>
      <w:r>
        <w:rPr>
          <w:rFonts w:ascii="Arial" w:cs="Arial" w:eastAsia="Arial" w:hAnsi="Arial"/>
          <w:sz w:val="16"/>
          <w:szCs w:val="16"/>
          <w:color w:val="auto"/>
        </w:rPr>
        <w:t xml:space="preserve">10.3.2.1 </w:t>
      </w:r>
      <w:r>
        <w:rPr>
          <w:rFonts w:ascii="Arial" w:cs="Arial" w:eastAsia="Arial" w:hAnsi="Arial"/>
          <w:sz w:val="16"/>
          <w:szCs w:val="16"/>
          <w:b w:val="1"/>
          <w:bCs w:val="1"/>
          <w:u w:val="single" w:color="auto"/>
          <w:color w:val="auto"/>
        </w:rPr>
        <w:t>Adjacent Premises</w:t>
      </w:r>
      <w:r>
        <w:rPr>
          <w:rFonts w:ascii="Arial" w:cs="Arial" w:eastAsia="Arial" w:hAnsi="Arial"/>
          <w:sz w:val="16"/>
          <w:szCs w:val="16"/>
          <w:color w:val="auto"/>
        </w:rPr>
        <w:t>. Tenant shall pay for any increase in the premiums for the property insurance of the Project to the extent said increase is caused by Tenant’s acts, omissions, use or occupancy of the Premises for other than the Permitted Use (but which for purposes of this provision shall not apply to the extent resulting directly from the particular nature of Tenant’s tissue culture room and rodent vivarium uses).</w:t>
      </w:r>
    </w:p>
    <w:p>
      <w:pPr>
        <w:spacing w:after="0" w:line="34" w:lineRule="exact"/>
        <w:rPr>
          <w:sz w:val="20"/>
          <w:szCs w:val="20"/>
          <w:color w:val="auto"/>
        </w:rPr>
      </w:pPr>
    </w:p>
    <w:p>
      <w:pPr>
        <w:ind w:right="540" w:firstLine="1484"/>
        <w:spacing w:after="0" w:line="282" w:lineRule="auto"/>
        <w:rPr>
          <w:sz w:val="20"/>
          <w:szCs w:val="20"/>
          <w:color w:val="auto"/>
        </w:rPr>
      </w:pPr>
      <w:r>
        <w:rPr>
          <w:rFonts w:ascii="Arial" w:cs="Arial" w:eastAsia="Arial" w:hAnsi="Arial"/>
          <w:sz w:val="18"/>
          <w:szCs w:val="18"/>
          <w:color w:val="auto"/>
        </w:rPr>
        <w:t xml:space="preserve">10.3.2.2 </w:t>
      </w:r>
      <w:r>
        <w:rPr>
          <w:rFonts w:ascii="Arial" w:cs="Arial" w:eastAsia="Arial" w:hAnsi="Arial"/>
          <w:sz w:val="18"/>
          <w:szCs w:val="18"/>
          <w:b w:val="1"/>
          <w:bCs w:val="1"/>
          <w:u w:val="single" w:color="auto"/>
          <w:color w:val="auto"/>
        </w:rPr>
        <w:t>Property Damage</w:t>
      </w:r>
      <w:r>
        <w:rPr>
          <w:rFonts w:ascii="Arial" w:cs="Arial" w:eastAsia="Arial" w:hAnsi="Arial"/>
          <w:sz w:val="18"/>
          <w:szCs w:val="18"/>
          <w:color w:val="auto"/>
        </w:rPr>
        <w:t>. Tenant shall use the proceeds from any such insurance for the replacement of personal property, trade fixtures and Alterations.</w:t>
      </w:r>
    </w:p>
    <w:p>
      <w:pPr>
        <w:spacing w:after="0" w:line="54" w:lineRule="exact"/>
        <w:rPr>
          <w:sz w:val="20"/>
          <w:szCs w:val="20"/>
          <w:color w:val="auto"/>
        </w:rPr>
      </w:pPr>
    </w:p>
    <w:p>
      <w:pPr>
        <w:ind w:right="120" w:firstLine="1484"/>
        <w:spacing w:after="0" w:line="282" w:lineRule="auto"/>
        <w:rPr>
          <w:sz w:val="20"/>
          <w:szCs w:val="20"/>
          <w:color w:val="auto"/>
        </w:rPr>
      </w:pPr>
      <w:r>
        <w:rPr>
          <w:rFonts w:ascii="Arial" w:cs="Arial" w:eastAsia="Arial" w:hAnsi="Arial"/>
          <w:sz w:val="18"/>
          <w:szCs w:val="18"/>
          <w:color w:val="auto"/>
        </w:rPr>
        <w:t xml:space="preserve">10.3.2.3 </w:t>
      </w:r>
      <w:r>
        <w:rPr>
          <w:rFonts w:ascii="Arial" w:cs="Arial" w:eastAsia="Arial" w:hAnsi="Arial"/>
          <w:sz w:val="18"/>
          <w:szCs w:val="18"/>
          <w:b w:val="1"/>
          <w:bCs w:val="1"/>
          <w:u w:val="single" w:color="auto"/>
          <w:color w:val="auto"/>
        </w:rPr>
        <w:t>No representation of Adequate Coverage</w:t>
      </w:r>
      <w:r>
        <w:rPr>
          <w:rFonts w:ascii="Arial" w:cs="Arial" w:eastAsia="Arial" w:hAnsi="Arial"/>
          <w:sz w:val="18"/>
          <w:szCs w:val="18"/>
          <w:color w:val="auto"/>
        </w:rPr>
        <w:t>. Landlord makes no representation that the limits or forms of coverage of insurance specified herein are adequate to cover Tenant’s property, business operations or obligations under this Lease.</w:t>
      </w:r>
    </w:p>
    <w:p>
      <w:pPr>
        <w:spacing w:after="0" w:line="54"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10.3.3 </w:t>
      </w:r>
      <w:r>
        <w:rPr>
          <w:rFonts w:ascii="Arial" w:cs="Arial" w:eastAsia="Arial" w:hAnsi="Arial"/>
          <w:sz w:val="17"/>
          <w:szCs w:val="17"/>
          <w:b w:val="1"/>
          <w:bCs w:val="1"/>
          <w:u w:val="single" w:color="auto"/>
          <w:color w:val="auto"/>
        </w:rPr>
        <w:t>Property Insurance Subrogation</w:t>
      </w:r>
      <w:r>
        <w:rPr>
          <w:rFonts w:ascii="Arial" w:cs="Arial" w:eastAsia="Arial" w:hAnsi="Arial"/>
          <w:sz w:val="17"/>
          <w:szCs w:val="17"/>
          <w:color w:val="auto"/>
        </w:rPr>
        <w:t xml:space="preserve">. Landlord and Tenant intend that their respective property loss risks shall be borne by insurance carriers to the extent above provided (and, in the case of Tenant, by an insurance carrier satisfying the requirements of </w:t>
      </w:r>
      <w:r>
        <w:rPr>
          <w:rFonts w:ascii="Arial" w:cs="Arial" w:eastAsia="Arial" w:hAnsi="Arial"/>
          <w:sz w:val="17"/>
          <w:szCs w:val="17"/>
          <w:u w:val="single" w:color="auto"/>
          <w:color w:val="auto"/>
        </w:rPr>
        <w:t>Section 10.4(i)</w:t>
      </w:r>
      <w:r>
        <w:rPr>
          <w:rFonts w:ascii="Arial" w:cs="Arial" w:eastAsia="Arial" w:hAnsi="Arial"/>
          <w:sz w:val="17"/>
          <w:szCs w:val="17"/>
          <w:color w:val="auto"/>
        </w:rPr>
        <w:t xml:space="preserve"> below),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hereby represent and warrant that their respective “all risk” property insurance policies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other occupants of the Premises claiming by, under, or through Tenant to execute and deliver to Landlord a waiver of claims similar to the waiver in this </w:t>
      </w:r>
      <w:r>
        <w:rPr>
          <w:rFonts w:ascii="Arial" w:cs="Arial" w:eastAsia="Arial" w:hAnsi="Arial"/>
          <w:sz w:val="17"/>
          <w:szCs w:val="17"/>
          <w:u w:val="single" w:color="auto"/>
          <w:color w:val="auto"/>
        </w:rPr>
        <w:t>Section 10.3.3</w:t>
      </w:r>
      <w:r>
        <w:rPr>
          <w:rFonts w:ascii="Arial" w:cs="Arial" w:eastAsia="Arial" w:hAnsi="Arial"/>
          <w:sz w:val="17"/>
          <w:szCs w:val="17"/>
          <w:color w:val="auto"/>
        </w:rPr>
        <w:t xml:space="preserve"> and to obtain such waiver of subrogation rights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8" w:right="239" w:bottom="1440" w:gutter="0" w:footer="0" w:header="0"/>
        </w:sectPr>
      </w:pPr>
    </w:p>
    <w:bookmarkStart w:id="444" w:name="page445"/>
    <w:bookmarkEnd w:id="444"/>
    <w:p>
      <w:pPr>
        <w:ind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endorsements. If either party hereto fails to maintain the waivers set forth in items (i) and (ii) above, the party not maintaining the requisite waivers shall indemnify, defend, protect, and hold harmless the other party for, from and against any and all claims, losses, costs, damages, expenses and liabilities (including, without limitation, court costs and reasonable attorneys’ fees) arising out of, resulting from, or relating to, such failure.</w:t>
      </w:r>
    </w:p>
    <w:p>
      <w:pPr>
        <w:spacing w:after="0" w:line="5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10.3.4 Business Income Interruption for one year (1) plus Extra Expense insurance in such amounts as will reimburse Tenant for actual direct or indirect loss of earnings attributable to the risks outlined in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above.</w:t>
      </w:r>
    </w:p>
    <w:p>
      <w:pPr>
        <w:spacing w:after="0" w:line="62"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10.3.5 Worker’s Compensation or other similar insurance pursuant to all applicable state and local statutes and regulations, and Employer’s Liability with minimum limits of not less than $1,000,000 each accident/employee/disease.</w:t>
      </w:r>
    </w:p>
    <w:p>
      <w:pPr>
        <w:spacing w:after="0" w:line="62"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10.3.6 Commercial Automobile Liability Insurance covering all Owned (if any), Hired, or Non-owned vehicles with limits not less than $1,000,000 combined single limit for bodily injury and property damage.</w:t>
      </w:r>
    </w:p>
    <w:p>
      <w:pPr>
        <w:spacing w:after="0" w:line="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xml:space="preserve">. The minimum limits of policies of insurance required of Tenant under this Lease shall in no event limit the liability of Tenant under this Lease. Such insurance shall (i) be issued by an insurance company having an AM Best rating of not less than A-X, or which is otherwise acceptable to Landlord and licensed to do business in the State of California, (ii) be in form and content reasonably acceptable to Landlord and complying with the requirements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Sections 10.3.1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10.3.6</w:t>
      </w:r>
      <w:r>
        <w:rPr>
          <w:rFonts w:ascii="Arial" w:cs="Arial" w:eastAsia="Arial" w:hAnsi="Arial"/>
          <w:sz w:val="16"/>
          <w:szCs w:val="16"/>
          <w:color w:val="auto"/>
        </w:rPr>
        <w:t xml:space="preserve">), (iii) Tenant shall not do or permit to be done anything which invalidates the required insurance policies, and (iv) provide that said insurance shall not be canceled or coverage changed unless thirty (30) days’ prior written notice shall have been given to Landlord and any mortgagee of Landlord, the identity of whom has been provided to Tenant in writing. Tenant shall deliver said policy or policies or certificates thereof and applicable endorsements which meet the requirements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five (5) business days after the renewal of such policies. In the event Tenant shall fail to procure such insurance, or to deliver such policies or certificates and applicable endorsements, Landlord may, at its option, after written notice to Tenant and Tenant’s failure to obtain such insurance within five (5) days thereafter, procure such policies for the account of Tenant and the sole benefit of Landlord, and the cost thereof shall be paid to Landlord after delivery to Tenant of bills therefor.</w:t>
      </w:r>
    </w:p>
    <w:p>
      <w:pPr>
        <w:spacing w:after="0" w:line="61"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Additional Insurance Obligations</w:t>
      </w:r>
      <w:r>
        <w:rPr>
          <w:rFonts w:ascii="Arial" w:cs="Arial" w:eastAsia="Arial" w:hAnsi="Arial"/>
          <w:sz w:val="18"/>
          <w:szCs w:val="18"/>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such other reasonable types of insurance coverage and in such reasonable amounts covering the Premises and Tenant’s operations therein, as may be reasonably requested by Landlord; provided, however, that no such increase shall be requested or required by Landlord during the initial Lease Term.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45" w:name="page446"/>
    <w:bookmarkEnd w:id="445"/>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b w:val="1"/>
          <w:bCs w:val="1"/>
          <w:u w:val="single" w:color="auto"/>
          <w:color w:val="auto"/>
        </w:rPr>
        <w:t>Third-Party Contractors</w:t>
      </w:r>
      <w:r>
        <w:rPr>
          <w:rFonts w:ascii="Arial" w:cs="Arial" w:eastAsia="Arial" w:hAnsi="Arial"/>
          <w:sz w:val="18"/>
          <w:szCs w:val="18"/>
          <w:color w:val="auto"/>
        </w:rPr>
        <w:t>. Tenant shall obtain and deliver to Landlord, Third Party Contractor’s certificates of insurance and applicable endorsements at least seven (7) business days prior to the commencement of work in or about the Premises by any vendor or any other third-party contractor (collectively, a “</w:t>
      </w:r>
      <w:r>
        <w:rPr>
          <w:rFonts w:ascii="Arial" w:cs="Arial" w:eastAsia="Arial" w:hAnsi="Arial"/>
          <w:sz w:val="18"/>
          <w:szCs w:val="18"/>
          <w:b w:val="1"/>
          <w:bCs w:val="1"/>
          <w:color w:val="auto"/>
        </w:rPr>
        <w:t>Third Party Contractor</w:t>
      </w:r>
      <w:r>
        <w:rPr>
          <w:rFonts w:ascii="Arial" w:cs="Arial" w:eastAsia="Arial" w:hAnsi="Arial"/>
          <w:sz w:val="18"/>
          <w:szCs w:val="18"/>
          <w:color w:val="auto"/>
        </w:rPr>
        <w:t xml:space="preserve">”). All such insurance shall (a) name Landlord as an additional insured under such party’s liability policies as required by </w:t>
      </w:r>
      <w:r>
        <w:rPr>
          <w:rFonts w:ascii="Arial" w:cs="Arial" w:eastAsia="Arial" w:hAnsi="Arial"/>
          <w:sz w:val="18"/>
          <w:szCs w:val="18"/>
          <w:u w:val="single" w:color="auto"/>
          <w:color w:val="auto"/>
        </w:rPr>
        <w:t>Section 10.3.1</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10.6</w:t>
      </w:r>
      <w:r>
        <w:rPr>
          <w:rFonts w:ascii="Arial" w:cs="Arial" w:eastAsia="Arial" w:hAnsi="Arial"/>
          <w:sz w:val="18"/>
          <w:szCs w:val="18"/>
          <w:color w:val="auto"/>
        </w:rPr>
        <w:t>, (b) provide a waiver of subrogation in favor of Landlord under such Third Party Contractor’s commercial general liability insurance, (c) be primary and any insurance carried by Landlord shall be excess and non-contributing, and (d) comply with Landlord’s minimum insurance requirements.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Landlord’s Fire, Casualty, and Liability Insurance</w:t>
      </w:r>
      <w:r>
        <w:rPr>
          <w:rFonts w:ascii="Arial" w:cs="Arial" w:eastAsia="Arial" w:hAnsi="Arial"/>
          <w:sz w:val="18"/>
          <w:szCs w:val="18"/>
          <w:color w:val="auto"/>
        </w:rPr>
        <w:t>.</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10.7.1 Landlord shall maintain Commercial General Liability Insurance with at least Five Million Dollars ($5,000,000) in coverage, with respect to the Building during the Lease Term covering claims for bodily injury, personal injury, and property damage in the Project Common Areas and with respect to Landlord’s activities in the Premises.</w:t>
      </w:r>
    </w:p>
    <w:p>
      <w:pPr>
        <w:spacing w:after="0" w:line="7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10.7.2 Landlord shall insure the Building and Landlord’s remaining interest in the Improvements and Alterations with a policy of Physical Damage Insurance including building ordinance coverage, written on a standard Causes of Loss—Special Form basis (against loss or damage due to fire and other casualties covered within the classification of fire and extended coverage, vandalism, and malicious mischief, sprinkler leakage, water damage and special extended coverage), covering the full replacement cost of the Base Building, Premises and other improvements (including coverages for enforcement of Applicable Laws requiring the upgrading, demolition, reconstruction and/or replacement of any portion of the Building as a result of a covered loss) without a deduction for depreciation.</w:t>
      </w:r>
    </w:p>
    <w:p>
      <w:pPr>
        <w:spacing w:after="0" w:line="85"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10.7.3 Landlord shall maintain Boiler and Machinery/Equipment Breakdown Insurance covering the Building against risks commonly insured against by a Boiler and Machinery/Equipment Breakdown policy and such policy shall cover the full replacement costs, without deduction for depreciation.</w:t>
      </w:r>
    </w:p>
    <w:p>
      <w:pPr>
        <w:spacing w:after="0" w:line="16"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10.7.4 The foregoing coverages shall contain commercially reasonable deductible amounts from such companies, and on such other terms and conditions, as Landlord may from time to time reasonably determine.</w:t>
      </w:r>
    </w:p>
    <w:p>
      <w:pPr>
        <w:spacing w:after="0" w:line="6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10.7.5 Additionally, at the option of Landlord, such insurance coverage may include the risk of (i) earthquake, (ii) flood damage and additional hazards, or (iii) a rental loss endorsement for a period of up to two (2) years.</w:t>
      </w:r>
    </w:p>
    <w:p>
      <w:pPr>
        <w:spacing w:after="0" w:line="62"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 xml:space="preserve">10.7.6 Notwithstanding the foregoing provisions of </w:t>
      </w:r>
      <w:r>
        <w:rPr>
          <w:rFonts w:ascii="Arial" w:cs="Arial" w:eastAsia="Arial" w:hAnsi="Arial"/>
          <w:sz w:val="16"/>
          <w:szCs w:val="16"/>
          <w:u w:val="single" w:color="auto"/>
          <w:color w:val="auto"/>
        </w:rPr>
        <w:t>this Section 10.7</w:t>
      </w:r>
      <w:r>
        <w:rPr>
          <w:rFonts w:ascii="Arial" w:cs="Arial" w:eastAsia="Arial" w:hAnsi="Arial"/>
          <w:sz w:val="16"/>
          <w:szCs w:val="16"/>
          <w:color w:val="auto"/>
        </w:rPr>
        <w:t>, the coverage and amounts of insurance carried by Landlord in connection with the Building shall, at a minimum, be comparable to the coverage and amounts of insurance which are carried by reasonably prudent landlords of Comparable Buildings. In addition, Landlord shall carry Worker’s Compensation and Employer’s Liability coverage as required by applicable law.</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69" w:right="299"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DAMAGE AND DESTRUCTION</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Repair of Damage to Premises by Landlord</w:t>
      </w:r>
      <w:r>
        <w:rPr>
          <w:rFonts w:ascii="Arial" w:cs="Arial" w:eastAsia="Arial" w:hAnsi="Arial"/>
          <w:sz w:val="16"/>
          <w:szCs w:val="16"/>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from Landlord, Tenant shall assign to Landlord (or to any party designated by Landlord) all insurance proceeds payable to Tenant under Tenant’s insurance required under </w:t>
      </w:r>
      <w:r>
        <w:rPr>
          <w:rFonts w:ascii="Arial" w:cs="Arial" w:eastAsia="Arial" w:hAnsi="Arial"/>
          <w:sz w:val="16"/>
          <w:szCs w:val="16"/>
          <w:u w:val="single" w:color="auto"/>
          <w:color w:val="auto"/>
        </w:rPr>
        <w:t>Section 10.3.2(ii) and (iii)</w:t>
      </w:r>
      <w:r>
        <w:rPr>
          <w:rFonts w:ascii="Arial" w:cs="Arial" w:eastAsia="Arial" w:hAnsi="Arial"/>
          <w:sz w:val="16"/>
          <w:szCs w:val="16"/>
          <w:color w:val="auto"/>
        </w:rPr>
        <w:t xml:space="preserve"> of this Lease, and Landlord shall repair any injury or damage to the Improvements installed in the Premises and shall return such Improvements to their original condition; provided that if the cost of such repair by Landlord exceeds the amount of insurance proceeds received by Landlord from both Landlord’s insurance carrier and Tenant’s insurance carrier, as assigned by Tenant, the excess cost of such repairs shall be paid by Tenant to Landlord prior to Landlord’s commencement of repair of the damage. In the event that Landlord does not deliver the Landlord Repair Notice within sixty (60) days following the date the casualty becomes known to Landlord, then Tenant shall not assign its insurance proceeds as set forth hereinabove, and Tenant shall, at its sole cost and expense, repair any injury or damage to the Improvements installed in the Premises and shall return such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Tenant should have completed repairs to the Premises assuming Tenant used reasonable due diligence in connection therewith.</w:t>
      </w:r>
    </w:p>
    <w:p>
      <w:pPr>
        <w:spacing w:after="0" w:line="28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Landlord’s Option to Repair</w:t>
      </w:r>
      <w:r>
        <w:rPr>
          <w:rFonts w:ascii="Arial" w:cs="Arial" w:eastAsia="Arial" w:hAnsi="Arial"/>
          <w:sz w:val="17"/>
          <w:szCs w:val="17"/>
          <w:color w:val="auto"/>
        </w:rPr>
        <w:t xml:space="preserve">. Notwithstanding the terms of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Lease, Landlord may elect not to rebuild and/or restore the Premises, Building and/or Project, and instead terminate this Lease, by notifying Tenant in writing of such termination within sixty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447" w:name="page448"/>
    <w:bookmarkEnd w:id="447"/>
    <w:p>
      <w:pPr>
        <w:ind w:right="60" w:firstLine="8"/>
        <w:spacing w:after="0" w:line="288" w:lineRule="auto"/>
        <w:tabs>
          <w:tab w:leader="none" w:pos="345" w:val="left"/>
        </w:tabs>
        <w:numPr>
          <w:ilvl w:val="0"/>
          <w:numId w:val="4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one hundred eighty</w:t>
      </w:r>
    </w:p>
    <w:p>
      <w:pPr>
        <w:ind w:right="20" w:firstLine="8"/>
        <w:spacing w:after="0" w:line="281" w:lineRule="auto"/>
        <w:tabs>
          <w:tab w:leader="none" w:pos="43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 (180) 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Furthermore, if neither Landlord nor Tenant has terminated this Lease, and the repairs are not actually completed within such 180-day period, Tenant shall have the right to terminate this Lease during the first five (5) business days of each calendar month following the end of such period until such time as the repairs are complete, by notice to Landlord (the “</w:t>
      </w:r>
      <w:r>
        <w:rPr>
          <w:rFonts w:ascii="Arial" w:cs="Arial" w:eastAsia="Arial" w:hAnsi="Arial"/>
          <w:sz w:val="16"/>
          <w:szCs w:val="16"/>
          <w:b w:val="1"/>
          <w:bCs w:val="1"/>
          <w:color w:val="auto"/>
        </w:rPr>
        <w:t>Damage Termination Notice</w:t>
      </w:r>
      <w:r>
        <w:rPr>
          <w:rFonts w:ascii="Arial" w:cs="Arial" w:eastAsia="Arial" w:hAnsi="Arial"/>
          <w:sz w:val="16"/>
          <w:szCs w:val="16"/>
          <w:color w:val="auto"/>
        </w:rPr>
        <w:t>”), effective as of a date set forth in the Damage Termination Notice (the “</w:t>
      </w:r>
      <w:r>
        <w:rPr>
          <w:rFonts w:ascii="Arial" w:cs="Arial" w:eastAsia="Arial" w:hAnsi="Arial"/>
          <w:sz w:val="16"/>
          <w:szCs w:val="16"/>
          <w:b w:val="1"/>
          <w:bCs w:val="1"/>
          <w:color w:val="auto"/>
        </w:rPr>
        <w:t>Damage Termination Date</w:t>
      </w:r>
      <w:r>
        <w:rPr>
          <w:rFonts w:ascii="Arial" w:cs="Arial" w:eastAsia="Arial" w:hAnsi="Arial"/>
          <w:sz w:val="16"/>
          <w:szCs w:val="16"/>
          <w:color w:val="auto"/>
        </w:rPr>
        <w:t>”), which Damage Termination Date shall not be less than ten</w:t>
      </w:r>
    </w:p>
    <w:p>
      <w:pPr>
        <w:spacing w:after="0" w:line="8" w:lineRule="exact"/>
        <w:rPr>
          <w:rFonts w:ascii="Arial" w:cs="Arial" w:eastAsia="Arial" w:hAnsi="Arial"/>
          <w:sz w:val="16"/>
          <w:szCs w:val="16"/>
          <w:color w:val="auto"/>
        </w:rPr>
      </w:pPr>
    </w:p>
    <w:p>
      <w:pPr>
        <w:ind w:right="20" w:firstLine="8"/>
        <w:spacing w:after="0" w:line="281" w:lineRule="auto"/>
        <w:tabs>
          <w:tab w:leader="none" w:pos="345" w:val="left"/>
        </w:tabs>
        <w:numPr>
          <w:ilvl w:val="0"/>
          <w:numId w:val="408"/>
        </w:numPr>
        <w:rPr>
          <w:rFonts w:ascii="Arial" w:cs="Arial" w:eastAsia="Arial" w:hAnsi="Arial"/>
          <w:sz w:val="16"/>
          <w:szCs w:val="16"/>
          <w:color w:val="auto"/>
        </w:rPr>
      </w:pPr>
      <w:r>
        <w:rPr>
          <w:rFonts w:ascii="Arial" w:cs="Arial" w:eastAsia="Arial" w:hAnsi="Arial"/>
          <w:sz w:val="16"/>
          <w:szCs w:val="16"/>
          <w:color w:val="auto"/>
        </w:rPr>
        <w:t>business days following the end of each such month.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of Landlord’s contractor responsible for the repair of the damage certifying that it is such contractor’s good faith judgment that the repairs shall be substantially completed within thirty (30) days after the Damage Termination Date. If repairs shall be substantially completed prior to the expiration of such thirty-day period, then the Damage Termination Notice shall be of no force or effect, but if the repairs shall not be substantially completed within such thirty- day period, then this Lease shall terminate upon the expiration of such thirty-day period. At any time, from time to time, after the date occurring sixty</w:t>
      </w:r>
    </w:p>
    <w:p>
      <w:pPr>
        <w:spacing w:after="0" w:line="4" w:lineRule="exact"/>
        <w:rPr>
          <w:rFonts w:ascii="Arial" w:cs="Arial" w:eastAsia="Arial" w:hAnsi="Arial"/>
          <w:sz w:val="16"/>
          <w:szCs w:val="16"/>
          <w:color w:val="auto"/>
        </w:rPr>
      </w:pPr>
    </w:p>
    <w:p>
      <w:pPr>
        <w:ind w:firstLine="8"/>
        <w:spacing w:after="0" w:line="271" w:lineRule="auto"/>
        <w:tabs>
          <w:tab w:leader="none" w:pos="345" w:val="left"/>
        </w:tabs>
        <w:numPr>
          <w:ilvl w:val="0"/>
          <w:numId w:val="409"/>
        </w:numPr>
        <w:rPr>
          <w:rFonts w:ascii="Arial" w:cs="Arial" w:eastAsia="Arial" w:hAnsi="Arial"/>
          <w:sz w:val="17"/>
          <w:szCs w:val="17"/>
          <w:color w:val="auto"/>
        </w:rPr>
      </w:pPr>
      <w:r>
        <w:rPr>
          <w:rFonts w:ascii="Arial" w:cs="Arial" w:eastAsia="Arial" w:hAnsi="Arial"/>
          <w:sz w:val="17"/>
          <w:szCs w:val="17"/>
          <w:color w:val="auto"/>
        </w:rPr>
        <w:t xml:space="preserve">days after the date of the damage, Tenant may request that Landlord inform Tenant of Landlord’s reasonable opinion of the date of completion of the repairs and Landlord shall respond to such request within five (5) business days. Notwithstanding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Tenant shall have the right to terminate this Lease under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and (c) as a result of the damage,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48" w:name="page449"/>
    <w:bookmarkEnd w:id="44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 cannot reasonably conduct, and does not conduct, business from the Premises. In the event this Lease is terminated in accordance with the terms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Tenant shall assign to Landlord (or to any party designated by Landlord) all insurance proceeds payable to Tenant under Tenant’s insurance required under items (ii) and (iii) of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of this Lease.</w:t>
      </w:r>
    </w:p>
    <w:p>
      <w:pPr>
        <w:spacing w:after="0" w:line="69"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Waiver of Statutory Provisions</w:t>
      </w:r>
      <w:r>
        <w:rPr>
          <w:rFonts w:ascii="Arial" w:cs="Arial" w:eastAsia="Arial" w:hAnsi="Arial"/>
          <w:sz w:val="17"/>
          <w:szCs w:val="17"/>
          <w:color w:val="auto"/>
        </w:rPr>
        <w:t xml:space="preserve">. The provisions of this Lease, including this </w:t>
      </w:r>
      <w:r>
        <w:rPr>
          <w:rFonts w:ascii="Arial" w:cs="Arial" w:eastAsia="Arial" w:hAnsi="Arial"/>
          <w:sz w:val="17"/>
          <w:szCs w:val="17"/>
          <w:u w:val="single" w:color="auto"/>
          <w:color w:val="auto"/>
        </w:rPr>
        <w:t>Article 11</w:t>
      </w:r>
      <w:r>
        <w:rPr>
          <w:rFonts w:ascii="Arial" w:cs="Arial" w:eastAsia="Arial" w:hAnsi="Arial"/>
          <w:sz w:val="17"/>
          <w:szCs w:val="17"/>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NONWAIVER</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CONDEMNATION</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49" w:name="page450"/>
    <w:bookmarkEnd w:id="44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ten percent (10%) of the rentable square feet of the Premises is taken, or if access to the Premises is substantially impaired, in each case for a period in excess of one hundred eighty (180) days, Tenant shall have the option to either (i) terminate this Lease effective as of the date possession is required to be surrendered to the authority, or (ii) continue this Lease in effect with a proportionate reduction in the Base Rent and Tenant’s Share of Direct Expenses.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7"/>
          <w:szCs w:val="17"/>
          <w:u w:val="single" w:color="auto"/>
          <w:color w:val="auto"/>
        </w:rPr>
        <w:t>Article 13</w:t>
      </w:r>
      <w:r>
        <w:rPr>
          <w:rFonts w:ascii="Arial" w:cs="Arial" w:eastAsia="Arial" w:hAnsi="Arial"/>
          <w:sz w:val="17"/>
          <w:szCs w:val="17"/>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14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Transfers</w:t>
      </w:r>
      <w:r>
        <w:rPr>
          <w:rFonts w:ascii="Arial" w:cs="Arial" w:eastAsia="Arial" w:hAnsi="Arial"/>
          <w:sz w:val="17"/>
          <w:szCs w:val="17"/>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7"/>
          <w:szCs w:val="17"/>
          <w:b w:val="1"/>
          <w:bCs w:val="1"/>
          <w:color w:val="auto"/>
        </w:rPr>
        <w:t>Transfers</w:t>
      </w:r>
      <w:r>
        <w:rPr>
          <w:rFonts w:ascii="Arial" w:cs="Arial" w:eastAsia="Arial" w:hAnsi="Arial"/>
          <w:sz w:val="17"/>
          <w:szCs w:val="17"/>
          <w:color w:val="auto"/>
        </w:rPr>
        <w:t>” and any person to whom any Transfer is made or sought to be made is hereinafter sometimes referred to as a “</w:t>
      </w:r>
      <w:r>
        <w:rPr>
          <w:rFonts w:ascii="Arial" w:cs="Arial" w:eastAsia="Arial" w:hAnsi="Arial"/>
          <w:sz w:val="17"/>
          <w:szCs w:val="17"/>
          <w:b w:val="1"/>
          <w:bCs w:val="1"/>
          <w:color w:val="auto"/>
        </w:rPr>
        <w:t>Transferee</w:t>
      </w:r>
      <w:r>
        <w:rPr>
          <w:rFonts w:ascii="Arial" w:cs="Arial" w:eastAsia="Arial" w:hAnsi="Arial"/>
          <w:sz w:val="17"/>
          <w:szCs w:val="17"/>
          <w:color w:val="auto"/>
        </w:rPr>
        <w:t>”). If Tenant desires Landlord’s consent to any Transfer, Tenant shall notify Landlord in writing, which notice (the “</w:t>
      </w:r>
      <w:r>
        <w:rPr>
          <w:rFonts w:ascii="Arial" w:cs="Arial" w:eastAsia="Arial" w:hAnsi="Arial"/>
          <w:sz w:val="17"/>
          <w:szCs w:val="17"/>
          <w:b w:val="1"/>
          <w:bCs w:val="1"/>
          <w:color w:val="auto"/>
        </w:rPr>
        <w:t>Transfer Notice</w:t>
      </w:r>
      <w:r>
        <w:rPr>
          <w:rFonts w:ascii="Arial" w:cs="Arial" w:eastAsia="Arial" w:hAnsi="Arial"/>
          <w:sz w:val="17"/>
          <w:szCs w:val="17"/>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Arial" w:cs="Arial" w:eastAsia="Arial" w:hAnsi="Arial"/>
          <w:sz w:val="17"/>
          <w:szCs w:val="17"/>
          <w:b w:val="1"/>
          <w:bCs w:val="1"/>
          <w:color w:val="auto"/>
        </w:rPr>
        <w:t>Subject Space</w:t>
      </w:r>
      <w:r>
        <w:rPr>
          <w:rFonts w:ascii="Arial" w:cs="Arial" w:eastAsia="Arial" w:hAnsi="Arial"/>
          <w:sz w:val="17"/>
          <w:szCs w:val="17"/>
          <w:color w:val="auto"/>
        </w:rPr>
        <w:t>”), (iii) all of the terms of the proposed Transfer and the consideration therefor, including calculation of the “</w:t>
      </w:r>
      <w:r>
        <w:rPr>
          <w:rFonts w:ascii="Arial" w:cs="Arial" w:eastAsia="Arial" w:hAnsi="Arial"/>
          <w:sz w:val="17"/>
          <w:szCs w:val="17"/>
          <w:b w:val="1"/>
          <w:bCs w:val="1"/>
          <w:color w:val="auto"/>
        </w:rPr>
        <w:t>Transfer Premium</w:t>
      </w:r>
      <w:r>
        <w:rPr>
          <w:rFonts w:ascii="Arial" w:cs="Arial" w:eastAsia="Arial" w:hAnsi="Arial"/>
          <w:sz w:val="17"/>
          <w:szCs w:val="17"/>
          <w:color w:val="auto"/>
        </w:rPr>
        <w:t xml:space="preserve">”, as that term is defined in </w:t>
      </w:r>
      <w:r>
        <w:rPr>
          <w:rFonts w:ascii="Arial" w:cs="Arial" w:eastAsia="Arial" w:hAnsi="Arial"/>
          <w:sz w:val="17"/>
          <w:szCs w:val="17"/>
          <w:u w:val="single" w:color="auto"/>
          <w:color w:val="auto"/>
        </w:rPr>
        <w:t>Section 14.3</w:t>
      </w:r>
      <w:r>
        <w:rPr>
          <w:rFonts w:ascii="Arial" w:cs="Arial" w:eastAsia="Arial" w:hAnsi="Arial"/>
          <w:sz w:val="17"/>
          <w:szCs w:val="17"/>
          <w:color w:val="auto"/>
        </w:rPr>
        <w:t xml:space="preserve"> below, in connection with such Transfer, the name and address of the proposed Transferee, and a copy of all existing executed and/or proposed documentation pertaining to the proposed Transfer, including all existing operative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450" w:name="page451"/>
    <w:bookmarkEnd w:id="45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to be executed to evidence such Transfer or the agreements incidental or related to such Transfer, provided that Landlord shall have the right to require Tenant to utilize Landlord’s standard consent documents in connection with the documentation of Landlord’s consent to such Transfer, (iv)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Subject Space and (v) an executed estoppel certificate from Tenant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review and processing fees, as well as any reasonable professional fees (including, without limitation, attorneys’, accountants’, architects’, engineers’ and consultants’ fees) incurred by Landlord, within thirty (30) days after written request by Landlord, in an amount not to exceed Two Thousand Five Hundred and No/100 Dollars ($2,500.00) in the aggregate, but such limitation of fees shall only apply to the extent such Transfer is in the ordinary course of business. Landlord and Tenant hereby agree that a proposed Transfer shall not be considered “in the ordinary course of business” if such Transfer involves the review of documentation by Landlord on more than two (2) occasions.</w:t>
      </w:r>
    </w:p>
    <w:p>
      <w:pPr>
        <w:spacing w:after="0" w:line="5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Landlord’s Consent</w:t>
      </w:r>
      <w:r>
        <w:rPr>
          <w:rFonts w:ascii="Arial" w:cs="Arial" w:eastAsia="Arial" w:hAnsi="Arial"/>
          <w:sz w:val="18"/>
          <w:szCs w:val="18"/>
          <w:color w:val="auto"/>
        </w:rPr>
        <w:t xml:space="preserve">. Landlord shall not unreasonably withhold its consent to any proposed Transfer (including without limitation any Transfer under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below)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14.2.1 The Transferee is of a character or reputation or engaged in a business which is not consistent with the quality of the Building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14.2.2 The Transferee intends to use the Subject Space for purposes which are not permitted under this Lease;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14.2.3 The Transferee is either a governmental agency or instrumentality thereof;</w:t>
      </w:r>
    </w:p>
    <w:p>
      <w:pPr>
        <w:spacing w:after="0" w:line="11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14.2.4 The Transferee is not a party of reasonable financial worth and/or financial stability in light of the responsibilities to be undertaken in connection with the Transfer on the date consent is requested;</w:t>
      </w:r>
    </w:p>
    <w:p>
      <w:pPr>
        <w:spacing w:after="0" w:line="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14.2.5 The proposed Transfer would cause a violation of another lease for space in the Project, or would give an occupant of the Project a right to cancel its lease;</w:t>
      </w:r>
    </w:p>
    <w:p>
      <w:pPr>
        <w:spacing w:after="0" w:line="62"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14.2.6 The terms of the proposed Transfer will allow the Transferee to exercise a right of renewal, right of expansion, right of first offer, or other similar right held by Tenant (or will allow the Transferee to occupy space leased by Tenant pursuant to any such right);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451" w:name="page452"/>
    <w:bookmarkEnd w:id="451"/>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14.2.7 Either the proposed Transferee, or any person or entity which directly or indirectly, controls, is controlled by, or is under common control with, the proposed Transferee, occupies space in the Project at the time of the request for consent, or (ii) is negotiating with Landlord to lease space in the Project at such time, or (iii) has negotiated with Landlord during the six (6)-month period immediately preceding the Transfer Notice, and Landlord has reasonably comparable space in the Project then available to lease to such Transferee; or</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14.2.8 The Transferee does not intend to occupy the entire Premises and conduct its business therefrom for a substantial portion of the term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Transfer.</w:t>
      </w:r>
    </w:p>
    <w:p>
      <w:pPr>
        <w:spacing w:after="0" w:line="21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7"/>
          <w:szCs w:val="17"/>
          <w:color w:val="auto"/>
        </w:rPr>
        <w:t xml:space="preserve">If Landlord consents to any Transfer pursuant to the terms of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(and does not exercise any recapture rights Landlord may have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which would cause the proposed Transfer to be more favorable to the Transferee than the terms set forth in Tenant’s original Transfer Notice, Tenant shall again submit the Transfer to Landlord for its approval and other action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(including Landlord’s right of recapture, if any,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otherwise has breached or acted unreasonably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without any monetary damages, and Tenant hereby waives all other remedies, including, without limitation, any right at law or equity to terminate this Lease, on its own behalf and, to the extent permitted under all applicable laws, on behalf of the proposed Transferee.</w:t>
      </w:r>
    </w:p>
    <w:p>
      <w:pPr>
        <w:spacing w:after="0" w:line="7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u w:val="single" w:color="auto"/>
          <w:color w:val="auto"/>
        </w:rPr>
        <w:t>Transfer Premium</w:t>
      </w:r>
      <w:r>
        <w:rPr>
          <w:rFonts w:ascii="Arial" w:cs="Arial" w:eastAsia="Arial" w:hAnsi="Arial"/>
          <w:sz w:val="16"/>
          <w:szCs w:val="16"/>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6"/>
          <w:szCs w:val="16"/>
          <w:u w:val="single" w:color="auto"/>
          <w:color w:val="auto"/>
        </w:rPr>
        <w:t>Section 14.3</w:t>
      </w:r>
      <w:r>
        <w:rPr>
          <w:rFonts w:ascii="Arial" w:cs="Arial" w:eastAsia="Arial" w:hAnsi="Arial"/>
          <w:sz w:val="16"/>
          <w:szCs w:val="16"/>
          <w:color w:val="auto"/>
        </w:rPr>
        <w:t>, received by Tenant from such Transferee.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Premium</w:t>
      </w:r>
      <w:r>
        <w:rPr>
          <w:rFonts w:ascii="Arial" w:cs="Arial" w:eastAsia="Arial" w:hAnsi="Arial"/>
          <w:sz w:val="16"/>
          <w:szCs w:val="16"/>
          <w:color w:val="auto"/>
        </w:rPr>
        <w:t>” shall mean all rent, additional rent or other consideration payable by such Transferee in connection with the Transfer in excess of the Rent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or other economic concessions reasonably provided to the Transferee, (iii) any brokerage commissions in connection with the Transfer, (iv) any attorneys’ fees incurred by Tenant in connection with the negotiation and documentation of the Transfer, (v) any lease takeover costs incurred by Tenant in connection with the Transfer, (vi) any costs of advertising the space which is the subject of the Transfer, and (vii) any review and processing fees paid to Landlord in connection with such Transfer. “Transfer Premium” shall also include, but not be limited to, key money, bonus money or other cash consideration paid by Transferee to Tenant in connection with such Transfer, and any payment in excess of fair market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52" w:name="page453"/>
    <w:bookmarkEnd w:id="452"/>
    <w:p>
      <w:pPr>
        <w:jc w:val="both"/>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value for services rendered by Tenant to Transferee or for assets, fixtures, inventory, equipment, or furniture transferred by Tenant to Transferee in connection with such Transfer. In the calculations of the Rent (as it relates to the Transfer Premium calculated under this </w:t>
      </w:r>
      <w:r>
        <w:rPr>
          <w:rFonts w:ascii="Arial" w:cs="Arial" w:eastAsia="Arial" w:hAnsi="Arial"/>
          <w:sz w:val="17"/>
          <w:szCs w:val="17"/>
          <w:u w:val="single" w:color="auto"/>
          <w:color w:val="auto"/>
        </w:rPr>
        <w:t>Section 14.3</w:t>
      </w:r>
      <w:r>
        <w:rPr>
          <w:rFonts w:ascii="Arial" w:cs="Arial" w:eastAsia="Arial" w:hAnsi="Arial"/>
          <w:sz w:val="17"/>
          <w:szCs w:val="17"/>
          <w:color w:val="auto"/>
        </w:rPr>
        <w:t>), the Rent paid during each annual period for the Subject Space shall be computed after adjusting such rent to the actual effective rent to be paid, taking into consideration any and all leasehold concessions granted in connection therewith, including, but not limited to, any rent credit and tenant improvement allowance. For purposes of calculating any such effective rent all such concessions shall be amortized on a straight-line basis over the relevant term.</w:t>
      </w:r>
    </w:p>
    <w:p>
      <w:pPr>
        <w:spacing w:after="0" w:line="6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Landlord’s Option as to Subject Space</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 the event Tenant contemplates a Transfer of all or a portion of the Premises (or in the event of any other Transfer or Transfers entered into by Tenant as a subterfuge in order to avoid the terms of this </w:t>
      </w:r>
      <w:r>
        <w:rPr>
          <w:rFonts w:ascii="Arial" w:cs="Arial" w:eastAsia="Arial" w:hAnsi="Arial"/>
          <w:sz w:val="17"/>
          <w:szCs w:val="17"/>
          <w:u w:val="single" w:color="auto"/>
          <w:color w:val="auto"/>
        </w:rPr>
        <w:t>Section 14.4</w:t>
      </w:r>
      <w:r>
        <w:rPr>
          <w:rFonts w:ascii="Arial" w:cs="Arial" w:eastAsia="Arial" w:hAnsi="Arial"/>
          <w:sz w:val="17"/>
          <w:szCs w:val="17"/>
          <w:color w:val="auto"/>
        </w:rPr>
        <w:t>), Tenant shall give Landlord notice (the “</w:t>
      </w:r>
      <w:r>
        <w:rPr>
          <w:rFonts w:ascii="Arial" w:cs="Arial" w:eastAsia="Arial" w:hAnsi="Arial"/>
          <w:sz w:val="17"/>
          <w:szCs w:val="17"/>
          <w:b w:val="1"/>
          <w:bCs w:val="1"/>
          <w:color w:val="auto"/>
        </w:rPr>
        <w:t>Intention to Transfer Notice</w:t>
      </w:r>
      <w:r>
        <w:rPr>
          <w:rFonts w:ascii="Arial" w:cs="Arial" w:eastAsia="Arial" w:hAnsi="Arial"/>
          <w:sz w:val="17"/>
          <w:szCs w:val="17"/>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7"/>
          <w:szCs w:val="17"/>
          <w:b w:val="1"/>
          <w:bCs w:val="1"/>
          <w:color w:val="auto"/>
        </w:rPr>
        <w:t>Contemplated Transfer Space</w:t>
      </w:r>
      <w:r>
        <w:rPr>
          <w:rFonts w:ascii="Arial" w:cs="Arial" w:eastAsia="Arial" w:hAnsi="Arial"/>
          <w:sz w:val="17"/>
          <w:szCs w:val="17"/>
          <w:color w:val="auto"/>
        </w:rPr>
        <w:t>”), the contemplated date of commencement of the Contemplated Transfer (the “</w:t>
      </w:r>
      <w:r>
        <w:rPr>
          <w:rFonts w:ascii="Arial" w:cs="Arial" w:eastAsia="Arial" w:hAnsi="Arial"/>
          <w:sz w:val="17"/>
          <w:szCs w:val="17"/>
          <w:b w:val="1"/>
          <w:bCs w:val="1"/>
          <w:color w:val="auto"/>
        </w:rPr>
        <w:t>Contemplated Effective Date</w:t>
      </w:r>
      <w:r>
        <w:rPr>
          <w:rFonts w:ascii="Arial" w:cs="Arial" w:eastAsia="Arial" w:hAnsi="Arial"/>
          <w:sz w:val="17"/>
          <w:szCs w:val="17"/>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in order to allow Landlord to elect to recapture the Contemplated Transfer Space for the term set forth in the Intention to Transfer Notice. Thereafter, Landlord shall have the option, by giving written notice to Tenant (the “Recapture Notice”) within twenty (20) days after receipt of any Intention to Transfer Notice, to recapture the Contemplated Transfer Space. However, if Landlord delivers a Recapture Notice to Tenant, Tenant may, within ten (10) days after Tenant’s receipt of such Recapture Notice, deliver written notice to Landlord rescinding the subject Intention to Transfer notice, in which case neither such Transfer or recapture shall be consummated and this Lease shall remain in full force and effect as to the corresponding Subject Space; provided, however, Tenant’s failure to timely rescind its Intention to Transfer Notice as set forth in this sentence shall be deemed to constitute Tenant’s election to allow the Recapture Notice to be effective. Any recapture shall cancel and terminate this Lease with respect to such Contemplated Transfer Space as of the Contemplated Effective Date (or at Landlord’s option, shall cause the Transfer to be made to Landlord or its agent, in which case the parties shall execute the Transfer documentation promptly thereafter).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then, subject to the other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for a period of nine (9) months (the “</w:t>
      </w:r>
      <w:r>
        <w:rPr>
          <w:rFonts w:ascii="Arial" w:cs="Arial" w:eastAsia="Arial" w:hAnsi="Arial"/>
          <w:sz w:val="17"/>
          <w:szCs w:val="17"/>
          <w:b w:val="1"/>
          <w:bCs w:val="1"/>
          <w:color w:val="auto"/>
        </w:rPr>
        <w:t>Nine Month Period</w:t>
      </w:r>
      <w:r>
        <w:rPr>
          <w:rFonts w:ascii="Arial" w:cs="Arial" w:eastAsia="Arial" w:hAnsi="Arial"/>
          <w:sz w:val="17"/>
          <w:szCs w:val="17"/>
          <w:color w:val="auto"/>
        </w:rPr>
        <w:t xml:space="preserve">”) commencing on the last day of such twenty (20)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If such a Transfer is not so consummated within the Nine Month Period (or if a Transfer is so consummated, then upon the expiration of the term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3" w:right="259" w:bottom="1440" w:gutter="0" w:footer="0" w:header="0"/>
        </w:sectPr>
      </w:pPr>
    </w:p>
    <w:bookmarkStart w:id="453" w:name="page454"/>
    <w:bookmarkEnd w:id="45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8"/>
          <w:szCs w:val="18"/>
          <w:u w:val="single" w:color="auto"/>
          <w:color w:val="auto"/>
        </w:rPr>
        <w:t>Article 14.4</w:t>
      </w:r>
      <w:r>
        <w:rPr>
          <w:rFonts w:ascii="Arial" w:cs="Arial" w:eastAsia="Arial" w:hAnsi="Arial"/>
          <w:sz w:val="18"/>
          <w:szCs w:val="18"/>
          <w:color w:val="auto"/>
        </w:rPr>
        <w: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Effect of Transfer</w:t>
      </w:r>
      <w:r>
        <w:rPr>
          <w:rFonts w:ascii="Arial" w:cs="Arial" w:eastAsia="Arial" w:hAnsi="Arial"/>
          <w:sz w:val="16"/>
          <w:szCs w:val="16"/>
          <w:color w:val="auto"/>
        </w:rPr>
        <w:t>. If Landlord consents to a Transfer, (i) the TCCs of this Lease shall in no way be deemed to have been waived or modified,</w:t>
      </w:r>
    </w:p>
    <w:p>
      <w:pPr>
        <w:spacing w:after="0" w:line="50" w:lineRule="exact"/>
        <w:rPr>
          <w:sz w:val="20"/>
          <w:szCs w:val="20"/>
          <w:color w:val="auto"/>
        </w:rPr>
      </w:pPr>
    </w:p>
    <w:p>
      <w:pPr>
        <w:ind w:left="280" w:hanging="272"/>
        <w:spacing w:after="0"/>
        <w:tabs>
          <w:tab w:leader="none" w:pos="28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such consent shall not be deemed consent to any further Transfer by either Tenant or a Transferee, (iii) Tenant shall deliver to Landlord, promptly after</w:t>
      </w:r>
    </w:p>
    <w:p>
      <w:pPr>
        <w:spacing w:after="0" w:line="3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b w:val="1"/>
          <w:bCs w:val="1"/>
          <w:u w:val="single" w:color="auto"/>
          <w:color w:val="auto"/>
        </w:rPr>
        <w:t>Additional Transfers</w:t>
      </w:r>
      <w:r>
        <w:rPr>
          <w:rFonts w:ascii="Arial" w:cs="Arial" w:eastAsia="Arial" w:hAnsi="Arial"/>
          <w:sz w:val="17"/>
          <w:szCs w:val="17"/>
          <w:color w:val="auto"/>
        </w:rPr>
        <w:t xml:space="preserve">. Subject to the terms set forth in </w:t>
      </w:r>
      <w:r>
        <w:rPr>
          <w:rFonts w:ascii="Arial" w:cs="Arial" w:eastAsia="Arial" w:hAnsi="Arial"/>
          <w:sz w:val="17"/>
          <w:szCs w:val="17"/>
          <w:u w:val="single" w:color="auto"/>
          <w:color w:val="auto"/>
        </w:rPr>
        <w:t>Section 14.8</w:t>
      </w:r>
      <w:r>
        <w:rPr>
          <w:rFonts w:ascii="Arial" w:cs="Arial" w:eastAsia="Arial" w:hAnsi="Arial"/>
          <w:sz w:val="17"/>
          <w:szCs w:val="17"/>
          <w:color w:val="auto"/>
        </w:rPr>
        <w:t>, below, for purposes of this Lease, the term “</w:t>
      </w:r>
      <w:r>
        <w:rPr>
          <w:rFonts w:ascii="Arial" w:cs="Arial" w:eastAsia="Arial" w:hAnsi="Arial"/>
          <w:sz w:val="17"/>
          <w:szCs w:val="17"/>
          <w:b w:val="1"/>
          <w:bCs w:val="1"/>
          <w:color w:val="auto"/>
        </w:rPr>
        <w:t>Transfer</w:t>
      </w:r>
      <w:r>
        <w:rPr>
          <w:rFonts w:ascii="Arial" w:cs="Arial" w:eastAsia="Arial" w:hAnsi="Arial"/>
          <w:sz w:val="17"/>
          <w:szCs w:val="17"/>
          <w:color w:val="auto"/>
        </w:rPr>
        <w:t>” shall also include (i) if Tenant is a partnership, the withdrawal or change, voluntary, involuntary or by operation of law, of more than fifty percent (50%) or more of the partners, or transfer of more than fifty percent (50%) or more of partnership interests, within a twelve (12)-month period, or the dissolution of the partnership without immediate reconstitution thereof, and (ii) if Tenant is a closely held corporation ( i.e., whose stock is not publicly held and not traded through an exchange or over the counter), the dissolution, merger, consolidation or other reorganization of Tenant or (B) the sale or other transfer of an aggregate of more than fifty percent (50%) or more of the voting shares of Tenant within a twelve (12)-month period (but excluding transfers (a) to immediate family members by reason of gift or death, or (b) by any of Tenant’s investors to any such investor’s limited partners and/or members), or (C) the sale, mortgage, hypothecation or pledge of an aggregate of more than fifty percent (50%) or more of the value of the unencumbered assets of Tenant within a twelve (12)-month period; provided, however, the parties hereby acknowledge that transactions involving Tenant’s stock or assets that fall below the specified thresholds described in this sentence above shall not require Landlord’s consent. Notwithstanding the foregoing, the raising of capital by Tenant in connection with a sale, issuance or other offering of stock or ownership interests in Tenant (each, together with any related transactions, a “Capital Raising Event”) shall not be deemed a Transfer nor require Landlord’s consent hereunder; provided, however, (1) any such Capital Raising Event shall be for the bona fide purpose of raising capital in Tenant (as opposed to being for the purpose of a total or partial liquidation of an existing shareholder’s interest in Tenant) and is not otherwise a subterfuge by Tenant to avoid its obligations under this Lease, and (2) Tenant shall continue to conduct its business operations in the Premises in accordance with the Permitted Use.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54" w:name="page455"/>
    <w:bookmarkEnd w:id="454"/>
    <w:p>
      <w:pPr>
        <w:ind w:right="4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14.7 </w:t>
      </w:r>
      <w:r>
        <w:rPr>
          <w:rFonts w:ascii="Arial" w:cs="Arial" w:eastAsia="Arial" w:hAnsi="Arial"/>
          <w:sz w:val="17"/>
          <w:szCs w:val="17"/>
          <w:b w:val="1"/>
          <w:bCs w:val="1"/>
          <w:u w:val="single" w:color="auto"/>
          <w:color w:val="auto"/>
        </w:rPr>
        <w:t>Occurrence of Default</w:t>
      </w:r>
      <w:r>
        <w:rPr>
          <w:rFonts w:ascii="Arial" w:cs="Arial" w:eastAsia="Arial" w:hAnsi="Arial"/>
          <w:sz w:val="17"/>
          <w:szCs w:val="17"/>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the applicable notice and cure period set forth in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w:t>
      </w:r>
    </w:p>
    <w:p>
      <w:pPr>
        <w:spacing w:after="0" w:line="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b w:val="1"/>
          <w:bCs w:val="1"/>
          <w:u w:val="single" w:color="auto"/>
          <w:color w:val="auto"/>
        </w:rPr>
        <w:t>Non-Transfers</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 a Transfer of all or a portion of the Premises to an affiliate of Tenant (an entity which is controlled by, controls, or is under common control with, Tenant), (ii) a Transfer to an entity which acquires all or substantially all of the assets or interests (partnership, stock or other) of Tenant, or (iii) a Transfer to an entity which is the resulting entity of a merger, consolidation, public offering, reorganization or dissolution of Tenant, or which becomes the parent or successor of Tenant by reason of merger, consolidation, public offering, reorganization, dissolution, or sale of stock, membership or partnership interests or assets, shall not be deemed a Transfer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provided that Tenant notifies Landlord of any such assignment or sublease and promptly supplies Landlord with any documents or information requested by Landlord regarding such assignment or sublease or such affiliate, and further provided that such assignment or sublease is not a subterfuge by Tenant to avoid its obligations under this Lease or otherwise effectuate any “release” by Tenant of such obligations and such Permitted Transferee shall thereafter become liable under this Lease, on a joint and several basis, with Tenant. The assignee under an assignment specified in items (i), (ii) or (iii) above shall be referred to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14.8</w:t>
      </w:r>
      <w:r>
        <w:rPr>
          <w:rFonts w:ascii="Arial" w:cs="Arial" w:eastAsia="Arial" w:hAnsi="Arial"/>
          <w:sz w:val="17"/>
          <w:szCs w:val="17"/>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7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b w:val="1"/>
          <w:bCs w:val="1"/>
          <w:u w:val="single" w:color="auto"/>
          <w:color w:val="auto"/>
        </w:rPr>
        <w:t>Occupancy by Others</w:t>
      </w:r>
      <w:r>
        <w:rPr>
          <w:rFonts w:ascii="Arial" w:cs="Arial" w:eastAsia="Arial" w:hAnsi="Arial"/>
          <w:sz w:val="17"/>
          <w:szCs w:val="17"/>
          <w:color w:val="auto"/>
        </w:rPr>
        <w:t xml:space="preserve">. Notwithstanding any contrary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Tenant shall have the right (without the payment of a Transfer Premium, without being subject to </w:t>
      </w:r>
      <w:r>
        <w:rPr>
          <w:rFonts w:ascii="Arial" w:cs="Arial" w:eastAsia="Arial" w:hAnsi="Arial"/>
          <w:sz w:val="17"/>
          <w:szCs w:val="17"/>
          <w:u w:val="single" w:color="auto"/>
          <w:color w:val="auto"/>
        </w:rPr>
        <w:t>Section 14.4</w:t>
      </w:r>
      <w:r>
        <w:rPr>
          <w:rFonts w:ascii="Arial" w:cs="Arial" w:eastAsia="Arial" w:hAnsi="Arial"/>
          <w:sz w:val="17"/>
          <w:szCs w:val="17"/>
          <w:color w:val="auto"/>
        </w:rPr>
        <w:t>, and without the receipt of Landlord’s consent, but only following prior written notice to Landlord), to permit the occupancy (which shall otherwise be deemed a Transfer hereunder) of up to a cumulative total of twenty-five percent (25%) of the rentable square footage of the Premises, in the aggregate, to any individual(s) with an ongoing, business substantially similar to the Permitted Use (“</w:t>
      </w:r>
      <w:r>
        <w:rPr>
          <w:rFonts w:ascii="Arial" w:cs="Arial" w:eastAsia="Arial" w:hAnsi="Arial"/>
          <w:sz w:val="17"/>
          <w:szCs w:val="17"/>
          <w:b w:val="1"/>
          <w:bCs w:val="1"/>
          <w:color w:val="auto"/>
        </w:rPr>
        <w:t>Tenant’s Occupants</w:t>
      </w:r>
      <w:r>
        <w:rPr>
          <w:rFonts w:ascii="Arial" w:cs="Arial" w:eastAsia="Arial" w:hAnsi="Arial"/>
          <w:sz w:val="17"/>
          <w:szCs w:val="17"/>
          <w:color w:val="auto"/>
        </w:rPr>
        <w:t>”) on and subject to the following conditions: (i) such individuals or entities shall not be permitted to occupy a separately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55" w:name="page456"/>
    <w:bookmarkEnd w:id="45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demised portion of the Premises which contains an entrance to such portion of the Premises other than the primary entrance to the Premises; (ii) all such individuals or entities shall be of a character and reputation consistent with the first-class quality of the Building and the Project; and (iii) such occupancy shall not be a subterfuge by Tenant to avoid its obligations under this Lease or the restrictions on Transfers pursuant to this Article L 4. Tenant shall promptly supply Landlord with any documents or information reasonably requested by Landlord regarding any such individuals or entities. Notwithstanding the foregoing, no such occupancy shall relieve Tenant from any liability under this Lease.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SURRENDER OF PREMISES; OWNERSHIP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REMOVAL OF TRADE FIXTURES</w:t>
      </w:r>
    </w:p>
    <w:p>
      <w:pPr>
        <w:spacing w:after="0" w:line="20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Surrender of Premises</w:t>
      </w:r>
      <w:r>
        <w:rPr>
          <w:rFonts w:ascii="Arial" w:cs="Arial" w:eastAsia="Arial" w:hAnsi="Arial"/>
          <w:sz w:val="17"/>
          <w:szCs w:val="17"/>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6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Removal of Tenant Property by Tenant</w:t>
      </w:r>
      <w:r>
        <w:rPr>
          <w:rFonts w:ascii="Arial" w:cs="Arial" w:eastAsia="Arial" w:hAnsi="Arial"/>
          <w:sz w:val="17"/>
          <w:szCs w:val="17"/>
          <w:color w:val="auto"/>
        </w:rPr>
        <w:t xml:space="preserve">. Upon the expiration of the Lease Term, or upon any earlier termination of this Lease, Tenant shall, subject to the provisions of this </w:t>
      </w:r>
      <w:r>
        <w:rPr>
          <w:rFonts w:ascii="Arial" w:cs="Arial" w:eastAsia="Arial" w:hAnsi="Arial"/>
          <w:sz w:val="17"/>
          <w:szCs w:val="17"/>
          <w:u w:val="single" w:color="auto"/>
          <w:color w:val="auto"/>
        </w:rPr>
        <w:t>Article 15</w:t>
      </w:r>
      <w:r>
        <w:rPr>
          <w:rFonts w:ascii="Arial" w:cs="Arial" w:eastAsia="Arial" w:hAnsi="Arial"/>
          <w:sz w:val="17"/>
          <w:szCs w:val="17"/>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Tenant holds over after the expiration of the Lease Term or earlier termination thereof, with or without the express or implied consent of Landlord, such tenancy shall be from month-to-month only, and shall not constitute a renewal hereof or an extension for any further term, and in such case Rent shall be payable at a monthly rate equal to the product of (i) the Rent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3" w:right="279" w:bottom="1440" w:gutter="0" w:footer="0" w:header="0"/>
        </w:sectPr>
      </w:pPr>
    </w:p>
    <w:bookmarkStart w:id="456" w:name="page457"/>
    <w:bookmarkEnd w:id="45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during the last rental period of the Lease Term under this Lease, and (ii) a percentage equal to one hundred fifty percent (150%). Such month-to-month tenancy shall be subject to every other applicable term, covenant and agreement contained herein. Nothing contained in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not be deemed to limit or constitute a waiver of any other rights or remedies of Landlord provided herein or at law; provided, however, to the extent Landlord affirmatively consents to Tenant’s holding over in the Premises, then in no event shall Tenant be liable to Landlord for, or otherwise be required to indemnify Landlord with respect to, any consequential damages in connection therewith. If Tenant fails to surrender the Premises upon the termination or expiration of this Lease without Landlord’s affirmative consent,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provided, however, that in no event shall Tenant be liable for consequential damages attributable to the first thirty (30) days of any holding over by Tenant. In the event of any potential or actual holding over of the Premises by Tenant, Tenant may elect to send a written notice to Landlord (specifically referencing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requesting an update as to whether Landlord has entered into a third-party lease for the Premises following the expiration or earlier termination of this Lease, and Landlord shall, within ten (10) business days of its receipt of such notice from Tenant, notify Tenant whether or not Landlord has entered into a third-party lease as of the date of such notice for the Premises following the expiration or earlier termination of this Lease; provided, however, in no event shall any such notice by Tenant to Landlord, or any subsequent notice from Landlord to Tenant (or any failure by Landlord to provide such notice) be deemed a waiver of any of Tenant’s obligations or liabilities under this </w:t>
      </w:r>
      <w:r>
        <w:rPr>
          <w:rFonts w:ascii="Arial" w:cs="Arial" w:eastAsia="Arial" w:hAnsi="Arial"/>
          <w:sz w:val="16"/>
          <w:szCs w:val="16"/>
          <w:u w:val="single" w:color="auto"/>
          <w:color w:val="auto"/>
        </w:rPr>
        <w:t>Article 16</w:t>
      </w:r>
      <w:r>
        <w:rPr>
          <w:rFonts w:ascii="Arial" w:cs="Arial" w:eastAsia="Arial" w:hAnsi="Arial"/>
          <w:sz w:val="16"/>
          <w:szCs w:val="16"/>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ESTOPPEL CERTIFICATES</w:t>
      </w:r>
    </w:p>
    <w:p>
      <w:pPr>
        <w:spacing w:after="0" w:line="2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Within ten (10) days following a request in writing by Landlord, Tenant shall execute, acknowledge and deliver to Landlord an estoppel certificate, which, as submitted by Landlord, shall be substantially in the form of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commercially reasonable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57" w:name="page458"/>
    <w:bookmarkEnd w:id="457"/>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such estoppel certificate or other instruments shall constitute an acceptance of the Premises and an acknowledgment by Tenant that statements included in the estoppel certificate are true and correct, without exception.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Landlord covenants that there is no existing mortgage, deed of trust, ground lease or other encumbrance encumbering the Project or any portion thereof as of the Effective Date. This Lease shall be subject and subordinate to all future ground or underlying leases of the Building or Project and to the lien of any mortgage, trust deed or other encumbrances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6"/>
          <w:szCs w:val="16"/>
          <w:b w:val="1"/>
          <w:bCs w:val="1"/>
          <w:color w:val="auto"/>
        </w:rPr>
        <w:t>Superior Holders</w:t>
      </w:r>
      <w:r>
        <w:rPr>
          <w:rFonts w:ascii="Arial" w:cs="Arial" w:eastAsia="Arial" w:hAnsi="Arial"/>
          <w:sz w:val="16"/>
          <w:szCs w:val="16"/>
          <w:color w:val="auto"/>
        </w:rPr>
        <w:t>”); provided, however, that in consideration of and a condition precedent to Tenant’s agreement to subordinate this Lease, shall be the receipt by Tenant of a subordination non-disturbance and attornment agreement in a commercially reasonable form, which requires such Superior Holder to accept this lease, and not to disturb tenant’s possession, so long as an event of default has not occurred and be continuing (a “</w:t>
      </w:r>
      <w:r>
        <w:rPr>
          <w:rFonts w:ascii="Arial" w:cs="Arial" w:eastAsia="Arial" w:hAnsi="Arial"/>
          <w:sz w:val="16"/>
          <w:szCs w:val="16"/>
          <w:b w:val="1"/>
          <w:bCs w:val="1"/>
          <w:color w:val="auto"/>
        </w:rPr>
        <w:t>SNDA</w:t>
      </w:r>
      <w:r>
        <w:rPr>
          <w:rFonts w:ascii="Arial" w:cs="Arial" w:eastAsia="Arial" w:hAnsi="Arial"/>
          <w:sz w:val="16"/>
          <w:szCs w:val="16"/>
          <w:color w:val="auto"/>
        </w:rPr>
        <w:t>”) executed by Landlord and the appropriate Superior Holder. Subject to Tenant’s receipt of an SNDA, Tenant covenants and agrees that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Landlord’s interest herein may be assigned as security at any time to any lienholder. Tenant shall, within five (5)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DEFAULTS; REMEDIES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shall constitute a default of this Lease by Tenant: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3" w:right="279" w:bottom="1440" w:gutter="0" w:footer="0" w:header="0"/>
        </w:sectPr>
      </w:pPr>
    </w:p>
    <w:bookmarkStart w:id="458" w:name="page459"/>
    <w:bookmarkEnd w:id="458"/>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19.1.1 Any failure by Tenant to pay any Rent or any other charge required to be paid under this Lease, or any part thereof, when due unless such failure is cured within five (5) business days after notice; or</w:t>
      </w:r>
    </w:p>
    <w:p>
      <w:pPr>
        <w:spacing w:after="0" w:line="62"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6"/>
          <w:szCs w:val="16"/>
          <w:u w:val="single" w:color="auto"/>
          <w:color w:val="auto"/>
        </w:rPr>
        <w:t>Section 19.1.2</w:t>
      </w:r>
      <w:r>
        <w:rPr>
          <w:rFonts w:ascii="Arial" w:cs="Arial" w:eastAsia="Arial" w:hAnsi="Arial"/>
          <w:sz w:val="16"/>
          <w:szCs w:val="16"/>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but in no event exceeding a period of time in excess of ninety (90) days after written notice thereof from Landlord to Tenant; or</w:t>
      </w:r>
    </w:p>
    <w:p>
      <w:pPr>
        <w:spacing w:after="0" w:line="5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19.1.3 To the extent permitted by law, (i) Tenant or any guarantor of this Lease being placed into receivership or conservatorship, or becoming subject to similar proceedings under Federal or State law, or (ii) a general assignment by Tenant or any guarantor of this Lease for the benefit of creditors, or</w:t>
      </w:r>
    </w:p>
    <w:p>
      <w:pPr>
        <w:ind w:right="20" w:firstLine="8"/>
        <w:spacing w:after="0" w:line="270" w:lineRule="auto"/>
        <w:tabs>
          <w:tab w:leader="none" w:pos="315"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taking of any corporate action in furtherance of bankruptcy or dissolution whether or not there exists any proceeding under an insolvency or bankruptcy law, or (iv) the filing by or against Tenant or any guarantor of any proceeding under an insolvency or bankruptcy law, unless in the case of such a proceeding filed against Tenant or any guarantor the same is dismissed within sixty (60) days, or (v) the appointment of a trustee or receiver to take possession of all or substantially all of the assets of Tenant or any guarantor, unless possession is restored to Tenant or such guarantor within thirty (30) days, or (vi) any execution or other judicially authorized seizure of all or substantially all of Tenant’s assets located upon the Premises or of Tenant’s interest in this Lease, unless such seizure is- discharged within thirty (30) days; or</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19.1.4 Abandonment or vacation pursuant to the terms of California Civil Code Section 1951.3 of all or a substantial portion of the Premises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 or</w:t>
      </w:r>
    </w:p>
    <w:p>
      <w:pPr>
        <w:spacing w:after="0" w:line="10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19.1.5 The failure by Tenant to observe or perform according to the provisions of </w:t>
      </w:r>
      <w:r>
        <w:rPr>
          <w:rFonts w:ascii="Arial" w:cs="Arial" w:eastAsia="Arial" w:hAnsi="Arial"/>
          <w:sz w:val="18"/>
          <w:szCs w:val="18"/>
          <w:u w:val="single" w:color="auto"/>
          <w:color w:val="auto"/>
        </w:rPr>
        <w:t>Articles 17 or 18</w:t>
      </w:r>
      <w:r>
        <w:rPr>
          <w:rFonts w:ascii="Arial" w:cs="Arial" w:eastAsia="Arial" w:hAnsi="Arial"/>
          <w:sz w:val="18"/>
          <w:szCs w:val="18"/>
          <w:color w:val="auto"/>
        </w:rPr>
        <w:t xml:space="preserve"> of this Lease where such failure continues for more than five (5) business days after notice from Landlord; or</w:t>
      </w:r>
    </w:p>
    <w:p>
      <w:pPr>
        <w:spacing w:after="0" w:line="6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19.1.6 The failure by Tenant to observe or perform according to the provisions of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of this Lease where such failure continues for more than ten (10) business days after notice from Landlord; or</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19.1.7 Tenant’s failure to occupy the Premises within one hundred twenty (120) days after the Lease Commencement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113"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u w:val="single" w:color="auto"/>
          <w:color w:val="auto"/>
        </w:rPr>
        <w:t>Remedies Upon Default</w:t>
      </w:r>
      <w:r>
        <w:rPr>
          <w:rFonts w:ascii="Arial" w:cs="Arial" w:eastAsia="Arial" w:hAnsi="Arial"/>
          <w:sz w:val="18"/>
          <w:szCs w:val="18"/>
          <w:color w:val="auto"/>
        </w:rPr>
        <w:t>. Upon the occurrence of any event of default by Tenant, Landlord shall have, in addition to any other remedies available to Landlord at law or in equity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459" w:name="page460"/>
    <w:bookmarkEnd w:id="459"/>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which remedies shall be distinct, separate and cumulative), the option to pursue any one or more of the following remedies, each and all of which shall be cumulative and nonexclusive, without any notice or demand whatsoever (except as otherwise expressly set forth in this Lease).</w:t>
      </w:r>
    </w:p>
    <w:p>
      <w:pPr>
        <w:spacing w:after="0" w:line="3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79" w:lineRule="exact"/>
        <w:rPr>
          <w:sz w:val="20"/>
          <w:szCs w:val="20"/>
          <w:color w:val="auto"/>
        </w:rPr>
      </w:pPr>
    </w:p>
    <w:p>
      <w:pPr>
        <w:ind w:left="1740" w:hanging="248"/>
        <w:spacing w:after="0"/>
        <w:tabs>
          <w:tab w:leader="none" w:pos="17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pacing w:after="0" w:line="117" w:lineRule="exact"/>
        <w:rPr>
          <w:rFonts w:ascii="Arial" w:cs="Arial" w:eastAsia="Arial" w:hAnsi="Arial"/>
          <w:sz w:val="18"/>
          <w:szCs w:val="18"/>
          <w:color w:val="auto"/>
        </w:rPr>
      </w:pPr>
    </w:p>
    <w:p>
      <w:pPr>
        <w:ind w:firstLine="1492"/>
        <w:spacing w:after="0" w:line="277" w:lineRule="auto"/>
        <w:tabs>
          <w:tab w:leader="none" w:pos="173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380" w:firstLine="1492"/>
        <w:spacing w:after="0" w:line="277" w:lineRule="auto"/>
        <w:tabs>
          <w:tab w:leader="none" w:pos="172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80" w:firstLine="1492"/>
        <w:spacing w:after="0" w:line="259" w:lineRule="auto"/>
        <w:tabs>
          <w:tab w:leader="none" w:pos="173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07"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19.2</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19.2.1(a) and (b)</w:t>
      </w:r>
      <w:r>
        <w:rPr>
          <w:rFonts w:ascii="Arial" w:cs="Arial" w:eastAsia="Arial" w:hAnsi="Arial"/>
          <w:sz w:val="17"/>
          <w:szCs w:val="17"/>
          <w:color w:val="auto"/>
        </w:rPr>
        <w:t xml:space="preserve">, above, the “worth at the time of award” shall be computed by allowing interest at the Interest Rate. As used in </w:t>
      </w:r>
      <w:r>
        <w:rPr>
          <w:rFonts w:ascii="Arial" w:cs="Arial" w:eastAsia="Arial" w:hAnsi="Arial"/>
          <w:sz w:val="17"/>
          <w:szCs w:val="17"/>
          <w:u w:val="single" w:color="auto"/>
          <w:color w:val="auto"/>
        </w:rPr>
        <w:t>Section 19.2.1(c)</w:t>
      </w:r>
      <w:r>
        <w:rPr>
          <w:rFonts w:ascii="Arial" w:cs="Arial" w:eastAsia="Arial" w:hAnsi="Arial"/>
          <w:sz w:val="17"/>
          <w:szCs w:val="17"/>
          <w:color w:val="auto"/>
        </w:rPr>
        <w:t>, above, the “worth at the time of award” shall be computed by discounting such amount at the discount rate of the Federal Reserve Bank of San Francisco at the time of award plus one percent (1%).</w:t>
      </w:r>
    </w:p>
    <w:p>
      <w:pPr>
        <w:spacing w:after="0" w:line="6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460" w:name="page461"/>
    <w:bookmarkEnd w:id="460"/>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 and 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7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4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Form of Payment After Default</w:t>
      </w:r>
      <w:r>
        <w:rPr>
          <w:rFonts w:ascii="Arial" w:cs="Arial" w:eastAsia="Arial" w:hAnsi="Arial"/>
          <w:sz w:val="18"/>
          <w:szCs w:val="18"/>
          <w:color w:val="auto"/>
        </w:rPr>
        <w:t>. Following the occurrence of the second (2</w:t>
      </w:r>
      <w:r>
        <w:rPr>
          <w:rFonts w:ascii="Arial" w:cs="Arial" w:eastAsia="Arial" w:hAnsi="Arial"/>
          <w:sz w:val="15"/>
          <w:szCs w:val="15"/>
          <w:color w:val="auto"/>
        </w:rPr>
        <w:t>nd</w:t>
      </w:r>
      <w:r>
        <w:rPr>
          <w:rFonts w:ascii="Arial" w:cs="Arial" w:eastAsia="Arial" w:hAnsi="Arial"/>
          <w:sz w:val="18"/>
          <w:szCs w:val="18"/>
          <w:color w:val="auto"/>
        </w:rPr>
        <w:t>) event of economic default by Tenant (beyond all applicable notice and cure periods) occurring within any twelve (12) month period, Landlord shall have the right to require that any or all subsequent amounts paid by Tenant to Landlord hereunder, whether to cure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7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76" w:lineRule="exact"/>
        <w:rPr>
          <w:sz w:val="20"/>
          <w:szCs w:val="20"/>
          <w:color w:val="auto"/>
        </w:rPr>
      </w:pPr>
    </w:p>
    <w:p>
      <w:pPr>
        <w:jc w:val="both"/>
        <w:ind w:right="40" w:firstLine="913"/>
        <w:spacing w:after="0" w:line="289"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b w:val="1"/>
          <w:bCs w:val="1"/>
          <w:u w:val="single" w:color="auto"/>
          <w:color w:val="auto"/>
        </w:rPr>
        <w:t>Landlord Default</w:t>
      </w:r>
      <w:r>
        <w:rPr>
          <w:rFonts w:ascii="Arial" w:cs="Arial" w:eastAsia="Arial" w:hAnsi="Arial"/>
          <w:sz w:val="16"/>
          <w:szCs w:val="16"/>
          <w:color w:val="auto"/>
        </w:rPr>
        <w:t>. Notwithstanding anything to the contrary set forth in this Lease, Landlord shall be in default in the 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w:t>
      </w:r>
    </w:p>
    <w:p>
      <w:pPr>
        <w:spacing w:after="0" w:line="2" w:lineRule="exact"/>
        <w:rPr>
          <w:sz w:val="20"/>
          <w:szCs w:val="20"/>
          <w:color w:val="auto"/>
        </w:rPr>
      </w:pPr>
    </w:p>
    <w:p>
      <w:pPr>
        <w:ind w:left="360" w:hanging="352"/>
        <w:spacing w:after="0"/>
        <w:tabs>
          <w:tab w:leader="none" w:pos="36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days are required for its performance, then Landlord shall not be in default under this Lease if it shall commence such performance within such thirty</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day period and thereafter diligently pursues the same to completion. Upon any such default by Landlord under this Lease, Tenant may, except as</w:t>
      </w:r>
    </w:p>
    <w:p>
      <w:pPr>
        <w:spacing w:after="0" w:line="20" w:lineRule="exact"/>
        <w:rPr>
          <w:rFonts w:ascii="Arial" w:cs="Arial" w:eastAsia="Arial" w:hAnsi="Arial"/>
          <w:sz w:val="17"/>
          <w:szCs w:val="17"/>
          <w:color w:val="auto"/>
        </w:rPr>
      </w:pPr>
    </w:p>
    <w:p>
      <w:pPr>
        <w:ind w:right="160"/>
        <w:spacing w:after="0" w:line="302" w:lineRule="auto"/>
        <w:rPr>
          <w:rFonts w:ascii="Arial" w:cs="Arial" w:eastAsia="Arial" w:hAnsi="Arial"/>
          <w:sz w:val="17"/>
          <w:szCs w:val="17"/>
          <w:color w:val="auto"/>
        </w:rPr>
      </w:pPr>
      <w:r>
        <w:rPr>
          <w:rFonts w:ascii="Arial" w:cs="Arial" w:eastAsia="Arial" w:hAnsi="Arial"/>
          <w:sz w:val="16"/>
          <w:szCs w:val="16"/>
          <w:color w:val="auto"/>
        </w:rPr>
        <w:t>otherwise specifically provided in this Lease to the contrary, exercise any of its rights provided at law or in equity. Any award from a court or arbitrator in favor of Tenant requiring payment by Landlord which is not paid by Landlord within the time period directed by such award, may be offset by Tenant from Rent next due and payable under this Lease; provided, however, Tenant may not deduct the amount of the award against more than fifty percent (50%)</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4" w:right="299" w:bottom="1440" w:gutter="0" w:footer="0" w:header="0"/>
        </w:sectPr>
      </w:pPr>
    </w:p>
    <w:bookmarkStart w:id="461" w:name="page462"/>
    <w:bookmarkEnd w:id="46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Base Rent next due and owing (until such time as the entire amount of such judgment is deducted) to the extent following a foreclosure or a deed-in-lieu of foreclosure.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 OF QUIET ENJOYMENT</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Landlord covenants that Tenant, on paying the Rent, charges for services and other payments herein reserved and on keeping, observing and performing all the other TCCs, provisions and agreements herein contained on the part of Tenant to be kept, observed and performed,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 DEPOSIT</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Concurrent with Tenant’s execution of this Lease, Tenant shall deposit with Landlord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Summary, as security for the faithful performance by Tenant of all of its obligations under this Lease. If Tenant defaults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thirty (30) days following the expiration of the Lease Term. Tenant shall not be entitled to any interest on the Security Deposit. Tenant hereby irrevocably waives and relinquishes any and all rights, benefits, or protections, if any, Tenant now has, or in the future may have, under </w:t>
      </w:r>
      <w:r>
        <w:rPr>
          <w:rFonts w:ascii="Arial" w:cs="Arial" w:eastAsia="Arial" w:hAnsi="Arial"/>
          <w:sz w:val="16"/>
          <w:szCs w:val="16"/>
          <w:u w:val="single" w:color="auto"/>
          <w:color w:val="auto"/>
        </w:rPr>
        <w:t>Section 1950.7</w:t>
      </w:r>
      <w:r>
        <w:rPr>
          <w:rFonts w:ascii="Arial" w:cs="Arial" w:eastAsia="Arial" w:hAnsi="Arial"/>
          <w:sz w:val="16"/>
          <w:szCs w:val="16"/>
          <w:color w:val="auto"/>
        </w:rPr>
        <w:t xml:space="preserve"> of the California Civil Code, any successor statute, and all other provisions of law, now or hereafter in effect, including, but not limited to, any provision of law which (i) establishes the time frame by which a landlord must refund a security deposit under a lease, or (ii) provides that a landlord may claim from a security deposit only those sums reasonably necessary to remedy defaults in the payment of rent, to repair damage caused by a tenant, or to clean the subject premises. Tenant acknowledges and agrees that (A) any statutory time frames for the return of a security deposit are superseded by the express period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(B) rather than be so limited, Landlord may claim from the Security Deposit (i) any and all sums expressly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(ii) any additional sums reasonably necessary to compensate Landlord for any and all losses or damages caused by Tenant’s default of this Lease, including, but not limited to, all damages or rent due upon termination of this Lease pursuant to </w:t>
      </w:r>
      <w:r>
        <w:rPr>
          <w:rFonts w:ascii="Arial" w:cs="Arial" w:eastAsia="Arial" w:hAnsi="Arial"/>
          <w:sz w:val="16"/>
          <w:szCs w:val="16"/>
          <w:u w:val="single" w:color="auto"/>
          <w:color w:val="auto"/>
        </w:rPr>
        <w:t>Section 1951.2</w:t>
      </w:r>
      <w:r>
        <w:rPr>
          <w:rFonts w:ascii="Arial" w:cs="Arial" w:eastAsia="Arial" w:hAnsi="Arial"/>
          <w:sz w:val="16"/>
          <w:szCs w:val="16"/>
          <w:color w:val="auto"/>
        </w:rPr>
        <w:t xml:space="preserve"> of the California Civil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462" w:name="page463"/>
    <w:bookmarkEnd w:id="46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Delivery of Letter of Credit</w:t>
      </w:r>
      <w:r>
        <w:rPr>
          <w:rFonts w:ascii="Arial" w:cs="Arial" w:eastAsia="Arial" w:hAnsi="Arial"/>
          <w:sz w:val="16"/>
          <w:szCs w:val="16"/>
          <w:color w:val="auto"/>
        </w:rPr>
        <w:t>. Tenant shall deliver to Landlord, within forty-five (45) days following Tenant’s execution of this Lease, an unconditional, clean, irrevocable letter of credit (the “</w:t>
      </w:r>
      <w:r>
        <w:rPr>
          <w:rFonts w:ascii="Arial" w:cs="Arial" w:eastAsia="Arial" w:hAnsi="Arial"/>
          <w:sz w:val="16"/>
          <w:szCs w:val="16"/>
          <w:b w:val="1"/>
          <w:bCs w:val="1"/>
          <w:color w:val="auto"/>
        </w:rPr>
        <w:t>L-C</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L-C Amount</w:t>
      </w:r>
      <w:r>
        <w:rPr>
          <w:rFonts w:ascii="Arial" w:cs="Arial" w:eastAsia="Arial" w:hAnsi="Arial"/>
          <w:sz w:val="16"/>
          <w:szCs w:val="16"/>
          <w:color w:val="auto"/>
        </w:rPr>
        <w:t>”), which L-C shall be issued by a money-center, solvent and nationally recognized bank (a bank which accepts deposits, maintains accounts, has a local San Diego office which will negotiate a letter of credit, and whose deposits are insured by the FDIC) reasonably acceptable to Landlord, and Landlord hereby pre-approves UBS Bank USA (such approved, issuing bank being referred to herein as the “</w:t>
      </w:r>
      <w:r>
        <w:rPr>
          <w:rFonts w:ascii="Arial" w:cs="Arial" w:eastAsia="Arial" w:hAnsi="Arial"/>
          <w:sz w:val="16"/>
          <w:szCs w:val="16"/>
          <w:b w:val="1"/>
          <w:bCs w:val="1"/>
          <w:color w:val="auto"/>
        </w:rPr>
        <w:t>Bank</w:t>
      </w:r>
      <w:r>
        <w:rPr>
          <w:rFonts w:ascii="Arial" w:cs="Arial" w:eastAsia="Arial" w:hAnsi="Arial"/>
          <w:sz w:val="16"/>
          <w:szCs w:val="16"/>
          <w:color w:val="auto"/>
        </w:rPr>
        <w:t>”), which Bank must have a short term Fitch Rating which is not less than “F l “, and a long term Fitch Rating which is not less than “A”(or in the event such Fitch Ratings are no longer available, a comparable rating from Standard and Poor’ s Professional Rating Service or Moody’s Professional Rating Service) (collectively, the “</w:t>
      </w:r>
      <w:r>
        <w:rPr>
          <w:rFonts w:ascii="Arial" w:cs="Arial" w:eastAsia="Arial" w:hAnsi="Arial"/>
          <w:sz w:val="16"/>
          <w:szCs w:val="16"/>
          <w:b w:val="1"/>
          <w:bCs w:val="1"/>
          <w:color w:val="auto"/>
        </w:rPr>
        <w:t>Bank’s Credit Rating Threshold</w:t>
      </w:r>
      <w:r>
        <w:rPr>
          <w:rFonts w:ascii="Arial" w:cs="Arial" w:eastAsia="Arial" w:hAnsi="Arial"/>
          <w:sz w:val="16"/>
          <w:szCs w:val="16"/>
          <w:color w:val="auto"/>
        </w:rPr>
        <w:t xml:space="preserve">”), and which L-C shall be substantially in the form of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attached hereto. Tenant shall pay all expenses, points and/or fees incurred by Tenant in obtaining the L-C. The L-C shall (i) be “callable” at sight, irrevocable and unconditional, (ii) be maintained in effect, whether through renewal or extension, for the period commencing on the date of issuance of such L-C and continuing until the date (the “</w:t>
      </w:r>
      <w:r>
        <w:rPr>
          <w:rFonts w:ascii="Arial" w:cs="Arial" w:eastAsia="Arial" w:hAnsi="Arial"/>
          <w:sz w:val="16"/>
          <w:szCs w:val="16"/>
          <w:b w:val="1"/>
          <w:bCs w:val="1"/>
          <w:color w:val="auto"/>
        </w:rPr>
        <w:t>L-C Expiration Date</w:t>
      </w:r>
      <w:r>
        <w:rPr>
          <w:rFonts w:ascii="Arial" w:cs="Arial" w:eastAsia="Arial" w:hAnsi="Arial"/>
          <w:sz w:val="16"/>
          <w:szCs w:val="16"/>
          <w:color w:val="auto"/>
        </w:rPr>
        <w:t>”) that is no less than one hundred twenty (120) days after the expiration of the Lease Term, as the same may be extended,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 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or (B) Tenant has filed a voluntary petition under the U. S. Bankruptcy Code or any state bankruptcy code (collectively, “</w:t>
      </w:r>
      <w:r>
        <w:rPr>
          <w:rFonts w:ascii="Arial" w:cs="Arial" w:eastAsia="Arial" w:hAnsi="Arial"/>
          <w:sz w:val="16"/>
          <w:szCs w:val="16"/>
          <w:b w:val="1"/>
          <w:bCs w:val="1"/>
          <w:color w:val="auto"/>
        </w:rPr>
        <w:t>Bankruptcy Code</w:t>
      </w:r>
      <w:r>
        <w:rPr>
          <w:rFonts w:ascii="Arial" w:cs="Arial" w:eastAsia="Arial" w:hAnsi="Arial"/>
          <w:sz w:val="16"/>
          <w:szCs w:val="16"/>
          <w:color w:val="auto"/>
        </w:rPr>
        <w:t>”), or (C) an involuntary petition has been filed against Tenant under the Bankruptcy Code, or (D) the Bank has notified Landlord that the L-C will not be renewed or extended through the L-C Expiration Date, or (E) Tenant is placed into receivership or conservatorship, or becomes subject to similar proceedings under Federal or State law, or</w:t>
      </w:r>
    </w:p>
    <w:p>
      <w:pPr>
        <w:spacing w:after="0" w:line="2" w:lineRule="exact"/>
        <w:rPr>
          <w:sz w:val="20"/>
          <w:szCs w:val="20"/>
          <w:color w:val="auto"/>
        </w:rPr>
      </w:pPr>
    </w:p>
    <w:p>
      <w:pPr>
        <w:ind w:right="60" w:firstLine="8"/>
        <w:spacing w:after="0" w:line="252" w:lineRule="auto"/>
        <w:tabs>
          <w:tab w:leader="none" w:pos="26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Tenant executes an assignment for the benefit of creditors, or (G) if (I)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(including, but not limited to, the requirements placed on the issuing Bank more particularly set forth in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above), in the amount of the applicable L-C Amount, within ten (IO)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8"/>
          <w:szCs w:val="18"/>
          <w:b w:val="1"/>
          <w:bCs w:val="1"/>
          <w:color w:val="auto"/>
        </w:rPr>
        <w:t>L-C Draw Event</w:t>
      </w:r>
      <w:r>
        <w:rPr>
          <w:rFonts w:ascii="Arial" w:cs="Arial" w:eastAsia="Arial" w:hAnsi="Arial"/>
          <w:sz w:val="18"/>
          <w:szCs w:val="18"/>
          <w:color w:val="auto"/>
        </w:rPr>
        <w:t>”). The L-C shall be honored by the Bank regardless of whether Tenant disputes Landlord’s right to draw upon the L-C. In addition, in the event the Bank is placed into receivership or conservatorship by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69" w:right="239" w:bottom="1440" w:gutter="0" w:footer="0" w:header="0"/>
        </w:sectPr>
      </w:pPr>
    </w:p>
    <w:bookmarkStart w:id="463" w:name="page464"/>
    <w:bookmarkEnd w:id="463"/>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and, within ten (10) days following Landlord’s notice to Tenant of such receivership or conservatorship (the “</w:t>
      </w:r>
      <w:r>
        <w:rPr>
          <w:rFonts w:ascii="Arial" w:cs="Arial" w:eastAsia="Arial" w:hAnsi="Arial"/>
          <w:sz w:val="16"/>
          <w:szCs w:val="16"/>
          <w:b w:val="1"/>
          <w:bCs w:val="1"/>
          <w:color w:val="auto"/>
        </w:rPr>
        <w:t>L-C FDIC Replacement Notice</w:t>
      </w:r>
      <w:r>
        <w:rPr>
          <w:rFonts w:ascii="Arial" w:cs="Arial" w:eastAsia="Arial" w:hAnsi="Arial"/>
          <w:sz w:val="16"/>
          <w:szCs w:val="16"/>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If Tenant fails to replace such L-C with such conforming, substitute letter of credit pursuant to the terms and conditions of this </w:t>
      </w:r>
      <w:r>
        <w:rPr>
          <w:rFonts w:ascii="Arial" w:cs="Arial" w:eastAsia="Arial" w:hAnsi="Arial"/>
          <w:sz w:val="16"/>
          <w:szCs w:val="16"/>
          <w:u w:val="single" w:color="auto"/>
          <w:color w:val="auto"/>
        </w:rPr>
        <w:t>Section 22.1</w:t>
      </w:r>
      <w:r>
        <w:rPr>
          <w:rFonts w:ascii="Arial" w:cs="Arial" w:eastAsia="Arial" w:hAnsi="Arial"/>
          <w:sz w:val="16"/>
          <w:szCs w:val="16"/>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spacing w:after="0" w:line="5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Application of L-C</w:t>
      </w:r>
      <w:r>
        <w:rPr>
          <w:rFonts w:ascii="Arial" w:cs="Arial" w:eastAsia="Arial" w:hAnsi="Arial"/>
          <w:sz w:val="16"/>
          <w:szCs w:val="16"/>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draw upon the L-C, in part or in whole,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No condition or term of this Lease shall be deemed to render the L-C conditional to justify the issuer of the L-C in failing to honor a drawing upon such L-C in a timely manner. Tenant agrees and acknowledges that the L-C constitutes a separate and independent contract between Landlord and the Bank, Tenant is not a third party beneficiary of such contract, (iii) Tenant has no property interest whatsoever in the L-C or the proceeds thereof, and</w:t>
      </w:r>
    </w:p>
    <w:p>
      <w:pPr>
        <w:ind w:right="80" w:firstLine="8"/>
        <w:spacing w:after="0" w:line="254" w:lineRule="auto"/>
        <w:tabs>
          <w:tab w:leader="none" w:pos="30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L-C Amount; Maintenance of L-C by Tenant; Liquidated Damages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22.3.1 </w:t>
      </w:r>
      <w:r>
        <w:rPr>
          <w:rFonts w:ascii="Arial" w:cs="Arial" w:eastAsia="Arial" w:hAnsi="Arial"/>
          <w:sz w:val="18"/>
          <w:szCs w:val="18"/>
          <w:b w:val="1"/>
          <w:bCs w:val="1"/>
          <w:u w:val="single" w:color="auto"/>
          <w:color w:val="auto"/>
        </w:rPr>
        <w:t>L-C Amount</w:t>
      </w:r>
      <w:r>
        <w:rPr>
          <w:rFonts w:ascii="Arial" w:cs="Arial" w:eastAsia="Arial" w:hAnsi="Arial"/>
          <w:sz w:val="18"/>
          <w:szCs w:val="18"/>
          <w:color w:val="auto"/>
        </w:rPr>
        <w:t>. The L-C Amount shall initially be equal to One Hundred Sixty Thousand and 00/100 Dollars ($160,000.00).</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3" w:right="259" w:bottom="1440" w:gutter="0" w:footer="0" w:header="0"/>
        </w:sectPr>
      </w:pPr>
    </w:p>
    <w:bookmarkStart w:id="464" w:name="page465"/>
    <w:bookmarkEnd w:id="464"/>
    <w:p>
      <w:pPr>
        <w:ind w:right="10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22.3.2 </w:t>
      </w:r>
      <w:r>
        <w:rPr>
          <w:rFonts w:ascii="Arial" w:cs="Arial" w:eastAsia="Arial" w:hAnsi="Arial"/>
          <w:sz w:val="18"/>
          <w:szCs w:val="18"/>
          <w:b w:val="1"/>
          <w:bCs w:val="1"/>
          <w:u w:val="single" w:color="auto"/>
          <w:color w:val="auto"/>
        </w:rPr>
        <w:t>Reduction of L-C Amount</w:t>
      </w:r>
      <w:r>
        <w:rPr>
          <w:rFonts w:ascii="Arial" w:cs="Arial" w:eastAsia="Arial" w:hAnsi="Arial"/>
          <w:sz w:val="18"/>
          <w:szCs w:val="18"/>
          <w:color w:val="auto"/>
        </w:rPr>
        <w:t>. To the extent that Tenant is not in default under this Lease (beyond the applicable notice and cure period set forth in this Lease), the L-C Amount shall be reduced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Date of Reduction</w:t>
            </w:r>
          </w:p>
        </w:tc>
        <w:tc>
          <w:tcPr>
            <w:tcW w:w="3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color w:val="auto"/>
              </w:rPr>
              <w:t>L-C Amount</w:t>
            </w:r>
          </w:p>
        </w:tc>
      </w:tr>
      <w:tr>
        <w:trPr>
          <w:trHeight w:val="203"/>
        </w:trPr>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1, 2012</w:t>
            </w:r>
          </w:p>
        </w:tc>
        <w:tc>
          <w:tcPr>
            <w:tcW w:w="2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135,000.00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September 1, 2013</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110,000.00</w:t>
            </w: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2014</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85,000.00</w:t>
            </w:r>
          </w:p>
        </w:tc>
        <w:tc>
          <w:tcPr>
            <w:tcW w:w="100" w:type="dxa"/>
            <w:vAlign w:val="bottom"/>
            <w:shd w:val="clear" w:color="auto" w:fill="CCEEFF"/>
          </w:tcPr>
          <w:p>
            <w:pPr>
              <w:spacing w:after="0"/>
              <w:rPr>
                <w:sz w:val="18"/>
                <w:szCs w:val="18"/>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September 1, 2015</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60,000.00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22.3.2</w:t>
      </w:r>
      <w:r>
        <w:rPr>
          <w:rFonts w:ascii="Arial" w:cs="Arial" w:eastAsia="Arial" w:hAnsi="Arial"/>
          <w:sz w:val="16"/>
          <w:szCs w:val="16"/>
          <w:color w:val="auto"/>
        </w:rPr>
        <w:t>, in no event shall the L-C Amount as set forth above decrease during any period in which Tenant is in default under this Lease (beyond any applicable notice and cure periods), but such decrease shall take place retroactively after such default is cured, provided that no such decrease shall thereafter take effect in the event this Lease is terminated early due to such default by Tenant.</w:t>
      </w:r>
    </w:p>
    <w:p>
      <w:pPr>
        <w:spacing w:after="0" w:line="3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22.3.3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xml:space="preserve">. If, as a result of any drawing by Landlord of all or any portion of the L-C, the amount of the L-C shall be less than the L-C Amount, Tenant shall, within ten (10) days thereafter, provide Landlord with additional letter(s) of credit in an amount equal to the deficiency, and any such additional letter(s) of credit shall comply with all of the provisions of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and if Tenant fails to comply with the foregoing, the same shall be subject to the terms of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 extend the Lease Term pursuant to Section 2.3 of this Lease then, not later than one hundred twenty (120) days prior to the commencement of the applicable Option Term, Tenant shall deliver to Landlord a new L-C or certificate of renewal or extension evidencing the L-C Expiration Date as one hundred twenty (120) days after the expiration of the Option Term. However, if the L-C is not timely renewed, or if Tenant fails to maintain the L-C in the amount and in accordance with the terms set forth in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Landlord shall have the right to either (x) present the L-C to the Bank in accordance with the terms of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or (y) pursue its remedy under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below. In the event Landlord elects to exercise its rights under the foregoing item (x), (I) any unused proceeds shall constitute the property of Landlord (and not Tenant’s property or, in the event of 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0" w:right="279" w:bottom="1440" w:gutter="0" w:footer="0" w:header="0"/>
        </w:sectPr>
      </w:pPr>
    </w:p>
    <w:bookmarkStart w:id="465" w:name="page466"/>
    <w:bookmarkEnd w:id="46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receivership, conservatorship, or a bankruptcy filing by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67" w:lineRule="exact"/>
        <w:rPr>
          <w:sz w:val="20"/>
          <w:szCs w:val="20"/>
          <w:color w:val="auto"/>
        </w:rPr>
      </w:pPr>
    </w:p>
    <w:p>
      <w:pPr>
        <w:ind w:firstLine="913"/>
        <w:spacing w:after="0" w:line="252" w:lineRule="auto"/>
        <w:rPr>
          <w:sz w:val="20"/>
          <w:szCs w:val="20"/>
          <w:color w:val="auto"/>
        </w:rPr>
      </w:pPr>
      <w:r>
        <w:rPr>
          <w:rFonts w:ascii="Arial" w:cs="Arial" w:eastAsia="Arial" w:hAnsi="Arial"/>
          <w:sz w:val="18"/>
          <w:szCs w:val="18"/>
          <w:color w:val="auto"/>
        </w:rPr>
        <w:t xml:space="preserve">22.3.4 </w:t>
      </w:r>
      <w:r>
        <w:rPr>
          <w:rFonts w:ascii="Arial" w:cs="Arial" w:eastAsia="Arial" w:hAnsi="Arial"/>
          <w:sz w:val="18"/>
          <w:szCs w:val="18"/>
          <w:b w:val="1"/>
          <w:bCs w:val="1"/>
          <w:u w:val="single" w:color="auto"/>
          <w:color w:val="auto"/>
        </w:rPr>
        <w:t>FAILURE TO MAINTAIN; REPLACE AND/OR REINSTATE L-C; LIQUIDATED DAMAGES</w:t>
      </w:r>
      <w:r>
        <w:rPr>
          <w:rFonts w:ascii="Arial" w:cs="Arial" w:eastAsia="Arial" w:hAnsi="Arial"/>
          <w:sz w:val="18"/>
          <w:szCs w:val="18"/>
          <w:color w:val="auto"/>
        </w:rPr>
        <w:t xml:space="preserve">. IN THE EVENT THAT TENANT FAILS, WITHIN (I) THAT PERIOD SET FORTH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ABOVE, OR (II) THAT PERIOD SET FORTH IN THE L-C FDIC REPLACEMENT NOTICE, TO PROVIDE LANDLORD WITH ADDITIONAL L-C(S) IN AN AMOUNT EQUAL TO THE DEFICIENCY OR A REPLACEMENT L-C (AS APPLICABLE), THEN TENANT’S MONTHLY INSTALLMENT OF BASE RENT SHALL BE INCREASED TO ONE HUNDRED TEN PERCENT (110%) OF ITS THEN EXISTING LEVEL DURING THE PERIOD COMMENCING ON THE DATE WHICH IS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AND ENDING ON THE EARLIER TO OCCUR OF (X) THE DATE TENANT PROVIDES LANDLORD WITH ADDITIONAL L-C(S) IN AN AMOUNT EQUAL TO THE DEFICIENCY AS CONTEMPLATED BY THE TERMS OF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ABOVE, OR THE L-C FDIC REPLACEMENT NOTICE (AS APPLICABLE), OR (Y) THE DATE WHICH IS NINETY (90) DAYS AFTER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IN THE EVENT THAT TENANT FAILS, DURING SUCH NINETY (90) DAY PERIOD FOLLOWING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TO PROVIDE LANDLORD WITH ADDITIONAL L-C(S) IN AN AMOUNT EQUAL TO THE DEFICIENCY OR A REPLACEMENT L-C (AS APPLICABLE), THEN TENANT’S MONTHLY INSTALLMENT OF BASE RENT SHALL BE INCREASED TO ONE HUNDRED TWENTY PERCENT (120%) OF ITS THEN EXISTING LEVEL DURING THE PERIOD COMMENCING ON THE DATE WHICH IS NINETY (90) DAYS AFTER THE LAST DAY OF THE PERIOD IDENTIFIED IN </w:t>
      </w:r>
      <w:r>
        <w:rPr>
          <w:rFonts w:ascii="Arial" w:cs="Arial" w:eastAsia="Arial" w:hAnsi="Arial"/>
          <w:sz w:val="18"/>
          <w:szCs w:val="18"/>
          <w:u w:val="single" w:color="auto"/>
          <w:color w:val="auto"/>
        </w:rPr>
        <w:t>SECTION 22.3.2</w:t>
      </w:r>
      <w:r>
        <w:rPr>
          <w:rFonts w:ascii="Arial" w:cs="Arial" w:eastAsia="Arial" w:hAnsi="Arial"/>
          <w:sz w:val="18"/>
          <w:szCs w:val="18"/>
          <w:color w:val="auto"/>
        </w:rPr>
        <w:t xml:space="preserve"> OR THE L-C FDIC REPLACEMENT NOTICE (AS APPLICABLE) AND ENDING ON THE DATE SUCH ADDITIONAL L-C(S) ARE ISSUED IN AN AMOUNT EQUAL TO THE DEFICIENCY OR SUCH A REPLACEMENT L-C IS ISSUED (AS APPLICABLE) PURSUANT TO THE TERMS OF SECTION 22.3.2 OR THE L-C FDIC REPLACEMENT NOTICE (AS APPLICABLE). THE PARTIES AGREE THAT IT WOULD BE IMPRACTICABLE AND EXTREMELY DIFFICULT TO ASCERTAIN THE ACTUAL DAMAGES SUFFERED BY LANDLORD AS A RESULT OF TENANT’S FAILURE TO TIMELY PROVIDE LANDLORD WITH ADDITIONAL L-C(S) IN AN AMOUNT EQUAL TO THE DEFICIENCY AS REQUIRED IN </w:t>
      </w:r>
      <w:r>
        <w:rPr>
          <w:rFonts w:ascii="Arial" w:cs="Arial" w:eastAsia="Arial" w:hAnsi="Arial"/>
          <w:sz w:val="18"/>
          <w:szCs w:val="18"/>
          <w:u w:val="single" w:color="auto"/>
          <w:color w:val="auto"/>
        </w:rPr>
        <w:t>SECTION 22.3.2</w:t>
      </w:r>
      <w:r>
        <w:rPr>
          <w:rFonts w:ascii="Arial" w:cs="Arial" w:eastAsia="Arial" w:hAnsi="Arial"/>
          <w:sz w:val="18"/>
          <w:szCs w:val="18"/>
          <w:color w:val="auto"/>
        </w:rPr>
        <w:t>, OR A REPLACEMENT L-C AS CONTEMPLATED BY THE L-C FDIC REPLACEMENT NOTICE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466" w:name="page467"/>
    <w:bookmarkEnd w:id="466"/>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APPLICABLE), AND THAT UNDER THE CIRCUMSTANCES EXISTING AS OF THE EFFECTIVE DATE, THE LIQUIDATED DAMAGES PROVIDED FOR IN THIS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REPRESENT A REASONABLE ESTIMATE OF THE DAMAGES WHICH LANDLORD WILL INCUR AS A RESULT OF SUCH FAILURE, PROVIDED, HOWEVER, THAT THIS PROVISION SHALL NOT WAIVE OR AFFECT LANDLORD’S RIGHTS AND TENANT’S INDEMNITY OBLIGATIONS UNDER OTHER SECTIONS OF THIS LEASE (EXCEPT THAT THE PARTIES SPECIFICALLY AGREE THAT THE FOREGOING PROVISION WAS AGREED TO IN LIEU OF MAKING FAILURE TO PROVIDE LANDLORD WITH ADDITIONAL L-C(S) IN AN AMOUNT EQUAL TO THE DEFICIENCY OR A REPLACEMENT L-C (AS APPLICABLE) A DEFAULT UNDER THIS LEASE). THE PARTIES ACKNOWLEDGE THAT THE PAYMENT OF SUCH LIQUIDATED DAMAGES IS NOT INTENDED AS A FORFEITURE OR PENALTY WITHIN THE MEANING OF CALIFORNIA CIVIL CODE SECTION 3275 OR 3369, BUT IS INTENDED TO CONSTITUTE LIQUIDATED DAMAGES TO LANDLORD PURSUANT TO CALIFORNIA CIVIL CODE SECTION 1671. THE PARTIES HAVE SET FORTH THEIR INITIALS BELOW TO INDICATE THEIR AGREEMENT WITH THE LIQUIDATED DAMAGES PROVISION CONTAINED IN THIS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200" w:lineRule="exact"/>
        <w:rPr>
          <w:sz w:val="20"/>
          <w:szCs w:val="20"/>
          <w:color w:val="auto"/>
        </w:rPr>
      </w:pPr>
    </w:p>
    <w:tbl>
      <w:tblPr>
        <w:tblLayout w:type="fixed"/>
        <w:tblInd w:w="3200" w:type="dxa"/>
        <w:tblCellMar>
          <w:top w:w="0" w:type="dxa"/>
          <w:left w:w="0" w:type="dxa"/>
          <w:bottom w:w="0" w:type="dxa"/>
          <w:right w:w="0" w:type="dxa"/>
        </w:tblCellMar>
      </w:tblPr>
      <w:tr>
        <w:trPr>
          <w:trHeight w:val="181"/>
        </w:trPr>
        <w:tc>
          <w:tcPr>
            <w:tcW w:w="264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ACK</w:t>
            </w:r>
          </w:p>
        </w:tc>
        <w:tc>
          <w:tcPr>
            <w:tcW w:w="240" w:type="dxa"/>
            <w:vAlign w:val="bottom"/>
          </w:tcPr>
          <w:p>
            <w:pPr>
              <w:spacing w:after="0"/>
              <w:rPr>
                <w:sz w:val="15"/>
                <w:szCs w:val="15"/>
                <w:color w:val="auto"/>
              </w:rPr>
            </w:pPr>
          </w:p>
        </w:tc>
        <w:tc>
          <w:tcPr>
            <w:tcW w:w="262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TES/HS</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LANDLORD’S INITIALS</w:t>
            </w:r>
          </w:p>
        </w:tc>
        <w:tc>
          <w:tcPr>
            <w:tcW w:w="2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TENANT’S INITIALS</w:t>
            </w:r>
          </w:p>
        </w:tc>
      </w:tr>
    </w:tbl>
    <w:p>
      <w:pPr>
        <w:spacing w:after="0" w:line="1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b w:val="1"/>
          <w:bCs w:val="1"/>
          <w:u w:val="single" w:color="auto"/>
          <w:color w:val="auto"/>
        </w:rPr>
        <w:t>Transfer and Encumbrance</w:t>
      </w:r>
      <w:r>
        <w:rPr>
          <w:rFonts w:ascii="Arial" w:cs="Arial" w:eastAsia="Arial" w:hAnsi="Arial"/>
          <w:sz w:val="17"/>
          <w:szCs w:val="17"/>
          <w:color w:val="auto"/>
        </w:rPr>
        <w:t>. The L-C shall also provide that Landlord may, at any time and without notice to Tenant and without first obtaining Tenant’s consent thereto, transfer (one or more times) all of its interest in and to the L-C to another party, in connection with the assignment by Landlord of its rights and interests in and to this Lease. In the event of a transfer of Landlord’s interest in under this Lease, Landlord shall transfer the L-C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execute and submit to the Bank such applications, documents and instruments as may be necessary to effectuate such transfer; provided, however, with regard to the cost of any particular transfer, Landlord shall be responsible for, and shall pay, the first $1000 of the Bank’s transfer and processing fees in connection therewith, with Tenant being responsible for any excess.</w:t>
      </w:r>
    </w:p>
    <w:p>
      <w:pPr>
        <w:spacing w:after="0" w:line="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u w:val="single" w:color="auto"/>
          <w:color w:val="auto"/>
        </w:rPr>
        <w:t>L-C Not a Security Deposit</w:t>
      </w:r>
      <w:r>
        <w:rPr>
          <w:rFonts w:ascii="Arial" w:cs="Arial" w:eastAsia="Arial" w:hAnsi="Arial"/>
          <w:sz w:val="18"/>
          <w:szCs w:val="18"/>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8"/>
          <w:szCs w:val="18"/>
          <w:b w:val="1"/>
          <w:bCs w:val="1"/>
          <w:color w:val="auto"/>
        </w:rPr>
        <w:t>Security Deposit Laws</w:t>
      </w:r>
      <w:r>
        <w:rPr>
          <w:rFonts w:ascii="Arial" w:cs="Arial" w:eastAsia="Arial" w:hAnsi="Arial"/>
          <w:sz w:val="18"/>
          <w:szCs w:val="18"/>
          <w:color w:val="auto"/>
        </w:rPr>
        <w:t>”), (2)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statue, and all other provisions of law, now or hereafter in effect, which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467" w:name="page468"/>
    <w:bookmarkEnd w:id="467"/>
    <w:p>
      <w:pPr>
        <w:ind w:right="40" w:firstLine="8"/>
        <w:spacing w:after="0" w:line="286" w:lineRule="auto"/>
        <w:tabs>
          <w:tab w:leader="none" w:pos="255" w:val="left"/>
        </w:tabs>
        <w:numPr>
          <w:ilvl w:val="0"/>
          <w:numId w:val="4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22 and/or those sums reasonably necessary to (a) compensate Landlord for any loss or damage caused by Tenant’s breach of this Lease, including any damages Landlord suffers following termination of this Lease, and/or</w:t>
      </w:r>
    </w:p>
    <w:p>
      <w:pPr>
        <w:spacing w:after="0" w:line="1" w:lineRule="exact"/>
        <w:rPr>
          <w:rFonts w:ascii="Arial" w:cs="Arial" w:eastAsia="Arial" w:hAnsi="Arial"/>
          <w:sz w:val="16"/>
          <w:szCs w:val="16"/>
          <w:color w:val="auto"/>
        </w:rPr>
      </w:pPr>
    </w:p>
    <w:p>
      <w:pPr>
        <w:ind w:right="220" w:firstLine="8"/>
        <w:spacing w:after="0" w:line="261" w:lineRule="auto"/>
        <w:tabs>
          <w:tab w:leader="none" w:pos="25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compensate Landlord for any and all damages arising out of, or incurred in connection with, the termination of this Lease, including, without limitation, those specifically identified in Section 1951.2 of the California Civil Code.</w:t>
      </w:r>
    </w:p>
    <w:p>
      <w:pPr>
        <w:spacing w:after="0" w:line="7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u w:val="single" w:color="auto"/>
          <w:color w:val="auto"/>
        </w:rPr>
        <w:t>Non-Interference By Tenant</w:t>
      </w:r>
      <w:r>
        <w:rPr>
          <w:rFonts w:ascii="Arial" w:cs="Arial" w:eastAsia="Arial" w:hAnsi="Arial"/>
          <w:sz w:val="18"/>
          <w:szCs w:val="18"/>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u w:val="single" w:color="auto"/>
          <w:color w:val="auto"/>
        </w:rPr>
        <w:t>Waiver of Certain Relief</w:t>
      </w:r>
      <w:r>
        <w:rPr>
          <w:rFonts w:ascii="Arial" w:cs="Arial" w:eastAsia="Arial" w:hAnsi="Arial"/>
          <w:sz w:val="18"/>
          <w:szCs w:val="18"/>
          <w:color w:val="auto"/>
        </w:rPr>
        <w:t>. Tenant unconditionally and irrevocably waives (and as an independent covenant hereunder, covenants not to assert) any right to claim or obtain any of the following relief in connection with the L-C:</w:t>
      </w:r>
    </w:p>
    <w:p>
      <w:pPr>
        <w:spacing w:after="0" w:line="58"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22.7.1 A temporary restraining order, temporary injunction, permanent injunction, or other order that would prevent, restrain or restrict the presentment of sight drafts drawn under any L-C or the Bank’s honoring or payment of sight draft(s); or</w:t>
      </w:r>
    </w:p>
    <w:p>
      <w:pPr>
        <w:spacing w:after="0" w:line="62"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22.7.2 Any attachment, garnishment, or levy in any manner upon either the proceeds of any L-C or the obligations of the Bank (either before or after the presentment to the Bank of sight drafts drawn under such L-C) based on any theory whatever.</w:t>
      </w:r>
    </w:p>
    <w:p>
      <w:pPr>
        <w:spacing w:after="0" w:line="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b w:val="1"/>
          <w:bCs w:val="1"/>
          <w:u w:val="single" w:color="auto"/>
          <w:color w:val="auto"/>
        </w:rPr>
        <w:t>Remedy for Improper Drafts</w:t>
      </w:r>
      <w:r>
        <w:rPr>
          <w:rFonts w:ascii="Arial" w:cs="Arial" w:eastAsia="Arial" w:hAnsi="Arial"/>
          <w:sz w:val="16"/>
          <w:szCs w:val="16"/>
          <w:u w:val="single" w:color="auto"/>
          <w:color w:val="auto"/>
        </w:rPr>
        <w:t>.</w:t>
      </w:r>
      <w:r>
        <w:rPr>
          <w:rFonts w:ascii="Arial" w:cs="Arial" w:eastAsia="Arial" w:hAnsi="Arial"/>
          <w:sz w:val="16"/>
          <w:szCs w:val="16"/>
          <w:color w:val="auto"/>
        </w:rPr>
        <w:t xml:space="preserve"> Tenant’s sole remedy in connection with the improper presentment or payment of sight drafts drawn under any L-C shall be the right to obtain from Landlord a refund of the amount of any sight draft(s) that were improperly presented or the proceeds of which were misapplied, together with interest at the Interest Rate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3" w:right="239" w:bottom="1440" w:gutter="0" w:footer="0" w:header="0"/>
        </w:sectPr>
      </w:pPr>
    </w:p>
    <w:bookmarkStart w:id="468" w:name="page469"/>
    <w:bookmarkEnd w:id="46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SIGNS</w:t>
      </w:r>
    </w:p>
    <w:p>
      <w:pPr>
        <w:spacing w:after="0" w:line="225"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Full Floors</w:t>
      </w:r>
      <w:r>
        <w:rPr>
          <w:rFonts w:ascii="Arial" w:cs="Arial" w:eastAsia="Arial" w:hAnsi="Arial"/>
          <w:sz w:val="16"/>
          <w:szCs w:val="16"/>
          <w:color w:val="auto"/>
        </w:rPr>
        <w:t>. Subject to Landlord’s prior written approval, in its sole discretion, and provided all signs are compatible with the quality, design and style of the Project’s sign criteria then established by Landlord (the “</w:t>
      </w:r>
      <w:r>
        <w:rPr>
          <w:rFonts w:ascii="Arial" w:cs="Arial" w:eastAsia="Arial" w:hAnsi="Arial"/>
          <w:sz w:val="16"/>
          <w:szCs w:val="16"/>
          <w:b w:val="1"/>
          <w:bCs w:val="1"/>
          <w:color w:val="auto"/>
        </w:rPr>
        <w:t>Project Sign Criteria</w:t>
      </w:r>
      <w:r>
        <w:rPr>
          <w:rFonts w:ascii="Arial" w:cs="Arial" w:eastAsia="Arial" w:hAnsi="Arial"/>
          <w:sz w:val="16"/>
          <w:szCs w:val="16"/>
          <w:color w:val="auto"/>
        </w:rPr>
        <w:t>”), and provided all signs are in keeping with the quality, design and style of the Building and Project, Tenant and any of Tenant’s Permitted Transferees or Tenant’s Occupants, at its sole cost and expense, may install identification signage anywhere on the floor in which the Premises is located including in the elevator lobby of the floor where the Premises is located, provided that such signs must not be visible from the exterior of the Building. In addition, Tenant shall have the right, at Tenant’s sole cost and expense, to have its name listed by Landlord on one (1) line in the directory to be located in a mutually and reasonably determined location in the lobby of the Building.</w:t>
      </w:r>
    </w:p>
    <w:p>
      <w:pPr>
        <w:spacing w:after="0" w:line="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Prohibited Signage and Other Items</w:t>
      </w:r>
      <w:r>
        <w:rPr>
          <w:rFonts w:ascii="Arial" w:cs="Arial" w:eastAsia="Arial" w:hAnsi="Arial"/>
          <w:sz w:val="17"/>
          <w:szCs w:val="17"/>
          <w:color w:val="auto"/>
        </w:rPr>
        <w:t xml:space="preserve">. Any signs, notices, logos, pictures, names or advertisements which are installed and that have not been separately approved by Landlord may be removed without notice by Landlord at the sole expense of Tenant. Except as otherwise expressly provided in </w:t>
      </w:r>
      <w:r>
        <w:rPr>
          <w:rFonts w:ascii="Arial" w:cs="Arial" w:eastAsia="Arial" w:hAnsi="Arial"/>
          <w:sz w:val="17"/>
          <w:szCs w:val="17"/>
          <w:u w:val="single" w:color="auto"/>
          <w:color w:val="auto"/>
        </w:rPr>
        <w:t>Sections 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23.4</w:t>
      </w:r>
      <w:r>
        <w:rPr>
          <w:rFonts w:ascii="Arial" w:cs="Arial" w:eastAsia="Arial" w:hAnsi="Arial"/>
          <w:sz w:val="17"/>
          <w:szCs w:val="17"/>
          <w:color w:val="auto"/>
        </w:rPr>
        <w:t>, below,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60"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Building Top Sign</w:t>
      </w:r>
      <w:r>
        <w:rPr>
          <w:rFonts w:ascii="Arial" w:cs="Arial" w:eastAsia="Arial" w:hAnsi="Arial"/>
          <w:sz w:val="17"/>
          <w:szCs w:val="17"/>
          <w:color w:val="auto"/>
        </w:rPr>
        <w:t xml:space="preserve">. Notwithstanding any provision to the contrary contained in this </w:t>
      </w:r>
      <w:r>
        <w:rPr>
          <w:rFonts w:ascii="Arial" w:cs="Arial" w:eastAsia="Arial" w:hAnsi="Arial"/>
          <w:sz w:val="17"/>
          <w:szCs w:val="17"/>
          <w:u w:val="single" w:color="auto"/>
          <w:color w:val="auto"/>
        </w:rPr>
        <w:t>Article 23</w:t>
      </w:r>
      <w:r>
        <w:rPr>
          <w:rFonts w:ascii="Arial" w:cs="Arial" w:eastAsia="Arial" w:hAnsi="Arial"/>
          <w:sz w:val="17"/>
          <w:szCs w:val="17"/>
          <w:color w:val="auto"/>
        </w:rPr>
        <w:t>, the Original Tenant and any of its Permitted Transferees shall have the right, but not the obligation, at the sole cost and expense of Tenant, to install one (1) non-exclusive Building-top sign on the roof of the Building in one ( l ) location to be mutually and reasonably agreed upon by Landlord and Tenant (the “</w:t>
      </w:r>
      <w:r>
        <w:rPr>
          <w:rFonts w:ascii="Arial" w:cs="Arial" w:eastAsia="Arial" w:hAnsi="Arial"/>
          <w:sz w:val="17"/>
          <w:szCs w:val="17"/>
          <w:b w:val="1"/>
          <w:bCs w:val="1"/>
          <w:color w:val="auto"/>
        </w:rPr>
        <w:t>Building-Top Sign</w:t>
      </w:r>
      <w:r>
        <w:rPr>
          <w:rFonts w:ascii="Arial" w:cs="Arial" w:eastAsia="Arial" w:hAnsi="Arial"/>
          <w:sz w:val="17"/>
          <w:szCs w:val="17"/>
          <w:color w:val="auto"/>
        </w:rPr>
        <w:t xml:space="preserve">”), which Building-Top Sign may, subject to the terms set forth in </w:t>
      </w:r>
      <w:r>
        <w:rPr>
          <w:rFonts w:ascii="Arial" w:cs="Arial" w:eastAsia="Arial" w:hAnsi="Arial"/>
          <w:sz w:val="17"/>
          <w:szCs w:val="17"/>
          <w:u w:val="single" w:color="auto"/>
          <w:color w:val="auto"/>
        </w:rPr>
        <w:t>Section 23.6</w:t>
      </w:r>
      <w:r>
        <w:rPr>
          <w:rFonts w:ascii="Arial" w:cs="Arial" w:eastAsia="Arial" w:hAnsi="Arial"/>
          <w:sz w:val="17"/>
          <w:szCs w:val="17"/>
          <w:color w:val="auto"/>
        </w:rPr>
        <w:t>, below, contain Tenant’s name and/or Tenant’s logo. Such Building-Top Sign shall conform to all zoning and CC&amp;Rs, and shall be subject to the Project Sign Criteria and Landlord’s reasonable review and approval. All costs associated with the Building-Top Sign, including, without limitation, the costs to purchase, install, maintain, and remove it, shall be borne exclusively by Tenant.</w:t>
      </w:r>
    </w:p>
    <w:p>
      <w:pPr>
        <w:spacing w:after="0" w:line="66"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u w:val="single" w:color="auto"/>
          <w:color w:val="auto"/>
        </w:rPr>
        <w:t>Monument Signage</w:t>
      </w:r>
      <w:r>
        <w:rPr>
          <w:rFonts w:ascii="Arial" w:cs="Arial" w:eastAsia="Arial" w:hAnsi="Arial"/>
          <w:sz w:val="17"/>
          <w:szCs w:val="17"/>
          <w:color w:val="auto"/>
        </w:rPr>
        <w:t xml:space="preserve">. Original Tenant and any of its Permitted Transferees shall have the non-exclusive right, but not the obligation, to have its name and/or logo as determined by Tenant placed on portion of any multi-tenant monument sign serving the Building (which portion shall be determined based on the rentable square footage then leased by Tenant), and such signage shall be compatible with the quality, design and style of the Project’s Sign Criteria; provided, however, in no event shall Tenant’s signage include an “Objectionable Name,” as that term is defined in </w:t>
      </w:r>
      <w:r>
        <w:rPr>
          <w:rFonts w:ascii="Arial" w:cs="Arial" w:eastAsia="Arial" w:hAnsi="Arial"/>
          <w:sz w:val="17"/>
          <w:szCs w:val="17"/>
          <w:u w:val="single" w:color="auto"/>
          <w:color w:val="auto"/>
        </w:rPr>
        <w:t>Section 23.8</w:t>
      </w:r>
      <w:r>
        <w:rPr>
          <w:rFonts w:ascii="Arial" w:cs="Arial" w:eastAsia="Arial" w:hAnsi="Arial"/>
          <w:sz w:val="17"/>
          <w:szCs w:val="17"/>
          <w:color w:val="auto"/>
        </w:rPr>
        <w:t>, of this Lease. Landlord shall have the right to (i) position or prioritize Tenant’s name in any position on such monument signage as it shall determine in its sole discretion, from time to time, (ii) design and organize such monument signage (and the materials, design, script size, type face, colors and all other characteristics thereof) in such manner as it shall determine in its sole discretion, (iii) place such other names, business names, trade names or affiliate names representing such other tenants as it shall determine in its sole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69" w:right="259" w:bottom="1440" w:gutter="0" w:footer="0" w:header="0"/>
        </w:sectPr>
      </w:pPr>
    </w:p>
    <w:bookmarkStart w:id="469" w:name="page470"/>
    <w:bookmarkEnd w:id="469"/>
    <w:p>
      <w:pPr>
        <w:jc w:val="both"/>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discretion, (iv) make such modifications to such monument signage as it shall desire from time to time so long as such changes do not materially adversely affect Tenant’s monument signage rights under this </w:t>
      </w:r>
      <w:r>
        <w:rPr>
          <w:rFonts w:ascii="Arial" w:cs="Arial" w:eastAsia="Arial" w:hAnsi="Arial"/>
          <w:sz w:val="18"/>
          <w:szCs w:val="18"/>
          <w:u w:val="single" w:color="auto"/>
          <w:color w:val="auto"/>
        </w:rPr>
        <w:t>Section 23.4</w:t>
      </w:r>
      <w:r>
        <w:rPr>
          <w:rFonts w:ascii="Arial" w:cs="Arial" w:eastAsia="Arial" w:hAnsi="Arial"/>
          <w:sz w:val="18"/>
          <w:szCs w:val="18"/>
          <w:color w:val="auto"/>
        </w:rPr>
        <w:t>, and (v) place thereon the name of (and/or other identifying information for) the Building and/or Project as Landlord shall determine in its sole discretion.</w:t>
      </w:r>
    </w:p>
    <w:p>
      <w:pPr>
        <w:spacing w:after="0" w:line="69"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b w:val="1"/>
          <w:bCs w:val="1"/>
          <w:u w:val="single" w:color="auto"/>
          <w:color w:val="auto"/>
        </w:rPr>
        <w:t>Rights Personal</w:t>
      </w:r>
      <w:r>
        <w:rPr>
          <w:rFonts w:ascii="Arial" w:cs="Arial" w:eastAsia="Arial" w:hAnsi="Arial"/>
          <w:sz w:val="17"/>
          <w:szCs w:val="17"/>
          <w:color w:val="auto"/>
        </w:rPr>
        <w:t xml:space="preserve">. The rights granted under </w:t>
      </w:r>
      <w:r>
        <w:rPr>
          <w:rFonts w:ascii="Arial" w:cs="Arial" w:eastAsia="Arial" w:hAnsi="Arial"/>
          <w:sz w:val="17"/>
          <w:szCs w:val="17"/>
          <w:u w:val="single" w:color="auto"/>
          <w:color w:val="auto"/>
        </w:rPr>
        <w:t>Sections 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23.4</w:t>
      </w:r>
      <w:r>
        <w:rPr>
          <w:rFonts w:ascii="Arial" w:cs="Arial" w:eastAsia="Arial" w:hAnsi="Arial"/>
          <w:sz w:val="17"/>
          <w:szCs w:val="17"/>
          <w:color w:val="auto"/>
        </w:rPr>
        <w:t xml:space="preserve"> are personal to the Original Tenant and its Permitted Transferees, and shall not be transferable in any other respect whatsoever. If (i) the Lease shall be assigned to any party other than Permitted Transferee, (ii) there is an event of default (beyond the applicable notice and cure periods) exists under this Lease, or (iii) the Original Tenant or its Permitted Transferee (together with any Tenant’s Occupants) occupies less than the entire Premises (except for time periods during repairs, remodeling or similar circumstances), Landlord shall have the right to cancel Tenant’s rights under this </w:t>
      </w:r>
      <w:r>
        <w:rPr>
          <w:rFonts w:ascii="Arial" w:cs="Arial" w:eastAsia="Arial" w:hAnsi="Arial"/>
          <w:sz w:val="17"/>
          <w:szCs w:val="17"/>
          <w:u w:val="single" w:color="auto"/>
          <w:color w:val="auto"/>
        </w:rPr>
        <w:t>Section 23.5</w:t>
      </w:r>
      <w:r>
        <w:rPr>
          <w:rFonts w:ascii="Arial" w:cs="Arial" w:eastAsia="Arial" w:hAnsi="Arial"/>
          <w:sz w:val="17"/>
          <w:szCs w:val="17"/>
          <w:color w:val="auto"/>
        </w:rPr>
        <w:t xml:space="preserve"> and to require Tenant to remove at Tenant’s sole cost and expense Tenant’s name from such monument signage within fifteen ( 15) days after delivery of Landlord ‘s written notice to do so.</w:t>
      </w:r>
    </w:p>
    <w:p>
      <w:pPr>
        <w:spacing w:after="0" w:line="66" w:lineRule="exact"/>
        <w:rPr>
          <w:sz w:val="20"/>
          <w:szCs w:val="20"/>
          <w:color w:val="auto"/>
        </w:rPr>
      </w:pPr>
    </w:p>
    <w:p>
      <w:pPr>
        <w:jc w:val="both"/>
        <w:ind w:right="80" w:firstLine="456"/>
        <w:spacing w:after="0" w:line="289"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b w:val="1"/>
          <w:bCs w:val="1"/>
          <w:u w:val="single" w:color="auto"/>
          <w:color w:val="auto"/>
        </w:rPr>
        <w:t>Specifications and Permits</w:t>
      </w:r>
      <w:r>
        <w:rPr>
          <w:rFonts w:ascii="Arial" w:cs="Arial" w:eastAsia="Arial" w:hAnsi="Arial"/>
          <w:sz w:val="16"/>
          <w:szCs w:val="16"/>
          <w:color w:val="auto"/>
        </w:rPr>
        <w:t>. The graphics, materials, color, design, lettering, size and specifications of Tenant’s name on such monument signage and Building-Top Sign (collectively, the “</w:t>
      </w:r>
      <w:r>
        <w:rPr>
          <w:rFonts w:ascii="Arial" w:cs="Arial" w:eastAsia="Arial" w:hAnsi="Arial"/>
          <w:sz w:val="16"/>
          <w:szCs w:val="16"/>
          <w:b w:val="1"/>
          <w:bCs w:val="1"/>
          <w:color w:val="auto"/>
        </w:rPr>
        <w:t>Sign Specifications</w:t>
      </w:r>
      <w:r>
        <w:rPr>
          <w:rFonts w:ascii="Arial" w:cs="Arial" w:eastAsia="Arial" w:hAnsi="Arial"/>
          <w:sz w:val="16"/>
          <w:szCs w:val="16"/>
          <w:color w:val="auto"/>
        </w:rPr>
        <w:t>”) shall be (i) subject to the prior written consent of Landlord, including, without limitation, as to the design, materials, color, size and all other aesthetic factors of such signage and which consent thereto shall be in Landlord’s sole discretion;</w:t>
      </w:r>
    </w:p>
    <w:p>
      <w:pPr>
        <w:spacing w:after="0" w:line="2" w:lineRule="exact"/>
        <w:rPr>
          <w:sz w:val="20"/>
          <w:szCs w:val="20"/>
          <w:color w:val="auto"/>
        </w:rPr>
      </w:pPr>
    </w:p>
    <w:p>
      <w:pPr>
        <w:ind w:right="200" w:firstLine="8"/>
        <w:spacing w:after="0" w:line="253" w:lineRule="auto"/>
        <w:tabs>
          <w:tab w:leader="none" w:pos="26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consistent with the size and quality of comparable signage on comparable institutionally owned first-class office buildings in the local market, (iii) in compliance with all Laws, (iv) subject to receipt by Tenant of all required governmental permits and approvals therefore, and (v) consistent with the Project Sign Criteria and the overall character of the Building’s/Project’s architecture (as determined by Landlord). In addition, Tenant’s name on such monument signage and Building-Top Sign shall be subject to the receipt of all required governmental permits and approvals (and the submission of copies thereof to Landlord), and shall be subject to all applicable Laws.</w:t>
      </w:r>
    </w:p>
    <w:p>
      <w:pPr>
        <w:spacing w:after="0" w:line="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23.7 </w:t>
      </w:r>
      <w:r>
        <w:rPr>
          <w:rFonts w:ascii="Arial" w:cs="Arial" w:eastAsia="Arial" w:hAnsi="Arial"/>
          <w:sz w:val="17"/>
          <w:szCs w:val="17"/>
          <w:b w:val="1"/>
          <w:bCs w:val="1"/>
          <w:u w:val="single" w:color="auto"/>
          <w:color w:val="auto"/>
        </w:rPr>
        <w:t>Cost and Maintenance</w:t>
      </w:r>
      <w:r>
        <w:rPr>
          <w:rFonts w:ascii="Arial" w:cs="Arial" w:eastAsia="Arial" w:hAnsi="Arial"/>
          <w:sz w:val="17"/>
          <w:szCs w:val="17"/>
          <w:color w:val="auto"/>
        </w:rPr>
        <w:t>. Landlord’s actual, out-of-pocket costs of the actual signs comprising Tenant’s name and/or logo on such monument sign and Building-Top Sign, as well as the installation, design, construction, and any and all other costs associated with Tenant’s name on such monument signage and/or the Building-Top Sign, including, without limitation, utility charges and hook-up fees (if applicable), permits, and maintenance and repairs, shall be the sole responsibility of Tenant provided that Tenant shall have the opportunity to preview estimates for any such amounts to be charged to Tenant; provided that Landlord shall reasonably cooperate with Tenant’s use of Common Areas to allow Tenant to install, operate, maintain and repair Tenant’s name on such monument sign and/or the Building- Top Sign. Should Tenant’s name and/or logo on such monument sign and/or the Building-Top Sign require repairs and/or maintenance, Landlord shall have the right to provide notice thereof to Tenant and Tenant (except as set forth above) shall cause such repairs and/or maintenance to commence to be performed within thirty (30) days after receipt of such notice from Landlord, at Tenant’s sole cost and expense; provided, however, if such repairs and/or maintenance are reasonably expected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470" w:name="page471"/>
    <w:bookmarkEnd w:id="4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require longer than thirty (30) days to perform, Tenant shall commence such repairs and/or maintenance within such thirty (30) day period and shall thereafter diligently prosecute such repairs and maintenance to completion at Tenant’s sole cost and expense. Should Tenant fail to perform such repairs and/or maintenance within the periods described in the immediately preceding sentence, Landlord shall have the right to cause such work to be performed and to charge Tenant as Additional Rent for the actual out-of-pocket cost of such work plus interest at the Interest Rate from the date of Landlord’s payment of such actual costs to the date of Tenant’s reimbursement to Landlord. Tenant shall bear a pro rata share (based upon the number of tenants identified on such monument sign) of all of Landlord’s actual out-of-pocket costs of maintenance and operation of such monument sign and all such costs shall be paid by Tenant to Landlord as Additional Rent within ten (10) days of receipt of Landlord’s written demand therefore. Within a reasonable time following the expiration or earlier termination of this Lease (which shall in no event be later than thirty (30) days after such expiration or termination of this Lease), Tenant shall, at Tenant’s sole cost and expense, commence, and thereafter shall diligently pursue, the removal of Tenant’s name from such monument sign and the Building-Top Sign, and shall cause the areas in which such Tenant’s name on such monument sign and the Building-Top Sign was located to be restored to the condition existing immediately prior to the placement of such Tenant’s name on such monument signage and the installation of the Building-Top Sign. If Tenant fails to timely remove Tenant’s name from such monument sign and/or the Building-Top Sign or to restore the areas in which Tenant’s name on such monument sign and/or Building-Top Sign was located, as provided in the immediately preceding sentence, then Landlord may perform such work, and all actual costs reasonably incurred by Landlord in so performing, plus interest at the Interest Rate from the date of Landlord’s payment of such costs to the date of Tenant’s reimbursement to Landlord, shall be reimbursed by Tenant to Landlord within thirty (30) days after Tenant’s receipt of an invoice therefore. The terms of this </w:t>
      </w:r>
      <w:r>
        <w:rPr>
          <w:rFonts w:ascii="Arial" w:cs="Arial" w:eastAsia="Arial" w:hAnsi="Arial"/>
          <w:sz w:val="16"/>
          <w:szCs w:val="16"/>
          <w:u w:val="single" w:color="auto"/>
          <w:color w:val="auto"/>
        </w:rPr>
        <w:t>Section 23.7</w:t>
      </w:r>
      <w:r>
        <w:rPr>
          <w:rFonts w:ascii="Arial" w:cs="Arial" w:eastAsia="Arial" w:hAnsi="Arial"/>
          <w:sz w:val="16"/>
          <w:szCs w:val="16"/>
          <w:color w:val="auto"/>
        </w:rPr>
        <w:t xml:space="preserve"> shall survive the expiration or earlier termination of this Lease.</w:t>
      </w:r>
    </w:p>
    <w:p>
      <w:pPr>
        <w:spacing w:after="0" w:line="6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b w:val="1"/>
          <w:bCs w:val="1"/>
          <w:u w:val="single" w:color="auto"/>
          <w:color w:val="auto"/>
        </w:rPr>
        <w:t>Objectionable Name</w:t>
      </w:r>
      <w:r>
        <w:rPr>
          <w:rFonts w:ascii="Arial" w:cs="Arial" w:eastAsia="Arial" w:hAnsi="Arial"/>
          <w:sz w:val="18"/>
          <w:szCs w:val="18"/>
          <w:color w:val="auto"/>
        </w:rPr>
        <w:t>. In no event shall Tenant’s signage include, identify or otherwise refer to a name which relates to an entity which is of a character or reputation, or is associated with a political faction or orientation, which is inconsistent with the quality of the Project, or which would otherwise reasonably offend a landlord of a Comparable Building (an “</w:t>
      </w:r>
      <w:r>
        <w:rPr>
          <w:rFonts w:ascii="Arial" w:cs="Arial" w:eastAsia="Arial" w:hAnsi="Arial"/>
          <w:sz w:val="18"/>
          <w:szCs w:val="18"/>
          <w:b w:val="1"/>
          <w:bCs w:val="1"/>
          <w:color w:val="auto"/>
        </w:rPr>
        <w:t>Objectionable Name</w:t>
      </w:r>
      <w:r>
        <w:rPr>
          <w:rFonts w:ascii="Arial" w:cs="Arial" w:eastAsia="Arial" w:hAnsi="Arial"/>
          <w:sz w:val="18"/>
          <w:szCs w:val="18"/>
          <w:color w:val="auto"/>
        </w:rPr>
        <w:t>”). The parties hereby agree that the name “AnaptysBio, Inc.” or any reasonable derivation thereof, shall not be deemed an Objectionable Name.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WITH LAW</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Tenant shall not do anything or suffer anything to be done in or about the Premises or the Project which will in any way conflict with any law, statute, ordinance or other governmental rule, regulation or requirement now in force or which may hereafter be enacted or promulgated and is applicable to the Premises or Tenant’s use or occupancy of the Premises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At its sole cost and expense, Tenant shall promptly comply with all such Applicable Laws which relate to (i) Tenant’s use of the Premises for the Permitted Use (but which for purposes of this provision shall not apply to the extent resulting directly from the particular nature of Tenant’s tissue culture room and rodent vivarium uses) , (ii) the Alterations or the Improvements in the Premises, or (iii) the Base Building, but, as to the Base Building,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471" w:name="page472"/>
    <w:bookmarkEnd w:id="47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only to the extent such obligations are triggered by Tenant’s Alterations, the Improvements, or use of the Premises for other than the Permitted Use (but which for purposes of this provision shall not apply to the extent resulting directly from the particular nature of Tenant’s tissue culture room and rodent vivarium uses).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Landlord shall be permitted to include in Operating Expenses any costs or expenses incurred by Landlord under this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to the extent consistent with the terms of </w:t>
      </w:r>
      <w:r>
        <w:rPr>
          <w:rFonts w:ascii="Arial" w:cs="Arial" w:eastAsia="Arial" w:hAnsi="Arial"/>
          <w:sz w:val="17"/>
          <w:szCs w:val="17"/>
          <w:u w:val="single" w:color="auto"/>
          <w:color w:val="auto"/>
        </w:rPr>
        <w:t>Section 4.2.4</w:t>
      </w:r>
      <w:r>
        <w:rPr>
          <w:rFonts w:ascii="Arial" w:cs="Arial" w:eastAsia="Arial" w:hAnsi="Arial"/>
          <w:sz w:val="17"/>
          <w:szCs w:val="17"/>
          <w:color w:val="auto"/>
        </w:rPr>
        <w:t>, above, and which are not inconsistent with the terms set forth in the Work Letter in connection with the Landlord Work.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LATE CHARGES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any installment of Rent or any other sum due from Tenant shall not be received by Landlord or Landlord’s designee when due, then Tenant shall pay to Landlord a late charge equal to five percent (5%) of the overdue amount plus any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the “Interest Rate.” For purposes of this Lease, the “</w:t>
      </w:r>
      <w:r>
        <w:rPr>
          <w:rFonts w:ascii="Arial" w:cs="Arial" w:eastAsia="Arial" w:hAnsi="Arial"/>
          <w:sz w:val="17"/>
          <w:szCs w:val="17"/>
          <w:b w:val="1"/>
          <w:bCs w:val="1"/>
          <w:color w:val="auto"/>
        </w:rPr>
        <w:t>Interest Rate</w:t>
      </w:r>
      <w:r>
        <w:rPr>
          <w:rFonts w:ascii="Arial" w:cs="Arial" w:eastAsia="Arial" w:hAnsi="Arial"/>
          <w:sz w:val="17"/>
          <w:szCs w:val="17"/>
          <w:color w:val="auto"/>
        </w:rPr>
        <w:t>” shall be an annual rate equal to the lesser of (i) the annual “</w:t>
      </w:r>
      <w:r>
        <w:rPr>
          <w:rFonts w:ascii="Arial" w:cs="Arial" w:eastAsia="Arial" w:hAnsi="Arial"/>
          <w:sz w:val="17"/>
          <w:szCs w:val="17"/>
          <w:b w:val="1"/>
          <w:bCs w:val="1"/>
          <w:color w:val="auto"/>
        </w:rPr>
        <w:t>Bank Prime Loan</w:t>
      </w:r>
      <w:r>
        <w:rPr>
          <w:rFonts w:ascii="Arial" w:cs="Arial" w:eastAsia="Arial" w:hAnsi="Arial"/>
          <w:sz w:val="17"/>
          <w:szCs w:val="17"/>
          <w:color w:val="auto"/>
        </w:rPr>
        <w:t>” rate cited in the Federal Reserve Statistical Release Publication H. l 5(519), published weekly (or such other comparable index as Landlord and Tenant shall reasonably agree upon if such rate ceases to be published), plus two (2) percentage points, and (ii) the highest rate permitted by applicable law.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472" w:name="page473"/>
    <w:bookmarkEnd w:id="47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RIGHT TO CURE DEFAULT; PAYMENTS BY TENANT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26.2 Tenant’s Reimbursement. Except as may be specifically provided to the contrary in this Lease, Tenant shall pay to Landlord, upon delivery by Landlord to Tenant of statements therefor: (i) sums equal to expenditures reasonably made and obligations reasonably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costs, liabilities, damages and expenses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reasonably made and obligations reasonably incurred by Landlord in collecting or attempting to collect the Rent or in enforcing or attempting to enforce any rights of Landlord under this Lease or pursuant to law, including, without limitation, all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ENTRY BY LANDLORD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Landlord reserves the right at all reasonable times (during Building Hours with respect to items (i) and (ii) below) and upon at least twenty-four</w:t>
      </w:r>
    </w:p>
    <w:p>
      <w:pPr>
        <w:spacing w:after="0" w:line="35" w:lineRule="exact"/>
        <w:rPr>
          <w:sz w:val="20"/>
          <w:szCs w:val="20"/>
          <w:color w:val="auto"/>
        </w:rPr>
      </w:pPr>
    </w:p>
    <w:p>
      <w:pPr>
        <w:ind w:firstLine="8"/>
        <w:spacing w:after="0" w:line="286" w:lineRule="auto"/>
        <w:tabs>
          <w:tab w:leader="none" w:pos="34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hours prior notice to Tenant (except in the case of an 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or (iv) alter, improve or repair the Premises or the Building, or for structural alterations, repairs or improvements to the Building or the Building’s systems and equipment; provided, however, except in the event of an emergency, Tenant shall have the option upon at least twelve (12) hours prior notice to Landlord to require Landlord’s entry be delayed by up to seventy-two (72) hours if Tenant deems such delay to be reasonably necessary to avoid disruption of Tenant’s business operations from within the Premises. Notwithstanding anything to the contrary contained in this </w:t>
      </w:r>
      <w:r>
        <w:rPr>
          <w:rFonts w:ascii="Arial" w:cs="Arial" w:eastAsia="Arial" w:hAnsi="Arial"/>
          <w:sz w:val="16"/>
          <w:szCs w:val="16"/>
          <w:u w:val="single" w:color="auto"/>
          <w:color w:val="auto"/>
        </w:rPr>
        <w:t>Article 27</w:t>
      </w:r>
      <w:r>
        <w:rPr>
          <w:rFonts w:ascii="Arial" w:cs="Arial" w:eastAsia="Arial" w:hAnsi="Arial"/>
          <w:sz w:val="16"/>
          <w:szCs w:val="16"/>
          <w:color w:val="auto"/>
        </w:rPr>
        <w:t>, Landlord may enter the Premises at any time to (A) perform services required of Landlord; (B) take possession due to any breach of this Lease in the manner provided herein; and (C) perform any covenants of Tenant which Tenant fails to perform. Landlord may make any such entries without the abatement of Rent, except as otherwise provided in this Lease, and may take such reasonable steps as required to accomplish the stated purposes; provided, however, except for (x) emergencies , (y) repairs, alterations, improvements or additions required by governmental or quasi-governmental authorities or court order or decree, or (z) repairs which are the obligation of Tenant hereunder, any such entry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69" w:right="259" w:bottom="1440" w:gutter="0" w:footer="0" w:header="0"/>
        </w:sectPr>
      </w:pPr>
    </w:p>
    <w:bookmarkStart w:id="473" w:name="page474"/>
    <w:bookmarkEnd w:id="47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performed in a manner so as not to unreasonably interfere with Tenant’s use of the Premises and shall be performed after normal business hours if reasonably practical. With respect to items (y) and (z) above, Landlord shall use commercially reasonable efforts to not materially interfere with Tenant’s use of, or access to, the Premises. Tenant’s rights under the terms of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apply to Landlord’s entry under the terms of this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(other than an entry pursuant to the terms of item (B) above), and otherwise (except to the extent of Landlord’s express indemnification obligations under this Lease)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PARKING</w:t>
      </w:r>
    </w:p>
    <w:p>
      <w:pPr>
        <w:spacing w:after="0" w:line="229" w:lineRule="exact"/>
        <w:rPr>
          <w:sz w:val="20"/>
          <w:szCs w:val="20"/>
          <w:color w:val="auto"/>
        </w:rPr>
      </w:pPr>
    </w:p>
    <w:p>
      <w:pPr>
        <w:ind w:firstLine="456"/>
        <w:spacing w:after="0" w:line="256" w:lineRule="auto"/>
        <w:rPr>
          <w:sz w:val="20"/>
          <w:szCs w:val="20"/>
          <w:color w:val="auto"/>
        </w:rPr>
      </w:pPr>
      <w:r>
        <w:rPr>
          <w:rFonts w:ascii="Arial" w:cs="Arial" w:eastAsia="Arial" w:hAnsi="Arial"/>
          <w:sz w:val="17"/>
          <w:szCs w:val="17"/>
          <w:color w:val="auto"/>
        </w:rPr>
        <w:t xml:space="preserve">Tenant, Tenant’s Permitted Transferees and Tenant’s Occupants shall have the right to use, commencing on the Lease Commencement Date, the amount of parking passes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the Summary, on a monthly basis throughout the Lease Term, which parking passes shall pertain to the Project parking facility. Tenant hereby acknowledges and agrees that notwithstanding the permitted occupancy density of five (5) persons per each one thousand (1,000) rentable square feet of the Premises as more particularly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above, in no event shall Tenant be entitled to park automobiles anywhere in the Project parking facility in a total amount that would at anytime exceed an amount equal to three and one-half (3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unreserved parking passes for every one thousand (1,000) rentable square feet of the Premises. Tenant shall not be obligated to pay any fee for automobile parking passes during the initial Lease Term or any Option Term; provided, however, to the extent not included in Tax Expenses, Tenant shall be responsible for the full amount of any taxes imposed by any governmental authority in connection with use of the parking facility by Tenant.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Tenant not being in default under this Lease.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temporarily close-off or restrict access to the Project parking facility for purposes of permitting or facilitating any such construction, alteration or improvements; provided, however, in no event shall the number of parking passes available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3" w:right="259" w:bottom="1440" w:gutter="0" w:footer="0" w:header="0"/>
        </w:sectPr>
      </w:pPr>
    </w:p>
    <w:bookmarkStart w:id="474" w:name="page475"/>
    <w:bookmarkEnd w:id="47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Tenant’s use decrease below the number of parking passes expressly allocated to Tenant under this Lease. Landlord may delegate its responsibilities hereunder to a parking operator in which case such parking operator shall have all the rights of control attributed hereby to the Landlord. The parking passes provided to Tenant pursuant to this </w:t>
      </w:r>
      <w:r>
        <w:rPr>
          <w:rFonts w:ascii="Arial" w:cs="Arial" w:eastAsia="Arial" w:hAnsi="Arial"/>
          <w:sz w:val="18"/>
          <w:szCs w:val="18"/>
          <w:u w:val="single" w:color="auto"/>
          <w:color w:val="auto"/>
        </w:rPr>
        <w:t>Article 28</w:t>
      </w:r>
      <w:r>
        <w:rPr>
          <w:rFonts w:ascii="Arial" w:cs="Arial" w:eastAsia="Arial" w:hAnsi="Arial"/>
          <w:sz w:val="18"/>
          <w:szCs w:val="18"/>
          <w:color w:val="auto"/>
        </w:rPr>
        <w:t xml:space="preserve"> are provided to Tenant solely for use by Tenant’s own personnel and such passes may not be transferred, assigned, subleased or otherwise alienated by Tenant without Landlord’s prior approval.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72" w:lineRule="exact"/>
        <w:rPr>
          <w:sz w:val="20"/>
          <w:szCs w:val="20"/>
          <w:color w:val="auto"/>
        </w:rPr>
      </w:pPr>
    </w:p>
    <w:p>
      <w:pPr>
        <w:ind w:right="320" w:firstLine="456"/>
        <w:spacing w:after="0" w:line="31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3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7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u w:val="single" w:color="auto"/>
          <w:color w:val="auto"/>
        </w:rPr>
        <w:t>Modification of Lease</w:t>
      </w:r>
      <w:r>
        <w:rPr>
          <w:rFonts w:ascii="Arial" w:cs="Arial" w:eastAsia="Arial" w:hAnsi="Arial"/>
          <w:sz w:val="18"/>
          <w:szCs w:val="18"/>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days following a request therefor. At the request of Landlord or any mortgagee or ground lessor, Tenant agrees to execute a short form of Lease and deliver the same to Landlord within ten (10) days following the request therefor.</w:t>
      </w:r>
    </w:p>
    <w:p>
      <w:pPr>
        <w:spacing w:after="0" w:line="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b w:val="1"/>
          <w:bCs w:val="1"/>
          <w:u w:val="single" w:color="auto"/>
          <w:color w:val="auto"/>
        </w:rPr>
        <w:t>Transfer of Landlord’s Interest</w:t>
      </w:r>
      <w:r>
        <w:rPr>
          <w:rFonts w:ascii="Arial" w:cs="Arial" w:eastAsia="Arial" w:hAnsi="Arial"/>
          <w:sz w:val="18"/>
          <w:szCs w:val="18"/>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not accrued as of the date of the transfer (provided such transferee assumes such obligations in writing) and Tenant agrees to look solely to such transferee for the performance of Landlord’s obligations hereunder after the date of transfer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475" w:name="page476"/>
    <w:bookmarkEnd w:id="47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75"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color w:val="auto"/>
        </w:rPr>
        <w:t xml:space="preserve">29.6 </w:t>
      </w:r>
      <w:r>
        <w:rPr>
          <w:rFonts w:ascii="Arial" w:cs="Arial" w:eastAsia="Arial" w:hAnsi="Arial"/>
          <w:sz w:val="16"/>
          <w:szCs w:val="16"/>
          <w:b w:val="1"/>
          <w:bCs w:val="1"/>
          <w:u w:val="single" w:color="auto"/>
          <w:color w:val="auto"/>
        </w:rPr>
        <w:t>Prohibition Against Recording or Publication</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29.4</w:t>
      </w:r>
      <w:r>
        <w:rPr>
          <w:rFonts w:ascii="Arial" w:cs="Arial" w:eastAsia="Arial" w:hAnsi="Arial"/>
          <w:sz w:val="16"/>
          <w:szCs w:val="16"/>
          <w:color w:val="auto"/>
        </w:rPr>
        <w:t xml:space="preserve"> of this Lease, neither this Lease, nor any memorandum, affidavit or other writing with respect thereto, shall be recorded or otherwise published by Tenant or by anyone acting through, under or on behalf of Tenant.</w:t>
      </w:r>
    </w:p>
    <w:p>
      <w:pPr>
        <w:spacing w:after="0" w:line="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54"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Application of Payments</w:t>
      </w:r>
      <w:r>
        <w:rPr>
          <w:rFonts w:ascii="Arial" w:cs="Arial" w:eastAsia="Arial" w:hAnsi="Arial"/>
          <w:sz w:val="16"/>
          <w:szCs w:val="16"/>
          <w:color w:val="auto"/>
        </w:rPr>
        <w:t xml:space="preserve">. To the extent Landlord has delivered a written notice to Tenant pursuant to the terms of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this Lease (and until the amounts represented by such notice, together with all other then-outstanding amounts due and owning under this Lease, are satisfied), Landlord shall have the right to apply payments received from Tenant pursuant to this Lease, regardless of Tenant’s designation of such payments, to satisfy any obligations of Tenant hereunder, in such order and amounts as Land lord, in its sole discretion, may elect, it nevertheless being acknowledged that Tenant may be free to make any such payments “under protest,” and such payments shall remain subject to successful contest by Tenant over any obligations in dispute.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29.10 </w:t>
      </w:r>
      <w:r>
        <w:rPr>
          <w:rFonts w:ascii="Arial" w:cs="Arial" w:eastAsia="Arial" w:hAnsi="Arial"/>
          <w:sz w:val="17"/>
          <w:szCs w:val="17"/>
          <w:b w:val="1"/>
          <w:bCs w:val="1"/>
          <w:u w:val="single" w:color="auto"/>
          <w:color w:val="auto"/>
        </w:rPr>
        <w:t>Time of Essence</w:t>
      </w:r>
      <w:r>
        <w:rPr>
          <w:rFonts w:ascii="Arial" w:cs="Arial" w:eastAsia="Arial" w:hAnsi="Arial"/>
          <w:sz w:val="17"/>
          <w:szCs w:val="17"/>
          <w:color w:val="auto"/>
        </w:rPr>
        <w:t>. Time is of the essence with respect to the performance of every provision of this Lease in which time of performance is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factor.</w:t>
      </w:r>
    </w:p>
    <w:p>
      <w:pPr>
        <w:spacing w:after="0" w:line="99"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7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476" w:name="page477"/>
    <w:bookmarkEnd w:id="476"/>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net interest of Landlord in the Project (following payment of any outstanding liens and/or mortgages, whether attributable to sales or insurance proceeds or otherwise).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5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6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5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8"/>
          <w:szCs w:val="18"/>
          <w:u w:val="single" w:color="auto"/>
          <w:color w:val="auto"/>
        </w:rPr>
        <w:t>Articles 5 and 24</w:t>
      </w:r>
      <w:r>
        <w:rPr>
          <w:rFonts w:ascii="Arial" w:cs="Arial" w:eastAsia="Arial" w:hAnsi="Arial"/>
          <w:sz w:val="18"/>
          <w:szCs w:val="18"/>
          <w:color w:val="auto"/>
        </w:rPr>
        <w:t xml:space="preserve"> of this Lease (collectively, a “</w:t>
      </w:r>
      <w:r>
        <w:rPr>
          <w:rFonts w:ascii="Arial" w:cs="Arial" w:eastAsia="Arial" w:hAnsi="Arial"/>
          <w:sz w:val="18"/>
          <w:szCs w:val="18"/>
          <w:b w:val="1"/>
          <w:bCs w:val="1"/>
          <w:color w:val="auto"/>
        </w:rPr>
        <w:t>Force Majeure</w:t>
      </w:r>
      <w:r>
        <w:rPr>
          <w:rFonts w:ascii="Arial" w:cs="Arial" w:eastAsia="Arial" w:hAnsi="Arial"/>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0" w:right="279" w:bottom="1440" w:gutter="0" w:footer="0" w:header="0"/>
        </w:sectPr>
      </w:pPr>
    </w:p>
    <w:bookmarkStart w:id="477" w:name="page478"/>
    <w:bookmarkEnd w:id="477"/>
    <w:p>
      <w:pPr>
        <w:jc w:val="both"/>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6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29.18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demands, statements, designations, approvals or other communications (collectively, “</w:t>
      </w:r>
      <w:r>
        <w:rPr>
          <w:rFonts w:ascii="Arial" w:cs="Arial" w:eastAsia="Arial" w:hAnsi="Arial"/>
          <w:sz w:val="16"/>
          <w:szCs w:val="16"/>
          <w:b w:val="1"/>
          <w:bCs w:val="1"/>
          <w:color w:val="auto"/>
        </w:rPr>
        <w:t>Notices</w:t>
      </w:r>
      <w:r>
        <w:rPr>
          <w:rFonts w:ascii="Arial" w:cs="Arial" w:eastAsia="Arial" w:hAnsi="Arial"/>
          <w:sz w:val="16"/>
          <w:szCs w:val="16"/>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6"/>
          <w:szCs w:val="16"/>
          <w:b w:val="1"/>
          <w:bCs w:val="1"/>
          <w:color w:val="auto"/>
        </w:rPr>
        <w:t>Mail</w:t>
      </w:r>
      <w:r>
        <w:rPr>
          <w:rFonts w:ascii="Arial" w:cs="Arial" w:eastAsia="Arial" w:hAnsi="Arial"/>
          <w:sz w:val="16"/>
          <w:szCs w:val="16"/>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w:t>
      </w:r>
    </w:p>
    <w:p>
      <w:pPr>
        <w:spacing w:after="0" w:line="4" w:lineRule="exact"/>
        <w:rPr>
          <w:sz w:val="20"/>
          <w:szCs w:val="20"/>
          <w:color w:val="auto"/>
        </w:rPr>
      </w:pPr>
    </w:p>
    <w:p>
      <w:pPr>
        <w:ind w:left="220" w:hanging="212"/>
        <w:spacing w:after="0"/>
        <w:tabs>
          <w:tab w:leader="none" w:pos="2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three (3) days after the date it is posted if sent by Mail, (ii) the date the telecopy is transmitted, (iii) the date the overnight courier delivery is made, or</w:t>
      </w:r>
    </w:p>
    <w:p>
      <w:pPr>
        <w:spacing w:after="0" w:line="20" w:lineRule="exact"/>
        <w:rPr>
          <w:rFonts w:ascii="Arial" w:cs="Arial" w:eastAsia="Arial" w:hAnsi="Arial"/>
          <w:sz w:val="17"/>
          <w:szCs w:val="17"/>
          <w:color w:val="auto"/>
        </w:rPr>
      </w:pPr>
    </w:p>
    <w:p>
      <w:pPr>
        <w:ind w:right="40" w:firstLine="8"/>
        <w:spacing w:after="0" w:line="253" w:lineRule="auto"/>
        <w:tabs>
          <w:tab w:leader="none" w:pos="30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date personal delivery is made or attempted to be made.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As of the Effective Date of this Lease, any Notices to Landlord must be sent, transmitted, or delivered, as the case may be, to the following addresses: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Kilroy Realty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12200 West Olympic Boulevard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Los Angeles, California 90064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Kilroy Realty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3611 Valley Centre Drive, Suite 550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Mr. Brian Galligan</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Allen Matkins Leck Gamble Mallory &amp; Natsis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1901 Avenue of the Stars, Suite 1800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Anton N. Natsis, Esq.</w:t>
      </w:r>
    </w:p>
    <w:p>
      <w:pPr>
        <w:spacing w:after="0" w:line="99"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 xml:space="preserve">29.19 </w:t>
      </w:r>
      <w:r>
        <w:rPr>
          <w:rFonts w:ascii="Arial" w:cs="Arial" w:eastAsia="Arial" w:hAnsi="Arial"/>
          <w:sz w:val="17"/>
          <w:szCs w:val="17"/>
          <w:b w:val="1"/>
          <w:bCs w:val="1"/>
          <w:u w:val="single" w:color="auto"/>
          <w:color w:val="auto"/>
        </w:rPr>
        <w:t>Joint and Several</w:t>
      </w:r>
      <w:r>
        <w:rPr>
          <w:rFonts w:ascii="Arial" w:cs="Arial" w:eastAsia="Arial" w:hAnsi="Arial"/>
          <w:sz w:val="17"/>
          <w:szCs w:val="17"/>
          <w:color w:val="auto"/>
        </w:rPr>
        <w:t>. If there is more than one Tenant, the obligations imposed upon Tenant under this Lease shall be joint and several.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69" w:right="239" w:bottom="1440" w:gutter="0" w:footer="0" w:header="0"/>
        </w:sectPr>
      </w:pPr>
    </w:p>
    <w:bookmarkStart w:id="478" w:name="page479"/>
    <w:bookmarkEnd w:id="478"/>
    <w:p>
      <w:pPr>
        <w:ind w:right="4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29.20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76"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b w:val="1"/>
          <w:bCs w:val="1"/>
          <w:u w:val="single" w:color="auto"/>
          <w:color w:val="auto"/>
        </w:rPr>
        <w:t>Governing Law; WAIVER OF TRIAL BY JURY</w:t>
      </w:r>
      <w:r>
        <w:rPr>
          <w:rFonts w:ascii="Arial" w:cs="Arial" w:eastAsia="Arial" w:hAnsi="Arial"/>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8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29.23 </w:t>
      </w:r>
      <w:r>
        <w:rPr>
          <w:rFonts w:ascii="Arial" w:cs="Arial" w:eastAsia="Arial" w:hAnsi="Arial"/>
          <w:sz w:val="18"/>
          <w:szCs w:val="18"/>
          <w:b w:val="1"/>
          <w:bCs w:val="1"/>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54"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and that they know of no other real estate broker or agent who is entitled to a commission in connection with this Lease. Landlord shall pay the Brokers pursuant to the terms of separate commission agreements.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69" w:right="23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of any dealings with any real estate broker or agent, other than the Brokers, occurring by, through, or under the indemnifying party.</w:t>
      </w:r>
    </w:p>
    <w:p>
      <w:pPr>
        <w:spacing w:after="0" w:line="113"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 xml:space="preserve">29.25 </w:t>
      </w:r>
      <w:r>
        <w:rPr>
          <w:rFonts w:ascii="Arial" w:cs="Arial" w:eastAsia="Arial" w:hAnsi="Arial"/>
          <w:sz w:val="18"/>
          <w:szCs w:val="18"/>
          <w:b w:val="1"/>
          <w:bCs w:val="1"/>
          <w:u w:val="single" w:color="auto"/>
          <w:color w:val="auto"/>
        </w:rPr>
        <w:t>Independent Covenants</w:t>
      </w:r>
      <w:r>
        <w:rPr>
          <w:rFonts w:ascii="Arial" w:cs="Arial" w:eastAsia="Arial" w:hAnsi="Arial"/>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7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29.26 </w:t>
      </w:r>
      <w:r>
        <w:rPr>
          <w:rFonts w:ascii="Arial" w:cs="Arial" w:eastAsia="Arial" w:hAnsi="Arial"/>
          <w:sz w:val="17"/>
          <w:szCs w:val="17"/>
          <w:b w:val="1"/>
          <w:bCs w:val="1"/>
          <w:u w:val="single" w:color="auto"/>
          <w:color w:val="auto"/>
        </w:rPr>
        <w:t>Project or Building Name and Signage</w:t>
      </w:r>
      <w:r>
        <w:rPr>
          <w:rFonts w:ascii="Arial" w:cs="Arial" w:eastAsia="Arial" w:hAnsi="Arial"/>
          <w:sz w:val="17"/>
          <w:szCs w:val="17"/>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5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29.27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5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29.28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Landlord and Tenant acknowledge that the content of this Lease and any related documents are confidential information. Except as required by any law and/or regulation (including without limitation any SEC regulation), Landlord and Tenant shall keep such confidential information strictly confidential and shall not disclose such confidential information to any person or entity other than Tenant’s or Landlord’s financial, legal, and space planning consultants.</w:t>
      </w:r>
    </w:p>
    <w:p>
      <w:pPr>
        <w:spacing w:after="0" w:line="72" w:lineRule="exact"/>
        <w:rPr>
          <w:sz w:val="20"/>
          <w:szCs w:val="20"/>
          <w:color w:val="auto"/>
        </w:rPr>
      </w:pPr>
    </w:p>
    <w:p>
      <w:pPr>
        <w:ind w:right="440" w:firstLine="456"/>
        <w:spacing w:after="0" w:line="303" w:lineRule="auto"/>
        <w:rPr>
          <w:sz w:val="20"/>
          <w:szCs w:val="20"/>
          <w:color w:val="auto"/>
        </w:rPr>
      </w:pPr>
      <w:r>
        <w:rPr>
          <w:rFonts w:ascii="Arial" w:cs="Arial" w:eastAsia="Arial" w:hAnsi="Arial"/>
          <w:sz w:val="16"/>
          <w:szCs w:val="16"/>
          <w:color w:val="auto"/>
        </w:rPr>
        <w:t xml:space="preserve">29.29 </w:t>
      </w:r>
      <w:r>
        <w:rPr>
          <w:rFonts w:ascii="Arial" w:cs="Arial" w:eastAsia="Arial" w:hAnsi="Arial"/>
          <w:sz w:val="16"/>
          <w:szCs w:val="16"/>
          <w:b w:val="1"/>
          <w:bCs w:val="1"/>
          <w:u w:val="single" w:color="auto"/>
          <w:color w:val="auto"/>
        </w:rPr>
        <w:t>Transportation Management</w:t>
      </w:r>
      <w:r>
        <w:rPr>
          <w:rFonts w:ascii="Arial" w:cs="Arial" w:eastAsia="Arial" w:hAnsi="Arial"/>
          <w:sz w:val="16"/>
          <w:szCs w:val="16"/>
          <w:color w:val="auto"/>
        </w:rPr>
        <w:t>. Tenant shall fully comply with all present or future programs intended to manage parking, transportation or traffic in and around the Building so long as Tenant’s parking rights under this Lease are not materially, adversely affected,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29.30 </w:t>
      </w:r>
      <w:r>
        <w:rPr>
          <w:rFonts w:ascii="Arial" w:cs="Arial" w:eastAsia="Arial" w:hAnsi="Arial"/>
          <w:sz w:val="18"/>
          <w:szCs w:val="18"/>
          <w:b w:val="1"/>
          <w:bCs w:val="1"/>
          <w:u w:val="single" w:color="auto"/>
          <w:color w:val="auto"/>
        </w:rPr>
        <w:t>Building Renovations</w:t>
      </w:r>
      <w:r>
        <w:rPr>
          <w:rFonts w:ascii="Arial" w:cs="Arial" w:eastAsia="Arial" w:hAnsi="Arial"/>
          <w:sz w:val="18"/>
          <w:szCs w:val="18"/>
          <w:color w:val="auto"/>
        </w:rPr>
        <w:t>. It is specifically understood and agreed that Landlord has made no representation or warranty to Tenant and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Work Letter. However, Tenant hereby acknowledges that Landlord is currently renovating or may during the Lease Term renovate, improve, alter, or modify (collectively, the “</w:t>
      </w:r>
      <w:r>
        <w:rPr>
          <w:rFonts w:ascii="Arial" w:cs="Arial" w:eastAsia="Arial" w:hAnsi="Arial"/>
          <w:sz w:val="18"/>
          <w:szCs w:val="18"/>
          <w:b w:val="1"/>
          <w:bCs w:val="1"/>
          <w:color w:val="auto"/>
        </w:rPr>
        <w:t>Renovations</w:t>
      </w:r>
      <w:r>
        <w:rPr>
          <w:rFonts w:ascii="Arial" w:cs="Arial" w:eastAsia="Arial" w:hAnsi="Arial"/>
          <w:sz w:val="18"/>
          <w:szCs w:val="18"/>
          <w:color w:val="auto"/>
        </w:rPr>
        <w:t>”) the Project, the Building and/or the Premises including without limitation the parking structure, common areas, systems and equipment, roof, and structural portions of the same, which Renovations may include, without limitation, (i) installing sprinklers in the Building common areas and tenant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480" w:name="page481"/>
    <w:bookmarkEnd w:id="480"/>
    <w:p>
      <w:pPr>
        <w:ind w:right="1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spaces, (ii) modifying the common areas and tenant spaces to comply with applicable laws and regulations, including regulations relating to the physically disabled, seismic conditions, and building safety and security, and (iii) installing new floor covering, lighting, and wall coverings in the Building common areas,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except as expressly set forth in Section 6.7 above,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Landlord shall perform such Renovations in compliance with the terms of this Lease, and shall use commercially reasonable efforts to have all such work performed on a continuous basis, and once started, to be completed reasonably expeditiously, with such work being organized, conducted and scheduled in a manner which will minimize any interference to Tenant’s business operations in the Premises.</w:t>
      </w:r>
    </w:p>
    <w:p>
      <w:pPr>
        <w:spacing w:after="0" w:line="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No Violation</w:t>
      </w:r>
      <w:r>
        <w:rPr>
          <w:rFonts w:ascii="Arial" w:cs="Arial" w:eastAsia="Arial" w:hAnsi="Arial"/>
          <w:sz w:val="18"/>
          <w:szCs w:val="18"/>
          <w:u w:val="single" w:color="auto"/>
          <w:color w:val="auto"/>
        </w:rPr>
        <w:t>.</w:t>
      </w:r>
      <w:r>
        <w:rPr>
          <w:rFonts w:ascii="Arial" w:cs="Arial" w:eastAsia="Arial" w:hAnsi="Arial"/>
          <w:sz w:val="18"/>
          <w:szCs w:val="18"/>
          <w:color w:val="auto"/>
        </w:rPr>
        <w:t xml:space="preserve">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29.32 </w:t>
      </w:r>
      <w:r>
        <w:rPr>
          <w:rFonts w:ascii="Arial" w:cs="Arial" w:eastAsia="Arial" w:hAnsi="Arial"/>
          <w:sz w:val="16"/>
          <w:szCs w:val="16"/>
          <w:b w:val="1"/>
          <w:bCs w:val="1"/>
          <w:u w:val="single" w:color="auto"/>
          <w:color w:val="auto"/>
        </w:rPr>
        <w:t>Communications and Computer Lines</w:t>
      </w:r>
      <w:r>
        <w:rPr>
          <w:rFonts w:ascii="Arial" w:cs="Arial" w:eastAsia="Arial" w:hAnsi="Arial"/>
          <w:sz w:val="16"/>
          <w:szCs w:val="16"/>
          <w:color w:val="auto"/>
        </w:rPr>
        <w:t>. Landlord and Tenant acknowledge that Tenant plans to utilize a significant portion of the existing communications and computer wires and cables in the Premises. Tenant may install, maintain, replace, remove or use any communications or computer wires and cables (collectively with such existing cabling infrastructure, the “</w:t>
      </w:r>
      <w:r>
        <w:rPr>
          <w:rFonts w:ascii="Arial" w:cs="Arial" w:eastAsia="Arial" w:hAnsi="Arial"/>
          <w:sz w:val="16"/>
          <w:szCs w:val="16"/>
          <w:b w:val="1"/>
          <w:bCs w:val="1"/>
          <w:color w:val="auto"/>
        </w:rPr>
        <w:t>Lines</w:t>
      </w:r>
      <w:r>
        <w:rPr>
          <w:rFonts w:ascii="Arial" w:cs="Arial" w:eastAsia="Arial" w:hAnsi="Arial"/>
          <w:sz w:val="16"/>
          <w:szCs w:val="16"/>
          <w:color w:val="auto"/>
        </w:rPr>
        <w:t xml:space="preserve">”) at the Project in or serving the Premises, provided that (i) Tenant shall obtain Landlord’s prior written consent, use an experienced and qualified contractor approved in writing by Landlord, and comply with all of the other provisions of </w:t>
      </w:r>
      <w:r>
        <w:rPr>
          <w:rFonts w:ascii="Arial" w:cs="Arial" w:eastAsia="Arial" w:hAnsi="Arial"/>
          <w:sz w:val="16"/>
          <w:szCs w:val="16"/>
          <w:u w:val="single" w:color="auto"/>
          <w:color w:val="auto"/>
        </w:rPr>
        <w:t>Articles 7 and 8</w:t>
      </w:r>
      <w:r>
        <w:rPr>
          <w:rFonts w:ascii="Arial" w:cs="Arial" w:eastAsia="Arial" w:hAnsi="Arial"/>
          <w:sz w:val="16"/>
          <w:szCs w:val="16"/>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Tenant shall remove any then-existing, unused Lines previously installed by or on behalf of Tenant and which are located in or serving the Premises and repair any damage in connection with such removal, and</w:t>
      </w:r>
    </w:p>
    <w:p>
      <w:pPr>
        <w:spacing w:after="0" w:line="2" w:lineRule="exact"/>
        <w:rPr>
          <w:sz w:val="20"/>
          <w:szCs w:val="20"/>
          <w:color w:val="auto"/>
        </w:rPr>
      </w:pPr>
    </w:p>
    <w:p>
      <w:pPr>
        <w:ind w:right="260" w:firstLine="8"/>
        <w:spacing w:after="0" w:line="261" w:lineRule="auto"/>
        <w:tabs>
          <w:tab w:leader="none" w:pos="30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Tenant shall pay all costs in connection therewith. All Lines shall be clearly marked with adhesive plastic labels (or plastic tags attached to such Lines with wire) to show Tenant’s name, suite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481" w:name="page482"/>
    <w:bookmarkEnd w:id="48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6"/>
          <w:szCs w:val="16"/>
          <w:b w:val="1"/>
          <w:bCs w:val="1"/>
          <w:color w:val="auto"/>
        </w:rPr>
        <w:t>Identification</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Upon the expiration of the Lease Term, or immediately following any earlier termination of this Lease, Tenant shall, at Tenant’s sole cost</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expense, remove all Lines installed by Tenant (but not any Lines existing in the Premises prior to the Effective Date and repair any damage caused by such removal. In the event that Tenant fails to complete such removal and/or fails to repair any damage caused by the removal of any Lines, Landlord may do so and may charge the cost thereof to Tenant. Landlord reserves the right to require that Tenant remove any Lines located in or serving the Premises which are installed by or on behalf of Tenant in violation of these provisions, or which are at any time (1) are in violation of any Applicable Laws, (2) are inconsistent with then-existing industry standards (such as the standards promulgated by the National Fire Protection Association (e.g., such organization’s “2002 National Electrical Code”)), or (3) otherwise represent a dangerous or potentially dangerous condition.</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29.33 </w:t>
      </w:r>
      <w:r>
        <w:rPr>
          <w:rFonts w:ascii="Arial" w:cs="Arial" w:eastAsia="Arial" w:hAnsi="Arial"/>
          <w:sz w:val="18"/>
          <w:szCs w:val="18"/>
          <w:b w:val="1"/>
          <w:bCs w:val="1"/>
          <w:u w:val="single" w:color="auto"/>
          <w:color w:val="auto"/>
        </w:rPr>
        <w:t>Hazardous Substances</w:t>
      </w:r>
      <w:r>
        <w:rPr>
          <w:rFonts w:ascii="Arial" w:cs="Arial" w:eastAsia="Arial" w:hAnsi="Arial"/>
          <w:sz w:val="18"/>
          <w:szCs w:val="18"/>
          <w:u w:val="single" w:color="auto"/>
          <w:color w:val="auto"/>
        </w:rPr>
        <w:t>.</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29.33.1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Lease, the following definitions shall apply: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any solid, liquid or gaseous substance or material that is described or characterized as a toxic or hazardous substance, waste, material, pollutant, contaminant or infectious waste, or any matter that in certain specified quantities would be injurious to the public health or welfare, or words of similar import, in any of the “Environmental Laws,” as that term is defined below, or any other words which are 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Materials or (ii) the manufacture, processing, distribution, use, treatment, storage, disposal, transport or handling of any Hazardous Materials.</w:t>
      </w:r>
    </w:p>
    <w:p>
      <w:pPr>
        <w:spacing w:after="0" w:line="5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29.33.2 </w:t>
      </w:r>
      <w:r>
        <w:rPr>
          <w:rFonts w:ascii="Arial" w:cs="Arial" w:eastAsia="Arial" w:hAnsi="Arial"/>
          <w:sz w:val="18"/>
          <w:szCs w:val="18"/>
          <w:b w:val="1"/>
          <w:bCs w:val="1"/>
          <w:u w:val="single" w:color="auto"/>
          <w:color w:val="auto"/>
        </w:rPr>
        <w:t>Compliance with Environmental Laws</w:t>
      </w:r>
      <w:r>
        <w:rPr>
          <w:rFonts w:ascii="Arial" w:cs="Arial" w:eastAsia="Arial" w:hAnsi="Arial"/>
          <w:sz w:val="18"/>
          <w:szCs w:val="18"/>
          <w:color w:val="auto"/>
        </w:rPr>
        <w:t xml:space="preserve">. Landlord covenants that during the Lease Term, Landlord shall comply with all Environmental Laws in accordance with, and as required by, the TCCs of </w:t>
      </w:r>
      <w:r>
        <w:rPr>
          <w:rFonts w:ascii="Arial" w:cs="Arial" w:eastAsia="Arial" w:hAnsi="Arial"/>
          <w:sz w:val="18"/>
          <w:szCs w:val="18"/>
          <w:u w:val="single" w:color="auto"/>
          <w:color w:val="auto"/>
        </w:rPr>
        <w:t>Article 24</w:t>
      </w:r>
      <w:r>
        <w:rPr>
          <w:rFonts w:ascii="Arial" w:cs="Arial" w:eastAsia="Arial" w:hAnsi="Arial"/>
          <w:sz w:val="18"/>
          <w:szCs w:val="18"/>
          <w:color w:val="auto"/>
        </w:rPr>
        <w:t xml:space="preserve"> of this Lease. Tenant shall not sell, use, or store in or around the Premises any Hazardous Materials, provided that the use or storage of Hazardous Materials shall be permitted to the extent the same is performed in accordance with applicable Environmental Laws, and subject to Tenant’s receipt, at Tenant’s sole cost, of all applicable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482" w:name="page483"/>
    <w:bookmarkEnd w:id="48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permits and required governmental approvals. In addition, Tenant agrees that it: (i) shall not cause or suffer to occur, the release, discharge, escape or emission of any Hazardous Materials at, upon, under or within the Premises or any contiguous or adjacent premises; (ii) shall not engage in activities at the Premises that could result in, give rise to, or lead to the imposition of liability upon Tenant or Landlord or the creation of a lien upon the building or land upon which the Premises is located; (iii) shall notify Landlord promptly following receipt of any knowledge with respect to any actual release, discharge, escape or emission (whether past or present) of any Hazardous Materials at, upon, under or within the Premises; (iv) shall promptly forward to Landlord copies of all orders, notices, permits, applications and other communications and reports in connection with any release, discharge, escape or emission of any Hazardous Materials at, upon, under or within the Premises or any contiguous or adjacent premises, and (v) in connection with Tenant’s surrender of the Premises upon the expiration or earlier termination of this Lease, Tenant shall deliver the same free of Hazardous Materials brought upon, kept or used in or about the Premises by any persons during the period of Tenant’s lease of, use of, or occupancy of, the Premises, and shall obtain and provide to Landlord (A) any and all licenses, clearances or other authorizations of any kind required to permit the presence of Hazardous Materials in the Premises by any governmental or quasi-governmental agency having jurisdiction over the use, storage, release or removal of Hazardous Materials, (B) evidence from the applicable governmental entities of “closure” of all permits which had been required for Tenant’s use of the Premises, together with “no further action letters” from such applicable governmental entities and a “no further action letter” for unrestricted future use of the Premises, and (C) a Phase I report with regard to the Premises. Landlord and Tenant hereby agree that for purposes of establishing a baseline, Landlord shall, promptly following the Effective Date of this Lease, obtain and provide to Tenant an updated Phase I report with regard to the Premises.</w:t>
      </w:r>
    </w:p>
    <w:p>
      <w:pPr>
        <w:spacing w:after="0" w:line="5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29.33.3 </w:t>
      </w:r>
      <w:r>
        <w:rPr>
          <w:rFonts w:ascii="Arial" w:cs="Arial" w:eastAsia="Arial" w:hAnsi="Arial"/>
          <w:sz w:val="16"/>
          <w:szCs w:val="16"/>
          <w:b w:val="1"/>
          <w:bCs w:val="1"/>
          <w:u w:val="single" w:color="auto"/>
          <w:color w:val="auto"/>
        </w:rPr>
        <w:t>Tenant Hazardous Materials</w:t>
      </w:r>
      <w:r>
        <w:rPr>
          <w:rFonts w:ascii="Arial" w:cs="Arial" w:eastAsia="Arial" w:hAnsi="Arial"/>
          <w:sz w:val="16"/>
          <w:szCs w:val="16"/>
          <w:color w:val="auto"/>
        </w:rPr>
        <w:t>. Tenant will (i) obtain and maintain in full force and effect all Environmental Permits (as defined below) that may be required from time to time under any Environmental Laws applicable to Tenant or the Premises, and (ii) be and remain in compliance with all terms and conditions of all such Environmental Permits and with all other Environmental Laws. “</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collectively, any and all permits, consents, licenses, approvals and registrations of any nature at any time required pursuant to, or in order to comply with any Environmental Law. On or before the Lease Commencement Date and on each annual anniversary of the Commencement Date thereafter, as well as at any other time following Tenant’s receipt of a reasonable request from Landlord, Tenant agrees to deliver to Landlord a list (the “</w:t>
      </w:r>
      <w:r>
        <w:rPr>
          <w:rFonts w:ascii="Arial" w:cs="Arial" w:eastAsia="Arial" w:hAnsi="Arial"/>
          <w:sz w:val="16"/>
          <w:szCs w:val="16"/>
          <w:b w:val="1"/>
          <w:bCs w:val="1"/>
          <w:color w:val="auto"/>
        </w:rPr>
        <w:t>HazMat List</w:t>
      </w:r>
      <w:r>
        <w:rPr>
          <w:rFonts w:ascii="Arial" w:cs="Arial" w:eastAsia="Arial" w:hAnsi="Arial"/>
          <w:sz w:val="16"/>
          <w:szCs w:val="16"/>
          <w:color w:val="auto"/>
        </w:rPr>
        <w:t>”) of all Hazardous Materials anticipated to be used by Tenant in the Premises and the quantities thereof. Upon the expiration or earlier termination of this Lease, Tenant agrees to promptly remove from the Premises, the Building and the Project, at its sole cost and expense, any and all Hazardous Materials, including any equipment or systems containing Hazardous Materials, which are installed, brought upon, stored, used, generated or released upon, in, under or about the Premises, the Building, and/or the Project or any portion thereof by Tenant and/or any Tenant Parties (such obligation to survive the expiration or sooner termination of this Lease). Nothing in this Lease shall impose any liability on Tenant for any Hazardous Materials in existence on the Premises, Building or Project prior to the Lease Commencement Date or brought onto the Premises, Building or Project after the Lease Commencement Date by any third parties not under Tenant’s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3" w:right="239" w:bottom="1440" w:gutter="0" w:footer="0" w:header="0"/>
        </w:sectPr>
      </w:pPr>
    </w:p>
    <w:bookmarkStart w:id="483" w:name="page484"/>
    <w:bookmarkEnd w:id="483"/>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29.33.4 </w:t>
      </w:r>
      <w:r>
        <w:rPr>
          <w:rFonts w:ascii="Arial" w:cs="Arial" w:eastAsia="Arial" w:hAnsi="Arial"/>
          <w:sz w:val="16"/>
          <w:szCs w:val="16"/>
          <w:b w:val="1"/>
          <w:bCs w:val="1"/>
          <w:u w:val="single" w:color="auto"/>
          <w:color w:val="auto"/>
        </w:rPr>
        <w:t>Landlord’s Right of Environmental Audit</w:t>
      </w:r>
      <w:r>
        <w:rPr>
          <w:rFonts w:ascii="Arial" w:cs="Arial" w:eastAsia="Arial" w:hAnsi="Arial"/>
          <w:sz w:val="16"/>
          <w:szCs w:val="16"/>
          <w:color w:val="auto"/>
        </w:rPr>
        <w:t>. Landlord may, upon reasonable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To the extent that the report prepared upon such inspection, assessment or audit, indicates the presence of Hazardous Materials in violation of Environmental Laws, or provides recommendations or suggestions to prohibit the release, discharge, escape or emission of any Hazardous Materials at, upon, under or within the Premises, or to comply with any Environmental Laws, Tenant shall promptly, at Tenant’s sole expense, comply with such recommendations or suggestions, including, but not limited to performing such additional investigative or subsurface investigations or remediation(s) as recommended by such inspector or auditor. Notwithstanding the above, if at any time, Landlord has actual notice or reasonable cause to believe that Tenant has violated, or permitted any violations of any Environmental Law, then Landlord will be entitled to perform its environmental inspection, assessment or audit at any time, notwithstanding the above mentioned annual limitation, and Tenant must reimburse Landlord for the cost or fees incurred for such as Additional Rent if a violation is discovered.</w:t>
      </w:r>
    </w:p>
    <w:p>
      <w:pPr>
        <w:spacing w:after="0" w:line="5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29.33.5 </w:t>
      </w:r>
      <w:r>
        <w:rPr>
          <w:rFonts w:ascii="Arial" w:cs="Arial" w:eastAsia="Arial" w:hAnsi="Arial"/>
          <w:sz w:val="17"/>
          <w:szCs w:val="17"/>
          <w:b w:val="1"/>
          <w:bCs w:val="1"/>
          <w:u w:val="single" w:color="auto"/>
          <w:color w:val="auto"/>
        </w:rPr>
        <w:t>Indemnifications</w:t>
      </w:r>
      <w:r>
        <w:rPr>
          <w:rFonts w:ascii="Arial" w:cs="Arial" w:eastAsia="Arial" w:hAnsi="Arial"/>
          <w:sz w:val="17"/>
          <w:szCs w:val="17"/>
          <w:color w:val="auto"/>
        </w:rPr>
        <w:t>. Landlord agrees to indemnify, defend, protect and hold harmless the Tenant Parties from and against any liability, obligation, damage or costs, including without limitation, attorneys’ fees and costs, resulting directly or indirectly from any use, presence, removal or disposal of any Hazardous Materials in the Project, Building or Premises prior to the Effective Date and otherwise to the extent such liability, obligation, damage or costs was a result of actions caused or knowingly permitted by Landlord or a Landlord Party. Tenant agrees to indemnify, defend, protect and hold harmless the Landlord Parties from and against any liability, obligation, damage or costs, including without limitation, attorneys’ fees and costs, resulting directly or indirectly from any use, presence, removal or disposal of any Hazardous Materials or breach of any provision of this section, to the extent such liability, obligation, damage or costs was a result of actions caused or permitted by Tenant or a Tenant Party.</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29.33.6 </w:t>
      </w:r>
      <w:r>
        <w:rPr>
          <w:rFonts w:ascii="Arial" w:cs="Arial" w:eastAsia="Arial" w:hAnsi="Arial"/>
          <w:sz w:val="18"/>
          <w:szCs w:val="18"/>
          <w:b w:val="1"/>
          <w:bCs w:val="1"/>
          <w:u w:val="single" w:color="auto"/>
          <w:color w:val="auto"/>
        </w:rPr>
        <w:t>Control Areas; Storage</w:t>
      </w:r>
      <w:r>
        <w:rPr>
          <w:rFonts w:ascii="Arial" w:cs="Arial" w:eastAsia="Arial" w:hAnsi="Arial"/>
          <w:sz w:val="18"/>
          <w:szCs w:val="18"/>
          <w:color w:val="auto"/>
        </w:rPr>
        <w:t>. In connection with Tenant’s storage of any Hazardous Materials permitted in accordance with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29.33</w:t>
      </w:r>
      <w:r>
        <w:rPr>
          <w:rFonts w:ascii="Arial" w:cs="Arial" w:eastAsia="Arial" w:hAnsi="Arial"/>
          <w:sz w:val="16"/>
          <w:szCs w:val="16"/>
          <w:color w:val="auto"/>
        </w:rPr>
        <w:t xml:space="preserve">, Tenant shall be allowed to utilize up to Tenant’s Share of the control areas or zones identified on </w:t>
      </w:r>
      <w:r>
        <w:rPr>
          <w:rFonts w:ascii="Arial" w:cs="Arial" w:eastAsia="Arial" w:hAnsi="Arial"/>
          <w:sz w:val="16"/>
          <w:szCs w:val="16"/>
          <w:b w:val="1"/>
          <w:bCs w:val="1"/>
          <w:u w:val="single" w:color="auto"/>
          <w:color w:val="auto"/>
        </w:rPr>
        <w:t>Exhibit A-3</w:t>
      </w:r>
      <w:r>
        <w:rPr>
          <w:rFonts w:ascii="Arial" w:cs="Arial" w:eastAsia="Arial" w:hAnsi="Arial"/>
          <w:sz w:val="16"/>
          <w:szCs w:val="16"/>
          <w:color w:val="auto"/>
        </w:rPr>
        <w:t xml:space="preserve"> attached hereto (but such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limited to the extent such areas/zones are located within the Premises), as designated by the applicable building code, for chemical use or storage.</w:t>
      </w:r>
    </w:p>
    <w:p>
      <w:pPr>
        <w:spacing w:after="0" w:line="12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29.34 </w:t>
      </w:r>
      <w:r>
        <w:rPr>
          <w:rFonts w:ascii="Arial" w:cs="Arial" w:eastAsia="Arial" w:hAnsi="Arial"/>
          <w:sz w:val="18"/>
          <w:szCs w:val="18"/>
          <w:b w:val="1"/>
          <w:bCs w:val="1"/>
          <w:u w:val="single" w:color="auto"/>
          <w:color w:val="auto"/>
        </w:rPr>
        <w:t>Rooftop Rights</w:t>
      </w:r>
      <w:r>
        <w:rPr>
          <w:rFonts w:ascii="Arial" w:cs="Arial" w:eastAsia="Arial" w:hAnsi="Arial"/>
          <w:sz w:val="18"/>
          <w:szCs w:val="18"/>
          <w:color w:val="auto"/>
        </w:rPr>
        <w:t xml:space="preserve">. Provided that Tenant is then in occupancy of the Premises, then in accordance with, and subject to, the terms and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29.34</w:t>
      </w:r>
      <w:r>
        <w:rPr>
          <w:rFonts w:ascii="Arial" w:cs="Arial" w:eastAsia="Arial" w:hAnsi="Arial"/>
          <w:sz w:val="18"/>
          <w:szCs w:val="18"/>
          <w:color w:val="auto"/>
        </w:rPr>
        <w:t>, Tenant may install and maintain, at Tenant’s sole cost and expense, but without the payment of any Base Rent or a license or similar fee or charge, the following equipment: (i) one (1) satellite dish/antennae on the roof of the Building which shall be no larger than twenty-four inches (24”) in diameter and which shall weigh no more than fifty pounds (and reasonable equipment and cabling related thereto), for receiving of signals or broadcasts (as opposed to the generation or transmission of any such signals or broadcasts) servicing the business conducted by Tenant from within the Premises (all such equipment is defined collectively as the “</w:t>
      </w:r>
      <w:r>
        <w:rPr>
          <w:rFonts w:ascii="Arial" w:cs="Arial" w:eastAsia="Arial" w:hAnsi="Arial"/>
          <w:sz w:val="18"/>
          <w:szCs w:val="18"/>
          <w:b w:val="1"/>
          <w:bCs w:val="1"/>
          <w:color w:val="auto"/>
        </w:rPr>
        <w:t>Telecommunications Equipment</w:t>
      </w:r>
      <w:r>
        <w:rPr>
          <w:rFonts w:ascii="Arial" w:cs="Arial" w:eastAsia="Arial" w:hAnsi="Arial"/>
          <w:sz w:val="18"/>
          <w:szCs w:val="18"/>
          <w:color w:val="auto"/>
        </w:rPr>
        <w:t>”); and (ii) HVAC equipment to the extent necessary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69" w:right="23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Tenant’s One-Pass Air System (the “</w:t>
      </w:r>
      <w:r>
        <w:rPr>
          <w:rFonts w:ascii="Arial" w:cs="Arial" w:eastAsia="Arial" w:hAnsi="Arial"/>
          <w:sz w:val="18"/>
          <w:szCs w:val="18"/>
          <w:b w:val="1"/>
          <w:bCs w:val="1"/>
          <w:color w:val="auto"/>
        </w:rPr>
        <w:t>HVAC Equipment</w:t>
      </w:r>
      <w:r>
        <w:rPr>
          <w:rFonts w:ascii="Arial" w:cs="Arial" w:eastAsia="Arial" w:hAnsi="Arial"/>
          <w:sz w:val="18"/>
          <w:szCs w:val="18"/>
          <w:color w:val="auto"/>
        </w:rPr>
        <w:t>”) (collectively, the “Rooftop Equipment”).</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29.34.1 Landlord makes no representations or warranties whatsoever with respect to the condition of the roof of the Building, or the fitness or suitability of the roof of the Building for the installation, maintenance and operation of the Rooftop Equipment, including, without limitation, with respect to the quality and clarity of any receptions and transmissions to or from the Telecommunications Equipment and the presence of any interference with such signals whether emanating from the Building or otherwise.</w:t>
      </w:r>
    </w:p>
    <w:p>
      <w:pPr>
        <w:spacing w:after="0" w:line="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29.34.2 In the event Tenant elects to exercise its right to install any Rooftop Equipment, then Tenant shall give Landlord prior notice thereof. Such Rooftop Equipment shall be installed pursuant to plans and specifications approved by Landlord (specifically including, without limitation, all mounting and waterproofing details), which approval will not be unreasonably withheld, conditioned, or delayed. In addition, the physical appearance and the size of the Rooftop Equipment shall be subject to Landlord’s reasonable approval, the location of any such installation of the Rooftop Equipment shall be designated by Tenant subject to Landlord’s reasonable approval and Landlord may require Tenant to install screening around such Rooftop Equipment, at Tenant’s sole cost and expense, as reasonably designated by Landlord. Tenant shall reimburse to Landlord the actual costs reasonably incurred by Landlord in approving such Rooftop Equipment. Notwithstanding any such review or approval by Landlord, Tenant shall remain solely liable for any damage to any portion of the roof or roof membrane, specifically including any penetrations, in connection with Tenant’s installation, use, maintenance and/or repair of such Rooftop Equipment, and Landlord shall have no liability therewith. Such Rooftop Equipment shall, in all instances, comply with applicable governmental laws, codes, rules and regulations.</w:t>
      </w:r>
    </w:p>
    <w:p>
      <w:pPr>
        <w:spacing w:after="0" w:line="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29.34.3 Tenant shall maintain such Rooftop Equipment, at Tenant’s sole cost and expense. Tenant shall remove such Rooftop Equipment upon the expiration or earlier termination of the “Lease, or, in the event Tenant no longer occupies the Premises, then upon the termination of Tenant’s rights under this </w:t>
      </w:r>
      <w:r>
        <w:rPr>
          <w:rFonts w:ascii="Arial" w:cs="Arial" w:eastAsia="Arial" w:hAnsi="Arial"/>
          <w:sz w:val="18"/>
          <w:szCs w:val="18"/>
          <w:u w:val="single" w:color="auto"/>
          <w:color w:val="auto"/>
        </w:rPr>
        <w:t>Section 29.34</w:t>
      </w:r>
      <w:r>
        <w:rPr>
          <w:rFonts w:ascii="Arial" w:cs="Arial" w:eastAsia="Arial" w:hAnsi="Arial"/>
          <w:sz w:val="18"/>
          <w:szCs w:val="18"/>
          <w:color w:val="auto"/>
        </w:rPr>
        <w:t>, and shall return the affected portion of the rooftop and the Premises to the condition the rooftop and the Premises would have been in had no such Rooftop Equipment been installed (reasonable wear and tear excepted).</w:t>
      </w:r>
    </w:p>
    <w:p>
      <w:pPr>
        <w:spacing w:after="0" w:line="7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29.34.4 Tenant shall not be entitled to assign, sublease, license or otherwise transfer all or any portion of its right to use such Rooftop Equipment (other than in connection with an assignment of this Lease under the terms of </w:t>
      </w:r>
      <w:r>
        <w:rPr>
          <w:rFonts w:ascii="Arial" w:cs="Arial" w:eastAsia="Arial" w:hAnsi="Arial"/>
          <w:sz w:val="18"/>
          <w:szCs w:val="18"/>
          <w:u w:val="single" w:color="auto"/>
          <w:color w:val="auto"/>
        </w:rPr>
        <w:t>Article 14</w:t>
      </w:r>
      <w:r>
        <w:rPr>
          <w:rFonts w:ascii="Arial" w:cs="Arial" w:eastAsia="Arial" w:hAnsi="Arial"/>
          <w:sz w:val="18"/>
          <w:szCs w:val="18"/>
          <w:color w:val="auto"/>
        </w:rPr>
        <w:t>), nor shall Tenant be permitted to receive any revenues, fees or any other consideration for the use of such Rooftop Equipment by an unrelated third party. Tenant’s right to install such Rooftop Equipment shall be non-exclusive, and Tenant hereby expressly acknowledges Landlord’s continued right (i) to itself utilize any rooftop space, and (ii) to re-sell, license or lease any rooftop space to an unaffiliated third party; provided, however, such Landlord (or third-party) use shall not materially interfere with (or preclude the installation of) Tenant’s Rooftop Equipment.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0" w:right="25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caused this Lease to be executed the day and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KILROY REALTY, L.P.,</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partnership</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Kilroy Realty Corporation,</w:t>
            </w:r>
          </w:p>
        </w:tc>
      </w:tr>
      <w:tr>
        <w:trPr>
          <w:trHeight w:val="216"/>
        </w:trPr>
        <w:tc>
          <w:tcPr>
            <w:tcW w:w="440" w:type="dxa"/>
            <w:vAlign w:val="bottom"/>
          </w:tcPr>
          <w:p>
            <w:pPr>
              <w:spacing w:after="0"/>
              <w:rPr>
                <w:sz w:val="18"/>
                <w:szCs w:val="18"/>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a Maryland corporation,</w:t>
            </w:r>
          </w:p>
        </w:tc>
      </w:tr>
      <w:tr>
        <w:trPr>
          <w:trHeight w:val="230"/>
        </w:trPr>
        <w:tc>
          <w:tcPr>
            <w:tcW w:w="440" w:type="dxa"/>
            <w:vAlign w:val="bottom"/>
          </w:tcPr>
          <w:p>
            <w:pPr>
              <w:spacing w:after="0"/>
              <w:rPr>
                <w:sz w:val="20"/>
                <w:szCs w:val="20"/>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general partner</w:t>
            </w:r>
          </w:p>
        </w:tc>
      </w:tr>
      <w:tr>
        <w:trPr>
          <w:trHeight w:val="446"/>
        </w:trPr>
        <w:tc>
          <w:tcPr>
            <w:tcW w:w="4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C. Hawken</w:t>
            </w:r>
          </w:p>
        </w:tc>
      </w:tr>
      <w:tr>
        <w:trPr>
          <w:trHeight w:val="209"/>
        </w:trPr>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Jeffrey C. Hawken</w:t>
            </w:r>
          </w:p>
        </w:tc>
      </w:tr>
      <w:tr>
        <w:trPr>
          <w:trHeight w:val="216"/>
        </w:trPr>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32"/>
        </w:trPr>
        <w:tc>
          <w:tcPr>
            <w:tcW w:w="4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Christian Krogh</w:t>
            </w:r>
          </w:p>
        </w:tc>
      </w:tr>
      <w:tr>
        <w:trPr>
          <w:trHeight w:val="209"/>
        </w:trPr>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A. Christian Krogh</w:t>
            </w:r>
          </w:p>
        </w:tc>
      </w:tr>
      <w:tr>
        <w:trPr>
          <w:trHeight w:val="230"/>
        </w:trPr>
        <w:tc>
          <w:tcPr>
            <w:tcW w:w="44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Vice President, Asset Management</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Smart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Tom Smart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Chairman &amp; CEO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Hamza Suria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VP, Corporate Development</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74" w:right="239" w:bottom="1440" w:gutter="0" w:footer="0" w:header="0"/>
        </w:sectPr>
      </w:pPr>
    </w:p>
    <w:bookmarkStart w:id="486" w:name="page487"/>
    <w:bookmarkEnd w:id="48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OUTLINE OF PREMISES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87" w:name="page488"/>
    <w:bookmarkEnd w:id="4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279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542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488" w:name="page489"/>
    <w:bookmarkEnd w:id="4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972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609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489" w:name="page490"/>
    <w:bookmarkEnd w:id="48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PREMISES DEMISING PLAN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90" w:name="page491"/>
    <w:bookmarkEnd w:id="4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947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491" w:name="page492"/>
    <w:bookmarkEnd w:id="4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286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542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492" w:name="page493"/>
    <w:bookmarkEnd w:id="49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OUTLINE OF TANVEX EXCLUSIVE AREA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493" w:name="page494"/>
    <w:bookmarkEnd w:id="4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02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668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494" w:name="page495"/>
    <w:bookmarkEnd w:id="4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51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535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495" w:name="page496"/>
    <w:bookmarkEnd w:id="49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BUILDING CONTROL AREA PLAN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EXHIBIT A-3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96" w:name="page497"/>
    <w:bookmarkEnd w:id="4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289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572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497" w:name="page498"/>
    <w:bookmarkEnd w:id="4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111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 LETTER AGREEMENT</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This Work Letter shall set forth the terms and conditions relating to the construction of the improvements in the Premises. This Work Letter is essentially organized chronologically and addresses the issues of the construction of the Premises, in sequence, as such issues will arise during the actual construction of the Premises. All references in this Work Letter to Articles or Sections of “this Lease” shall mean the relevant portion of </w:t>
      </w:r>
      <w:r>
        <w:rPr>
          <w:rFonts w:ascii="Arial" w:cs="Arial" w:eastAsia="Arial" w:hAnsi="Arial"/>
          <w:sz w:val="17"/>
          <w:szCs w:val="17"/>
          <w:u w:val="single" w:color="auto"/>
          <w:color w:val="auto"/>
        </w:rPr>
        <w:t>Articles l</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of the Office Lease to which this Work Letter is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of which this Work Letter forms a part, and all references in this Work Letter to Sections of “this Work Letter” shall mean the relevant portion of </w:t>
      </w:r>
      <w:r>
        <w:rPr>
          <w:rFonts w:ascii="Arial" w:cs="Arial" w:eastAsia="Arial" w:hAnsi="Arial"/>
          <w:sz w:val="17"/>
          <w:szCs w:val="17"/>
          <w:u w:val="single" w:color="auto"/>
          <w:color w:val="auto"/>
        </w:rPr>
        <w:t>Sections l</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Work Letter.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LANDLORD’S INITIAL CONSTRUCTION</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Base Building as Constructed by Landlord</w:t>
      </w:r>
      <w:r>
        <w:rPr>
          <w:rFonts w:ascii="Arial" w:cs="Arial" w:eastAsia="Arial" w:hAnsi="Arial"/>
          <w:sz w:val="18"/>
          <w:szCs w:val="18"/>
          <w:color w:val="auto"/>
        </w:rPr>
        <w:t>. Landlord has constructed, at its sole cost and expense, the Base Building. The Base Building shall consist of those portions of the Premises which were in existence prior to the construction of the improvements in the Premises for the prior tenant (if any) of the Premises.</w:t>
      </w:r>
    </w:p>
    <w:p>
      <w:pPr>
        <w:spacing w:after="0" w:line="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Landlord Work</w:t>
      </w:r>
      <w:r>
        <w:rPr>
          <w:rFonts w:ascii="Arial" w:cs="Arial" w:eastAsia="Arial" w:hAnsi="Arial"/>
          <w:sz w:val="18"/>
          <w:szCs w:val="18"/>
          <w:color w:val="auto"/>
        </w:rPr>
        <w:t>. Landlord shall cause the construction or installation of the following items on the floor of the Building containing the Premises (collectively, the “</w:t>
      </w:r>
      <w:r>
        <w:rPr>
          <w:rFonts w:ascii="Arial" w:cs="Arial" w:eastAsia="Arial" w:hAnsi="Arial"/>
          <w:sz w:val="18"/>
          <w:szCs w:val="18"/>
          <w:b w:val="1"/>
          <w:bCs w:val="1"/>
          <w:color w:val="auto"/>
        </w:rPr>
        <w:t>Landlord Work</w:t>
      </w:r>
      <w:r>
        <w:rPr>
          <w:rFonts w:ascii="Arial" w:cs="Arial" w:eastAsia="Arial" w:hAnsi="Arial"/>
          <w:sz w:val="18"/>
          <w:szCs w:val="18"/>
          <w:color w:val="auto"/>
        </w:rPr>
        <w:t>”). The Landlord Work shall be performed in compliance with all Applicable Laws at Landlord’s sole cost and expense, which cost and expense shall be expressly excluded from Operating Expenses and the Improvement Allowance. Tenant may not change or alter the Landlord Work.</w:t>
      </w:r>
    </w:p>
    <w:p>
      <w:pPr>
        <w:spacing w:after="0" w:line="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1.2.l </w:t>
      </w:r>
      <w:r>
        <w:rPr>
          <w:rFonts w:ascii="Arial" w:cs="Arial" w:eastAsia="Arial" w:hAnsi="Arial"/>
          <w:sz w:val="18"/>
          <w:szCs w:val="18"/>
          <w:u w:val="single" w:color="auto"/>
          <w:color w:val="auto"/>
        </w:rPr>
        <w:t>Demising of Premises</w:t>
      </w:r>
      <w:r>
        <w:rPr>
          <w:rFonts w:ascii="Arial" w:cs="Arial" w:eastAsia="Arial" w:hAnsi="Arial"/>
          <w:sz w:val="18"/>
          <w:szCs w:val="18"/>
          <w:color w:val="auto"/>
        </w:rPr>
        <w:t xml:space="preserve">. Landlord has, at Landlord’s cost, previously demised the Premises in accordance with the demising plan indicated on </w:t>
      </w:r>
      <w:r>
        <w:rPr>
          <w:rFonts w:ascii="Arial" w:cs="Arial" w:eastAsia="Arial" w:hAnsi="Arial"/>
          <w:sz w:val="18"/>
          <w:szCs w:val="18"/>
          <w:b w:val="1"/>
          <w:bCs w:val="1"/>
          <w:u w:val="single" w:color="auto"/>
          <w:color w:val="auto"/>
        </w:rPr>
        <w:t>Exhibit A-1</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Lease.</w:t>
      </w:r>
    </w:p>
    <w:p>
      <w:pPr>
        <w:spacing w:after="0" w:line="62" w:lineRule="exact"/>
        <w:rPr>
          <w:sz w:val="20"/>
          <w:szCs w:val="20"/>
          <w:color w:val="auto"/>
        </w:rPr>
      </w:pPr>
    </w:p>
    <w:p>
      <w:pPr>
        <w:ind w:right="320" w:firstLine="913"/>
        <w:spacing w:after="0" w:line="291" w:lineRule="auto"/>
        <w:rPr>
          <w:sz w:val="20"/>
          <w:szCs w:val="20"/>
          <w:color w:val="auto"/>
        </w:rPr>
      </w:pPr>
      <w:r>
        <w:rPr>
          <w:rFonts w:ascii="Arial" w:cs="Arial" w:eastAsia="Arial" w:hAnsi="Arial"/>
          <w:sz w:val="16"/>
          <w:szCs w:val="16"/>
          <w:color w:val="auto"/>
        </w:rPr>
        <w:t xml:space="preserve">l.2.2 </w:t>
      </w:r>
      <w:r>
        <w:rPr>
          <w:rFonts w:ascii="Arial" w:cs="Arial" w:eastAsia="Arial" w:hAnsi="Arial"/>
          <w:sz w:val="16"/>
          <w:szCs w:val="16"/>
          <w:u w:val="single" w:color="auto"/>
          <w:color w:val="auto"/>
        </w:rPr>
        <w:t>Building System</w:t>
      </w:r>
      <w:r>
        <w:rPr>
          <w:rFonts w:ascii="Arial" w:cs="Arial" w:eastAsia="Arial" w:hAnsi="Arial"/>
          <w:sz w:val="16"/>
          <w:szCs w:val="16"/>
          <w:color w:val="auto"/>
        </w:rPr>
        <w:t>. Landlord has previously separated the following Building Systems serving the Premises from those servicing the non-Premises portions of the Building: (i) HVAC; (ii) electrical; (iii) natural gas; (iv) deionized water; (v) Carbon-Dioxide (C02) piping; (vi) vacuum piping;</w:t>
      </w:r>
    </w:p>
    <w:p>
      <w:pPr>
        <w:ind w:right="220" w:firstLine="8"/>
        <w:spacing w:after="0" w:line="281" w:lineRule="auto"/>
        <w:tabs>
          <w:tab w:leader="none" w:pos="35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laboratory compressed air; and (viii) city water. Further, Landlord shall, at Landlord’s cost and on a contemporaneous basis with Landlord’s control of the construction of the Improvements as set forth in the remainder of this Work Letter, (A) install sample ports in the lab waste system; (B) provide an emergency generator enclosure with associated pad and feeders (excluding the generator itself) in a reasonably designated area adjacent to the Building;</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(C) provide HYAC consisting of packaged heat pumps with l2 thermal zones that will provide a re-circulated environment; (D) provide plumbing connections from second floor dedicated water meter to second floor plumbing fixtures; and (E) reinstall the drop ceiling in laboratory areas.</w:t>
      </w:r>
    </w:p>
    <w:p>
      <w:pPr>
        <w:sectPr>
          <w:pgSz w:w="11900" w:h="16838" w:orient="portrait"/>
          <w:cols w:equalWidth="0" w:num="1">
            <w:col w:w="11400"/>
          </w:cols>
          <w:pgMar w:left="240" w:top="270" w:right="259" w:bottom="1440" w:gutter="0" w:footer="0" w:header="0"/>
        </w:sectPr>
      </w:pPr>
    </w:p>
    <w:bookmarkStart w:id="499" w:name="page500"/>
    <w:bookmarkEnd w:id="499"/>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7"/>
          <w:szCs w:val="17"/>
          <w:u w:val="single" w:color="auto"/>
          <w:color w:val="auto"/>
        </w:rPr>
        <w:t>Architect’s and Engineer’s Fees and Costs</w:t>
      </w:r>
      <w:r>
        <w:rPr>
          <w:rFonts w:ascii="Arial" w:cs="Arial" w:eastAsia="Arial" w:hAnsi="Arial"/>
          <w:sz w:val="17"/>
          <w:szCs w:val="17"/>
          <w:color w:val="auto"/>
        </w:rPr>
        <w:t xml:space="preserve">. Landlord shall be solely responsible for the payment of the fees of the architects and engineers utilized in connection with the Landlord Work. In addition, and notwithstanding any contrary provisions set forth in this Work Letter, Landlord shall be solely responsible for the payment of the fees of the “Architect” and the “Engineers,” as those terms are defined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Work Letter, and payment of the fees incurred by, and the cost of documents and materials supplied by, Landlord and Landlord’s consultants in connection with the preparation and review of the “Construction Drawings,” as that term is defined in </w:t>
      </w:r>
      <w:r>
        <w:rPr>
          <w:rFonts w:ascii="Arial" w:cs="Arial" w:eastAsia="Arial" w:hAnsi="Arial"/>
          <w:sz w:val="17"/>
          <w:szCs w:val="17"/>
          <w:u w:val="single" w:color="auto"/>
          <w:color w:val="auto"/>
        </w:rPr>
        <w:t>Section 3.l</w:t>
      </w:r>
      <w:r>
        <w:rPr>
          <w:rFonts w:ascii="Arial" w:cs="Arial" w:eastAsia="Arial" w:hAnsi="Arial"/>
          <w:sz w:val="17"/>
          <w:szCs w:val="17"/>
          <w:color w:val="auto"/>
        </w:rPr>
        <w:t xml:space="preserve"> of this Work Letter.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IMPROVEMENTS</w:t>
      </w:r>
    </w:p>
    <w:p>
      <w:pPr>
        <w:spacing w:after="0" w:line="2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Improvement Allowance</w:t>
      </w:r>
      <w:r>
        <w:rPr>
          <w:rFonts w:ascii="Arial" w:cs="Arial" w:eastAsia="Arial" w:hAnsi="Arial"/>
          <w:sz w:val="17"/>
          <w:szCs w:val="17"/>
          <w:color w:val="auto"/>
        </w:rPr>
        <w:t>. Tenant shall be entitled to a one-time improvement allowance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in the amount of Thirteen and 00/100 Dollars ($13.00) per rentable square foot of the Premises for the costs relating to the initial design and construction of the improvements which are permanently affixed to the Premises (the “</w:t>
      </w:r>
      <w:r>
        <w:rPr>
          <w:rFonts w:ascii="Arial" w:cs="Arial" w:eastAsia="Arial" w:hAnsi="Arial"/>
          <w:sz w:val="17"/>
          <w:szCs w:val="17"/>
          <w:b w:val="1"/>
          <w:bCs w:val="1"/>
          <w:color w:val="auto"/>
        </w:rPr>
        <w:t>Improvements</w:t>
      </w:r>
      <w:r>
        <w:rPr>
          <w:rFonts w:ascii="Arial" w:cs="Arial" w:eastAsia="Arial" w:hAnsi="Arial"/>
          <w:sz w:val="17"/>
          <w:szCs w:val="17"/>
          <w:color w:val="auto"/>
        </w:rPr>
        <w:t xml:space="preserve">”). In no event shall Landlord be obligated to make disbursements pursuant to this Work Letter in the event that Tenant fails to immediately pay any portion of the “Over-Allowance Amount,” as defined in </w:t>
      </w:r>
      <w:r>
        <w:rPr>
          <w:rFonts w:ascii="Arial" w:cs="Arial" w:eastAsia="Arial" w:hAnsi="Arial"/>
          <w:sz w:val="17"/>
          <w:szCs w:val="17"/>
          <w:u w:val="single" w:color="auto"/>
          <w:color w:val="auto"/>
        </w:rPr>
        <w:t>Section 4.2.l</w:t>
      </w:r>
      <w:r>
        <w:rPr>
          <w:rFonts w:ascii="Arial" w:cs="Arial" w:eastAsia="Arial" w:hAnsi="Arial"/>
          <w:sz w:val="17"/>
          <w:szCs w:val="17"/>
          <w:color w:val="auto"/>
        </w:rPr>
        <w:t xml:space="preserve">, nor shall Landlord be obligated to pay a total amount which exceeds the sum of the Improvement Allowance and the cost of the Landlord Work. Notwithstanding the foregoing or any contrary provision of this Lease, all Improvements shall be deemed Landlord’s property under the terms of this Lease except to the extent otherwise expressly excluded from Landlord’s property pursuant to the TCCs of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of this Lease. Any unused portion of the Improvement Allowance remaining as of June 30, 2013 shall remain with Landlord and Tenant shall have no further right thereto.</w:t>
      </w:r>
    </w:p>
    <w:p>
      <w:pPr>
        <w:spacing w:after="0" w:line="6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Disbursement of the Improvement Allowance</w:t>
      </w:r>
      <w:r>
        <w:rPr>
          <w:rFonts w:ascii="Arial" w:cs="Arial" w:eastAsia="Arial" w:hAnsi="Arial"/>
          <w:sz w:val="18"/>
          <w:szCs w:val="18"/>
          <w:color w:val="auto"/>
        </w:rPr>
        <w:t>. Except as otherwise set forth in this Work Letter, the Improvement Allowance shall be disbursed by Landlord (each of which disbursements shall be made pursuant to Landlord’s disbursement process, including, without limitation, Landlord’s receipt of invoices for all costs and fees described herein) for costs related to the construction of the Improvements and for the following items and costs (collectively, the “</w:t>
      </w:r>
      <w:r>
        <w:rPr>
          <w:rFonts w:ascii="Arial" w:cs="Arial" w:eastAsia="Arial" w:hAnsi="Arial"/>
          <w:sz w:val="18"/>
          <w:szCs w:val="18"/>
          <w:b w:val="1"/>
          <w:bCs w:val="1"/>
          <w:color w:val="auto"/>
        </w:rPr>
        <w:t>Improvement Allowance Items</w:t>
      </w:r>
      <w:r>
        <w:rPr>
          <w:rFonts w:ascii="Arial" w:cs="Arial" w:eastAsia="Arial" w:hAnsi="Arial"/>
          <w:sz w:val="18"/>
          <w:szCs w:val="18"/>
          <w:color w:val="auto"/>
        </w:rPr>
        <w: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2.2.l The cost of any changes to the Construction Drawings or Improvements required by all applicable building codes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The cost of any changes in the Base Building when such changes are required by the Construction Drawings;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The cost of all plan check, permit and license fees relating to construction of the Improvements;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2.2.4 The “Landlord Supervision Fee’’, as that term is defined in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of this Work Letter;</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2.2.5 To the extent designated for inclusion by Tenant, the cost of Tenant’s telecommunications systems, internet connectivity and network cabling, moving costs, and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00" w:name="page501"/>
    <w:bookmarkEnd w:id="500"/>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costs relating to the Premises (other than the cost of furniture or leasing costs) (“</w:t>
      </w:r>
      <w:r>
        <w:rPr>
          <w:rFonts w:ascii="Arial" w:cs="Arial" w:eastAsia="Arial" w:hAnsi="Arial"/>
          <w:sz w:val="18"/>
          <w:szCs w:val="18"/>
          <w:b w:val="1"/>
          <w:bCs w:val="1"/>
          <w:color w:val="auto"/>
        </w:rPr>
        <w:t>Soft Costs</w:t>
      </w:r>
      <w:r>
        <w:rPr>
          <w:rFonts w:ascii="Arial" w:cs="Arial" w:eastAsia="Arial" w:hAnsi="Arial"/>
          <w:sz w:val="18"/>
          <w:szCs w:val="18"/>
          <w:color w:val="auto"/>
        </w:rPr>
        <w:t>”); provided, however, in no event shall the foregoing exceed an aggregate amount equal to Three Dollars ($3.00) per rentable square foot of the Premises.</w:t>
      </w:r>
    </w:p>
    <w:p>
      <w:pPr>
        <w:spacing w:after="0" w:line="5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Building Standards</w:t>
      </w:r>
      <w:r>
        <w:rPr>
          <w:rFonts w:ascii="Arial" w:cs="Arial" w:eastAsia="Arial" w:hAnsi="Arial"/>
          <w:sz w:val="18"/>
          <w:szCs w:val="18"/>
          <w:color w:val="auto"/>
        </w:rPr>
        <w:t>. Landlord has established or may establish specifications for certain Building standard components to be used in the construction of the Improvements in the Premises. The quality of Improvements shall be equal to or of greater quality than the quality of such Building standards, provided that Landlord may, at Landlord’s option, require the Improvements to comply with certain Building standards. Landlord may make changes to said specifications for Building standards from time to time.</w:t>
      </w:r>
    </w:p>
    <w:p>
      <w:pPr>
        <w:spacing w:after="0" w:line="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Removal of Improvements</w:t>
      </w:r>
      <w:r>
        <w:rPr>
          <w:rFonts w:ascii="Arial" w:cs="Arial" w:eastAsia="Arial" w:hAnsi="Arial"/>
          <w:sz w:val="16"/>
          <w:szCs w:val="16"/>
          <w:color w:val="auto"/>
        </w:rPr>
        <w:t xml:space="preserve">. Other than with respect to Above Standard Improvements as set forth in this </w:t>
      </w:r>
      <w:r>
        <w:rPr>
          <w:rFonts w:ascii="Arial" w:cs="Arial" w:eastAsia="Arial" w:hAnsi="Arial"/>
          <w:sz w:val="16"/>
          <w:szCs w:val="16"/>
          <w:u w:val="single" w:color="auto"/>
          <w:color w:val="auto"/>
        </w:rPr>
        <w:t>Section 2.4</w:t>
      </w:r>
      <w:r>
        <w:rPr>
          <w:rFonts w:ascii="Arial" w:cs="Arial" w:eastAsia="Arial" w:hAnsi="Arial"/>
          <w:sz w:val="16"/>
          <w:szCs w:val="16"/>
          <w:color w:val="auto"/>
        </w:rPr>
        <w:t>, Landlord shall not require Tenant to remove from the Premises any Improvements (to the extent the same are construction in the Premises in accordance with the terms of this Work Letter) upon the expiration or any earlier termination of this Lease. “</w:t>
      </w:r>
      <w:r>
        <w:rPr>
          <w:rFonts w:ascii="Arial" w:cs="Arial" w:eastAsia="Arial" w:hAnsi="Arial"/>
          <w:sz w:val="16"/>
          <w:szCs w:val="16"/>
          <w:b w:val="1"/>
          <w:bCs w:val="1"/>
          <w:color w:val="auto"/>
        </w:rPr>
        <w:t>Above Standard Improvements</w:t>
      </w:r>
      <w:r>
        <w:rPr>
          <w:rFonts w:ascii="Arial" w:cs="Arial" w:eastAsia="Arial" w:hAnsi="Arial"/>
          <w:sz w:val="16"/>
          <w:szCs w:val="16"/>
          <w:color w:val="auto"/>
        </w:rPr>
        <w:t xml:space="preserve">” shall mean any part of the Improvements which do not constitute normal and customary general office improvements as reasonably determined by Landlord (Above Standard Improvements shall include, without limitation, improvements such as voice, data and other cabling, raised floors, floor penetrations, any installations outside the Premises, or any areas requiring floor reinforcement, personal baths and showers, vaults, rolling file systems, any vivariums or vivarium related improvements, laboratory space, and structural alterations of any type), and identified by Landlord for removal at the time of Landlord’s review and approval (to the extent such approval is granted) of the Final Space and/or the Final Working Drawings. In the event so identified by Landlord, Tenant shall remove such Above Standard Improvements upon the expiration or earlier termination of this Lease as more particularly set forth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of this Lease.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CONSTRUCTION DRAWINGS</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Selection of Architect/Construction Drawings</w:t>
      </w:r>
      <w:r>
        <w:rPr>
          <w:rFonts w:ascii="Arial" w:cs="Arial" w:eastAsia="Arial" w:hAnsi="Arial"/>
          <w:sz w:val="16"/>
          <w:szCs w:val="16"/>
          <w:color w:val="auto"/>
        </w:rPr>
        <w:t xml:space="preserve">. Landlord shall retain, on behalf of Tenant, FPBA Architects (the “Architect”) to prepare the “Construction Drawings,” as that term is defined in this </w:t>
      </w:r>
      <w:r>
        <w:rPr>
          <w:rFonts w:ascii="Arial" w:cs="Arial" w:eastAsia="Arial" w:hAnsi="Arial"/>
          <w:sz w:val="16"/>
          <w:szCs w:val="16"/>
          <w:u w:val="single" w:color="auto"/>
          <w:color w:val="auto"/>
        </w:rPr>
        <w:t>Section 3.1</w:t>
      </w:r>
      <w:r>
        <w:rPr>
          <w:rFonts w:ascii="Arial" w:cs="Arial" w:eastAsia="Arial" w:hAnsi="Arial"/>
          <w:sz w:val="16"/>
          <w:szCs w:val="16"/>
          <w:color w:val="auto"/>
        </w:rPr>
        <w:t>. Landlord shall retain, on behalf of Tenant, engineering consultants and/or design-build consultants designated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to prepare all plans and engineering working drawings relating to the structural, mechanical, electrical, plumbing and HYAC work of the Improvements and any relevant components of the Landlord Work. The plans and drawings to be prepared by Architect and the Engineers hereunder shall be known collectively as the “</w:t>
      </w:r>
      <w:r>
        <w:rPr>
          <w:rFonts w:ascii="Arial" w:cs="Arial" w:eastAsia="Arial" w:hAnsi="Arial"/>
          <w:sz w:val="16"/>
          <w:szCs w:val="16"/>
          <w:b w:val="1"/>
          <w:bCs w:val="1"/>
          <w:color w:val="auto"/>
        </w:rPr>
        <w:t>Construction Drawings</w:t>
      </w:r>
      <w:r>
        <w:rPr>
          <w:rFonts w:ascii="Arial" w:cs="Arial" w:eastAsia="Arial" w:hAnsi="Arial"/>
          <w:sz w:val="16"/>
          <w:szCs w:val="16"/>
          <w:color w:val="auto"/>
        </w:rPr>
        <w:t xml:space="preserve">.” All Construction Drawings shall comply with the drawing format and specifications as determined by Landlord, and shall be subject to Landlord’s approval as more particularly set forth in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below. Notwithstanding Landlord’s retention of the Architect and Engineers, Tenant shall be responsible for, and shall fully cooperate and coordinate in good faith with Landlord, the Architect and the Engineers to supply all of the necessary information within Tenant’s possession to allow the Architect and the Engineers to initially prepare and then complete, the Construction Drawings. Landlord hereby agrees (at no cost to Landlord) to cooperate, on a commercially reasonable basis, with Tenant to assist Tenant in the preparation of the Construction Drawings. Landlord’s review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501" w:name="page502"/>
    <w:bookmarkEnd w:id="50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Construction Drawings applicable to the Improvements (as opposed to Landlord Work) and as set forth in this Section 3, shall be for its sole purpose and shall not imply Landlord’s review of the same, or obligate Landlord to review the same, for quality, design, Code compliance or other like matters. Accordingly, notwithstanding that any Improvement-related portions of such Construction Drawings are reviewed by Landlord, and notwithstanding any advice or assistance which may be rendered to Tenant by Landlord, Landlord shall have no liability whatsoever in connection therewith and shall not be responsible for any omissions or errors contained in such portions of the Construction Drawings, and Tenant’s waiver and indemnity set forth in this Lease shall specifically apply to such portions of the Construction Drawings.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Final Space Plan</w:t>
      </w:r>
      <w:r>
        <w:rPr>
          <w:rFonts w:ascii="Arial" w:cs="Arial" w:eastAsia="Arial" w:hAnsi="Arial"/>
          <w:sz w:val="17"/>
          <w:szCs w:val="17"/>
          <w:color w:val="auto"/>
        </w:rPr>
        <w:t xml:space="preserve">. On or before the date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attached hereto, Tenant and the Architect shall prepare the final space plan for Improvements in the Premises (collectively, the “</w:t>
      </w:r>
      <w:r>
        <w:rPr>
          <w:rFonts w:ascii="Arial" w:cs="Arial" w:eastAsia="Arial" w:hAnsi="Arial"/>
          <w:sz w:val="17"/>
          <w:szCs w:val="17"/>
          <w:b w:val="1"/>
          <w:bCs w:val="1"/>
          <w:color w:val="auto"/>
        </w:rPr>
        <w:t>Final Space Plan</w:t>
      </w:r>
      <w:r>
        <w:rPr>
          <w:rFonts w:ascii="Arial" w:cs="Arial" w:eastAsia="Arial" w:hAnsi="Arial"/>
          <w:sz w:val="17"/>
          <w:szCs w:val="17"/>
          <w:color w:val="auto"/>
        </w:rPr>
        <w:t xml:space="preserve">”), which Final Space Plan shall include a layout and designation of all offices, rooms and other partitioning, their intended use, and equipment to be contained therein, and shall deliver four (4) hard copies signed by Tenant to Landlord for Landlord’s approval, and concurrently with Tenant’s delivery of such hard copies, Tenant shall send to Landlord via electronic mail one (1) .pdf electronic copy of such Final Space Plan. Landlord shall advise Tenant within five (5) business days after Landlord’s receipt of the Final Space Plan for the Premises if the same is unsatisfactory or incomplete in any respect; provided, however, Landlord shall only disapprove such Final Space Plan to the extent of a Design Problem. Landlord shall set forth with reasonable specificity in what respect the Final Space Plan is unsatisfactory or incomplete. If Tenant is so advised, Tenant shall promptly cause the Final Space Plan to be revised within five (5) business days in order to correct any deficiencies or other matters Landlord may reasonably require, and immediately thereafter Architect shall promptly re-submit the Final Space Plan to Landlord for its approval. Such procedure shall continue (except that the time frame to consent to any revisions shall be shortened to three (3) business days) until the Final Space Plan is approved by Landlord. For purposes of this Work Letter, a “Design Problem” shall be any aspect of the Final Space Plan that (a) have an adverse effect on the structural integrity of the Building; (b) are not in compliance with Applicable Law; (c) have an adverse effect on the systems and equipment of the Building; (d) have an effect on the exterior appearance of the Building; (e) do not comply with the Building standards identified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of this Work Letter, (f) cause unreasonable interference with the normal and customary operations of any other tenant in the Building, or (g) has incomplete, missing or inaccurate information.</w:t>
      </w:r>
    </w:p>
    <w:p>
      <w:pPr>
        <w:spacing w:after="0" w:line="7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Final Working Drawings</w:t>
      </w:r>
      <w:r>
        <w:rPr>
          <w:rFonts w:ascii="Arial" w:cs="Arial" w:eastAsia="Arial" w:hAnsi="Arial"/>
          <w:sz w:val="18"/>
          <w:szCs w:val="18"/>
          <w:color w:val="auto"/>
        </w:rPr>
        <w:t xml:space="preserve">. On or before the date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Tenant, the Architect and the Engineers shall complete the architectural and engineering drawings for the Premises, and the final architectural working drawings in a form which is complete to allow subcontractors to bid on the work and to obtain all applicable permits (collectively, the “</w:t>
      </w:r>
      <w:r>
        <w:rPr>
          <w:rFonts w:ascii="Arial" w:cs="Arial" w:eastAsia="Arial" w:hAnsi="Arial"/>
          <w:sz w:val="18"/>
          <w:szCs w:val="18"/>
          <w:b w:val="1"/>
          <w:bCs w:val="1"/>
          <w:color w:val="auto"/>
        </w:rPr>
        <w:t>Final Working Drawings</w:t>
      </w:r>
      <w:r>
        <w:rPr>
          <w:rFonts w:ascii="Arial" w:cs="Arial" w:eastAsia="Arial" w:hAnsi="Arial"/>
          <w:sz w:val="18"/>
          <w:szCs w:val="18"/>
          <w:color w:val="auto"/>
        </w:rPr>
        <w:t>”) and shall submit four (4) hard copies signed by Tenant of the Final Working Drawings to Landlord for Landlord’s approval, and concurrently with Tenant’s delivery of such hard copies, Tenant shall send to Landlord via electronic mail one (1) .pdf electronic copy of such Final Working Drawings; provided, however, Landlord shall only disapprove of the Final Working Drawings to the extent the same are not consistent with, or a logical evolution of, the Final Space Plan. Landlord shall advise Tenant within five (5) business days after Landlord’s receipt of all of the Final Working Drawings, either (i) approve the Final Working Drawings, (ii) approve the Final Working Drawings subject to specified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502" w:name="page503"/>
    <w:bookmarkEnd w:id="50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conditions, which conditions must be stated in a reasonably clear and complete manner, or (iii) disapprove and return the Construction Drawings to Tenant with requested revisions. If Landlord disapproves the Final Working Drawings, Tenant shall promptly cause the Final Working Drawings to be revised within five (5) business days in order to correct any deficiencies or other matters Landlord may reasonably require, and immediately thereafter Architect shall promptly re-submit the Final Space Plan to Landlord for its approval based upon the criteria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within five (5) business days after Landlord receives such resubmitted Final Working Drawings. Such procedure shall be repeated until the Final Working Drawings are approved.</w:t>
      </w:r>
    </w:p>
    <w:p>
      <w:pPr>
        <w:spacing w:after="0" w:line="4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Permits</w:t>
      </w:r>
      <w:r>
        <w:rPr>
          <w:rFonts w:ascii="Arial" w:cs="Arial" w:eastAsia="Arial" w:hAnsi="Arial"/>
          <w:sz w:val="18"/>
          <w:szCs w:val="18"/>
          <w:color w:val="auto"/>
        </w:rPr>
        <w:t>. The Final Working Drawings shall be approved by Landlord (the “</w:t>
      </w:r>
      <w:r>
        <w:rPr>
          <w:rFonts w:ascii="Arial" w:cs="Arial" w:eastAsia="Arial" w:hAnsi="Arial"/>
          <w:sz w:val="18"/>
          <w:szCs w:val="18"/>
          <w:b w:val="1"/>
          <w:bCs w:val="1"/>
          <w:color w:val="auto"/>
        </w:rPr>
        <w:t>Approved Working Drawings</w:t>
      </w:r>
      <w:r>
        <w:rPr>
          <w:rFonts w:ascii="Arial" w:cs="Arial" w:eastAsia="Arial" w:hAnsi="Arial"/>
          <w:sz w:val="18"/>
          <w:szCs w:val="18"/>
          <w:color w:val="auto"/>
        </w:rPr>
        <w:t xml:space="preserve">”) prior to the commencement of the construction of the Improvements. Landlord shall cause the Approved Working Drawings to be immediately submitted to the appropriate municipal authorities for all applicable building and other permits necessary to allow “Contractor,” as that term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below, to commence and fully complete the construction of the Improvements and the relevant Landlord Work (the “</w:t>
      </w:r>
      <w:r>
        <w:rPr>
          <w:rFonts w:ascii="Arial" w:cs="Arial" w:eastAsia="Arial" w:hAnsi="Arial"/>
          <w:sz w:val="18"/>
          <w:szCs w:val="18"/>
          <w:b w:val="1"/>
          <w:bCs w:val="1"/>
          <w:color w:val="auto"/>
        </w:rPr>
        <w:t>Permits</w:t>
      </w:r>
      <w:r>
        <w:rPr>
          <w:rFonts w:ascii="Arial" w:cs="Arial" w:eastAsia="Arial" w:hAnsi="Arial"/>
          <w:sz w:val="18"/>
          <w:szCs w:val="18"/>
          <w:color w:val="auto"/>
        </w:rPr>
        <w:t xml:space="preserve">”). No changes, modifications or alterations in the Approved Working Drawings may be made without the prior written consent of Landlord, provided that Landlord may withhold its consent, in its sole discretion, to any change in the Approved Working Drawings if such change would directly or indirectly delay the “Substantial Completion” of the Premises as that term is defined in </w:t>
      </w:r>
      <w:r>
        <w:rPr>
          <w:rFonts w:ascii="Arial" w:cs="Arial" w:eastAsia="Arial" w:hAnsi="Arial"/>
          <w:sz w:val="18"/>
          <w:szCs w:val="18"/>
          <w:u w:val="single" w:color="auto"/>
          <w:color w:val="auto"/>
        </w:rPr>
        <w:t>Section 5.l</w:t>
      </w:r>
      <w:r>
        <w:rPr>
          <w:rFonts w:ascii="Arial" w:cs="Arial" w:eastAsia="Arial" w:hAnsi="Arial"/>
          <w:sz w:val="18"/>
          <w:szCs w:val="18"/>
          <w:color w:val="auto"/>
        </w:rPr>
        <w:t xml:space="preserve"> of this Work Letter.</w:t>
      </w:r>
    </w:p>
    <w:p>
      <w:pPr>
        <w:spacing w:after="0" w:line="8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Time Deadlines</w:t>
      </w:r>
      <w:r>
        <w:rPr>
          <w:rFonts w:ascii="Arial" w:cs="Arial" w:eastAsia="Arial" w:hAnsi="Arial"/>
          <w:sz w:val="16"/>
          <w:szCs w:val="16"/>
          <w:color w:val="auto"/>
        </w:rPr>
        <w:t xml:space="preserve">. Landlord and Tenant shall use their best, good faith, efforts and all due diligence to cooperate with the Architect, the Engineers, and each other to complete all phases of the Construction Drawings and the permitting process and to receive the permits, and with Contractor for approval of the “Cost Proposal,” as that term is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of this Work Letter, as soon as possible after the execution of the Lease, and, in that regard, shall meet with Landlord on a scheduled basis to be mutually and reasonably determined by Landlord and Tenant, to discuss Tenant’s progress in connection with the same. The applicable dates for approval of items, plans and drawings as described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and in this Work Letter are set forth and further elaborated upon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Time Deadlines</w:t>
      </w:r>
      <w:r>
        <w:rPr>
          <w:rFonts w:ascii="Arial" w:cs="Arial" w:eastAsia="Arial" w:hAnsi="Arial"/>
          <w:sz w:val="16"/>
          <w:szCs w:val="16"/>
          <w:color w:val="auto"/>
        </w:rPr>
        <w:t>”), attached hereto. Tenant agrees to comply with the Time Deadlines.</w:t>
      </w:r>
    </w:p>
    <w:p>
      <w:pPr>
        <w:spacing w:after="0" w:line="5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Electronic Approvals</w:t>
      </w:r>
      <w:r>
        <w:rPr>
          <w:rFonts w:ascii="Arial" w:cs="Arial" w:eastAsia="Arial" w:hAnsi="Arial"/>
          <w:sz w:val="18"/>
          <w:szCs w:val="18"/>
          <w:color w:val="auto"/>
        </w:rPr>
        <w:t xml:space="preserve">. Notwithstanding any provision to the contrary contained in the Lease or this Work Letter, Landlord may, in Landlord’s sole and absolute discretion, transmit or otherwise deliver any of the approvals required under this Work Letter via electronic mail to Tenant’s representative identified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Work Letter, or by any of the other means identified in </w:t>
      </w:r>
      <w:r>
        <w:rPr>
          <w:rFonts w:ascii="Arial" w:cs="Arial" w:eastAsia="Arial" w:hAnsi="Arial"/>
          <w:sz w:val="18"/>
          <w:szCs w:val="18"/>
          <w:u w:val="single" w:color="auto"/>
          <w:color w:val="auto"/>
        </w:rPr>
        <w:t>Section 29.18</w:t>
      </w:r>
      <w:r>
        <w:rPr>
          <w:rFonts w:ascii="Arial" w:cs="Arial" w:eastAsia="Arial" w:hAnsi="Arial"/>
          <w:sz w:val="18"/>
          <w:szCs w:val="18"/>
          <w:color w:val="auto"/>
        </w:rPr>
        <w:t xml:space="preserve"> of this Lease.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03" w:name="page504"/>
    <w:bookmarkEnd w:id="50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CONSTRUCTION OF THE IMPROVEMENTS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Contractor</w:t>
      </w:r>
      <w:r>
        <w:rPr>
          <w:rFonts w:ascii="Arial" w:cs="Arial" w:eastAsia="Arial" w:hAnsi="Arial"/>
          <w:sz w:val="18"/>
          <w:szCs w:val="18"/>
          <w:color w:val="auto"/>
        </w:rPr>
        <w:t>. Landlord shall retain DPR Construction as the contractor (the “</w:t>
      </w:r>
      <w:r>
        <w:rPr>
          <w:rFonts w:ascii="Arial" w:cs="Arial" w:eastAsia="Arial" w:hAnsi="Arial"/>
          <w:sz w:val="18"/>
          <w:szCs w:val="18"/>
          <w:b w:val="1"/>
          <w:bCs w:val="1"/>
          <w:color w:val="auto"/>
        </w:rPr>
        <w:t>Contractor</w:t>
      </w:r>
      <w:r>
        <w:rPr>
          <w:rFonts w:ascii="Arial" w:cs="Arial" w:eastAsia="Arial" w:hAnsi="Arial"/>
          <w:sz w:val="18"/>
          <w:szCs w:val="18"/>
          <w:color w:val="auto"/>
        </w:rPr>
        <w:t>”) to construct the Improvements.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Cost Proposal</w:t>
      </w:r>
      <w:r>
        <w:rPr>
          <w:rFonts w:ascii="Arial" w:cs="Arial" w:eastAsia="Arial" w:hAnsi="Arial"/>
          <w:sz w:val="16"/>
          <w:szCs w:val="16"/>
          <w:color w:val="auto"/>
        </w:rPr>
        <w:t>. After the Approved Working Drawings are signed by Landlord and Tenant, Landlord shall provide Tenant with a cost proposal in accordance with the Approved Working Drawings, which cost proposal shall include, as nearly as possible, the cost of all Improvement Allowance Items to be incurred by Tenant in connection with the design and construction of the Improvements (the “</w:t>
      </w:r>
      <w:r>
        <w:rPr>
          <w:rFonts w:ascii="Arial" w:cs="Arial" w:eastAsia="Arial" w:hAnsi="Arial"/>
          <w:sz w:val="16"/>
          <w:szCs w:val="16"/>
          <w:b w:val="1"/>
          <w:bCs w:val="1"/>
          <w:color w:val="auto"/>
        </w:rPr>
        <w:t>Cost Proposal</w:t>
      </w:r>
      <w:r>
        <w:rPr>
          <w:rFonts w:ascii="Arial" w:cs="Arial" w:eastAsia="Arial" w:hAnsi="Arial"/>
          <w:sz w:val="16"/>
          <w:szCs w:val="16"/>
          <w:color w:val="auto"/>
        </w:rPr>
        <w:t>”). Tenant shall approve and deliver the Cost Proposal to Landlord within five (5) business days of the receipt of the same, and upon receipt of the same by Landlord, Landlord shall be released by Tenant to purchase the items set forth in the Cost Proposal and to commence the construction relating to such items. The date by which Tenant must approve and deliver the Cost Proposal to Landlord shall be known hereafter as the “</w:t>
      </w:r>
      <w:r>
        <w:rPr>
          <w:rFonts w:ascii="Arial" w:cs="Arial" w:eastAsia="Arial" w:hAnsi="Arial"/>
          <w:sz w:val="16"/>
          <w:szCs w:val="16"/>
          <w:b w:val="1"/>
          <w:bCs w:val="1"/>
          <w:color w:val="auto"/>
        </w:rPr>
        <w:t>Cost Proposal Delivery Date</w:t>
      </w:r>
      <w:r>
        <w:rPr>
          <w:rFonts w:ascii="Arial" w:cs="Arial" w:eastAsia="Arial" w:hAnsi="Arial"/>
          <w:sz w:val="16"/>
          <w:szCs w:val="16"/>
          <w:color w:val="auto"/>
        </w:rPr>
        <w:t xml:space="preserve">”. Notwithstanding the foregoing, Tenant shall have the one-time right to object to such Cost Proposal prior to the Cost Proposal Delivery Date by providing Landlord with written notice of such objection, and which notice shall specifically identify, in detail, the proposed changes that Tenant desires such the Cost Proposal would be acceptable to Tenant, as well as Tenant’s desired pricing parameters. In the event Tenant so objects to the Cost Proposal, Tenant shall work directly with the Architect and/or Engineers to revise the Final Space Plan and/or Approved Working Drawings (as applicable), and resubmit the Final Space Plan and/or Approved Working Drawings (as applicable) to Landlord within three (3) business days following Tenant’s objection, which revised Final Space Plan and/or Approved Working Drawings (as applicable) shall be subject to Landlord’s approval in accordance with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Work Letter, and following the approval of the revised Final Space Plan and/or Approved Working Drawings (as applicable) by Landlord and Tenant, Landlord shall submit a revised cost proposal “</w:t>
      </w:r>
      <w:r>
        <w:rPr>
          <w:rFonts w:ascii="Arial" w:cs="Arial" w:eastAsia="Arial" w:hAnsi="Arial"/>
          <w:sz w:val="16"/>
          <w:szCs w:val="16"/>
          <w:b w:val="1"/>
          <w:bCs w:val="1"/>
          <w:color w:val="auto"/>
        </w:rPr>
        <w:t>Revised</w:t>
      </w:r>
      <w:r>
        <w:rPr>
          <w:rFonts w:ascii="Arial" w:cs="Arial" w:eastAsia="Arial" w:hAnsi="Arial"/>
          <w:sz w:val="16"/>
          <w:szCs w:val="16"/>
          <w:color w:val="auto"/>
        </w:rPr>
        <w:t xml:space="preserve"> </w:t>
      </w:r>
      <w:r>
        <w:rPr>
          <w:rFonts w:ascii="Arial" w:cs="Arial" w:eastAsia="Arial" w:hAnsi="Arial"/>
          <w:sz w:val="16"/>
          <w:szCs w:val="16"/>
          <w:b w:val="1"/>
          <w:bCs w:val="1"/>
          <w:color w:val="auto"/>
        </w:rPr>
        <w:t>Cost Proposal</w:t>
      </w:r>
      <w:r>
        <w:rPr>
          <w:rFonts w:ascii="Arial" w:cs="Arial" w:eastAsia="Arial" w:hAnsi="Arial"/>
          <w:sz w:val="16"/>
          <w:szCs w:val="16"/>
          <w:color w:val="auto"/>
        </w:rPr>
        <w:t>” to Tenant for its approval in accordance with the terms set forth above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color w:val="auto"/>
        </w:rPr>
        <w:t>. The date by which Tenant must approve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the Cost Proposal to Landlord shall be known hereafter as the “</w:t>
      </w:r>
      <w:r>
        <w:rPr>
          <w:rFonts w:ascii="Arial" w:cs="Arial" w:eastAsia="Arial" w:hAnsi="Arial"/>
          <w:sz w:val="16"/>
          <w:szCs w:val="16"/>
          <w:u w:val="single" w:color="auto"/>
          <w:color w:val="auto"/>
        </w:rPr>
        <w:t>Revised Cost Proposal Delivery Date</w:t>
      </w:r>
      <w:r>
        <w:rPr>
          <w:rFonts w:ascii="Arial" w:cs="Arial" w:eastAsia="Arial" w:hAnsi="Arial"/>
          <w:sz w:val="16"/>
          <w:szCs w:val="16"/>
          <w:color w:val="auto"/>
        </w:rPr>
        <w:t xml:space="preserve">.” In the event Tenant fails to approve or timely object to the original Cost Proposal or Revised Cost Proposal on or before the Cost Proposal Delivery Date, or the Revised Cost Proposal Delivery Date, respectively, such failures shall be deemed to be Tenant delays subject to the terms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Work Letter.</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Construction of Improvements by Contractor under the Supervision of Landlord</w:t>
      </w:r>
      <w:r>
        <w:rPr>
          <w:rFonts w:ascii="Arial" w:cs="Arial" w:eastAsia="Arial" w:hAnsi="Arial"/>
          <w:sz w:val="18"/>
          <w:szCs w:val="18"/>
          <w:color w:val="auto"/>
        </w:rPr>
        <w:t>.</w:t>
      </w:r>
    </w:p>
    <w:p>
      <w:pPr>
        <w:spacing w:after="0" w:line="11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Over-Allowance Amount</w:t>
      </w:r>
      <w:r>
        <w:rPr>
          <w:rFonts w:ascii="Arial" w:cs="Arial" w:eastAsia="Arial" w:hAnsi="Arial"/>
          <w:sz w:val="18"/>
          <w:szCs w:val="18"/>
          <w:color w:val="auto"/>
        </w:rPr>
        <w:t>. On the Cost Proposal Delivery Date, Tenant shall deliver to Landlord cash in an amount (the “</w:t>
      </w:r>
      <w:r>
        <w:rPr>
          <w:rFonts w:ascii="Arial" w:cs="Arial" w:eastAsia="Arial" w:hAnsi="Arial"/>
          <w:sz w:val="18"/>
          <w:szCs w:val="18"/>
          <w:b w:val="1"/>
          <w:bCs w:val="1"/>
          <w:color w:val="auto"/>
        </w:rPr>
        <w:t>Over-Allowance</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equal to the difference between (i) the amount of the Cost Proposal and (ii) the amount of the Improvement Allowance. The Over-Allowance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shall be disbursed by Landlord on a pro-rata basis along with any then remaining portion of the Improvement Allowance, and such disbursement shall be pursuant to the same procedure as the Improvement Allowance. In the event that, after the Cost Proposal Delivery Date, any revisions, changes, or substitutions shall be made to the Construction Drawings or the Improvements, any additional costs which arise in connection with such revisions, changes or substitutions or any other additional costs shall be paid by Tenant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04" w:name="page505"/>
    <w:bookmarkEnd w:id="50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immediately upon Landlord’s request as an addition to the Over-Allowance Amount. In addition, if the Final Working Drawings or any amendment thereof or supplement thereto shall require alterations in the Base Building (as contrasted with the Improvements), and if Landlord in its sole and exclusive discretion agrees to any such alterations, and notifies Tenant of the need and cost for such alterations, then Tenant shall pay the cost of such required changes in advance upon receipt of notice thereof (but only to the extent that no Improvement Allowance funds remain unallocated and undisbursed and are available to pay for the same). Tenant shall pay all direct architectural and/or engineering fees in connection therewith, plus six percent (6%) of such direct costs for Landlord’s servicing and overhead. In the event that Tenant fails to deliver the Over-Allowance Amount as provided in this </w:t>
      </w:r>
      <w:r>
        <w:rPr>
          <w:rFonts w:ascii="Arial" w:cs="Arial" w:eastAsia="Arial" w:hAnsi="Arial"/>
          <w:sz w:val="17"/>
          <w:szCs w:val="17"/>
          <w:u w:val="single" w:color="auto"/>
          <w:color w:val="auto"/>
        </w:rPr>
        <w:t>Section 4.3.1</w:t>
      </w:r>
      <w:r>
        <w:rPr>
          <w:rFonts w:ascii="Arial" w:cs="Arial" w:eastAsia="Arial" w:hAnsi="Arial"/>
          <w:sz w:val="17"/>
          <w:szCs w:val="17"/>
          <w:color w:val="auto"/>
        </w:rPr>
        <w:t xml:space="preserve">, then Landlord may, at its option, cease work in the Premises until such time as Landlord receives payment of the Over- Allowance Amount (and such failure to deliver shall be treated as a Tenant delay in accordance with the terms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below).</w:t>
      </w:r>
    </w:p>
    <w:p>
      <w:pPr>
        <w:spacing w:after="0" w:line="7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Landlord’s Retention of Contractor</w:t>
      </w:r>
      <w:r>
        <w:rPr>
          <w:rFonts w:ascii="Arial" w:cs="Arial" w:eastAsia="Arial" w:hAnsi="Arial"/>
          <w:sz w:val="18"/>
          <w:szCs w:val="18"/>
          <w:color w:val="auto"/>
        </w:rPr>
        <w:t>. Landlord shall independently retain Contractor to construct the Improvements in accordance with the Approved Working Drawings and the Cost Proposal and Landlord shall supervise the construction by Contractor, and Tenant shall pay a construction supervision and management fee (the “</w:t>
      </w:r>
      <w:r>
        <w:rPr>
          <w:rFonts w:ascii="Arial" w:cs="Arial" w:eastAsia="Arial" w:hAnsi="Arial"/>
          <w:sz w:val="18"/>
          <w:szCs w:val="18"/>
          <w:b w:val="1"/>
          <w:bCs w:val="1"/>
          <w:color w:val="auto"/>
        </w:rPr>
        <w:t>Landlord Supervision Fee</w:t>
      </w:r>
      <w:r>
        <w:rPr>
          <w:rFonts w:ascii="Arial" w:cs="Arial" w:eastAsia="Arial" w:hAnsi="Arial"/>
          <w:sz w:val="18"/>
          <w:szCs w:val="18"/>
          <w:color w:val="auto"/>
        </w:rPr>
        <w:t>”) to Landlord in an amount equal to the product of (i) six percent (6%) and (ii) an amount equal to the Improvement Allowance plus the Over-Allowance Amount (as such Over-Allowance Amount may increase pursuant to the terms of this Work Letter).</w:t>
      </w:r>
    </w:p>
    <w:p>
      <w:pPr>
        <w:spacing w:after="0" w:line="8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Contractor’s Warranties and Guaranties</w:t>
      </w:r>
      <w:r>
        <w:rPr>
          <w:rFonts w:ascii="Arial" w:cs="Arial" w:eastAsia="Arial" w:hAnsi="Arial"/>
          <w:sz w:val="17"/>
          <w:szCs w:val="17"/>
          <w:color w:val="auto"/>
        </w:rPr>
        <w:t>. Landlord hereby assigns to Tenant all warranties and guaranties by Contractor relating to the Improvements, and Tenant hereby waives all claims against Landlord relating to, or arising out of the construction of, the Improvements.</w:t>
      </w:r>
    </w:p>
    <w:p>
      <w:pPr>
        <w:spacing w:after="0" w:line="3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Additional Items</w:t>
      </w:r>
      <w:r>
        <w:rPr>
          <w:rFonts w:ascii="Arial" w:cs="Arial" w:eastAsia="Arial" w:hAnsi="Arial"/>
          <w:sz w:val="18"/>
          <w:szCs w:val="18"/>
          <w:color w:val="auto"/>
        </w:rPr>
        <w:t>. Landlord may elect to cause Contractor and Architect to cause a Notice of Completion to be recorded in the office of the County Recorder of the county in which the Building is located in accordance with Section 3093 of the Civil Code of the State of California or any successor statute.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DELAY OF SUBSTANTIAL COMPLETION OF PREMISES;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EXTENSION OF LEASE COMMENCEMENT DATE</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Delay of the Substantial Completion of the Premises</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Lease Commencement Date shall occur as set forth in the Lease and </w:t>
      </w:r>
      <w:r>
        <w:rPr>
          <w:rFonts w:ascii="Arial" w:cs="Arial" w:eastAsia="Arial" w:hAnsi="Arial"/>
          <w:sz w:val="18"/>
          <w:szCs w:val="18"/>
          <w:u w:val="single" w:color="auto"/>
          <w:color w:val="auto"/>
        </w:rPr>
        <w:t>Section 5.2</w:t>
      </w:r>
      <w:r>
        <w:rPr>
          <w:rFonts w:ascii="Arial" w:cs="Arial" w:eastAsia="Arial" w:hAnsi="Arial"/>
          <w:sz w:val="18"/>
          <w:szCs w:val="18"/>
          <w:color w:val="auto"/>
        </w:rPr>
        <w:t>, below. If there shall be a delay or there are delays in the Substantial Completion of the Improvements as a direct, indirect, partial, or total result of:</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5.1.1 Tenant’s failure to comply with the Time Deadlines;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5.1.2 Tenant’s failure to timely approve any matter requiring Tenant’s approval;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5.1.3 A breach by Tenant of the terms of this Work Letter or the Lease;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05" w:name="page506"/>
    <w:bookmarkEnd w:id="505"/>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Changes in any of the Construction Drawings after disapproval of the same by Landlord or because the same do not comply with Code or other applicable laws;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5.1.5 Tenant’s request for changes in the Approved Working Drawings;</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5.1.6 Tenant’s requirement for materials, components, finishes or improvements which are not available in a commercially reasonable time (and where no reasonable substitute exists) given the anticipated date of Substantial Completion of the Improvements, as set forth in the Lease;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5.1.7 Changes to the Base Building required by the Approved Working Drawings;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5.1.8 Tenant’s use of specialized or unusual improvements and/or delays m obtaining Permits due thereto;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5.1.9 Any failure by Tenant to timely pay to Landlord any portion of the Over-Allowance Amount; 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5.1.10 Any other acts or omissions of Tenant, or its agents, or employees;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then, notwithstanding anything to the contrary set forth in the Lease or this Work Letter and regardless of the actual date of the Substantial Completion of the Improvements, Substantial Completion of the Improvements shall be deemed to have occurred on the date such Substantial Completion of the Improvements would have occurred if no Tenant delay or delays, as set forth above, had occurred.</w:t>
      </w:r>
    </w:p>
    <w:p>
      <w:pPr>
        <w:spacing w:after="0" w:line="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Substantial Completion: Extension of Lease Commencement Date</w:t>
      </w:r>
      <w:r>
        <w:rPr>
          <w:rFonts w:ascii="Arial" w:cs="Arial" w:eastAsia="Arial" w:hAnsi="Arial"/>
          <w:sz w:val="17"/>
          <w:szCs w:val="17"/>
          <w:color w:val="auto"/>
        </w:rPr>
        <w:t xml:space="preserve">. For purposes of this Lease, and subject to adjustment for any Tenant delay or delays as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Work Letter above, “</w:t>
      </w:r>
      <w:r>
        <w:rPr>
          <w:rFonts w:ascii="Arial" w:cs="Arial" w:eastAsia="Arial" w:hAnsi="Arial"/>
          <w:sz w:val="17"/>
          <w:szCs w:val="17"/>
          <w:b w:val="1"/>
          <w:bCs w:val="1"/>
          <w:color w:val="auto"/>
        </w:rPr>
        <w:t>Substantial Completion</w:t>
      </w:r>
      <w:r>
        <w:rPr>
          <w:rFonts w:ascii="Arial" w:cs="Arial" w:eastAsia="Arial" w:hAnsi="Arial"/>
          <w:sz w:val="17"/>
          <w:szCs w:val="17"/>
          <w:color w:val="auto"/>
        </w:rPr>
        <w:t xml:space="preserve">” of the Improvements shall occur upon the completion of construction of the Improvements in the Premises pursuant to the Approved Working Drawings, with the exception of any punch list items and any tenant fixtures, work-stations, built-in furniture, or equipment to be installed by Tenant or under the supervision of Contractor. To the extent Substantial Completion of the Improvements has not occurred on or before August 16, 2011, the Lease Commencement Date otherwise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Summary to this Lease shall be extended on a day-for-day basis (in which event any other dates calculated based upon the Lease Commencement Date, such as the Lease Expiration Date and the Rent Abatement Period, shall be adjusted accordingly).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Tenant’s Entry Into the Premises Prior to Substantial Completion</w:t>
      </w:r>
      <w:r>
        <w:rPr>
          <w:rFonts w:ascii="Arial" w:cs="Arial" w:eastAsia="Arial" w:hAnsi="Arial"/>
          <w:sz w:val="18"/>
          <w:szCs w:val="18"/>
          <w:color w:val="auto"/>
        </w:rPr>
        <w:t>. Provided that Tenant and its agents do not interfere with construction of the Improvements, Landlord shall allow Tenant access to the Premises up to sixty (60) days prior to the Substantial Completion of the Improvements for the purpose of Tenant installing over standard equipment or fixtures (including Tenant’s data and telephone equipment) in the Premises, which installation shall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506" w:name="page507"/>
    <w:bookmarkEnd w:id="50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Tenant’s receipt, at Tenant’s sole cost and expense, of any required approvals and/or permits from the applicable governmental agencies. Prior to Tenant’s entry into the Premises as permitted by the terms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Tenant shall submit a schedule to Landlord and Contractor, for their approval, which schedule shall detail the timing and purpose of Tenant’s entry. Additionally, all of Tenant’s Agents, as that term is defined in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below, shall carry worker’s compensation insurance covering all of their respective employees, and shall also carry public liability insurance, including property damage, all with limits, in form and with companies as are required to be carried by Tenant as set forth in this Lease. Certificates for all insurance carried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be delivered to Landlord prior to Tenant’s entry into the Premises. Tenant’s Agents shall maintain all of the foregoing insurance coverage in force until the Improvements are fully completed and accepted by Landlord. All policies carried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insure Landlord and Tenant, as their interests may appear, as well as Contractor and Tenant’s Agents.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Freight Elevators</w:t>
      </w:r>
      <w:r>
        <w:rPr>
          <w:rFonts w:ascii="Arial" w:cs="Arial" w:eastAsia="Arial" w:hAnsi="Arial"/>
          <w:sz w:val="17"/>
          <w:szCs w:val="17"/>
          <w:color w:val="auto"/>
        </w:rPr>
        <w:t xml:space="preserve">. As indicated in </w:t>
      </w:r>
      <w:r>
        <w:rPr>
          <w:rFonts w:ascii="Arial" w:cs="Arial" w:eastAsia="Arial" w:hAnsi="Arial"/>
          <w:sz w:val="17"/>
          <w:szCs w:val="17"/>
          <w:u w:val="single" w:color="auto"/>
          <w:color w:val="auto"/>
        </w:rPr>
        <w:t>Section 6.4.2</w:t>
      </w:r>
      <w:r>
        <w:rPr>
          <w:rFonts w:ascii="Arial" w:cs="Arial" w:eastAsia="Arial" w:hAnsi="Arial"/>
          <w:sz w:val="17"/>
          <w:szCs w:val="17"/>
          <w:color w:val="auto"/>
        </w:rPr>
        <w:t xml:space="preserve"> of this Lease, Landlord shall use commercially reasonable efforts to coordinate with Tanvex, the tenant of the remainder of the Building, to allow Tenant the temporary use of the Building elevator located in the back warehouse portion the first floor, which elevator services the Building mezzanine, in order to initially move Tenant’s furniture, fixtures and equipment into the Premises.</w:t>
      </w:r>
    </w:p>
    <w:p>
      <w:pPr>
        <w:spacing w:after="0" w:line="5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Tenant’s Representative</w:t>
      </w:r>
      <w:r>
        <w:rPr>
          <w:rFonts w:ascii="Arial" w:cs="Arial" w:eastAsia="Arial" w:hAnsi="Arial"/>
          <w:sz w:val="18"/>
          <w:szCs w:val="18"/>
          <w:color w:val="auto"/>
        </w:rPr>
        <w:t xml:space="preserve">. Tenant has designated Ed Marples as its sole representative with respect to the matters set forth in this Work Letter (whose e-mail address for the purposes of this Work Letter is </w:t>
      </w:r>
      <w:r>
        <w:rPr>
          <w:rFonts w:ascii="Arial" w:cs="Arial" w:eastAsia="Arial" w:hAnsi="Arial"/>
          <w:sz w:val="18"/>
          <w:szCs w:val="18"/>
          <w:u w:val="single" w:color="auto"/>
          <w:color w:val="auto"/>
        </w:rPr>
        <w:t>emarples@anaptvsbio.com</w:t>
      </w:r>
      <w:r>
        <w:rPr>
          <w:rFonts w:ascii="Arial" w:cs="Arial" w:eastAsia="Arial" w:hAnsi="Arial"/>
          <w:sz w:val="18"/>
          <w:szCs w:val="18"/>
          <w:color w:val="auto"/>
        </w:rPr>
        <w:t>), who, until further notice to Landlord, shall have full authority and responsibility to act on behalf of the Tenant as required in this Work Letter.</w:t>
      </w:r>
    </w:p>
    <w:p>
      <w:pPr>
        <w:spacing w:after="0" w:line="6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Landlord’s Representatives</w:t>
      </w:r>
      <w:r>
        <w:rPr>
          <w:rFonts w:ascii="Arial" w:cs="Arial" w:eastAsia="Arial" w:hAnsi="Arial"/>
          <w:sz w:val="16"/>
          <w:szCs w:val="16"/>
          <w:color w:val="auto"/>
        </w:rPr>
        <w:t>. Landlord has designated Richard Mount and Jake Brehm as its sole representative (the “</w:t>
      </w:r>
      <w:r>
        <w:rPr>
          <w:rFonts w:ascii="Arial" w:cs="Arial" w:eastAsia="Arial" w:hAnsi="Arial"/>
          <w:sz w:val="16"/>
          <w:szCs w:val="16"/>
          <w:b w:val="1"/>
          <w:bCs w:val="1"/>
          <w:color w:val="auto"/>
        </w:rPr>
        <w:t>Project Managers</w:t>
      </w:r>
      <w:r>
        <w:rPr>
          <w:rFonts w:ascii="Arial" w:cs="Arial" w:eastAsia="Arial" w:hAnsi="Arial"/>
          <w:sz w:val="16"/>
          <w:szCs w:val="16"/>
          <w:color w:val="auto"/>
        </w:rPr>
        <w:t>”) with respect to the matters set forth in this Work Letter (whose e-mail addresses for the purposes of this Work Letter are rmount@kilroyrealty.com and jbrehm@kilroyrealty.com, respectively), who shall each be responsible for the implementation of all Improvements to be performed by Landlord in the Premises. With regard to all matters involving such Improvements, Tenant shall communicate with the Project Managers rather than with the Contractor. Landlord shall not be responsible for any statement, representation or agreement made between Tenant and the Contractor or any subcontractor. It is hereby expressly acknowledged by Tenant that such Contractor is not Landlord’s agent and has no authority whatsoever to enter into agreements on Landlord’s behalf or otherwise bind Landlord. The Project Managers will furnish Tenant with notices of substantial completion, cost estimates for above standard Improvements, Landlord’s approvals or disapprovals of all documents to be prepared by Tenant pursuant to this Work Letter and changes thereto.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07" w:name="page508"/>
    <w:bookmarkEnd w:id="507"/>
    <w:p>
      <w:pPr>
        <w:ind w:right="1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Tenant’s Agents</w:t>
      </w:r>
      <w:r>
        <w:rPr>
          <w:rFonts w:ascii="Arial" w:cs="Arial" w:eastAsia="Arial" w:hAnsi="Arial"/>
          <w:sz w:val="18"/>
          <w:szCs w:val="18"/>
          <w:color w:val="auto"/>
        </w:rPr>
        <w:t>. Tenant shall not use (and upon notice from Landlord shall cease using) contractors, services, workmen, labor, materials or equipment (individually or collectively, “</w:t>
      </w:r>
      <w:r>
        <w:rPr>
          <w:rFonts w:ascii="Arial" w:cs="Arial" w:eastAsia="Arial" w:hAnsi="Arial"/>
          <w:sz w:val="18"/>
          <w:szCs w:val="18"/>
          <w:b w:val="1"/>
          <w:bCs w:val="1"/>
          <w:color w:val="auto"/>
        </w:rPr>
        <w:t>Labor Disturbing Services</w:t>
      </w:r>
      <w:r>
        <w:rPr>
          <w:rFonts w:ascii="Arial" w:cs="Arial" w:eastAsia="Arial" w:hAnsi="Arial"/>
          <w:sz w:val="18"/>
          <w:szCs w:val="18"/>
          <w:color w:val="auto"/>
        </w:rPr>
        <w:t>”) that, in Landlord’s reasonable judgment, would disturb labor harmony with the workforce or trades engaged in performing other work, labor or services in or about the Building or the Common Areas. Alternatively, at Landlord’s sole election, Landlord may require that Tenant shall cease utilizing the applicable Labor Disturbing Services during Building Hours, and may only utilize such Labor Disturbing Services during hours other than Building Hours. All contractors, subcontractors, laborers, materialmen, and suppliers retained directly by Tenant shall be the “Tenant’s Agents”).</w:t>
      </w:r>
    </w:p>
    <w:p>
      <w:pPr>
        <w:spacing w:after="0" w:line="8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under this Work Letter. Unless otherwise indicated, all references herein to a “number of days” shall mean and refer to calendar days.</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Tenant’s Lease Default</w:t>
      </w:r>
      <w:r>
        <w:rPr>
          <w:rFonts w:ascii="Arial" w:cs="Arial" w:eastAsia="Arial" w:hAnsi="Arial"/>
          <w:sz w:val="16"/>
          <w:szCs w:val="16"/>
          <w:color w:val="auto"/>
        </w:rPr>
        <w:t>. Notwithstanding any provision to the contrary contained in the Lease or this Work Letter, if any default (beyond the applicable notice and cure period set forth in this Lease or this Work Letter) by Tenant under the Lease or this Work Letter (including, without limitation, any failure by Tenant to fund any portion of the Over-Allowance Amount) occurs at any time on or before the Substantial Completion of the Improvements, then</w:t>
      </w:r>
    </w:p>
    <w:p>
      <w:pPr>
        <w:ind w:left="220" w:hanging="212"/>
        <w:spacing w:after="0"/>
        <w:tabs>
          <w:tab w:leader="none" w:pos="22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addition to all other rights and remedies granted to Landlord pursuant to the Lease, Landlord shall have the right to withhold payment of all or any</w:t>
      </w:r>
    </w:p>
    <w:p>
      <w:pPr>
        <w:spacing w:after="0" w:line="20" w:lineRule="exact"/>
        <w:rPr>
          <w:rFonts w:ascii="Arial" w:cs="Arial" w:eastAsia="Arial" w:hAnsi="Arial"/>
          <w:sz w:val="17"/>
          <w:szCs w:val="17"/>
          <w:color w:val="auto"/>
        </w:rPr>
      </w:pPr>
    </w:p>
    <w:p>
      <w:pPr>
        <w:ind w:right="60"/>
        <w:spacing w:after="0" w:line="254" w:lineRule="auto"/>
        <w:rPr>
          <w:rFonts w:ascii="Arial" w:cs="Arial" w:eastAsia="Arial" w:hAnsi="Arial"/>
          <w:sz w:val="17"/>
          <w:szCs w:val="17"/>
          <w:color w:val="auto"/>
        </w:rPr>
      </w:pPr>
      <w:r>
        <w:rPr>
          <w:rFonts w:ascii="Arial" w:cs="Arial" w:eastAsia="Arial" w:hAnsi="Arial"/>
          <w:sz w:val="18"/>
          <w:szCs w:val="18"/>
          <w:color w:val="auto"/>
        </w:rPr>
        <w:t>portion of the Improvement Allowance and/or Landlord may, without any liability whatsoever, cause the cessation of construction of the Improvements (in which case, Tenant shall be responsible for any delay in the Substantial Completion of the Improvements and any costs occasioned thereby), and (ii) all other obligations of Landlord under the terms of the Lease and this Work Letter shall be forgiven until such time as such default is cured pursuant to the terms of this Lease.</w:t>
      </w:r>
    </w:p>
    <w:p>
      <w:pPr>
        <w:spacing w:after="0" w:line="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Punch List</w:t>
      </w:r>
      <w:r>
        <w:rPr>
          <w:rFonts w:ascii="Arial" w:cs="Arial" w:eastAsia="Arial" w:hAnsi="Arial"/>
          <w:sz w:val="16"/>
          <w:szCs w:val="16"/>
          <w:color w:val="auto"/>
        </w:rPr>
        <w:t>. Promptly following the Substantial Completion of the Improvements, a representative of Tenant and a representative of Landlord and/or the Architect shall perform a joint walk-through inspection of the Improvements in the Premises to identify any “punchlist” items of known or apparent deficiencies or incomplete work required to be corrected or completed by Landlord pursuant to the Approved Working Drawings, which items Landlord shall repair or correct no later than thirty (30) days after the date of such walk-through (unless the nature of such repair or correction is such that more than thirty</w:t>
      </w:r>
    </w:p>
    <w:p>
      <w:pPr>
        <w:spacing w:after="0" w:line="2" w:lineRule="exact"/>
        <w:rPr>
          <w:sz w:val="20"/>
          <w:szCs w:val="20"/>
          <w:color w:val="auto"/>
        </w:rPr>
      </w:pPr>
    </w:p>
    <w:p>
      <w:pPr>
        <w:ind w:right="680" w:firstLine="8"/>
        <w:spacing w:after="0" w:line="261" w:lineRule="auto"/>
        <w:tabs>
          <w:tab w:leader="none" w:pos="34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days are required for completion, in which case, Landlord shall commence such repair or correction work within such thirty (30) day period and diligently prosecute the same to completion).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508" w:name="page509"/>
    <w:bookmarkEnd w:id="508"/>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TO EXHIBIT B</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TIME DEADLINES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Dates</w:t>
            </w:r>
          </w:p>
        </w:tc>
        <w:tc>
          <w:tcPr>
            <w:tcW w:w="2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Actions to be Performed</w:t>
            </w:r>
          </w:p>
        </w:tc>
        <w:tc>
          <w:tcPr>
            <w:tcW w:w="1740" w:type="dxa"/>
            <w:vAlign w:val="bottom"/>
          </w:tcPr>
          <w:p>
            <w:pPr>
              <w:spacing w:after="0"/>
              <w:rPr>
                <w:sz w:val="14"/>
                <w:szCs w:val="14"/>
                <w:color w:val="auto"/>
              </w:rPr>
            </w:pPr>
          </w:p>
        </w:tc>
      </w:tr>
      <w:tr>
        <w:trPr>
          <w:trHeight w:val="303"/>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4"/>
              </w:rPr>
              <w:t>Within ten (10) business days following the full execution and delivery of</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w w:val="89"/>
              </w:rPr>
              <w:t>Final Space Plan to be completed by Tenant and delivered to Landlord.</w:t>
            </w:r>
          </w:p>
        </w:tc>
      </w:tr>
      <w:tr>
        <w:trPr>
          <w:trHeight w:val="230"/>
        </w:trPr>
        <w:tc>
          <w:tcPr>
            <w:tcW w:w="36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this Lease by Landlord and Tenant</w:t>
            </w:r>
          </w:p>
        </w:tc>
        <w:tc>
          <w:tcPr>
            <w:tcW w:w="2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w w:val="96"/>
              </w:rPr>
              <w:t>Five (5) business days after the receipt of the Cost Proposal by Tenant</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w w:val="94"/>
              </w:rPr>
              <w:t>Tenant to approve Revised Cost Proposal and deliver Revised Cost</w:t>
            </w: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Proposal to Landlord.</w:t>
            </w:r>
          </w:p>
        </w:tc>
      </w:tr>
    </w:tbl>
    <w:p>
      <w:pPr>
        <w:spacing w:after="0" w:line="94" w:lineRule="exact"/>
        <w:rPr>
          <w:sz w:val="20"/>
          <w:szCs w:val="20"/>
          <w:color w:val="auto"/>
        </w:rPr>
      </w:pPr>
    </w:p>
    <w:p>
      <w:pPr>
        <w:sectPr>
          <w:pgSz w:w="11900" w:h="16838" w:orient="portrait"/>
          <w:cols w:equalWidth="0" w:num="1">
            <w:col w:w="11200"/>
          </w:cols>
          <w:pgMar w:left="240" w:top="270" w:right="459" w:bottom="1440" w:gutter="0" w:footer="0" w:header="0"/>
        </w:sectPr>
      </w:pPr>
    </w:p>
    <w:p>
      <w:pPr>
        <w:ind w:left="520" w:hanging="512"/>
        <w:spacing w:after="0" w:line="277" w:lineRule="auto"/>
        <w:tabs>
          <w:tab w:leader="none" w:pos="5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Five (5) business days after the receipt of the Revised Cost Proposal by Tenant.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Tenant to approve Revised Cost Proposal and deliver Revised Cost Proposal to Landlord.</w:t>
      </w:r>
    </w:p>
    <w:p>
      <w:pPr>
        <w:sectPr>
          <w:pgSz w:w="11900" w:h="16838" w:orient="portrait"/>
          <w:cols w:equalWidth="0" w:num="2">
            <w:col w:w="5660" w:space="420"/>
            <w:col w:w="5120"/>
          </w:cols>
          <w:pgMar w:left="240" w:top="270" w:right="459" w:bottom="1440" w:gutter="0" w:footer="0" w:header="0"/>
          <w:type w:val="continuous"/>
        </w:sectPr>
      </w:pPr>
    </w:p>
    <w:bookmarkStart w:id="509" w:name="page510"/>
    <w:bookmarkEnd w:id="509"/>
    <w:p>
      <w:pPr>
        <w:jc w:val="center"/>
        <w:ind w:right="-2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OF LEASE TERM 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23837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169545</wp:posOffset>
            </wp:positionV>
            <wp:extent cx="223837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323850</wp:posOffset>
            </wp:positionV>
            <wp:extent cx="223837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478155</wp:posOffset>
            </wp:positionV>
            <wp:extent cx="22383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140"/>
          </w:cols>
          <w:pgMar w:left="24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Office Lease dated</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on floor(s)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between</w:t>
      </w:r>
      <w:r>
        <w:rPr>
          <w:sz w:val="20"/>
          <w:szCs w:val="20"/>
          <w:color w:val="auto"/>
        </w:rPr>
        <w:tab/>
      </w:r>
      <w:r>
        <w:rPr>
          <w:rFonts w:ascii="Arial" w:cs="Arial" w:eastAsia="Arial" w:hAnsi="Arial"/>
          <w:sz w:val="18"/>
          <w:szCs w:val="18"/>
          <w:color w:val="auto"/>
        </w:rPr>
        <w:t>, 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of the office building located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hanging="584"/>
        <w:spacing w:after="0" w:line="277" w:lineRule="auto"/>
        <w:rPr>
          <w:sz w:val="20"/>
          <w:szCs w:val="20"/>
          <w:color w:val="auto"/>
        </w:rPr>
      </w:pPr>
      <w:r>
        <w:rPr>
          <w:rFonts w:ascii="Arial" w:cs="Arial" w:eastAsia="Arial" w:hAnsi="Arial"/>
          <w:sz w:val="18"/>
          <w:szCs w:val="18"/>
          <w:color w:val="auto"/>
        </w:rPr>
        <w:t>(“Landlord”), and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 a</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(“Tenant”) concerning Suite</w:t>
      </w:r>
    </w:p>
    <w:p>
      <w:pPr>
        <w:spacing w:after="0" w:line="463" w:lineRule="exact"/>
        <w:rPr>
          <w:sz w:val="20"/>
          <w:szCs w:val="20"/>
          <w:color w:val="auto"/>
        </w:rPr>
      </w:pPr>
    </w:p>
    <w:p>
      <w:pPr>
        <w:sectPr>
          <w:pgSz w:w="11900" w:h="16838" w:orient="portrait"/>
          <w:cols w:equalWidth="0" w:num="7">
            <w:col w:w="260" w:space="320"/>
            <w:col w:w="1700" w:space="420"/>
            <w:col w:w="40" w:space="460"/>
            <w:col w:w="2560" w:space="720"/>
            <w:col w:w="700" w:space="300"/>
            <w:col w:w="920" w:space="720"/>
            <w:col w:w="2020"/>
          </w:cols>
          <w:pgMar w:left="240" w:top="270" w:right="519" w:bottom="1440" w:gutter="0" w:footer="0" w:header="0"/>
          <w:type w:val="continuous"/>
        </w:sect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Office Lease (the “Lease”), we wish to advise you and/or confirm as follows: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1.</w:t>
            </w: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The Lease Term shall commence on or has commenced on</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for a term of</w:t>
            </w:r>
          </w:p>
        </w:tc>
        <w:tc>
          <w:tcPr>
            <w:tcW w:w="1700" w:type="dxa"/>
            <w:vAlign w:val="bottom"/>
          </w:tcPr>
          <w:p>
            <w:pPr>
              <w:ind w:left="500"/>
              <w:spacing w:after="0"/>
              <w:rPr>
                <w:sz w:val="20"/>
                <w:szCs w:val="20"/>
                <w:color w:val="auto"/>
              </w:rPr>
            </w:pPr>
            <w:r>
              <w:rPr>
                <w:rFonts w:ascii="Arial" w:cs="Arial" w:eastAsia="Arial" w:hAnsi="Arial"/>
                <w:sz w:val="18"/>
                <w:szCs w:val="18"/>
                <w:color w:val="auto"/>
              </w:rPr>
              <w:t>ending 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2820" w:type="dxa"/>
            <w:vAlign w:val="bottom"/>
          </w:tcPr>
          <w:p>
            <w:pPr>
              <w:ind w:left="160"/>
              <w:spacing w:after="0"/>
              <w:rPr>
                <w:sz w:val="20"/>
                <w:szCs w:val="20"/>
                <w:color w:val="auto"/>
              </w:rPr>
            </w:pPr>
            <w:r>
              <w:rPr>
                <w:rFonts w:ascii="Arial" w:cs="Arial" w:eastAsia="Arial" w:hAnsi="Arial"/>
                <w:sz w:val="18"/>
                <w:szCs w:val="18"/>
                <w:color w:val="auto"/>
              </w:rPr>
              <w:t>Rent commenced to accrue on</w:t>
            </w:r>
          </w:p>
        </w:tc>
        <w:tc>
          <w:tcPr>
            <w:tcW w:w="2140" w:type="dxa"/>
            <w:vAlign w:val="bottom"/>
          </w:tcPr>
          <w:p>
            <w:pPr>
              <w:ind w:left="460"/>
              <w:spacing w:after="0"/>
              <w:rPr>
                <w:sz w:val="20"/>
                <w:szCs w:val="20"/>
                <w:color w:val="auto"/>
              </w:rPr>
            </w:pPr>
            <w:r>
              <w:rPr>
                <w:rFonts w:ascii="Arial" w:cs="Arial" w:eastAsia="Arial" w:hAnsi="Arial"/>
                <w:sz w:val="18"/>
                <w:szCs w:val="18"/>
                <w:color w:val="auto"/>
              </w:rPr>
              <w:t>, in the amount of</w:t>
            </w:r>
          </w:p>
        </w:tc>
        <w:tc>
          <w:tcPr>
            <w:tcW w:w="180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07" w:lineRule="exact"/>
        <w:rPr>
          <w:sz w:val="20"/>
          <w:szCs w:val="20"/>
          <w:color w:val="auto"/>
        </w:rPr>
      </w:pPr>
    </w:p>
    <w:p>
      <w:pPr>
        <w:ind w:left="900" w:right="400" w:hanging="446"/>
        <w:spacing w:after="0" w:line="342" w:lineRule="auto"/>
        <w:tabs>
          <w:tab w:leader="none" w:pos="90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4.</w:t>
            </w:r>
          </w:p>
        </w:tc>
        <w:tc>
          <w:tcPr>
            <w:tcW w:w="3840" w:type="dxa"/>
            <w:vAlign w:val="bottom"/>
          </w:tcPr>
          <w:p>
            <w:pPr>
              <w:ind w:left="160"/>
              <w:spacing w:after="0"/>
              <w:rPr>
                <w:sz w:val="20"/>
                <w:szCs w:val="20"/>
                <w:color w:val="auto"/>
              </w:rPr>
            </w:pPr>
            <w:r>
              <w:rPr>
                <w:rFonts w:ascii="Arial" w:cs="Arial" w:eastAsia="Arial" w:hAnsi="Arial"/>
                <w:sz w:val="18"/>
                <w:szCs w:val="18"/>
                <w:color w:val="auto"/>
              </w:rPr>
              <w:t>Your rent checks should be made payable to</w:t>
            </w:r>
          </w:p>
        </w:tc>
        <w:tc>
          <w:tcPr>
            <w:tcW w:w="1480" w:type="dxa"/>
            <w:vAlign w:val="bottom"/>
          </w:tcPr>
          <w:p>
            <w:pPr>
              <w:ind w:left="480"/>
              <w:spacing w:after="0"/>
              <w:rPr>
                <w:sz w:val="20"/>
                <w:szCs w:val="20"/>
                <w:color w:val="auto"/>
              </w:rPr>
            </w:pPr>
            <w:r>
              <w:rPr>
                <w:rFonts w:ascii="Arial" w:cs="Arial" w:eastAsia="Arial" w:hAnsi="Arial"/>
                <w:sz w:val="18"/>
                <w:szCs w:val="18"/>
                <w:color w:val="auto"/>
              </w:rPr>
              <w:t>at</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5.</w:t>
            </w: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0"/>
              </w:rPr>
              <w:t>The exact number of rentable/usable square feet within the Premises is</w:t>
            </w:r>
          </w:p>
        </w:tc>
        <w:tc>
          <w:tcPr>
            <w:tcW w:w="1740" w:type="dxa"/>
            <w:vAlign w:val="bottom"/>
          </w:tcPr>
          <w:p>
            <w:pPr>
              <w:jc w:val="right"/>
              <w:spacing w:after="0"/>
              <w:rPr>
                <w:sz w:val="20"/>
                <w:szCs w:val="20"/>
                <w:color w:val="auto"/>
              </w:rPr>
            </w:pPr>
            <w:r>
              <w:rPr>
                <w:rFonts w:ascii="Arial" w:cs="Arial" w:eastAsia="Arial" w:hAnsi="Arial"/>
                <w:sz w:val="18"/>
                <w:szCs w:val="18"/>
                <w:color w:val="auto"/>
              </w:rPr>
              <w:t>square feet.</w:t>
            </w:r>
          </w:p>
        </w:tc>
      </w:tr>
    </w:tbl>
    <w:p>
      <w:pPr>
        <w:sectPr>
          <w:pgSz w:w="11900" w:h="16838" w:orient="portrait"/>
          <w:cols w:equalWidth="0" w:num="1">
            <w:col w:w="11140"/>
          </w:cols>
          <w:pgMar w:left="240" w:top="270" w:right="519" w:bottom="1440" w:gutter="0" w:footer="0" w:header="0"/>
          <w:type w:val="continuous"/>
        </w:sectPr>
      </w:pPr>
    </w:p>
    <w:bookmarkStart w:id="510" w:name="page511"/>
    <w:bookmarkEnd w:id="510"/>
    <w:p>
      <w:pPr>
        <w:ind w:left="460"/>
        <w:spacing w:after="0"/>
        <w:tabs>
          <w:tab w:leader="none" w:pos="8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w:t>
      </w:r>
      <w:r>
        <w:rPr>
          <w:sz w:val="20"/>
          <w:szCs w:val="20"/>
          <w:color w:val="auto"/>
        </w:rPr>
        <w:tab/>
      </w:r>
      <w:r>
        <w:rPr>
          <w:rFonts w:ascii="Arial" w:cs="Arial" w:eastAsia="Arial" w:hAnsi="Arial"/>
          <w:sz w:val="18"/>
          <w:szCs w:val="18"/>
          <w:color w:val="auto"/>
        </w:rPr>
        <w:t>Tenant’s Share as adjusted based upon the exact number of usable square feet within the Premises is</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-10160</wp:posOffset>
            </wp:positionV>
            <wp:extent cx="20574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126365</wp:posOffset>
            </wp:positionV>
            <wp:extent cx="3143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Agreed to and Accepted as of</w:t>
            </w:r>
          </w:p>
        </w:tc>
        <w:tc>
          <w:tcPr>
            <w:tcW w:w="7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-10160</wp:posOffset>
            </wp:positionV>
            <wp:extent cx="225742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3" w:right="1440" w:bottom="1440" w:gutter="0" w:footer="0" w:header="0"/>
        </w:sectPr>
      </w:pPr>
    </w:p>
    <w:bookmarkStart w:id="511" w:name="page512"/>
    <w:bookmarkEnd w:id="51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CORPORATE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 RULES AND REGULATIONS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73" w:lineRule="exact"/>
        <w:rPr>
          <w:sz w:val="20"/>
          <w:szCs w:val="20"/>
          <w:color w:val="auto"/>
        </w:rPr>
      </w:pPr>
    </w:p>
    <w:p>
      <w:pPr>
        <w:ind w:right="140" w:firstLine="464"/>
        <w:spacing w:after="0" w:line="255" w:lineRule="auto"/>
        <w:tabs>
          <w:tab w:leader="none" w:pos="63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85" w:lineRule="exact"/>
        <w:rPr>
          <w:rFonts w:ascii="Arial" w:cs="Arial" w:eastAsia="Arial" w:hAnsi="Arial"/>
          <w:sz w:val="18"/>
          <w:szCs w:val="18"/>
          <w:color w:val="auto"/>
        </w:rPr>
      </w:pPr>
    </w:p>
    <w:p>
      <w:pPr>
        <w:ind w:firstLine="464"/>
        <w:spacing w:after="0" w:line="277" w:lineRule="auto"/>
        <w:tabs>
          <w:tab w:leader="none" w:pos="63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 other than the doors in the second (2nd floor) elevator lobby of the Premises which may remain open during Building Hours.</w:t>
      </w:r>
    </w:p>
    <w:p>
      <w:pPr>
        <w:spacing w:after="0" w:line="62" w:lineRule="exact"/>
        <w:rPr>
          <w:rFonts w:ascii="Arial" w:cs="Arial" w:eastAsia="Arial" w:hAnsi="Arial"/>
          <w:sz w:val="18"/>
          <w:szCs w:val="18"/>
          <w:color w:val="auto"/>
        </w:rPr>
      </w:pPr>
    </w:p>
    <w:p>
      <w:pPr>
        <w:ind w:right="80" w:firstLine="464"/>
        <w:spacing w:after="0" w:line="270" w:lineRule="auto"/>
        <w:tabs>
          <w:tab w:leader="none" w:pos="63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such hours as are customary for comparable buildings in the San Diego, California area.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ectPr>
          <w:pgSz w:w="11900" w:h="16838" w:orient="portrait"/>
          <w:cols w:equalWidth="0" w:num="1">
            <w:col w:w="11420"/>
          </w:cols>
          <w:pgMar w:left="240" w:top="269" w:right="239" w:bottom="1440" w:gutter="0" w:footer="0" w:header="0"/>
        </w:sectPr>
      </w:pPr>
    </w:p>
    <w:bookmarkStart w:id="512" w:name="page513"/>
    <w:bookmarkEnd w:id="512"/>
    <w:p>
      <w:pPr>
        <w:ind w:left="-100" w:firstLine="464"/>
        <w:spacing w:after="0" w:line="255" w:lineRule="auto"/>
        <w:tabs>
          <w:tab w:leader="none" w:pos="5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large furniture, freight or large equipment of any kind shall be brought into the Building without prior notice to Landlord. All such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81" w:lineRule="exact"/>
        <w:rPr>
          <w:rFonts w:ascii="Arial" w:cs="Arial" w:eastAsia="Arial" w:hAnsi="Arial"/>
          <w:sz w:val="18"/>
          <w:szCs w:val="18"/>
          <w:color w:val="auto"/>
        </w:rPr>
      </w:pPr>
    </w:p>
    <w:p>
      <w:pPr>
        <w:jc w:val="both"/>
        <w:ind w:left="-100" w:right="40" w:firstLine="464"/>
        <w:spacing w:after="0" w:line="342" w:lineRule="auto"/>
        <w:tabs>
          <w:tab w:leader="none" w:pos="536"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5" w:lineRule="exact"/>
        <w:rPr>
          <w:rFonts w:ascii="Arial" w:cs="Arial" w:eastAsia="Arial" w:hAnsi="Arial"/>
          <w:sz w:val="16"/>
          <w:szCs w:val="16"/>
          <w:color w:val="auto"/>
        </w:rPr>
      </w:pPr>
    </w:p>
    <w:p>
      <w:pPr>
        <w:jc w:val="both"/>
        <w:ind w:left="-100" w:right="200" w:firstLine="464"/>
        <w:spacing w:after="0" w:line="264" w:lineRule="auto"/>
        <w:tabs>
          <w:tab w:leader="none" w:pos="5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73" w:lineRule="exact"/>
        <w:rPr>
          <w:rFonts w:ascii="Arial" w:cs="Arial" w:eastAsia="Arial" w:hAnsi="Arial"/>
          <w:sz w:val="18"/>
          <w:szCs w:val="18"/>
          <w:color w:val="auto"/>
        </w:rPr>
      </w:pPr>
    </w:p>
    <w:p>
      <w:pPr>
        <w:jc w:val="both"/>
        <w:ind w:left="-100" w:right="60" w:firstLine="464"/>
        <w:spacing w:after="0" w:line="286" w:lineRule="auto"/>
        <w:tabs>
          <w:tab w:leader="none" w:pos="53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57" w:lineRule="exact"/>
        <w:rPr>
          <w:rFonts w:ascii="Arial" w:cs="Arial" w:eastAsia="Arial" w:hAnsi="Arial"/>
          <w:sz w:val="17"/>
          <w:szCs w:val="17"/>
          <w:color w:val="auto"/>
        </w:rPr>
      </w:pPr>
    </w:p>
    <w:p>
      <w:pPr>
        <w:ind w:left="-100" w:firstLine="464"/>
        <w:spacing w:after="0" w:line="264" w:lineRule="auto"/>
        <w:tabs>
          <w:tab w:leader="none" w:pos="5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nor (except to the extent of hanging typical picture frames, white boards, interior signs, and the like, on the walls) mark, drive nails or screws, or drill into the partitions, woodwork or drywall or in any way deface the Premises or any part thereof without Landlord’s prior written consent.</w:t>
      </w:r>
    </w:p>
    <w:p>
      <w:pPr>
        <w:spacing w:after="0" w:line="73" w:lineRule="exact"/>
        <w:rPr>
          <w:rFonts w:ascii="Arial" w:cs="Arial" w:eastAsia="Arial" w:hAnsi="Arial"/>
          <w:sz w:val="18"/>
          <w:szCs w:val="18"/>
          <w:color w:val="auto"/>
        </w:rPr>
      </w:pPr>
    </w:p>
    <w:p>
      <w:pPr>
        <w:ind w:left="-100" w:right="220" w:firstLine="464"/>
        <w:spacing w:after="0" w:line="308" w:lineRule="auto"/>
        <w:tabs>
          <w:tab w:leader="none" w:pos="53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38" w:lineRule="exact"/>
        <w:rPr>
          <w:rFonts w:ascii="Arial" w:cs="Arial" w:eastAsia="Arial" w:hAnsi="Arial"/>
          <w:sz w:val="17"/>
          <w:szCs w:val="17"/>
          <w:color w:val="auto"/>
        </w:rPr>
      </w:pPr>
    </w:p>
    <w:p>
      <w:pPr>
        <w:ind w:left="-100" w:right="20" w:firstLine="464"/>
        <w:spacing w:after="0" w:line="286" w:lineRule="auto"/>
        <w:tabs>
          <w:tab w:leader="none" w:pos="62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Except as otherwise expressly permitted in the Lease, Tenant shall not use or keep in or on the Premises, the Building, or the Project any kerosene, gasoline, explosive material, corrosive material, material capable of emitting toxic fumes, or other inflammable or combustible fluid chemical, substitute or material. Tenant shall provide material safety data sheets for any Hazardous Material used or kept on the Premises.</w:t>
      </w:r>
    </w:p>
    <w:p>
      <w:pPr>
        <w:spacing w:after="0" w:line="57" w:lineRule="exact"/>
        <w:rPr>
          <w:rFonts w:ascii="Arial" w:cs="Arial" w:eastAsia="Arial" w:hAnsi="Arial"/>
          <w:sz w:val="17"/>
          <w:szCs w:val="17"/>
          <w:color w:val="auto"/>
        </w:rPr>
      </w:pPr>
    </w:p>
    <w:p>
      <w:pPr>
        <w:ind w:left="620" w:hanging="256"/>
        <w:spacing w:after="0"/>
        <w:tabs>
          <w:tab w:leader="none" w:pos="62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 Landlord.</w:t>
      </w:r>
    </w:p>
    <w:p>
      <w:pPr>
        <w:spacing w:after="0" w:line="140" w:lineRule="exact"/>
        <w:rPr>
          <w:rFonts w:ascii="Arial" w:cs="Arial" w:eastAsia="Arial" w:hAnsi="Arial"/>
          <w:sz w:val="16"/>
          <w:szCs w:val="16"/>
          <w:color w:val="auto"/>
        </w:rPr>
      </w:pPr>
    </w:p>
    <w:p>
      <w:pPr>
        <w:ind w:left="-100" w:right="60" w:firstLine="464"/>
        <w:spacing w:after="0" w:line="277" w:lineRule="auto"/>
        <w:tabs>
          <w:tab w:leader="none" w:pos="62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Tenant shall not use, keep or permit to be used or kept, any foul or noxious gas or substance in or on the Premises, or permit or allow the Premises to be occupied or used in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40" w:top="273" w:right="339" w:bottom="1440" w:gutter="0" w:footer="0" w:header="0"/>
        </w:sectPr>
      </w:pPr>
    </w:p>
    <w:bookmarkStart w:id="513" w:name="page514"/>
    <w:bookmarkEnd w:id="51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 Landlord hereby acknowledges and agrees that Tenant’s use of the Premises for the Permitted Use shall in no event be deemed “offensive or objectionable” in and of itself nor otherwise constitute a breach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63" w:lineRule="exact"/>
        <w:rPr>
          <w:sz w:val="20"/>
          <w:szCs w:val="20"/>
          <w:color w:val="auto"/>
        </w:rPr>
      </w:pPr>
    </w:p>
    <w:p>
      <w:pPr>
        <w:ind w:right="60" w:firstLine="464"/>
        <w:spacing w:after="0" w:line="264" w:lineRule="auto"/>
        <w:tabs>
          <w:tab w:leader="none" w:pos="72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the Building or the Premises any firearms, animals (except in connection with the rodent vivarium), birds, aquariums, or, except in areas designated by Landlord, bicycles or other vehicles. Throughout the Term of the Lease, Landlord shall provide for Tenant’s use a bike locker to adequately secure and store bicycles.</w:t>
      </w:r>
    </w:p>
    <w:p>
      <w:pPr>
        <w:spacing w:after="0" w:line="73" w:lineRule="exact"/>
        <w:rPr>
          <w:rFonts w:ascii="Arial" w:cs="Arial" w:eastAsia="Arial" w:hAnsi="Arial"/>
          <w:sz w:val="18"/>
          <w:szCs w:val="18"/>
          <w:color w:val="auto"/>
        </w:rPr>
      </w:pPr>
    </w:p>
    <w:p>
      <w:pPr>
        <w:ind w:right="200" w:firstLine="464"/>
        <w:spacing w:after="0" w:line="255" w:lineRule="auto"/>
        <w:tabs>
          <w:tab w:leader="none" w:pos="72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miles and regulations. Landlord hereby acknowledges and agrees that Tenant’s use of the Premises for the Permitted Use shall not, in and of itself, be deemed “offensive, objectionable or immoral” nor otherwise constitute a breach of this Section 14.</w:t>
      </w:r>
    </w:p>
    <w:p>
      <w:pPr>
        <w:spacing w:after="0" w:line="85" w:lineRule="exact"/>
        <w:rPr>
          <w:rFonts w:ascii="Arial" w:cs="Arial" w:eastAsia="Arial" w:hAnsi="Arial"/>
          <w:sz w:val="18"/>
          <w:szCs w:val="18"/>
          <w:color w:val="auto"/>
        </w:rPr>
      </w:pPr>
    </w:p>
    <w:p>
      <w:pPr>
        <w:ind w:right="20" w:firstLine="464"/>
        <w:spacing w:after="0" w:line="297" w:lineRule="auto"/>
        <w:tabs>
          <w:tab w:leader="none" w:pos="726"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50" w:lineRule="exact"/>
        <w:rPr>
          <w:rFonts w:ascii="Arial" w:cs="Arial" w:eastAsia="Arial" w:hAnsi="Arial"/>
          <w:sz w:val="16"/>
          <w:szCs w:val="16"/>
          <w:color w:val="auto"/>
        </w:rPr>
      </w:pPr>
    </w:p>
    <w:p>
      <w:pPr>
        <w:ind w:right="100" w:firstLine="464"/>
        <w:spacing w:after="0" w:line="277" w:lineRule="auto"/>
        <w:tabs>
          <w:tab w:leader="none" w:pos="72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62" w:lineRule="exact"/>
        <w:rPr>
          <w:rFonts w:ascii="Arial" w:cs="Arial" w:eastAsia="Arial" w:hAnsi="Arial"/>
          <w:sz w:val="18"/>
          <w:szCs w:val="18"/>
          <w:color w:val="auto"/>
        </w:rPr>
      </w:pPr>
    </w:p>
    <w:p>
      <w:pPr>
        <w:ind w:firstLine="464"/>
        <w:spacing w:after="0" w:line="279" w:lineRule="auto"/>
        <w:tabs>
          <w:tab w:leader="none" w:pos="726"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 Furthermore, in no event shall Tenant, its employees or agents smoke tobacco products within the Building or within seventy-five feet (75’) of any entrance into the Building or into any other Project building.</w:t>
      </w:r>
    </w:p>
    <w:p>
      <w:pPr>
        <w:spacing w:after="0" w:line="63" w:lineRule="exact"/>
        <w:rPr>
          <w:rFonts w:ascii="Arial" w:cs="Arial" w:eastAsia="Arial" w:hAnsi="Arial"/>
          <w:sz w:val="17"/>
          <w:szCs w:val="17"/>
          <w:color w:val="auto"/>
        </w:rPr>
      </w:pPr>
    </w:p>
    <w:p>
      <w:pPr>
        <w:ind w:right="20" w:firstLine="464"/>
        <w:spacing w:after="0" w:line="277" w:lineRule="auto"/>
        <w:tabs>
          <w:tab w:leader="none" w:pos="72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and agrees to cooperate fully with Landlord to ensure the most effective operation of the Building’s heating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14" w:name="page515"/>
    <w:bookmarkEnd w:id="5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air conditioning system, and shall refrain from attempting to adjust any controls. Tenant shall participate in recycling programs undertaken by Landlord.</w:t>
      </w:r>
    </w:p>
    <w:p>
      <w:pPr>
        <w:spacing w:after="0" w:line="140" w:lineRule="exact"/>
        <w:rPr>
          <w:sz w:val="20"/>
          <w:szCs w:val="20"/>
          <w:color w:val="auto"/>
        </w:rPr>
      </w:pPr>
    </w:p>
    <w:p>
      <w:pPr>
        <w:ind w:firstLine="464"/>
        <w:spacing w:after="0" w:line="271" w:lineRule="auto"/>
        <w:tabs>
          <w:tab w:leader="none" w:pos="72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San Diego, California without violation of any law or ordinance governing such disposal.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 Landlord shall, at Tenant’s sole cost and expense, provide one (1) dumpster (with locking capabilities) in the area of the Project designated by Landlord for the use of such dumpsters.</w:t>
      </w:r>
    </w:p>
    <w:p>
      <w:pPr>
        <w:spacing w:after="0" w:line="70" w:lineRule="exact"/>
        <w:rPr>
          <w:rFonts w:ascii="Arial" w:cs="Arial" w:eastAsia="Arial" w:hAnsi="Arial"/>
          <w:sz w:val="17"/>
          <w:szCs w:val="17"/>
          <w:color w:val="auto"/>
        </w:rPr>
      </w:pPr>
    </w:p>
    <w:p>
      <w:pPr>
        <w:ind w:left="740" w:hanging="276"/>
        <w:spacing w:after="0"/>
        <w:tabs>
          <w:tab w:leader="none" w:pos="74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agency.</w:t>
      </w:r>
    </w:p>
    <w:p>
      <w:pPr>
        <w:spacing w:after="0" w:line="140" w:lineRule="exact"/>
        <w:rPr>
          <w:rFonts w:ascii="Arial" w:cs="Arial" w:eastAsia="Arial" w:hAnsi="Arial"/>
          <w:sz w:val="16"/>
          <w:szCs w:val="16"/>
          <w:color w:val="auto"/>
        </w:rPr>
      </w:pPr>
    </w:p>
    <w:p>
      <w:pPr>
        <w:ind w:firstLine="464"/>
        <w:spacing w:after="0" w:line="289" w:lineRule="auto"/>
        <w:tabs>
          <w:tab w:leader="none" w:pos="726" w:val="left"/>
        </w:tabs>
        <w:numPr>
          <w:ilvl w:val="0"/>
          <w:numId w:val="432"/>
        </w:numPr>
        <w:rPr>
          <w:rFonts w:ascii="Arial" w:cs="Arial" w:eastAsia="Arial" w:hAnsi="Arial"/>
          <w:sz w:val="16"/>
          <w:szCs w:val="16"/>
          <w:color w:val="auto"/>
        </w:rPr>
      </w:pPr>
      <w:r>
        <w:rPr>
          <w:rFonts w:ascii="Arial" w:cs="Arial" w:eastAsia="Arial" w:hAnsi="Arial"/>
          <w:sz w:val="16"/>
          <w:szCs w:val="16"/>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be responsible for any damage to the window film on the exterior windows of the Premises and shall promptly repair any such damage at Tenant’s sole cost and expense. Tenant shall keep its window coverings closed during any period of the day when the sun is shining directly on the windows of the Premises. Prior to leaving the Premises for the day, Tenant shall draw or lower window coverings and extinguish all lights. Tenant shall abide by Landlord’s regulations concerning the opening and closing of window coverings which are attached to the windows in the Premises, if any, which have a view of any interior portion of the Building or Building Common Areas.</w:t>
      </w:r>
    </w:p>
    <w:p>
      <w:pPr>
        <w:spacing w:after="0" w:line="58" w:lineRule="exact"/>
        <w:rPr>
          <w:rFonts w:ascii="Arial" w:cs="Arial" w:eastAsia="Arial" w:hAnsi="Arial"/>
          <w:sz w:val="16"/>
          <w:szCs w:val="16"/>
          <w:color w:val="auto"/>
        </w:rPr>
      </w:pPr>
    </w:p>
    <w:p>
      <w:pPr>
        <w:ind w:right="340" w:firstLine="464"/>
        <w:spacing w:after="0" w:line="308" w:lineRule="auto"/>
        <w:tabs>
          <w:tab w:leader="none" w:pos="72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38" w:lineRule="exact"/>
        <w:rPr>
          <w:rFonts w:ascii="Arial" w:cs="Arial" w:eastAsia="Arial" w:hAnsi="Arial"/>
          <w:sz w:val="17"/>
          <w:szCs w:val="17"/>
          <w:color w:val="auto"/>
        </w:rPr>
      </w:pPr>
    </w:p>
    <w:p>
      <w:pPr>
        <w:ind w:left="740" w:hanging="276"/>
        <w:spacing w:after="0"/>
        <w:tabs>
          <w:tab w:leader="none" w:pos="74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124" w:lineRule="exact"/>
        <w:rPr>
          <w:rFonts w:ascii="Arial" w:cs="Arial" w:eastAsia="Arial" w:hAnsi="Arial"/>
          <w:sz w:val="17"/>
          <w:szCs w:val="17"/>
          <w:color w:val="auto"/>
        </w:rPr>
      </w:pPr>
    </w:p>
    <w:p>
      <w:pPr>
        <w:ind w:right="200" w:firstLine="464"/>
        <w:spacing w:after="0" w:line="266" w:lineRule="auto"/>
        <w:tabs>
          <w:tab w:leader="none" w:pos="72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Tenant must comply with applicable “</w:t>
      </w:r>
      <w:r>
        <w:rPr>
          <w:rFonts w:ascii="Arial" w:cs="Arial" w:eastAsia="Arial" w:hAnsi="Arial"/>
          <w:sz w:val="18"/>
          <w:szCs w:val="18"/>
          <w:b w:val="1"/>
          <w:bCs w:val="1"/>
          <w:color w:val="auto"/>
        </w:rPr>
        <w:t>NO-SMOKING</w:t>
      </w:r>
      <w:r>
        <w:rPr>
          <w:rFonts w:ascii="Arial" w:cs="Arial" w:eastAsia="Arial" w:hAnsi="Arial"/>
          <w:sz w:val="18"/>
          <w:szCs w:val="18"/>
          <w:color w:val="auto"/>
        </w:rPr>
        <w:t>” ordinances and all related, similar or successor ordinances, rules, regulations or codes. If Tenant is required under the ordinance to adopt a written smoking policy, a copy of said policy shall be on file in the office of the Building. In addition, no smoking of any substance shall be permitted within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15" w:name="page516"/>
    <w:bookmarkEnd w:id="515"/>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except in specifically 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ashtrays. Furthermore, in no event shall Tenant, its employees or agents smoke tobacco products or other substances within any interior areas of the Project or within seventy-five feet (75’) of any entrance into the Building or into any other Project building.</w:t>
      </w:r>
    </w:p>
    <w:p>
      <w:pPr>
        <w:spacing w:after="0" w:line="46" w:lineRule="exact"/>
        <w:rPr>
          <w:sz w:val="20"/>
          <w:szCs w:val="20"/>
          <w:color w:val="auto"/>
        </w:rPr>
      </w:pPr>
    </w:p>
    <w:p>
      <w:pPr>
        <w:ind w:firstLine="464"/>
        <w:spacing w:after="0" w:line="254" w:lineRule="auto"/>
        <w:tabs>
          <w:tab w:leader="none" w:pos="72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84" w:lineRule="exact"/>
        <w:rPr>
          <w:rFonts w:ascii="Arial" w:cs="Arial" w:eastAsia="Arial" w:hAnsi="Arial"/>
          <w:sz w:val="18"/>
          <w:szCs w:val="18"/>
          <w:color w:val="auto"/>
        </w:rPr>
      </w:pPr>
    </w:p>
    <w:p>
      <w:pPr>
        <w:ind w:right="40" w:firstLine="464"/>
        <w:spacing w:after="0" w:line="277" w:lineRule="auto"/>
        <w:tabs>
          <w:tab w:leader="none" w:pos="72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All office equipment of any electrical or mechanical nature shall be placed by Tenant in the Premises in settings approved by Landlord, to absorb or prevent any vibration, noise and annoyance.</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Tenant shall not use in any space or in the public halls of the Building, any hand trucks except those equipped with rubber tires and rubber side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guards.</w:t>
      </w:r>
    </w:p>
    <w:p>
      <w:pPr>
        <w:spacing w:after="0" w:line="102" w:lineRule="exact"/>
        <w:rPr>
          <w:rFonts w:ascii="Arial" w:cs="Arial" w:eastAsia="Arial" w:hAnsi="Arial"/>
          <w:sz w:val="16"/>
          <w:szCs w:val="16"/>
          <w:color w:val="auto"/>
        </w:rPr>
      </w:pPr>
    </w:p>
    <w:p>
      <w:pPr>
        <w:ind w:left="740" w:hanging="276"/>
        <w:spacing w:after="0"/>
        <w:tabs>
          <w:tab w:leader="none" w:pos="74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No auction, liquidation, fire sale, going-out-of-business or bankruptcy sale shall be conducted in the Premises without the prior written consent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102" w:lineRule="exact"/>
        <w:rPr>
          <w:rFonts w:ascii="Arial" w:cs="Arial" w:eastAsia="Arial" w:hAnsi="Arial"/>
          <w:sz w:val="16"/>
          <w:szCs w:val="16"/>
          <w:color w:val="auto"/>
        </w:rPr>
      </w:pPr>
    </w:p>
    <w:p>
      <w:pPr>
        <w:ind w:left="740" w:hanging="276"/>
        <w:spacing w:after="0"/>
        <w:tabs>
          <w:tab w:leader="none" w:pos="7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 tenant shall use or permit the use of any portion of the Premises for living quarters, sleeping apartments or lodging rooms.</w:t>
      </w:r>
    </w:p>
    <w:p>
      <w:pPr>
        <w:spacing w:after="0" w:line="117" w:lineRule="exact"/>
        <w:rPr>
          <w:rFonts w:ascii="Arial" w:cs="Arial" w:eastAsia="Arial" w:hAnsi="Arial"/>
          <w:sz w:val="18"/>
          <w:szCs w:val="18"/>
          <w:color w:val="auto"/>
        </w:rPr>
      </w:pPr>
    </w:p>
    <w:p>
      <w:pPr>
        <w:ind w:right="180" w:firstLine="464"/>
        <w:spacing w:after="0" w:line="342" w:lineRule="auto"/>
        <w:tabs>
          <w:tab w:leader="none" w:pos="726"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agrees that it will not unreasonably modify, amend, change or enforce these Rules and Regulations in any unreasonable manner or in a manner which will unreasonably and materially interferes with the Permitted Use pursuant to the terms and conditions of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516" w:name="page517"/>
    <w:bookmarkEnd w:id="51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Lease. Landlord shall provide Tenant with not less than thirty (30) days prior written notice of any modification, amendment or change to these Rules and Regulations. Notwithstanding the foregoing,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17" w:name="page518"/>
    <w:bookmarkEnd w:id="517"/>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04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rPr>
              <w:t>EXHIBIT 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3"/>
        </w:trPr>
        <w:tc>
          <w:tcPr>
            <w:tcW w:w="8280" w:type="dxa"/>
            <w:vAlign w:val="bottom"/>
            <w:gridSpan w:val="3"/>
          </w:tcPr>
          <w:p>
            <w:pPr>
              <w:jc w:val="center"/>
              <w:ind w:left="3070"/>
              <w:spacing w:after="0"/>
              <w:rPr>
                <w:sz w:val="20"/>
                <w:szCs w:val="20"/>
                <w:color w:val="auto"/>
              </w:rPr>
            </w:pPr>
            <w:r>
              <w:rPr>
                <w:rFonts w:ascii="Arial" w:cs="Arial" w:eastAsia="Arial" w:hAnsi="Arial"/>
                <w:sz w:val="18"/>
                <w:szCs w:val="18"/>
                <w:b w:val="1"/>
                <w:bCs w:val="1"/>
                <w:color w:val="auto"/>
              </w:rPr>
              <w:t>PACIFIC CORPORATE CENTER</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828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rPr>
              <w:t>FORM OF TENANT’S ESTOPPEL CERTIFICATE</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8280" w:type="dxa"/>
            <w:vAlign w:val="bottom"/>
            <w:gridSpan w:val="3"/>
          </w:tcPr>
          <w:p>
            <w:pPr>
              <w:ind w:left="460"/>
              <w:spacing w:after="0"/>
              <w:rPr>
                <w:sz w:val="20"/>
                <w:szCs w:val="20"/>
                <w:color w:val="auto"/>
              </w:rPr>
            </w:pPr>
            <w:r>
              <w:rPr>
                <w:rFonts w:ascii="Arial" w:cs="Arial" w:eastAsia="Arial" w:hAnsi="Arial"/>
                <w:sz w:val="18"/>
                <w:szCs w:val="18"/>
                <w:color w:val="auto"/>
                <w:w w:val="96"/>
              </w:rPr>
              <w:t>The undersigned as Tenant under that certain Office Lease (the “Lease”) made and entered into as of</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 201</w:t>
            </w:r>
          </w:p>
        </w:tc>
        <w:tc>
          <w:tcPr>
            <w:tcW w:w="1900" w:type="dxa"/>
            <w:vAlign w:val="bottom"/>
            <w:gridSpan w:val="2"/>
          </w:tcPr>
          <w:p>
            <w:pPr>
              <w:ind w:left="140"/>
              <w:spacing w:after="0"/>
              <w:rPr>
                <w:sz w:val="20"/>
                <w:szCs w:val="20"/>
                <w:color w:val="auto"/>
              </w:rPr>
            </w:pPr>
            <w:r>
              <w:rPr>
                <w:rFonts w:ascii="Arial" w:cs="Arial" w:eastAsia="Arial" w:hAnsi="Arial"/>
                <w:sz w:val="18"/>
                <w:szCs w:val="18"/>
                <w:color w:val="auto"/>
              </w:rPr>
              <w:t>by and between</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as</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Landlord, and the undersigned as Tenant, for Premises on the</w:t>
            </w: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w w:val="94"/>
              </w:rPr>
              <w:t>floor(s) of the office building located at</w:t>
            </w:r>
          </w:p>
        </w:tc>
        <w:tc>
          <w:tcPr>
            <w:tcW w:w="460" w:type="dxa"/>
            <w:vAlign w:val="bottom"/>
          </w:tcPr>
          <w:p>
            <w:pPr>
              <w:spacing w:after="0"/>
              <w:rPr>
                <w:sz w:val="18"/>
                <w:szCs w:val="18"/>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ind w:left="300"/>
              <w:spacing w:after="0"/>
              <w:rPr>
                <w:sz w:val="20"/>
                <w:szCs w:val="20"/>
                <w:color w:val="auto"/>
              </w:rPr>
            </w:pPr>
            <w:r>
              <w:rPr>
                <w:rFonts w:ascii="Arial" w:cs="Arial" w:eastAsia="Arial" w:hAnsi="Arial"/>
                <w:sz w:val="18"/>
                <w:szCs w:val="18"/>
                <w:color w:val="auto"/>
              </w:rPr>
              <w:t>, California</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certifies as follows:</w:t>
            </w: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80" w:firstLine="464"/>
        <w:spacing w:after="0" w:line="277" w:lineRule="auto"/>
        <w:tabs>
          <w:tab w:leader="none" w:pos="63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and correct copy of the Lease and all amendments and modifications thereto. The documents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represent the entire agreement between the parties as to the Premises.</w:t>
      </w:r>
    </w:p>
    <w:p>
      <w:pPr>
        <w:spacing w:after="0" w:line="62" w:lineRule="exact"/>
        <w:rPr>
          <w:sz w:val="20"/>
          <w:szCs w:val="20"/>
          <w:color w:val="auto"/>
        </w:rPr>
      </w:pPr>
    </w:p>
    <w:p>
      <w:pPr>
        <w:ind w:left="900" w:hanging="443"/>
        <w:spacing w:after="0" w:line="258" w:lineRule="auto"/>
        <w:rPr>
          <w:sz w:val="20"/>
          <w:szCs w:val="20"/>
          <w:color w:val="auto"/>
        </w:rPr>
      </w:pPr>
      <w:r>
        <w:rPr>
          <w:rFonts w:ascii="Arial" w:cs="Arial" w:eastAsia="Arial" w:hAnsi="Arial"/>
          <w:sz w:val="18"/>
          <w:szCs w:val="18"/>
          <w:color w:val="auto"/>
        </w:rPr>
        <w:t>2. The undersigned currently occupies the Premises described in the Lease, the Lease Term commenced on</w:t>
      </w:r>
      <w:r>
        <w:rPr>
          <w:sz w:val="20"/>
          <w:szCs w:val="20"/>
          <w:color w:val="auto"/>
        </w:rPr>
        <w:t xml:space="preserve"> </w:t>
      </w:r>
      <w:r>
        <w:rPr>
          <w:rFonts w:ascii="Arial" w:cs="Arial" w:eastAsia="Arial" w:hAnsi="Arial"/>
          <w:sz w:val="18"/>
          <w:szCs w:val="18"/>
          <w:color w:val="auto"/>
        </w:rPr>
        <w:t>, and the Lease Term expires on , and the undersigned has no option to terminate or cancel the Lease or to purchase all or any part of the Premises, the Building and/or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03"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3. Base Rent became payable on</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640" w:hanging="176"/>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The Lease is in full force and effect and has not been modified, supplemented or amended in any way except as provided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Tenant shall not modify the documents contained in Exhibit A without the prior written consent of Landlord’s mortgagee.</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All monthly installments of Base Rent, all Additional Rent and all monthly installments of estimated Additional Rent have been paid when due</w:t>
      </w:r>
    </w:p>
    <w:p>
      <w:pPr>
        <w:spacing w:after="0" w:line="35" w:lineRule="exact"/>
        <w:rPr>
          <w:sz w:val="20"/>
          <w:szCs w:val="20"/>
          <w:color w:val="auto"/>
        </w:rPr>
      </w:pPr>
    </w:p>
    <w:p>
      <w:pPr>
        <w:spacing w:after="0"/>
        <w:tabs>
          <w:tab w:leader="none" w:pos="1500" w:val="left"/>
          <w:tab w:leader="none" w:pos="6120" w:val="left"/>
        </w:tabs>
        <w:rPr>
          <w:sz w:val="20"/>
          <w:szCs w:val="20"/>
          <w:color w:val="auto"/>
        </w:rPr>
      </w:pPr>
      <w:r>
        <w:rPr>
          <w:rFonts w:ascii="Arial" w:cs="Arial" w:eastAsia="Arial" w:hAnsi="Arial"/>
          <w:sz w:val="18"/>
          <w:szCs w:val="18"/>
          <w:color w:val="auto"/>
        </w:rPr>
        <w:t>through</w:t>
      </w:r>
      <w:r>
        <w:rPr>
          <w:sz w:val="20"/>
          <w:szCs w:val="20"/>
          <w:color w:val="auto"/>
        </w:rPr>
        <w:tab/>
      </w:r>
      <w:r>
        <w:rPr>
          <w:rFonts w:ascii="Arial" w:cs="Arial" w:eastAsia="Arial" w:hAnsi="Arial"/>
          <w:sz w:val="18"/>
          <w:szCs w:val="18"/>
          <w:color w:val="auto"/>
        </w:rPr>
        <w:t>. The current monthly installment of Base Rent is $</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right="460" w:firstLine="464"/>
        <w:spacing w:after="0" w:line="308" w:lineRule="auto"/>
        <w:tabs>
          <w:tab w:leader="none" w:pos="636" w:val="left"/>
        </w:tabs>
        <w:numPr>
          <w:ilvl w:val="0"/>
          <w:numId w:val="436"/>
        </w:numPr>
        <w:rPr>
          <w:rFonts w:ascii="Arial" w:cs="Arial" w:eastAsia="Arial" w:hAnsi="Arial"/>
          <w:sz w:val="17"/>
          <w:szCs w:val="17"/>
          <w:color w:val="auto"/>
        </w:rPr>
      </w:pPr>
      <w:r>
        <w:rPr>
          <w:rFonts w:ascii="Arial" w:cs="Arial" w:eastAsia="Arial" w:hAnsi="Arial"/>
          <w:sz w:val="17"/>
          <w:szCs w:val="17"/>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w:t>
      </w:r>
    </w:p>
    <w:p>
      <w:pPr>
        <w:spacing w:after="0" w:line="38" w:lineRule="exact"/>
        <w:rPr>
          <w:rFonts w:ascii="Arial" w:cs="Arial" w:eastAsia="Arial" w:hAnsi="Arial"/>
          <w:sz w:val="17"/>
          <w:szCs w:val="17"/>
          <w:color w:val="auto"/>
        </w:rPr>
      </w:pPr>
    </w:p>
    <w:p>
      <w:pPr>
        <w:ind w:left="640" w:hanging="176"/>
        <w:spacing w:after="0"/>
        <w:tabs>
          <w:tab w:leader="none" w:pos="6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 the Lease.</w:t>
      </w:r>
    </w:p>
    <w:p>
      <w:pPr>
        <w:sectPr>
          <w:pgSz w:w="11900" w:h="16838" w:orient="portrait"/>
          <w:cols w:equalWidth="0" w:num="1">
            <w:col w:w="11400"/>
          </w:cols>
          <w:pgMar w:left="240" w:top="257" w:right="259" w:bottom="1440" w:gutter="0" w:footer="0" w:header="0"/>
        </w:sectPr>
      </w:pPr>
    </w:p>
    <w:bookmarkStart w:id="518" w:name="page519"/>
    <w:bookmarkEnd w:id="518"/>
    <w:p>
      <w:pPr>
        <w:ind w:right="720" w:firstLine="464"/>
        <w:spacing w:after="0" w:line="277" w:lineRule="auto"/>
        <w:tabs>
          <w:tab w:leader="none" w:pos="726"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date hereof, there are no existing defenses or offsets, or, to the undersigned’s knowledge, claims or any basis for a claim, that the undersigned has against Landlord.</w:t>
      </w:r>
    </w:p>
    <w:p>
      <w:pPr>
        <w:spacing w:after="0" w:line="62" w:lineRule="exact"/>
        <w:rPr>
          <w:rFonts w:ascii="Arial" w:cs="Arial" w:eastAsia="Arial" w:hAnsi="Arial"/>
          <w:sz w:val="18"/>
          <w:szCs w:val="18"/>
          <w:color w:val="auto"/>
        </w:rPr>
      </w:pPr>
    </w:p>
    <w:p>
      <w:pPr>
        <w:ind w:right="60" w:firstLine="464"/>
        <w:spacing w:after="0" w:line="264" w:lineRule="auto"/>
        <w:tabs>
          <w:tab w:leader="none" w:pos="7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There are no actions pending against the undersigned under the bankruptcy or similar laws of the United States or any state.</w:t>
      </w:r>
    </w:p>
    <w:p>
      <w:pPr>
        <w:spacing w:after="0" w:line="117" w:lineRule="exact"/>
        <w:rPr>
          <w:rFonts w:ascii="Arial" w:cs="Arial" w:eastAsia="Arial" w:hAnsi="Arial"/>
          <w:sz w:val="18"/>
          <w:szCs w:val="18"/>
          <w:color w:val="auto"/>
        </w:rPr>
      </w:pPr>
    </w:p>
    <w:p>
      <w:pPr>
        <w:ind w:right="160" w:firstLine="464"/>
        <w:spacing w:after="0" w:line="277" w:lineRule="auto"/>
        <w:tabs>
          <w:tab w:leader="none" w:pos="72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Other than in compliance with all applicable laws and incidental to the ordinary course of the use of the Premises, the undersigned has not used or stored any hazardous substances in the Premises.</w:t>
      </w:r>
    </w:p>
    <w:p>
      <w:pPr>
        <w:spacing w:after="0" w:line="62" w:lineRule="exact"/>
        <w:rPr>
          <w:rFonts w:ascii="Arial" w:cs="Arial" w:eastAsia="Arial" w:hAnsi="Arial"/>
          <w:sz w:val="18"/>
          <w:szCs w:val="18"/>
          <w:color w:val="auto"/>
        </w:rPr>
      </w:pPr>
    </w:p>
    <w:p>
      <w:pPr>
        <w:ind w:firstLine="464"/>
        <w:spacing w:after="0" w:line="264" w:lineRule="auto"/>
        <w:tabs>
          <w:tab w:leader="none" w:pos="72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47" w:lineRule="exact"/>
        <w:rPr>
          <w:sz w:val="20"/>
          <w:szCs w:val="20"/>
          <w:color w:val="auto"/>
        </w:rPr>
      </w:pPr>
    </w:p>
    <w:p>
      <w:pPr>
        <w:ind w:left="460"/>
        <w:spacing w:after="0"/>
        <w:tabs>
          <w:tab w:leader="none" w:pos="2280" w:val="left"/>
          <w:tab w:leader="none" w:pos="3360" w:val="left"/>
          <w:tab w:leader="none" w:pos="4400" w:val="left"/>
          <w:tab w:leader="none" w:pos="4840" w:val="left"/>
        </w:tabs>
        <w:rPr>
          <w:sz w:val="20"/>
          <w:szCs w:val="20"/>
          <w:color w:val="auto"/>
        </w:rPr>
      </w:pPr>
      <w:r>
        <w:rPr>
          <w:rFonts w:ascii="Arial" w:cs="Arial" w:eastAsia="Arial" w:hAnsi="Arial"/>
          <w:sz w:val="18"/>
          <w:szCs w:val="18"/>
          <w:color w:val="auto"/>
        </w:rPr>
        <w:t>Executed at</w:t>
      </w:r>
      <w:r>
        <w:rPr>
          <w:sz w:val="20"/>
          <w:szCs w:val="20"/>
          <w:color w:val="auto"/>
        </w:rPr>
        <w:tab/>
      </w: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4767580</wp:posOffset>
            </wp:positionH>
            <wp:positionV relativeFrom="paragraph">
              <wp:posOffset>-10160</wp:posOffset>
            </wp:positionV>
            <wp:extent cx="222885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28575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4767580</wp:posOffset>
            </wp:positionH>
            <wp:positionV relativeFrom="paragraph">
              <wp:posOffset>-10160</wp:posOffset>
            </wp:positionV>
            <wp:extent cx="222885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28575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19" w:name="page520"/>
    <w:bookmarkEnd w:id="51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PACIFIC CORPORATE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WHEN RECORDED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ALLEN MATKINS LECK GAMBLE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&amp; MALLORY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190l Avenue of the Stars,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Anton N. Natsis, Esq.</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RECOGNITION OF COVENANTS,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CONDITIONS, AND RESTRICTIONS</w:t>
      </w:r>
    </w:p>
    <w:p>
      <w:pPr>
        <w:sectPr>
          <w:pgSz w:w="11900" w:h="16838" w:orient="portrait"/>
          <w:cols w:equalWidth="0" w:num="1">
            <w:col w:w="11380"/>
          </w:cols>
          <w:pgMar w:left="240" w:top="270" w:right="27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Recognition of Covenants, Conditions, and Restrictions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the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by and between</w:t>
      </w:r>
    </w:p>
    <w:p>
      <w:pPr>
        <w:spacing w:after="0" w:line="46" w:lineRule="exact"/>
        <w:rPr>
          <w:sz w:val="20"/>
          <w:szCs w:val="20"/>
          <w:color w:val="auto"/>
        </w:rPr>
      </w:pPr>
    </w:p>
    <w:p>
      <w:pPr>
        <w:sectPr>
          <w:pgSz w:w="11900" w:h="16838" w:orient="portrait"/>
          <w:cols w:equalWidth="0" w:num="4">
            <w:col w:w="8040" w:space="620"/>
            <w:col w:w="460" w:space="580"/>
            <w:col w:w="280" w:space="180"/>
            <w:col w:w="1220"/>
          </w:cols>
          <w:pgMar w:left="240" w:top="270" w:right="279" w:bottom="1440" w:gutter="0" w:footer="0" w:header="0"/>
          <w:type w:val="continuous"/>
        </w:sectPr>
      </w:pPr>
    </w:p>
    <w:p>
      <w:pPr>
        <w:ind w:left="900"/>
        <w:spacing w:after="0"/>
        <w:tabs>
          <w:tab w:leader="none" w:pos="3160" w:val="left"/>
        </w:tabs>
        <w:rPr>
          <w:sz w:val="20"/>
          <w:szCs w:val="20"/>
          <w:color w:val="auto"/>
        </w:rPr>
      </w:pPr>
      <w:r>
        <w:rPr>
          <w:rFonts w:ascii="Arial" w:cs="Arial" w:eastAsia="Arial" w:hAnsi="Arial"/>
          <w:sz w:val="18"/>
          <w:szCs w:val="18"/>
          <w:color w:val="auto"/>
        </w:rPr>
        <w:t>(“Landlord”), and</w:t>
      </w:r>
      <w:r>
        <w:rPr>
          <w:sz w:val="20"/>
          <w:szCs w:val="20"/>
          <w:color w:val="auto"/>
        </w:rPr>
        <w:tab/>
      </w:r>
      <w:r>
        <w:rPr>
          <w:rFonts w:ascii="Arial" w:cs="Arial" w:eastAsia="Arial" w:hAnsi="Arial"/>
          <w:sz w:val="16"/>
          <w:szCs w:val="16"/>
          <w:color w:val="auto"/>
        </w:rPr>
        <w:t>(“Tenant”), with reference to the following facts:</w:t>
      </w:r>
    </w:p>
    <w:p>
      <w:pPr>
        <w:spacing w:after="0" w:line="103" w:lineRule="exact"/>
        <w:rPr>
          <w:sz w:val="20"/>
          <w:szCs w:val="20"/>
          <w:color w:val="auto"/>
        </w:rPr>
      </w:pPr>
    </w:p>
    <w:p>
      <w:pPr>
        <w:ind w:left="460"/>
        <w:spacing w:after="0"/>
        <w:tabs>
          <w:tab w:leader="none" w:pos="7100" w:val="left"/>
          <w:tab w:leader="none" w:pos="7600" w:val="left"/>
        </w:tabs>
        <w:rPr>
          <w:sz w:val="20"/>
          <w:szCs w:val="20"/>
          <w:color w:val="auto"/>
        </w:rPr>
      </w:pPr>
      <w:r>
        <w:rPr>
          <w:rFonts w:ascii="Arial" w:cs="Arial" w:eastAsia="Arial" w:hAnsi="Arial"/>
          <w:sz w:val="18"/>
          <w:szCs w:val="18"/>
          <w:color w:val="auto"/>
        </w:rPr>
        <w:t>A. Landlord and Tenant entered into that certain Office Lease Agreement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“Lease”). Pursuant to the Lease, Landlord</w:t>
      </w:r>
    </w:p>
    <w:p>
      <w:pPr>
        <w:sectPr>
          <w:pgSz w:w="11900" w:h="16838" w:orient="portrait"/>
          <w:cols w:equalWidth="0" w:num="1">
            <w:col w:w="11380"/>
          </w:cols>
          <w:pgMar w:left="240" w:top="270" w:right="279" w:bottom="1440" w:gutter="0" w:footer="0" w:header="0"/>
          <w:type w:val="continuous"/>
        </w:sectPr>
      </w:pP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leased to Tenant and Tenant leased from Landlord space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located in an office building on certain real property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incorporated herein by this reference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The Premises are located in an office building located on real property which is part of an area owned by Landlord containing approximately</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 acres of real property located in the City of , California (the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as more particularly described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 incorporated herein by this reference.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Landlord, as declarant, has previously recorded, or proposes to record concurrently with the recordation of this Agreement, a Declaration of</w:t>
      </w:r>
    </w:p>
    <w:p>
      <w:pPr>
        <w:spacing w:after="0" w:line="35" w:lineRule="exact"/>
        <w:rPr>
          <w:sz w:val="20"/>
          <w:szCs w:val="20"/>
          <w:color w:val="auto"/>
        </w:rPr>
      </w:pPr>
    </w:p>
    <w:p>
      <w:pPr>
        <w:spacing w:after="0"/>
        <w:tabs>
          <w:tab w:leader="none" w:pos="5800" w:val="left"/>
          <w:tab w:leader="none" w:pos="6240" w:val="left"/>
        </w:tabs>
        <w:rPr>
          <w:sz w:val="20"/>
          <w:szCs w:val="20"/>
          <w:color w:val="auto"/>
        </w:rPr>
      </w:pPr>
      <w:r>
        <w:rPr>
          <w:rFonts w:ascii="Arial" w:cs="Arial" w:eastAsia="Arial" w:hAnsi="Arial"/>
          <w:sz w:val="18"/>
          <w:szCs w:val="18"/>
          <w:color w:val="auto"/>
        </w:rPr>
        <w:t>Covenants, Conditions, and Restrictions (the “</w:t>
      </w:r>
      <w:r>
        <w:rPr>
          <w:rFonts w:ascii="Arial" w:cs="Arial" w:eastAsia="Arial" w:hAnsi="Arial"/>
          <w:sz w:val="18"/>
          <w:szCs w:val="18"/>
          <w:b w:val="1"/>
          <w:bCs w:val="1"/>
          <w:color w:val="auto"/>
        </w:rPr>
        <w:t>Declaration</w:t>
      </w:r>
      <w:r>
        <w:rPr>
          <w:rFonts w:ascii="Arial" w:cs="Arial" w:eastAsia="Arial" w:hAnsi="Arial"/>
          <w:sz w:val="18"/>
          <w:szCs w:val="18"/>
          <w:color w:val="auto"/>
        </w:rPr>
        <w: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in connection with the Project.</w:t>
      </w:r>
    </w:p>
    <w:p>
      <w:pPr>
        <w:spacing w:after="0" w:line="1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 Tenant is agreeing to recognize and be bound by the terms of the Declaration, and the parties hereto desire to set forth their agreements concerning the same.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(a) the foregoing recitals and the mutual agreements hereinafter set forth, and (b) for other good and valuable consideration, the receipt and sufficiency of which are hereby acknowledged, the parties hereto agree as follows,</w:t>
      </w:r>
    </w:p>
    <w:p>
      <w:pPr>
        <w:spacing w:after="0" w:line="62" w:lineRule="exact"/>
        <w:rPr>
          <w:sz w:val="20"/>
          <w:szCs w:val="20"/>
          <w:color w:val="auto"/>
        </w:rPr>
      </w:pPr>
    </w:p>
    <w:p>
      <w:pPr>
        <w:ind w:right="120" w:firstLine="464"/>
        <w:spacing w:after="0" w:line="277" w:lineRule="auto"/>
        <w:tabs>
          <w:tab w:leader="none" w:pos="63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Tenant’s Recognition of Declaration</w:t>
      </w:r>
      <w:r>
        <w:rPr>
          <w:rFonts w:ascii="Arial" w:cs="Arial" w:eastAsia="Arial" w:hAnsi="Arial"/>
          <w:sz w:val="18"/>
          <w:szCs w:val="18"/>
          <w:color w:val="auto"/>
        </w:rPr>
        <w:t>. Notwithstanding that the Lease has been executed prior to the recordation of the Declaration, Tenant agrees to recognize and by bound by all of the terms and conditions of the Declaration.</w:t>
      </w:r>
    </w:p>
    <w:p>
      <w:pPr>
        <w:sectPr>
          <w:pgSz w:w="11900" w:h="16838" w:orient="portrait"/>
          <w:cols w:equalWidth="0" w:num="1">
            <w:col w:w="11380"/>
          </w:cols>
          <w:pgMar w:left="240" w:top="270" w:right="279" w:bottom="1440" w:gutter="0" w:footer="0" w:header="0"/>
          <w:type w:val="continuous"/>
        </w:sectPr>
      </w:pPr>
    </w:p>
    <w:bookmarkStart w:id="520" w:name="page521"/>
    <w:bookmarkEnd w:id="520"/>
    <w:p>
      <w:pPr>
        <w:ind w:left="640" w:hanging="176"/>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right="1060" w:firstLine="913"/>
        <w:spacing w:after="0" w:line="277" w:lineRule="auto"/>
        <w:rPr>
          <w:sz w:val="20"/>
          <w:szCs w:val="20"/>
          <w:color w:val="auto"/>
        </w:rPr>
      </w:pPr>
      <w:r>
        <w:rPr>
          <w:rFonts w:ascii="Arial" w:cs="Arial" w:eastAsia="Arial" w:hAnsi="Arial"/>
          <w:sz w:val="18"/>
          <w:szCs w:val="18"/>
          <w:color w:val="auto"/>
        </w:rPr>
        <w:t>2.1 This Agreement shall be binding upon and inure to the benefit of the parties hereto and their respective heirs, estates, personal representatives, successors, and assigns.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This Agreement is made in, and shall be governed, enforced and construed under the laws of, the State of California.</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2.3 This Agreement constitutes the entire understanding and agreements of the parties with respect to the subject matter hereof, and shall supersede and replace all prior understandings and agreements, whether verbal or in writing. The parties confirm and acknowledge that there are no other promises, covenants, understandings, agreements, representations, or warranties with respect to the subject matter of this Agreement except as expressly set forth herein.</w:t>
      </w:r>
    </w:p>
    <w:p>
      <w:pPr>
        <w:spacing w:after="0" w:line="7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2.4 This Agreement is not to be modified, terminated, or amended in any respect, except pursuant to any instrument in writing duly executed by both of the parties hereto.</w:t>
      </w:r>
    </w:p>
    <w:p>
      <w:pPr>
        <w:spacing w:after="0" w:line="6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2.5 In the event that either party hereto shall bring any legal action or other proceeding with respect to the breach, interpretation, or enforcement of this Agreement, or with respect to any dispute relating to any transaction covered by this Agreement, the losing party in such action or proceeding shall reimburse the prevailing party therein for all reasonable costs of litigation, including reasonable attorneys’ fees, in such amount as may be determined by the court or other tribunal having jurisdiction, including matters on appeal.</w:t>
      </w:r>
    </w:p>
    <w:p>
      <w:pPr>
        <w:spacing w:after="0" w:line="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2.6 All captions and heading herein are for convenience and ease of reference only, and shall not be used or referred to in any way in connection with the interpretation or enforcement of this Agreement.</w:t>
      </w:r>
    </w:p>
    <w:p>
      <w:pPr>
        <w:spacing w:after="0" w:line="6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2.7 If any provision of this Agreement, as applied to any party or to any circumstance, shall be adjudged by a court of competent jurisdictions to be void or unenforceable for any reason, the same shall not affect any other provision of this Agreement, the application of such provision under circumstances different from those adjudged by the court, or the validity or enforceability of this Agreement as a whole.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Time is of the essence of this Agreement.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2.9 The Parties agree to execute any further documents, and take any further actions, as may be reasonable and appropriate in order to carry out the purpose and intent of this Agreement.</w:t>
      </w:r>
    </w:p>
    <w:p>
      <w:pPr>
        <w:spacing w:after="0" w:line="62"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2.10 As used herein, the masculine, feminine or neuter gender, and the singular and plural numbers, shall each be deemed to include the others whenever and whatever the context so indicates.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3" w:right="339" w:bottom="1440" w:gutter="0" w:footer="0" w:header="0"/>
        </w:sectPr>
      </w:pPr>
    </w:p>
    <w:bookmarkStart w:id="521" w:name="page522"/>
    <w:bookmarkEnd w:id="521"/>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OF RECOGNITION OF</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COVENANTS, CONDITIONS AND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-10160</wp:posOffset>
            </wp:positionV>
            <wp:extent cx="202882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-10160</wp:posOffset>
            </wp:positionV>
            <wp:extent cx="202882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-10160</wp:posOffset>
            </wp:positionV>
            <wp:extent cx="202882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70" w:right="1440" w:bottom="1440" w:gutter="0" w:footer="0" w:header="0"/>
        </w:sectPr>
      </w:pPr>
    </w:p>
    <w:bookmarkStart w:id="522" w:name="page523"/>
    <w:bookmarkEnd w:id="522"/>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G</w:t>
            </w:r>
          </w:p>
        </w:tc>
        <w:tc>
          <w:tcPr>
            <w:tcW w:w="11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453"/>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PACIFIC CORPORATE CENTER</w:t>
            </w:r>
          </w:p>
        </w:tc>
        <w:tc>
          <w:tcPr>
            <w:tcW w:w="3640" w:type="dxa"/>
            <w:vAlign w:val="bottom"/>
          </w:tcPr>
          <w:p>
            <w:pPr>
              <w:spacing w:after="0"/>
              <w:rPr>
                <w:sz w:val="24"/>
                <w:szCs w:val="24"/>
                <w:color w:val="auto"/>
              </w:rPr>
            </w:pPr>
          </w:p>
        </w:tc>
      </w:tr>
      <w:tr>
        <w:trPr>
          <w:trHeight w:val="432"/>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rPr>
              <w:t>FORM OF LETTER OF CREDIT</w:t>
            </w:r>
          </w:p>
        </w:tc>
        <w:tc>
          <w:tcPr>
            <w:tcW w:w="3640" w:type="dxa"/>
            <w:vAlign w:val="bottom"/>
          </w:tcPr>
          <w:p>
            <w:pPr>
              <w:spacing w:after="0"/>
              <w:rPr>
                <w:sz w:val="24"/>
                <w:szCs w:val="24"/>
                <w:color w:val="auto"/>
              </w:rPr>
            </w:pPr>
          </w:p>
        </w:tc>
      </w:tr>
      <w:tr>
        <w:trPr>
          <w:trHeight w:val="414"/>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(Letterhead of a money center bank</w:t>
            </w:r>
          </w:p>
        </w:tc>
        <w:tc>
          <w:tcPr>
            <w:tcW w:w="36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acceptable to the Landlord)</w:t>
            </w:r>
          </w:p>
        </w:tc>
        <w:tc>
          <w:tcPr>
            <w:tcW w:w="3640" w:type="dxa"/>
            <w:vAlign w:val="bottom"/>
          </w:tcPr>
          <w:p>
            <w:pPr>
              <w:spacing w:after="0"/>
              <w:rPr>
                <w:sz w:val="20"/>
                <w:szCs w:val="20"/>
                <w:color w:val="auto"/>
              </w:rPr>
            </w:pPr>
          </w:p>
        </w:tc>
      </w:tr>
      <w:tr>
        <w:trPr>
          <w:trHeight w:val="445"/>
        </w:trPr>
        <w:tc>
          <w:tcPr>
            <w:tcW w:w="1660" w:type="dxa"/>
            <w:vAlign w:val="bottom"/>
          </w:tcPr>
          <w:p>
            <w:pPr>
              <w:spacing w:after="0"/>
              <w:rPr>
                <w:sz w:val="20"/>
                <w:szCs w:val="20"/>
                <w:color w:val="auto"/>
              </w:rPr>
            </w:pPr>
            <w:r>
              <w:rPr>
                <w:rFonts w:ascii="Arial" w:cs="Arial" w:eastAsia="Arial" w:hAnsi="Arial"/>
                <w:sz w:val="18"/>
                <w:szCs w:val="18"/>
                <w:color w:val="auto"/>
                <w:w w:val="99"/>
              </w:rPr>
              <w:t>FAX NO. [()</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[Insert Bank Name And Address]</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SWIFT: [Insert No., if any]</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DATE OF ISSUE:_______</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rPr>
              <w:t>BENEFICIARY:</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gridSpan w:val="2"/>
          </w:tcPr>
          <w:p>
            <w:pPr>
              <w:ind w:left="820"/>
              <w:spacing w:after="0"/>
              <w:rPr>
                <w:sz w:val="20"/>
                <w:szCs w:val="20"/>
                <w:color w:val="auto"/>
              </w:rPr>
            </w:pPr>
            <w:r>
              <w:rPr>
                <w:rFonts w:ascii="Arial" w:cs="Arial" w:eastAsia="Arial" w:hAnsi="Arial"/>
                <w:sz w:val="18"/>
                <w:szCs w:val="18"/>
                <w:color w:val="auto"/>
              </w:rPr>
              <w:t>APPLICANT:</w:t>
            </w:r>
          </w:p>
        </w:tc>
        <w:tc>
          <w:tcPr>
            <w:tcW w:w="3640" w:type="dxa"/>
            <w:vAlign w:val="bottom"/>
          </w:tcPr>
          <w:p>
            <w:pPr>
              <w:spacing w:after="0"/>
              <w:rPr>
                <w:sz w:val="24"/>
                <w:szCs w:val="24"/>
                <w:color w:val="auto"/>
              </w:rPr>
            </w:pPr>
          </w:p>
        </w:tc>
      </w:t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[Insert Beneficiary Name And Address]</w:t>
            </w:r>
          </w:p>
        </w:tc>
        <w:tc>
          <w:tcPr>
            <w:tcW w:w="1600" w:type="dxa"/>
            <w:vAlign w:val="bottom"/>
          </w:tcPr>
          <w:p>
            <w:pPr>
              <w:spacing w:after="0"/>
              <w:rPr>
                <w:sz w:val="20"/>
                <w:szCs w:val="20"/>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[Insert Applicant Name And Address]</w:t>
            </w:r>
          </w:p>
        </w:tc>
      </w:tr>
      <w:tr>
        <w:trPr>
          <w:trHeight w:val="432"/>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LETTER OF CREDIT NO. _______</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w w:val="98"/>
              </w:rPr>
              <w:t>EXPIRATION DATE:</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AMOUNT AVAILABLE:</w:t>
            </w: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______________ AT OUR COUNTERS</w:t>
            </w:r>
          </w:p>
        </w:tc>
        <w:tc>
          <w:tcPr>
            <w:tcW w:w="1600" w:type="dxa"/>
            <w:vAlign w:val="bottom"/>
          </w:tcPr>
          <w:p>
            <w:pPr>
              <w:spacing w:after="0"/>
              <w:rPr>
                <w:sz w:val="18"/>
                <w:szCs w:val="18"/>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USD[Insert Dollar Amount]</w:t>
            </w:r>
          </w:p>
        </w:tc>
      </w:tr>
      <w:tr>
        <w:trPr>
          <w:trHeight w:val="230"/>
        </w:trPr>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780" w:type="dxa"/>
            <w:vAlign w:val="bottom"/>
            <w:gridSpan w:val="3"/>
          </w:tcPr>
          <w:p>
            <w:pPr>
              <w:ind w:left="820"/>
              <w:spacing w:after="0"/>
              <w:rPr>
                <w:sz w:val="20"/>
                <w:szCs w:val="20"/>
                <w:color w:val="auto"/>
              </w:rPr>
            </w:pPr>
            <w:r>
              <w:rPr>
                <w:rFonts w:ascii="Arial" w:cs="Arial" w:eastAsia="Arial" w:hAnsi="Arial"/>
                <w:sz w:val="18"/>
                <w:szCs w:val="18"/>
                <w:color w:val="auto"/>
              </w:rPr>
              <w:t>(U.S. DOLLARS [Insert Dollar Amount])</w:t>
            </w:r>
          </w:p>
        </w:tc>
      </w:tr>
      <w:tr>
        <w:trPr>
          <w:trHeight w:val="432"/>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LADIES AND GENTLEMEN:</w:t>
            </w: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4"/>
        </w:trPr>
        <w:tc>
          <w:tcPr>
            <w:tcW w:w="7380" w:type="dxa"/>
            <w:vAlign w:val="bottom"/>
            <w:gridSpan w:val="6"/>
          </w:tcPr>
          <w:p>
            <w:pPr>
              <w:spacing w:after="0"/>
              <w:rPr>
                <w:sz w:val="20"/>
                <w:szCs w:val="20"/>
                <w:color w:val="auto"/>
              </w:rPr>
            </w:pPr>
            <w:r>
              <w:rPr>
                <w:rFonts w:ascii="Arial" w:cs="Arial" w:eastAsia="Arial" w:hAnsi="Arial"/>
                <w:sz w:val="18"/>
                <w:szCs w:val="18"/>
                <w:color w:val="auto"/>
              </w:rPr>
              <w:t>WE HEREBY ESTABLISH OUR IRREVOCABLE STANDBY LETTER OF CREDIT NO.</w:t>
            </w:r>
          </w:p>
        </w:tc>
        <w:tc>
          <w:tcPr>
            <w:tcW w:w="3640" w:type="dxa"/>
            <w:vAlign w:val="bottom"/>
          </w:tcPr>
          <w:p>
            <w:pPr>
              <w:ind w:left="300"/>
              <w:spacing w:after="0"/>
              <w:rPr>
                <w:sz w:val="20"/>
                <w:szCs w:val="20"/>
                <w:color w:val="auto"/>
              </w:rPr>
            </w:pPr>
            <w:r>
              <w:rPr>
                <w:rFonts w:ascii="Arial" w:cs="Arial" w:eastAsia="Arial" w:hAnsi="Arial"/>
                <w:sz w:val="18"/>
                <w:szCs w:val="18"/>
                <w:color w:val="auto"/>
                <w:w w:val="94"/>
              </w:rPr>
              <w:t>IN YOUR FAVOR FOR THE ACCOUNT OF</w:t>
            </w:r>
          </w:p>
        </w:tc>
      </w:tr>
    </w:tbl>
    <w:p>
      <w:pPr>
        <w:ind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[Insert Tenant’s Name], A [Insert Entity Type], UP TO THE AGGREGATE AMOUNT OF USD[Insert Dollar Amount] ([Insert Dollar Amount] U.S. DOLLARS) EFFECTIVE IMMEDIATELY AND EXPIRING ON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AVAILABLE BY PAYMENT UPON PRESENTATION OF YOUR DRAFT AT SIGHT DRAWN ON [Insert Bank Name] WHEN ACCOMPANIED BY THE FOLLOWING DOCUMENT(S):</w:t>
      </w:r>
    </w:p>
    <w:p>
      <w:pPr>
        <w:spacing w:after="0" w:line="78" w:lineRule="exact"/>
        <w:rPr>
          <w:sz w:val="20"/>
          <w:szCs w:val="20"/>
          <w:color w:val="auto"/>
        </w:rPr>
      </w:pPr>
    </w:p>
    <w:p>
      <w:pPr>
        <w:ind w:left="640" w:hanging="176"/>
        <w:spacing w:after="0"/>
        <w:tabs>
          <w:tab w:leader="none" w:pos="64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THE ORIGINAL OF THIS IRREVOCABLE STANDBY LETTER OF CREDIT AND AMENDMENT(S), IF ANY.</w:t>
      </w:r>
    </w:p>
    <w:p>
      <w:pPr>
        <w:spacing w:after="0" w:line="117" w:lineRule="exact"/>
        <w:rPr>
          <w:rFonts w:ascii="Arial" w:cs="Arial" w:eastAsia="Arial" w:hAnsi="Arial"/>
          <w:sz w:val="18"/>
          <w:szCs w:val="18"/>
          <w:b w:val="1"/>
          <w:bCs w:val="1"/>
          <w:color w:val="auto"/>
        </w:rPr>
      </w:pPr>
    </w:p>
    <w:p>
      <w:pPr>
        <w:ind w:firstLine="464"/>
        <w:spacing w:after="0" w:line="282" w:lineRule="auto"/>
        <w:tabs>
          <w:tab w:leader="none" w:pos="636"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BENEFICIARY’S SIGNED STATEMENT PURPORTEDLY SIGNED BY AN AUTHORIZED REPRESENTATIVE OF [Insert Landlord’s Name), A [Insert Entity Type] (“LANDLORD”) STATING THE FOLLOWING:</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THE LANDLORD, EITHER (A) UNDER THE LEASE (DEFINED BELOW), OR (B) AS A</w:t>
      </w:r>
    </w:p>
    <w:p>
      <w:pPr>
        <w:spacing w:after="0" w:line="35"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RESULT OF THE TERMINATION OF SUCH LEASE, HAS THE RIGHT TO DRAW DOWN THE AMOUNT OF USD IN ACCORDANCE WITH THE TERMS OF THAT CERTAIN OFFICE LEASE DATED [Insert Lease Date], AS AMENDED (COLLECTIVELY, THE “LEASE”), OR SUCH AMOUNT CONSTITUTES DAMAGES OWING BY THE TENANT</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80"/>
          </w:cols>
          <w:pgMar w:left="240" w:top="256" w:right="279" w:bottom="1440" w:gutter="0" w:footer="0" w:header="0"/>
        </w:sectPr>
      </w:pPr>
    </w:p>
    <w:bookmarkStart w:id="523" w:name="page524"/>
    <w:bookmarkEnd w:id="523"/>
    <w:p>
      <w:pPr>
        <w:ind w:left="46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SUCH LEASE TO BENEFICIARY RESULTING FROM THE BREACH OF SUCH LEASE BY THE TENANT THEREUNDER, AND SUCH AMOUNT REMAINS UNPAID AT THE TIME OF THIS DRAWING.”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WE HAVE RECEIVED A WRITTEN NOTICE OF [Insert Bank Name]’S ELECTION NOT</w:t>
      </w:r>
    </w:p>
    <w:p>
      <w:pPr>
        <w:spacing w:after="0" w:line="35"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TO EXTEND ITS STANDBY LETTER OF CREDIT NO. AND HAVE NOT RECEIVED A REPLACEMENT LETTER OF CREDIT WITHIN AT LEAST SIXTY (60) DAYS PRIOR TO THE PRESENT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CREDIT NO. AS THE RESULT OF THE FILING OF A VOLUNTARY PETITION UNDER THE U.S. BANKRUPTCY CODE OR A STATE BANKRUPTCY CODE BY THE TENANT UNDER THAT CERTAIN OFFICE LEASE DATED [Insert Lease Date], AS AMENDED (COLLECTIVELY, THE “LEASE”), WHICH FILING HAS NOT BEEN DISMISSED AT THE TIME OF THIS DRAWING.”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CREDIT NO. AS THE RESULT OF AN INVOLUNTARY PETITION HA YING BEEN FILED UNDER THE U.S. BANKRUPTCY CODE OR A STATE BANKRUPTCY CODE AGAINST THE TENANT UNDER THAT CERTAIN OFFICE LEASE DATED [Insert Lease Date], AS AMENDED (COLLECTIVELY, THE “LEASE”), WHICH FILING HAS NOT BEEN DISMISSED AT THE TIME OF THIS DRAWING.”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SPECIAL CONDITIONS:</w:t>
      </w:r>
    </w:p>
    <w:p>
      <w:pPr>
        <w:spacing w:after="0" w:line="11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INFORMATION REQUIRED WHETHER INDICATED BY BLANKS, BRACKETS OR OTHERWISE, MUST BE COMPLETED AT THE TIME OF DRAWING. [Please Provide The Required Forms For Review, And Attach As Schedules To The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SIGNATURES MUST BE MANUALLY EXECUTED IN ORIGINALS.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3" w:right="259" w:bottom="1440" w:gutter="0" w:footer="0" w:header="0"/>
        </w:sectPr>
      </w:pPr>
    </w:p>
    <w:bookmarkStart w:id="524" w:name="page525"/>
    <w:bookmarkEnd w:id="5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BANKING CHARGES ARE FOR THE APPLICANT’S ACCOUNT.</w:t>
      </w:r>
    </w:p>
    <w:p>
      <w:pPr>
        <w:spacing w:after="0" w:line="225"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IT IS A CONDITION OF THIS STANDBY LETTER OF CREDIT THAT IT SHALL BE DEEMED AUTOMATICALLY EXTENDED WITHOUT AMENDMENT FOR A PERIOD OF ONE YEAR FROM THE PRESENT OR ANY FUTURE EXPIRATION DATE, UNLESS AT LEAST SIXTY</w:t>
      </w:r>
    </w:p>
    <w:p>
      <w:pPr>
        <w:ind w:right="60" w:firstLine="8"/>
        <w:spacing w:after="0" w:line="265" w:lineRule="auto"/>
        <w:tabs>
          <w:tab w:leader="none" w:pos="34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 ATED OFFICE. IN NO EVENT, AND WITHOUT FURTHER NOTICE FROM OURSELVES, SHALL THE EXPIRATION DATE BE EXTENDED BEYOND A</w:t>
      </w: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color w:val="auto"/>
        </w:rPr>
        <w:t>FINAL EXPIRATION DATE OF</w:t>
      </w:r>
      <w:r>
        <w:rPr>
          <w:sz w:val="20"/>
          <w:szCs w:val="20"/>
          <w:color w:val="auto"/>
        </w:rPr>
        <w:tab/>
      </w:r>
      <w:r>
        <w:rPr>
          <w:rFonts w:ascii="Arial" w:cs="Arial" w:eastAsia="Arial" w:hAnsi="Arial"/>
          <w:sz w:val="16"/>
          <w:szCs w:val="16"/>
          <w:color w:val="auto"/>
        </w:rPr>
        <w:t>(120 days from the Lease Expiration Date).</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LETTER OF CREDIT MAY BE TRANSFERRED SUCCESSIVELY IN WHOLE (BUT NOT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BY APPLICANT. IN CASE OF ANY TRANSFER UNDER THIS LETTER OF CREDIT, THE DRAFT AND ANY REQUIRED STATEMENT MUST BE EXECUTED BY THE TRANSFEREE AND WHERE THE BENEFICIARY’S NAME APPEARS WITHIN THIS STANDBY LETTER OF CREDIT, THE TRANSFEREE’S NAME IS AUTO MATICALLY SUBSTITUTED THEREFOR.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ALL DRAFTS REQUIRED UNDER THIS STANDBY LETTER OF CREDIT MUST BE MARKED: “DRAWN UNDER [Insert Bank Name] STANDBY</w:t>
      </w:r>
    </w:p>
    <w:p>
      <w:pPr>
        <w:spacing w:after="0" w:line="35"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LETTER OF CREDIT NO.</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HEREBY AGREE WITH YOU THAT IF DRAFTS ARE PRESENTED TO [Insert Bank Name] UNDER THIS LETTER OF CREDIT AT OR PRIOR TO [Insert Time—(</w:t>
      </w:r>
      <w:r>
        <w:rPr>
          <w:rFonts w:ascii="Arial" w:cs="Arial" w:eastAsia="Arial" w:hAnsi="Arial"/>
          <w:sz w:val="18"/>
          <w:szCs w:val="18"/>
          <w:i w:val="1"/>
          <w:iCs w:val="1"/>
          <w:color w:val="auto"/>
        </w:rPr>
        <w:t>e.g</w:t>
      </w:r>
      <w:r>
        <w:rPr>
          <w:rFonts w:ascii="Arial" w:cs="Arial" w:eastAsia="Arial" w:hAnsi="Arial"/>
          <w:sz w:val="18"/>
          <w:szCs w:val="18"/>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w:t>
      </w:r>
      <w:r>
        <w:rPr>
          <w:rFonts w:ascii="Arial" w:cs="Arial" w:eastAsia="Arial" w:hAnsi="Arial"/>
          <w:sz w:val="18"/>
          <w:szCs w:val="18"/>
          <w:i w:val="1"/>
          <w:iCs w:val="1"/>
          <w:color w:val="auto"/>
        </w:rPr>
        <w:t>e.g</w:t>
      </w:r>
      <w:r>
        <w:rPr>
          <w:rFonts w:ascii="Arial" w:cs="Arial" w:eastAsia="Arial" w:hAnsi="Arial"/>
          <w:sz w:val="18"/>
          <w:szCs w:val="18"/>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525" w:name="page526"/>
    <w:bookmarkEnd w:id="52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EXPIRATION DATE FOR THIS LETTER OF CREDIT SHALL EVER FALL ON A DAY WHICH IS NOT A BUSINESS DAY THEN SUCH EXPIRATION DATE SHALL AUTOMATICALLY BE EXTENDED TO THE DATE WHICH IS THE NEXT BUSINESS DAY.</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w:t>
      </w:r>
    </w:p>
    <w:p>
      <w:pPr>
        <w:ind w:right="300"/>
        <w:spacing w:after="0" w:line="250" w:lineRule="auto"/>
        <w:rPr>
          <w:sz w:val="20"/>
          <w:szCs w:val="20"/>
          <w:color w:val="auto"/>
        </w:rPr>
      </w:pPr>
      <w:r>
        <w:rPr>
          <w:rFonts w:ascii="Arial" w:cs="Arial" w:eastAsia="Arial" w:hAnsi="Arial"/>
          <w:sz w:val="18"/>
          <w:szCs w:val="18"/>
          <w:color w:val="auto"/>
        </w:rPr>
        <w:t>OF CREDIT TO OUR FACSIMILE NUMBER, [Insert Fax Number - ( ) - ], ATTENTION: [Insert Appropriate Recipient], WITH TELEPHONIC CONFIRMATION OF OUR RECEIPT OF SUCH FACSIMILE TRANSMISSION AT OUR TELEPHONE NUMBER [Insert Telephone Number - ( ) - ] OR TO SUCH OTHER FACSIMILE OR TELEPHONE NUMBERS, AS TO WHICH YOU HAVE RECEIVED</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9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WE HEREBY ENGAGE WITH YOU THAT ALL DOCUMENT( 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18"/>
          <w:szCs w:val="18"/>
          <w:u w:val="single" w:color="auto"/>
          <w:color w:val="auto"/>
        </w:rPr>
        <w:t>(Expiration Date) .</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7" w:lineRule="exact"/>
        <w:rPr>
          <w:sz w:val="20"/>
          <w:szCs w:val="20"/>
          <w:color w:val="auto"/>
        </w:rPr>
      </w:pPr>
    </w:p>
    <w:p>
      <w:pPr>
        <w:ind w:right="1380"/>
        <w:spacing w:after="0" w:line="308"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Issuing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73" w:right="299" w:bottom="1440" w:gutter="0" w:footer="0" w:header="0"/>
        </w:sectPr>
      </w:pPr>
    </w:p>
    <w:bookmarkStart w:id="526" w:name="page527"/>
    <w:bookmarkEnd w:id="5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CORPORATE CENTER</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MARKET RENT DETERMINATION FACTORS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determining Market Rent, the following rules and instructions shall be followed.</w:t>
      </w:r>
    </w:p>
    <w:p>
      <w:pPr>
        <w:spacing w:after="0" w:line="113" w:lineRule="exact"/>
        <w:rPr>
          <w:sz w:val="20"/>
          <w:szCs w:val="20"/>
          <w:color w:val="auto"/>
        </w:rPr>
      </w:pPr>
    </w:p>
    <w:p>
      <w:pPr>
        <w:ind w:left="-40" w:firstLine="464"/>
        <w:spacing w:after="0" w:line="285" w:lineRule="auto"/>
        <w:tabs>
          <w:tab w:leader="none" w:pos="596" w:val="left"/>
        </w:tabs>
        <w:numPr>
          <w:ilvl w:val="0"/>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RELEVANT FACTORS</w:t>
      </w:r>
      <w:r>
        <w:rPr>
          <w:rFonts w:ascii="Arial" w:cs="Arial" w:eastAsia="Arial" w:hAnsi="Arial"/>
          <w:sz w:val="16"/>
          <w:szCs w:val="16"/>
          <w:color w:val="auto"/>
        </w:rPr>
        <w:t>. The “</w:t>
      </w:r>
      <w:r>
        <w:rPr>
          <w:rFonts w:ascii="Arial" w:cs="Arial" w:eastAsia="Arial" w:hAnsi="Arial"/>
          <w:sz w:val="16"/>
          <w:szCs w:val="16"/>
          <w:b w:val="1"/>
          <w:bCs w:val="1"/>
          <w:color w:val="auto"/>
        </w:rPr>
        <w:t>Comparable Transactions</w:t>
      </w:r>
      <w:r>
        <w:rPr>
          <w:rFonts w:ascii="Arial" w:cs="Arial" w:eastAsia="Arial" w:hAnsi="Arial"/>
          <w:sz w:val="16"/>
          <w:szCs w:val="16"/>
          <w:color w:val="auto"/>
        </w:rPr>
        <w:t>” shall be the “Net Equivalent Lease Rates” per rentable square foot, at which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pursuant to transactions consummated within twelve (12) months prior to the commencement of the Option Term, leasing non-sublease, non-encumbered space comparable in location and quality to the Premises containing a square footage comparable to that of the Premises for a term of five (5) years, in an arm’s-length transaction, which comparable space is located in “Comparable Buildings.” The terms of the Comparable Transactions shall be calculated as a “Net Equivalent Lease Rate” pursuant to the terms of this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and shall take into consideration only the following terms and concessions: (i) the rental rate and escalations for the Comparable Transactions, the amount of parking rent per parking permit paid in the Comparable Transactions, if any, operating expense and tax protection granted in such Comparable Transactions such as a base year or expense stop (although for each such Comparable Transaction the base rent shall be adjusted to a triple net base rent using reasonable estimates of operating expenses and taxes as determined by Landlord for each such Comparable Transaction); (iv) rental abatement concessions, if any, being granted such tenants in connection with such comparable space, (v) any “Renewal Allowance,” as defined herein below, to be provided by Tenant in connection with the Option Term as compared to the improvements or allowances provided or to be provided in the Comparable Transactions, taking into account the contributory value of the existing improvements in the Premises, such value to be based upon the age, design, quality of finishes, and layout of the existing improvements, and (vi) all other monetary concessions (including the value of any signage), if any, being granted such tenants in connection with such Comparable Transactions. Notwithstanding any contrary provision hereof, in determining the Market Rent, no consideration shall be given to any period of rental abatement, if any, granted to tenants in Comparable Transactions in connection with the design, permitting and construction of improvements, or any commission paid or not paid in connection with such Comparable Transaction. The Market Rent shall include adjustment of the stated size of the Premises based upon the standards of measurement utilized in the Comparable Transactions. The Market Rent shall additionally be subject to appropriate adjustments (if any) to account for differences in the then-existing financial condition of the Tenant vis-a-vis the subject tenants under the Comparable Transactions and taking into account any applicable credit enhancements (e.g., security deposits, letters of credit, guaranties, etc.).</w:t>
      </w:r>
    </w:p>
    <w:p>
      <w:pPr>
        <w:spacing w:after="0" w:line="62" w:lineRule="exact"/>
        <w:rPr>
          <w:rFonts w:ascii="Arial" w:cs="Arial" w:eastAsia="Arial" w:hAnsi="Arial"/>
          <w:sz w:val="16"/>
          <w:szCs w:val="16"/>
          <w:color w:val="auto"/>
        </w:rPr>
      </w:pPr>
    </w:p>
    <w:p>
      <w:pPr>
        <w:ind w:left="-40" w:right="20" w:firstLine="464"/>
        <w:spacing w:after="0" w:line="258" w:lineRule="auto"/>
        <w:tabs>
          <w:tab w:leader="none" w:pos="596" w:val="left"/>
        </w:tabs>
        <w:numPr>
          <w:ilvl w:val="0"/>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SECURITY</w:t>
      </w:r>
      <w:r>
        <w:rPr>
          <w:rFonts w:ascii="Arial" w:cs="Arial" w:eastAsia="Arial" w:hAnsi="Arial"/>
          <w:sz w:val="18"/>
          <w:szCs w:val="18"/>
          <w:color w:val="auto"/>
        </w:rPr>
        <w:t>. The Market Rent shall additionally include a determination as to whether, and if so to what extent, Tenant must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with financial security, such as an enhanced security deposit, a letter of credit or guaranty, for Tenant’s Rent obligations during the Option Term; provided, however, Tenant shall only be obligated to provide additional financial security to the extent Tenant’s then-existing financial condition is materially worse than those existing as of the date of this Lease. Such determination shall be made by reviewing the extent of financial security then generally being imposed in</w:t>
      </w:r>
    </w:p>
    <w:p>
      <w:pPr>
        <w:spacing w:after="0" w:line="120" w:lineRule="exact"/>
        <w:rPr>
          <w:rFonts w:ascii="Arial" w:cs="Arial" w:eastAsia="Arial" w:hAnsi="Arial"/>
          <w:sz w:val="18"/>
          <w:szCs w:val="18"/>
          <w:color w:val="auto"/>
        </w:rPr>
      </w:pPr>
    </w:p>
    <w:p>
      <w:pPr>
        <w:ind w:left="5620" w:hanging="96"/>
        <w:spacing w:after="0"/>
        <w:tabs>
          <w:tab w:leader="none" w:pos="56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40"/>
          </w:cols>
          <w:pgMar w:left="280" w:top="270" w:right="279" w:bottom="1440" w:gutter="0" w:footer="0" w:header="0"/>
        </w:sectPr>
      </w:pPr>
    </w:p>
    <w:bookmarkStart w:id="527" w:name="page528"/>
    <w:bookmarkEnd w:id="527"/>
    <w:p>
      <w:pPr>
        <w:ind w:right="5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and giving reasonable consideration to Tenant’s prior performance history during the Lease Term).</w:t>
      </w:r>
    </w:p>
    <w:p>
      <w:pPr>
        <w:spacing w:after="0" w:line="69" w:lineRule="exact"/>
        <w:rPr>
          <w:sz w:val="20"/>
          <w:szCs w:val="20"/>
          <w:color w:val="auto"/>
        </w:rPr>
      </w:pPr>
    </w:p>
    <w:p>
      <w:pPr>
        <w:ind w:right="20" w:firstLine="464"/>
        <w:spacing w:after="0" w:line="271" w:lineRule="auto"/>
        <w:tabs>
          <w:tab w:leader="none" w:pos="636" w:val="left"/>
        </w:tabs>
        <w:numPr>
          <w:ilvl w:val="0"/>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RENEWAL IMPROVEMENT ALLOWANCE</w:t>
      </w:r>
      <w:r>
        <w:rPr>
          <w:rFonts w:ascii="Arial" w:cs="Arial" w:eastAsia="Arial" w:hAnsi="Arial"/>
          <w:sz w:val="17"/>
          <w:szCs w:val="17"/>
          <w:color w:val="auto"/>
        </w:rPr>
        <w:t>. Notwithstanding anything to the contrary set forth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once the Market Rent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Term is determined as a Net Equivalent Lease Rate, if, in connection with such determination, it is deemed that Tenant is entitled to an improvement or comparable allowance for the improvement of the Premises, (the total dollar value of such allowance shall be referred to herein as the “</w:t>
      </w:r>
      <w:r>
        <w:rPr>
          <w:rFonts w:ascii="Arial" w:cs="Arial" w:eastAsia="Arial" w:hAnsi="Arial"/>
          <w:sz w:val="17"/>
          <w:szCs w:val="17"/>
          <w:b w:val="1"/>
          <w:bCs w:val="1"/>
          <w:color w:val="auto"/>
        </w:rPr>
        <w:t>Renewal</w:t>
      </w:r>
      <w:r>
        <w:rPr>
          <w:rFonts w:ascii="Arial" w:cs="Arial" w:eastAsia="Arial" w:hAnsi="Arial"/>
          <w:sz w:val="17"/>
          <w:szCs w:val="17"/>
          <w:color w:val="auto"/>
        </w:rPr>
        <w:t xml:space="preserve"> </w:t>
      </w:r>
      <w:r>
        <w:rPr>
          <w:rFonts w:ascii="Arial" w:cs="Arial" w:eastAsia="Arial" w:hAnsi="Arial"/>
          <w:sz w:val="17"/>
          <w:szCs w:val="17"/>
          <w:b w:val="1"/>
          <w:bCs w:val="1"/>
          <w:color w:val="auto"/>
        </w:rPr>
        <w:t>Allowance</w:t>
      </w:r>
      <w:r>
        <w:rPr>
          <w:rFonts w:ascii="Arial" w:cs="Arial" w:eastAsia="Arial" w:hAnsi="Arial"/>
          <w:sz w:val="17"/>
          <w:szCs w:val="17"/>
          <w:color w:val="auto"/>
        </w:rPr>
        <w:t>”), Landlord shall pay the Renewal Allowance to Tenant pursuant to a commercially reasonable disbursement procedure determined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terms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and the rental rate component of the Market Rent shall be increased to be a rental rate which takes into consideration that Tenant will receive payment of such Renewal Allowance and, accordingly, such payment (with interest at a then-applicable, commercially reasonable amortization rate) shall be factored into the base rent component of the Market Rent. Notwithstanding any provision to the contrary, in no event shall Tenant be obligated to accept a Renewal Allowance once the Market Rent has been determined, and in the event Tenant elects not to accept such a Renewal Allowance, the Market Rent shall be adjusted accordingly to take account of such non-election.</w:t>
      </w:r>
    </w:p>
    <w:p>
      <w:pPr>
        <w:spacing w:after="0" w:line="66" w:lineRule="exact"/>
        <w:rPr>
          <w:rFonts w:ascii="Arial" w:cs="Arial" w:eastAsia="Arial" w:hAnsi="Arial"/>
          <w:sz w:val="17"/>
          <w:szCs w:val="17"/>
          <w:color w:val="auto"/>
        </w:rPr>
      </w:pPr>
    </w:p>
    <w:p>
      <w:pPr>
        <w:ind w:firstLine="464"/>
        <w:spacing w:after="0" w:line="292" w:lineRule="auto"/>
        <w:tabs>
          <w:tab w:leader="none" w:pos="636" w:val="left"/>
        </w:tabs>
        <w:numPr>
          <w:ilvl w:val="0"/>
          <w:numId w:val="443"/>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COMPARABLE BUILDINGS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Comparable Buildings</w:t>
      </w:r>
      <w:r>
        <w:rPr>
          <w:rFonts w:ascii="Arial" w:cs="Arial" w:eastAsia="Arial" w:hAnsi="Arial"/>
          <w:sz w:val="16"/>
          <w:szCs w:val="16"/>
          <w:color w:val="auto"/>
        </w:rPr>
        <w:t>” shall mean first-class multi-tenant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development buildings (based on the approximate percentage of lab to office buildout) which are comparable to the Building in terms of age (based upon the date of completion of construction or major renovation), quality of construction, level of services and amenities (including, but not limited to, the type (e.g., surface, covered, subterranean) and amount of parking), size and appearance, and are located in the “Comparable Area,” which is the “Sorrento Mesa, University Towne Center, Torrey Pines and Del Mar/Carmel Valley Area.” The “</w:t>
      </w:r>
      <w:r>
        <w:rPr>
          <w:rFonts w:ascii="Arial" w:cs="Arial" w:eastAsia="Arial" w:hAnsi="Arial"/>
          <w:sz w:val="16"/>
          <w:szCs w:val="16"/>
          <w:b w:val="1"/>
          <w:bCs w:val="1"/>
          <w:color w:val="auto"/>
        </w:rPr>
        <w:t>Sorrento Mesa, University Towne Center, Torrey Pines and Del</w:t>
      </w:r>
      <w:r>
        <w:rPr>
          <w:rFonts w:ascii="Arial" w:cs="Arial" w:eastAsia="Arial" w:hAnsi="Arial"/>
          <w:sz w:val="16"/>
          <w:szCs w:val="16"/>
          <w:color w:val="auto"/>
        </w:rPr>
        <w:t xml:space="preserve"> </w:t>
      </w:r>
      <w:r>
        <w:rPr>
          <w:rFonts w:ascii="Arial" w:cs="Arial" w:eastAsia="Arial" w:hAnsi="Arial"/>
          <w:sz w:val="16"/>
          <w:szCs w:val="16"/>
          <w:b w:val="1"/>
          <w:bCs w:val="1"/>
          <w:color w:val="auto"/>
        </w:rPr>
        <w:t>Mar/Carmel Valley Area</w:t>
      </w:r>
      <w:r>
        <w:rPr>
          <w:rFonts w:ascii="Arial" w:cs="Arial" w:eastAsia="Arial" w:hAnsi="Arial"/>
          <w:sz w:val="16"/>
          <w:szCs w:val="16"/>
          <w:color w:val="auto"/>
        </w:rPr>
        <w:t>” shall be the area containing Comparable Buildings which have reasonably comparable freeway access to the Project and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within an area bounded by SR-52 on the South side, SR-56 on the North side, I-15 on the East side, and the Pacific Ocean on the West side.</w:t>
      </w:r>
    </w:p>
    <w:p>
      <w:pPr>
        <w:spacing w:after="0" w:line="98" w:lineRule="exact"/>
        <w:rPr>
          <w:rFonts w:ascii="Arial" w:cs="Arial" w:eastAsia="Arial" w:hAnsi="Arial"/>
          <w:sz w:val="16"/>
          <w:szCs w:val="16"/>
          <w:color w:val="auto"/>
        </w:rPr>
      </w:pPr>
    </w:p>
    <w:p>
      <w:pPr>
        <w:ind w:left="5660" w:hanging="96"/>
        <w:spacing w:after="0"/>
        <w:tabs>
          <w:tab w:leader="none" w:pos="5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73" w:right="259" w:bottom="1440" w:gutter="0" w:footer="0" w:header="0"/>
        </w:sectPr>
      </w:pPr>
    </w:p>
    <w:bookmarkStart w:id="528" w:name="page529"/>
    <w:bookmarkEnd w:id="52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from time to time be amended, modified, supplemented or restated,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24,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the Lenders listed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hereof or otherwise a party hereto from time to time including Oxford in its capacity as a Lender and SILICON VALLEY BANK, a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with an office located at 3003 Tasman Drive, Santa Clara, CA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ANAPTYSBIO, INC., a Delaware corporation with offices located at 10421 Pacific Center Court, Suite 200, San Diego, CA 92121 (individually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355" w:lineRule="exact"/>
        <w:rPr>
          <w:sz w:val="20"/>
          <w:szCs w:val="20"/>
          <w:color w:val="auto"/>
        </w:rPr>
      </w:pPr>
    </w:p>
    <w:p>
      <w:pPr>
        <w:ind w:left="460" w:hanging="452"/>
        <w:spacing w:after="0"/>
        <w:tabs>
          <w:tab w:leader="none" w:pos="46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 are United States Dollars, unless otherwise noted.</w:t>
      </w:r>
    </w:p>
    <w:p>
      <w:pPr>
        <w:spacing w:after="0" w:line="329" w:lineRule="exact"/>
        <w:rPr>
          <w:sz w:val="20"/>
          <w:szCs w:val="20"/>
          <w:color w:val="auto"/>
        </w:rPr>
      </w:pPr>
    </w:p>
    <w:p>
      <w:pPr>
        <w:ind w:left="460" w:hanging="452"/>
        <w:spacing w:after="0"/>
        <w:tabs>
          <w:tab w:leader="none" w:pos="46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b w:val="1"/>
          <w:bCs w:val="1"/>
          <w:color w:val="auto"/>
        </w:rPr>
        <w:t>2.1. Promise to Pay</w:t>
      </w:r>
      <w:r>
        <w:rPr>
          <w:rFonts w:ascii="Arial" w:cs="Arial" w:eastAsia="Arial" w:hAnsi="Arial"/>
          <w:sz w:val="16"/>
          <w:szCs w:val="16"/>
          <w:color w:val="auto"/>
        </w:rPr>
        <w:t>. Borrower hereby unconditionally promises to pay each Lender, the outstanding principal amount of all Term Loans advanced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by such Lender and accrued and unpaid interest thereon and any other amounts due hereunder as and when due in accordance with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59" w:lineRule="auto"/>
        <w:tabs>
          <w:tab w:leader="none" w:pos="1157"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(i) Subject to the terms and conditions of this Agreement, the Lenders agree, severally and not jointly, to make term loans to Borrower in a single advance on the Effective Date in an aggregate amount of Five Million Dollars ($5,000,000.00)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ind w:firstLine="1492"/>
        <w:spacing w:after="0" w:line="259" w:lineRule="auto"/>
        <w:tabs>
          <w:tab w:leader="none" w:pos="174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to make term loans to Borrower in a single advance in an aggregate amount of Five Million Dollars ($5,000,000.00)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B Loan may be re-borrowed.</w:t>
      </w:r>
    </w:p>
    <w:p>
      <w:pPr>
        <w:spacing w:after="0" w:line="186" w:lineRule="exact"/>
        <w:rPr>
          <w:rFonts w:ascii="Arial" w:cs="Arial" w:eastAsia="Arial" w:hAnsi="Arial"/>
          <w:sz w:val="18"/>
          <w:szCs w:val="18"/>
          <w:color w:val="auto"/>
        </w:rPr>
      </w:pPr>
    </w:p>
    <w:p>
      <w:pPr>
        <w:ind w:right="80" w:firstLine="1492"/>
        <w:spacing w:after="0" w:line="297" w:lineRule="auto"/>
        <w:tabs>
          <w:tab w:leader="none" w:pos="179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the Lenders agree, severally and not jointly, during the Third Draw Period, to make term loans to Borrower in a single advance in an aggregate amount of Five Million Dollars ($5,000,000.00) according to each Lender’s Term C Loan Commitment as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(such term loans are hereinafter referred to singly as a “</w:t>
      </w:r>
      <w:r>
        <w:rPr>
          <w:rFonts w:ascii="Arial" w:cs="Arial" w:eastAsia="Arial" w:hAnsi="Arial"/>
          <w:sz w:val="16"/>
          <w:szCs w:val="16"/>
          <w:b w:val="1"/>
          <w:bCs w:val="1"/>
          <w:color w:val="auto"/>
        </w:rPr>
        <w:t>Term C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After repayment, no Term C Loan may be re-borrowed.</w:t>
      </w:r>
    </w:p>
    <w:p>
      <w:pPr>
        <w:spacing w:after="0" w:line="158" w:lineRule="exact"/>
        <w:rPr>
          <w:rFonts w:ascii="Arial" w:cs="Arial" w:eastAsia="Arial" w:hAnsi="Arial"/>
          <w:sz w:val="16"/>
          <w:szCs w:val="16"/>
          <w:color w:val="auto"/>
        </w:rPr>
      </w:pPr>
    </w:p>
    <w:p>
      <w:pPr>
        <w:jc w:val="both"/>
        <w:ind w:right="60" w:firstLine="921"/>
        <w:spacing w:after="0" w:line="279" w:lineRule="auto"/>
        <w:tabs>
          <w:tab w:leader="none" w:pos="1168"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w:t>
      </w:r>
      <w:r>
        <w:rPr>
          <w:rFonts w:ascii="Arial" w:cs="Arial" w:eastAsia="Arial" w:hAnsi="Arial"/>
          <w:sz w:val="14"/>
          <w:szCs w:val="14"/>
          <w:color w:val="auto"/>
        </w:rPr>
        <w:t>st</w:t>
      </w:r>
      <w:r>
        <w:rPr>
          <w:rFonts w:ascii="Arial" w:cs="Arial" w:eastAsia="Arial" w:hAnsi="Arial"/>
          <w:sz w:val="17"/>
          <w:szCs w:val="17"/>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29" w:name="page530"/>
    <w:bookmarkEnd w:id="5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(X) if the Amortization Date is February 1, 2016, thirty six (36) months, (Y) if the Amortization Date is August 1, 2016, thirty (30) months, and</w:t>
      </w:r>
    </w:p>
    <w:p>
      <w:pPr>
        <w:spacing w:after="0" w:line="2" w:lineRule="exact"/>
        <w:rPr>
          <w:sz w:val="20"/>
          <w:szCs w:val="20"/>
          <w:color w:val="auto"/>
        </w:rPr>
      </w:pPr>
    </w:p>
    <w:p>
      <w:pPr>
        <w:ind w:right="280" w:firstLine="8"/>
        <w:spacing w:after="0" w:line="290" w:lineRule="auto"/>
        <w:tabs>
          <w:tab w:leader="none" w:pos="275" w:val="left"/>
        </w:tabs>
        <w:numPr>
          <w:ilvl w:val="0"/>
          <w:numId w:val="447"/>
        </w:numPr>
        <w:rPr>
          <w:rFonts w:ascii="Arial" w:cs="Arial" w:eastAsia="Arial" w:hAnsi="Arial"/>
          <w:sz w:val="17"/>
          <w:szCs w:val="17"/>
          <w:color w:val="auto"/>
        </w:rPr>
      </w:pPr>
      <w:r>
        <w:rPr>
          <w:rFonts w:ascii="Arial" w:cs="Arial" w:eastAsia="Arial" w:hAnsi="Arial"/>
          <w:sz w:val="17"/>
          <w:szCs w:val="17"/>
          <w:color w:val="auto"/>
        </w:rPr>
        <w:t>if the Amortization Date is February 1, 2017, twenty four (24) months. All unpaid principal and accrued and unpaid interest with respect to each Term Loan is due and payable in full on the Maturity Date. Each Term Loan may only be prepaid in accordance with Sections 2.2(c) and 2.2(d).</w:t>
      </w:r>
    </w:p>
    <w:p>
      <w:pPr>
        <w:spacing w:after="0" w:line="161" w:lineRule="exact"/>
        <w:rPr>
          <w:rFonts w:ascii="Arial" w:cs="Arial" w:eastAsia="Arial" w:hAnsi="Arial"/>
          <w:sz w:val="17"/>
          <w:szCs w:val="17"/>
          <w:color w:val="auto"/>
        </w:rPr>
      </w:pPr>
    </w:p>
    <w:p>
      <w:pPr>
        <w:ind w:right="40" w:firstLine="921"/>
        <w:spacing w:after="0" w:line="255" w:lineRule="auto"/>
        <w:tabs>
          <w:tab w:leader="none" w:pos="1157"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ind w:right="120" w:firstLine="921"/>
        <w:spacing w:after="0" w:line="291" w:lineRule="auto"/>
        <w:tabs>
          <w:tab w:leader="none" w:pos="1168" w:val="left"/>
        </w:tabs>
        <w:numPr>
          <w:ilvl w:val="1"/>
          <w:numId w:val="447"/>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provided Borrower (i) provides written notice to Collateral Agent of its election to prepay the Term Loans at least thirty</w:t>
      </w: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57" w:lineRule="auto"/>
        <w:tabs>
          <w:tab w:leader="none" w:pos="1157"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Loans shall accrue interest at a fixed per annum rate (which rate shall be fixed for the duration of the applicable Term Loan)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rFonts w:ascii="Arial" w:cs="Arial" w:eastAsia="Arial" w:hAnsi="Arial"/>
          <w:sz w:val="18"/>
          <w:szCs w:val="18"/>
          <w:color w:val="auto"/>
        </w:rPr>
      </w:pPr>
    </w:p>
    <w:p>
      <w:pPr>
        <w:ind w:firstLine="921"/>
        <w:spacing w:after="0" w:line="259" w:lineRule="auto"/>
        <w:tabs>
          <w:tab w:leader="none" w:pos="1168"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448"/>
        </w:numPr>
        <w:rPr>
          <w:rFonts w:ascii="Arial" w:cs="Arial" w:eastAsia="Arial" w:hAnsi="Arial"/>
          <w:sz w:val="17"/>
          <w:szCs w:val="17"/>
          <w:color w:val="auto"/>
        </w:rPr>
      </w:pPr>
      <w:r>
        <w:rPr>
          <w:rFonts w:ascii="Arial" w:cs="Arial" w:eastAsia="Arial" w:hAnsi="Arial"/>
          <w:sz w:val="17"/>
          <w:szCs w:val="17"/>
          <w:u w:val="single" w:color="auto"/>
          <w:color w:val="auto"/>
        </w:rPr>
        <w:t>360-Day Year</w:t>
      </w:r>
      <w:r>
        <w:rPr>
          <w:rFonts w:ascii="Arial" w:cs="Arial" w:eastAsia="Arial" w:hAnsi="Arial"/>
          <w:sz w:val="17"/>
          <w:szCs w:val="17"/>
          <w:color w:val="auto"/>
        </w:rPr>
        <w:t>. Interest shall be computed on the basis of a three hundred sixty (360) day year consisting of twelve (12) months of thirty</w:t>
      </w:r>
    </w:p>
    <w:p>
      <w:pPr>
        <w:spacing w:after="0" w:line="34" w:lineRule="exact"/>
        <w:rPr>
          <w:rFonts w:ascii="Arial" w:cs="Arial" w:eastAsia="Arial" w:hAnsi="Arial"/>
          <w:sz w:val="17"/>
          <w:szCs w:val="17"/>
          <w:color w:val="auto"/>
        </w:rPr>
      </w:pPr>
    </w:p>
    <w:p>
      <w:pPr>
        <w:ind w:left="360" w:hanging="352"/>
        <w:spacing w:after="0"/>
        <w:tabs>
          <w:tab w:leader="none" w:pos="3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days.</w:t>
      </w:r>
    </w:p>
    <w:p>
      <w:pPr>
        <w:spacing w:after="0" w:line="210" w:lineRule="exact"/>
        <w:rPr>
          <w:rFonts w:ascii="Arial" w:cs="Arial" w:eastAsia="Arial" w:hAnsi="Arial"/>
          <w:sz w:val="18"/>
          <w:szCs w:val="18"/>
          <w:color w:val="auto"/>
        </w:rPr>
      </w:pPr>
    </w:p>
    <w:p>
      <w:pPr>
        <w:ind w:firstLine="921"/>
        <w:spacing w:after="0" w:line="264" w:lineRule="auto"/>
        <w:tabs>
          <w:tab w:leader="none" w:pos="1168" w:val="left"/>
        </w:tabs>
        <w:numPr>
          <w:ilvl w:val="1"/>
          <w:numId w:val="449"/>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ind w:right="260" w:firstLine="921"/>
        <w:spacing w:after="0" w:line="286" w:lineRule="auto"/>
        <w:tabs>
          <w:tab w:leader="none" w:pos="1157" w:val="left"/>
        </w:tabs>
        <w:numPr>
          <w:ilvl w:val="1"/>
          <w:numId w:val="44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30" w:name="page531"/>
    <w:bookmarkEnd w:id="530"/>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2.4. Secured Promissory Notes</w:t>
      </w:r>
      <w:r>
        <w:rPr>
          <w:rFonts w:ascii="Arial" w:cs="Arial" w:eastAsia="Arial" w:hAnsi="Arial"/>
          <w:sz w:val="17"/>
          <w:szCs w:val="17"/>
          <w:color w:val="auto"/>
        </w:rPr>
        <w:t>. The Term Loans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r>
        <w:rPr>
          <w:rFonts w:ascii="Arial" w:cs="Arial" w:eastAsia="Arial" w:hAnsi="Arial"/>
          <w:sz w:val="17"/>
          <w:szCs w:val="17"/>
          <w:b w:val="1"/>
          <w:bCs w:val="1"/>
          <w:color w:val="auto"/>
        </w:rPr>
        <w:t xml:space="preserve"> </w:t>
      </w:r>
      <w:r>
        <w:rPr>
          <w:rFonts w:ascii="Arial" w:cs="Arial" w:eastAsia="Arial" w:hAnsi="Arial"/>
          <w:sz w:val="17"/>
          <w:szCs w:val="17"/>
          <w:color w:val="auto"/>
        </w:rPr>
        <w:t>(each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firstLine="921"/>
        <w:spacing w:after="0" w:line="276" w:lineRule="auto"/>
        <w:tabs>
          <w:tab w:leader="none" w:pos="1157"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A fully earned, non-refundable facility fee of up to One Hundred Fifty Thousand Dollars ($150,000.00) to be shared between the Lenders pursuant to their respective Commitment Percentages payable as follows: (i) Fifty Thousand Dollars ($50,000.00) of the facility fee shall be due and payable on the Effective Date, the receipt of which Collateral Agent and Lenders hereby acknowledge, (ii) Fifty Thousand Dollars ($50,000.00) of the facility fee shall be due and payable on and conditioned upon the Funding Date of the Term B Loan, and (iii) Fifty Thousand Dollars ($50,000.00) of the facility fee shall be due and payable on and conditioned upon the Funding Date of the Term C Loan.</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and</w:t>
      </w:r>
    </w:p>
    <w:p>
      <w:pPr>
        <w:spacing w:after="0" w:line="210"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reasonable Lenders’ Expenses (including reasonable attorneys’ fees and expenses for documentation and negotiation of this Agreement) incurred from November 5, 2014 through and after the Effective Date, promptly when due.</w:t>
      </w:r>
    </w:p>
    <w:p>
      <w:pPr>
        <w:spacing w:after="0" w:line="16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2.6. Withholding</w:t>
      </w:r>
      <w:r>
        <w:rPr>
          <w:rFonts w:ascii="Arial" w:cs="Arial" w:eastAsia="Arial" w:hAnsi="Arial"/>
          <w:sz w:val="16"/>
          <w:szCs w:val="16"/>
          <w:color w:val="auto"/>
        </w:rPr>
        <w:t>. Payments received by the Lenders from Borrower hereunder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31" w:name="page532"/>
    <w:bookmarkEnd w:id="531"/>
    <w:p>
      <w:pPr>
        <w:ind w:left="460" w:hanging="452"/>
        <w:spacing w:after="0"/>
        <w:tabs>
          <w:tab w:leader="none" w:pos="46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LOANS</w:t>
      </w:r>
    </w:p>
    <w:p>
      <w:pPr>
        <w:spacing w:after="0" w:line="117"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A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duly executed original Control Agreements with respect to any Collateral Accounts maintained by Borrower or any of its Subsidiaries;</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duly executed original Secured Promissory Notes in favor of each Lender according to its Term A Loan Commitment Percentage;</w:t>
      </w:r>
    </w:p>
    <w:p>
      <w:pPr>
        <w:spacing w:after="0" w:line="236" w:lineRule="exact"/>
        <w:rPr>
          <w:rFonts w:ascii="Arial" w:cs="Arial" w:eastAsia="Arial" w:hAnsi="Arial"/>
          <w:sz w:val="17"/>
          <w:szCs w:val="17"/>
          <w:color w:val="auto"/>
        </w:rPr>
      </w:pPr>
    </w:p>
    <w:p>
      <w:pPr>
        <w:ind w:right="280" w:firstLine="921"/>
        <w:spacing w:after="0" w:line="264" w:lineRule="auto"/>
        <w:tabs>
          <w:tab w:leader="none" w:pos="116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ind w:right="120" w:firstLine="921"/>
        <w:spacing w:after="0" w:line="286" w:lineRule="auto"/>
        <w:tabs>
          <w:tab w:leader="none" w:pos="1168" w:val="left"/>
        </w:tabs>
        <w:numPr>
          <w:ilvl w:val="0"/>
          <w:numId w:val="452"/>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left="1140" w:hanging="219"/>
        <w:spacing w:after="0"/>
        <w:tabs>
          <w:tab w:leader="none" w:pos="11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landlord’s consent executed in favor of Collateral Agent in respect of all of Borrower’s and each Subsidiaries’ leased locations;</w:t>
      </w:r>
    </w:p>
    <w:p>
      <w:pPr>
        <w:spacing w:after="0" w:line="225" w:lineRule="exact"/>
        <w:rPr>
          <w:rFonts w:ascii="Arial" w:cs="Arial" w:eastAsia="Arial" w:hAnsi="Arial"/>
          <w:sz w:val="18"/>
          <w:szCs w:val="18"/>
          <w:color w:val="auto"/>
        </w:rPr>
      </w:pPr>
    </w:p>
    <w:p>
      <w:pPr>
        <w:ind w:right="560" w:firstLine="921"/>
        <w:spacing w:after="0" w:line="277" w:lineRule="auto"/>
        <w:tabs>
          <w:tab w:leader="none" w:pos="112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ind w:firstLine="921"/>
        <w:spacing w:after="0" w:line="264" w:lineRule="auto"/>
        <w:tabs>
          <w:tab w:leader="none" w:pos="112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w:t>
      </w:r>
    </w:p>
    <w:p>
      <w:pPr>
        <w:spacing w:after="0" w:line="181" w:lineRule="exact"/>
        <w:rPr>
          <w:rFonts w:ascii="Arial" w:cs="Arial" w:eastAsia="Arial" w:hAnsi="Arial"/>
          <w:sz w:val="18"/>
          <w:szCs w:val="18"/>
          <w:color w:val="auto"/>
        </w:rPr>
      </w:pPr>
    </w:p>
    <w:p>
      <w:pPr>
        <w:ind w:right="300" w:firstLine="921"/>
        <w:spacing w:after="0" w:line="277" w:lineRule="auto"/>
        <w:tabs>
          <w:tab w:leader="none" w:pos="121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copy of the Third Amended and Restated Rights Agreement by and among the Company and the investors party thereto, dated July 15, 2013 (as such agreement may be amended and restated through the Effective Date).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532" w:name="page533"/>
    <w:bookmarkEnd w:id="532"/>
    <w:p>
      <w:pPr>
        <w:ind w:right="5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Conditions Precedent to all Credit Extensions</w:t>
      </w:r>
      <w:r>
        <w:rPr>
          <w:rFonts w:ascii="Arial" w:cs="Arial" w:eastAsia="Arial" w:hAnsi="Arial"/>
          <w:sz w:val="18"/>
          <w:szCs w:val="18"/>
          <w:color w:val="auto"/>
        </w:rPr>
        <w:t>. 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right="180" w:firstLine="921"/>
        <w:spacing w:after="0" w:line="277" w:lineRule="auto"/>
        <w:tabs>
          <w:tab w:leader="none" w:pos="115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receipt by (i) the Lenders of an executed Disbursement Letter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SVB of an executed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40" w:firstLine="921"/>
        <w:spacing w:after="0" w:line="270" w:lineRule="auto"/>
        <w:tabs>
          <w:tab w:leader="none" w:pos="116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 such Lender’s sole but reasonable discretion, there has not been any Material Adverse Change;</w:t>
      </w:r>
    </w:p>
    <w:p>
      <w:pPr>
        <w:spacing w:after="0" w:line="225"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(i) to the extent not delivered at the Effective Date, duly executed original Secured Promissory Notes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favor of each Lender according to its Commitment Percentage, with respect to each Credit Extension made by such Lender after the Effective Date and (ii) a Warrant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in favor of each Lender; and</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Collateral Agent and the Lenders each item required to be delivered to Collateral Agent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3.4. Procedures for Borrowing</w:t>
      </w:r>
      <w:r>
        <w:rPr>
          <w:rFonts w:ascii="Arial" w:cs="Arial" w:eastAsia="Arial" w:hAnsi="Arial"/>
          <w:sz w:val="17"/>
          <w:szCs w:val="17"/>
          <w:color w:val="auto"/>
        </w:rPr>
        <w:t>. Subject to the prior satisfaction of all other applicable conditions to the making of a Term Loan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obtain a Term Loan, Borrower shall notify the Lenders (which notice shall be irrevocable) by electronic mail, facsimile, or telephone by 2:00 pm Eastern time three (3)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321" w:lineRule="exact"/>
        <w:rPr>
          <w:sz w:val="20"/>
          <w:szCs w:val="20"/>
          <w:color w:val="auto"/>
        </w:rPr>
      </w:pPr>
    </w:p>
    <w:p>
      <w:pPr>
        <w:ind w:left="460" w:hanging="452"/>
        <w:spacing w:after="0"/>
        <w:tabs>
          <w:tab w:leader="none" w:pos="46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Collateral Agent, for the ratable benefit of the Lenders, to secure the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69" w:right="279" w:bottom="1440" w:gutter="0" w:footer="0" w:header="0"/>
        </w:sectPr>
      </w:pPr>
    </w:p>
    <w:bookmarkStart w:id="533" w:name="page534"/>
    <w:bookmarkEnd w:id="533"/>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1" w:lineRule="exact"/>
        <w:rPr>
          <w:sz w:val="20"/>
          <w:szCs w:val="20"/>
          <w:color w:val="auto"/>
        </w:rPr>
      </w:pPr>
    </w:p>
    <w:p>
      <w:pPr>
        <w:ind w:right="120" w:firstLine="921"/>
        <w:spacing w:after="0" w:line="279" w:lineRule="auto"/>
        <w:tabs>
          <w:tab w:leader="none" w:pos="1158" w:val="left"/>
        </w:tabs>
        <w:numPr>
          <w:ilvl w:val="1"/>
          <w:numId w:val="455"/>
        </w:numPr>
        <w:rPr>
          <w:rFonts w:ascii="Arial" w:cs="Arial" w:eastAsia="Arial" w:hAnsi="Arial"/>
          <w:sz w:val="17"/>
          <w:szCs w:val="17"/>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71" w:lineRule="exact"/>
        <w:rPr>
          <w:rFonts w:ascii="Arial" w:cs="Arial" w:eastAsia="Arial" w:hAnsi="Arial"/>
          <w:sz w:val="17"/>
          <w:szCs w:val="17"/>
          <w:color w:val="auto"/>
        </w:rPr>
      </w:pPr>
    </w:p>
    <w:p>
      <w:pPr>
        <w:ind w:right="180" w:firstLine="921"/>
        <w:spacing w:after="0" w:line="259" w:lineRule="auto"/>
        <w:tabs>
          <w:tab w:leader="none" w:pos="1168"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186" w:lineRule="exact"/>
        <w:rPr>
          <w:rFonts w:ascii="Arial" w:cs="Arial" w:eastAsia="Arial" w:hAnsi="Arial"/>
          <w:sz w:val="18"/>
          <w:szCs w:val="18"/>
          <w:color w:val="auto"/>
        </w:rPr>
      </w:pPr>
    </w:p>
    <w:p>
      <w:pPr>
        <w:ind w:right="180" w:firstLine="921"/>
        <w:spacing w:after="0" w:line="286" w:lineRule="auto"/>
        <w:tabs>
          <w:tab w:leader="none" w:pos="1158" w:val="left"/>
        </w:tabs>
        <w:numPr>
          <w:ilvl w:val="1"/>
          <w:numId w:val="455"/>
        </w:numPr>
        <w:rPr>
          <w:rFonts w:ascii="Arial" w:cs="Arial" w:eastAsia="Arial" w:hAnsi="Arial"/>
          <w:sz w:val="16"/>
          <w:szCs w:val="16"/>
          <w:color w:val="auto"/>
        </w:rPr>
      </w:pPr>
      <w:r>
        <w:rPr>
          <w:rFonts w:ascii="Arial" w:cs="Arial" w:eastAsia="Arial" w:hAnsi="Arial"/>
          <w:sz w:val="16"/>
          <w:szCs w:val="16"/>
          <w:color w:val="auto"/>
        </w:rPr>
        <w:t>Notwithstanding the provisions of Section 4(b), in the event (x) all Obligations (other than inchoate indemnity obligations), except for Bank Services, are satisfied in full, and (y) this Agreement is terminated, Bank shall terminate the security interest granted herein upon Borrower providing cash collateral acceptable to Bank in the reasonable and good faith business judgment for Bank Services, if any. In the event such Bank Services consist of outstanding Letters of Credit, it shall be sufficient cash collateral acceptable to Bank for securing such Bank Services in applying the provisions of clause</w:t>
      </w:r>
    </w:p>
    <w:p>
      <w:pPr>
        <w:spacing w:after="0" w:line="1" w:lineRule="exact"/>
        <w:rPr>
          <w:rFonts w:ascii="Arial" w:cs="Arial" w:eastAsia="Arial" w:hAnsi="Arial"/>
          <w:sz w:val="16"/>
          <w:szCs w:val="16"/>
          <w:color w:val="auto"/>
        </w:rPr>
      </w:pPr>
    </w:p>
    <w:p>
      <w:pPr>
        <w:ind w:right="100" w:firstLine="8"/>
        <w:spacing w:after="0" w:line="295" w:lineRule="auto"/>
        <w:tabs>
          <w:tab w:leader="none" w:pos="25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with respect to Bank Services that consist of Letters of Credit, if Borrower provides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5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4.2. Authorization to File Financing Statements</w:t>
      </w:r>
      <w:r>
        <w:rPr>
          <w:rFonts w:ascii="Arial" w:cs="Arial" w:eastAsia="Arial" w:hAnsi="Arial"/>
          <w:sz w:val="17"/>
          <w:szCs w:val="17"/>
          <w:color w:val="auto"/>
        </w:rPr>
        <w:t>. Borrower hereby authorizes Collateral Agent to file financing statements or take any other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314" w:lineRule="exact"/>
        <w:rPr>
          <w:sz w:val="20"/>
          <w:szCs w:val="20"/>
          <w:color w:val="auto"/>
        </w:rPr>
      </w:pPr>
    </w:p>
    <w:p>
      <w:pPr>
        <w:ind w:left="460" w:hanging="452"/>
        <w:spacing w:after="0"/>
        <w:tabs>
          <w:tab w:leader="none" w:pos="460"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34" w:name="page535"/>
    <w:bookmarkEnd w:id="53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66"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20" w:firstLine="8"/>
        <w:spacing w:after="0" w:line="269" w:lineRule="auto"/>
        <w:tabs>
          <w:tab w:leader="none" w:pos="265" w:val="left"/>
        </w:tabs>
        <w:numPr>
          <w:ilvl w:val="0"/>
          <w:numId w:val="458"/>
        </w:numPr>
        <w:rPr>
          <w:rFonts w:ascii="Arial" w:cs="Arial" w:eastAsia="Arial" w:hAnsi="Arial"/>
          <w:sz w:val="17"/>
          <w:szCs w:val="17"/>
          <w:color w:val="auto"/>
        </w:rPr>
      </w:pPr>
      <w:r>
        <w:rPr>
          <w:rFonts w:ascii="Arial" w:cs="Arial" w:eastAsia="Arial" w:hAnsi="Arial"/>
          <w:sz w:val="17"/>
          <w:szCs w:val="17"/>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w:t>
      </w:r>
    </w:p>
    <w:p>
      <w:pPr>
        <w:spacing w:after="0" w:line="229" w:lineRule="exact"/>
        <w:rPr>
          <w:sz w:val="20"/>
          <w:szCs w:val="20"/>
          <w:color w:val="auto"/>
        </w:rPr>
      </w:pPr>
    </w:p>
    <w:p>
      <w:pPr>
        <w:ind w:right="180" w:firstLine="921"/>
        <w:spacing w:after="0" w:line="273" w:lineRule="auto"/>
        <w:tabs>
          <w:tab w:leader="none" w:pos="1158" w:val="left"/>
        </w:tabs>
        <w:numPr>
          <w:ilvl w:val="0"/>
          <w:numId w:val="459"/>
        </w:numPr>
        <w:rPr>
          <w:rFonts w:ascii="Arial" w:cs="Arial" w:eastAsia="Arial" w:hAnsi="Arial"/>
          <w:sz w:val="17"/>
          <w:szCs w:val="17"/>
          <w:color w:val="auto"/>
        </w:rPr>
      </w:pPr>
      <w:r>
        <w:rPr>
          <w:rFonts w:ascii="Arial" w:cs="Arial" w:eastAsia="Arial" w:hAnsi="Arial"/>
          <w:sz w:val="17"/>
          <w:szCs w:val="17"/>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78" w:lineRule="exact"/>
        <w:rPr>
          <w:rFonts w:ascii="Arial" w:cs="Arial" w:eastAsia="Arial" w:hAnsi="Arial"/>
          <w:sz w:val="17"/>
          <w:szCs w:val="17"/>
          <w:color w:val="auto"/>
        </w:rPr>
      </w:pPr>
    </w:p>
    <w:p>
      <w:pPr>
        <w:jc w:val="both"/>
        <w:ind w:right="80" w:firstLine="921"/>
        <w:spacing w:after="0" w:line="259" w:lineRule="auto"/>
        <w:tabs>
          <w:tab w:leader="none" w:pos="116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right="220" w:firstLine="921"/>
        <w:spacing w:after="0" w:line="271" w:lineRule="auto"/>
        <w:tabs>
          <w:tab w:leader="none" w:pos="1168" w:val="left"/>
        </w:tabs>
        <w:numPr>
          <w:ilvl w:val="0"/>
          <w:numId w:val="459"/>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material license or other material agreement with respect to which Borrower or any Subsidiary is the licensee (other than over-the-counter software that is commercially available to the public).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535" w:name="page536"/>
    <w:bookmarkEnd w:id="535"/>
    <w:p>
      <w:pPr>
        <w:ind w:right="7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 Litigation</w:t>
      </w:r>
      <w:r>
        <w:rPr>
          <w:rFonts w:ascii="Arial" w:cs="Arial" w:eastAsia="Arial" w:hAnsi="Arial"/>
          <w:sz w:val="18"/>
          <w:szCs w:val="18"/>
          <w:color w:val="auto"/>
        </w:rPr>
        <w:t>. 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Thousand Dollars ($100,000.00).</w:t>
      </w:r>
    </w:p>
    <w:p>
      <w:pPr>
        <w:spacing w:after="0" w:line="176"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5.4. No Material Deterioration in Financial Condition; Financial Statements</w:t>
      </w:r>
      <w:r>
        <w:rPr>
          <w:rFonts w:ascii="Arial" w:cs="Arial" w:eastAsia="Arial" w:hAnsi="Arial"/>
          <w:sz w:val="16"/>
          <w:szCs w:val="16"/>
          <w:color w:val="auto"/>
        </w:rPr>
        <w:t>. 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Borrower and each of its Subsidiaries is Solvent.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5.6. Regulatory Compliance</w:t>
      </w:r>
      <w:r>
        <w:rPr>
          <w:rFonts w:ascii="Arial" w:cs="Arial" w:eastAsia="Arial" w:hAnsi="Arial"/>
          <w:sz w:val="18"/>
          <w:szCs w:val="18"/>
          <w:color w:val="auto"/>
        </w:rPr>
        <w:t>. Neither Borrower nor any of its Subsidiaries is an “investment company” or a company “controlled” by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9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5.7. Investments</w:t>
      </w:r>
      <w:r>
        <w:rPr>
          <w:rFonts w:ascii="Arial" w:cs="Arial" w:eastAsia="Arial" w:hAnsi="Arial"/>
          <w:sz w:val="18"/>
          <w:szCs w:val="18"/>
          <w:color w:val="auto"/>
        </w:rPr>
        <w:t>. 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536" w:name="page537"/>
    <w:bookmarkEnd w:id="53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 this Agreement, and not for personal, family, household or agricultural purposes.</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or any of its Subsidiaries in any certificate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given to Collateral Agent or any Lender in connection with the transactions contemplated hereby, as of the date such representation, warranty, or other statement was made, taken together with all such written certificates and written statements given to Collateral Agent or any Lender with respect to the transactions contemplated hereby,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5.11.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the Responsible Officers.</w:t>
      </w:r>
    </w:p>
    <w:p>
      <w:pPr>
        <w:spacing w:after="0" w:line="325" w:lineRule="exact"/>
        <w:rPr>
          <w:sz w:val="20"/>
          <w:szCs w:val="20"/>
          <w:color w:val="auto"/>
        </w:rPr>
      </w:pPr>
    </w:p>
    <w:p>
      <w:pPr>
        <w:ind w:left="460" w:hanging="452"/>
        <w:spacing w:after="0"/>
        <w:tabs>
          <w:tab w:leader="none" w:pos="46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921"/>
        <w:spacing w:after="0" w:line="259" w:lineRule="auto"/>
        <w:tabs>
          <w:tab w:leader="none" w:pos="1158" w:val="left"/>
        </w:tabs>
        <w:numPr>
          <w:ilvl w:val="1"/>
          <w:numId w:val="460"/>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460"/>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ind w:right="80" w:firstLine="1492"/>
        <w:spacing w:after="0" w:line="264" w:lineRule="auto"/>
        <w:tabs>
          <w:tab w:leader="none" w:pos="1698" w:val="left"/>
        </w:tabs>
        <w:numPr>
          <w:ilvl w:val="2"/>
          <w:numId w:val="461"/>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2"/>
          <w:numId w:val="461"/>
        </w:numPr>
        <w:rPr>
          <w:rFonts w:ascii="Arial" w:cs="Arial" w:eastAsia="Arial" w:hAnsi="Arial"/>
          <w:sz w:val="17"/>
          <w:szCs w:val="17"/>
          <w:color w:val="auto"/>
        </w:rPr>
      </w:pPr>
      <w:r>
        <w:rPr>
          <w:rFonts w:ascii="Arial" w:cs="Arial" w:eastAsia="Arial" w:hAnsi="Arial"/>
          <w:sz w:val="17"/>
          <w:szCs w:val="17"/>
          <w:color w:val="auto"/>
        </w:rPr>
        <w:t>as soon as available, but no later than one hundred eighty (180) days after the last day of Borrower’s fiscal year or within five</w:t>
      </w:r>
    </w:p>
    <w:p>
      <w:pPr>
        <w:spacing w:after="0" w:line="34" w:lineRule="exact"/>
        <w:rPr>
          <w:rFonts w:ascii="Arial" w:cs="Arial" w:eastAsia="Arial" w:hAnsi="Arial"/>
          <w:sz w:val="17"/>
          <w:szCs w:val="17"/>
          <w:color w:val="auto"/>
        </w:rPr>
      </w:pPr>
    </w:p>
    <w:p>
      <w:pPr>
        <w:ind w:firstLine="8"/>
        <w:spacing w:after="0" w:line="261" w:lineRule="auto"/>
        <w:tabs>
          <w:tab w:leader="none" w:pos="25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days of filing with the SEC, audited consolidated financial statements prepared under GAAP, consistently applied, together with an unqualified opinion on the financial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from an independent certified public accounting firm acceptable to Collateral Agent in its reasonable discretion;</w:t>
      </w:r>
    </w:p>
    <w:p>
      <w:pPr>
        <w:spacing w:after="0" w:line="225" w:lineRule="exact"/>
        <w:rPr>
          <w:sz w:val="20"/>
          <w:szCs w:val="20"/>
          <w:color w:val="auto"/>
        </w:rPr>
      </w:pPr>
    </w:p>
    <w:p>
      <w:pPr>
        <w:ind w:firstLine="1492"/>
        <w:spacing w:after="0" w:line="276" w:lineRule="auto"/>
        <w:tabs>
          <w:tab w:leader="none" w:pos="179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ten (10)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7"/>
          <w:szCs w:val="17"/>
          <w:b w:val="1"/>
          <w:bCs w:val="1"/>
          <w:color w:val="auto"/>
        </w:rPr>
        <w:t>Annual Projections</w:t>
      </w:r>
      <w:r>
        <w:rPr>
          <w:rFonts w:ascii="Arial" w:cs="Arial" w:eastAsia="Arial" w:hAnsi="Arial"/>
          <w:sz w:val="17"/>
          <w:szCs w:val="17"/>
          <w:color w:val="auto"/>
        </w:rPr>
        <w:t>”; provided that, any revisions of the Annual Projections approved by Borrower’s Board of Directors shall be delivered to Collateral Agent and the Lenders no later than seven (7) days after such approval);</w:t>
      </w:r>
    </w:p>
    <w:p>
      <w:pPr>
        <w:spacing w:after="0" w:line="172" w:lineRule="exact"/>
        <w:rPr>
          <w:rFonts w:ascii="Arial" w:cs="Arial" w:eastAsia="Arial" w:hAnsi="Arial"/>
          <w:sz w:val="17"/>
          <w:szCs w:val="17"/>
          <w:color w:val="auto"/>
        </w:rPr>
      </w:pPr>
    </w:p>
    <w:p>
      <w:pPr>
        <w:ind w:left="1800" w:hanging="308"/>
        <w:spacing w:after="0"/>
        <w:tabs>
          <w:tab w:leader="none" w:pos="180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within five (5) days of delivery, copies of all statements, reports and notices made available to Borrower’s security holders or 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Subordinated Debt;</w:t>
      </w:r>
    </w:p>
    <w:p>
      <w:pPr>
        <w:spacing w:after="0" w:line="210" w:lineRule="exact"/>
        <w:rPr>
          <w:rFonts w:ascii="Arial" w:cs="Arial" w:eastAsia="Arial" w:hAnsi="Arial"/>
          <w:sz w:val="16"/>
          <w:szCs w:val="16"/>
          <w:color w:val="auto"/>
        </w:rPr>
      </w:pPr>
    </w:p>
    <w:p>
      <w:pPr>
        <w:ind w:right="260" w:firstLine="1492"/>
        <w:spacing w:after="0" w:line="277" w:lineRule="auto"/>
        <w:tabs>
          <w:tab w:leader="none" w:pos="173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ind w:right="80" w:firstLine="1492"/>
        <w:spacing w:after="0" w:line="254" w:lineRule="auto"/>
        <w:tabs>
          <w:tab w:leader="none" w:pos="178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prompt notice of any (A) amendments of or other changes to the Operating Documents of Borrower or any of its Subsidiaries, together with any copies reflecting such amendments or changes with respect thereto and (B) material changes to the capitalization table of Borrower or any of its Subsidiaries, provided, however, that (i) no such notice shall be required with respect to the grant, exercise, cancellation or modification of options to purchase Borrower’s Common Stock outstanding or hereafter issued by Borrower from the option pool set forth on the capitalization table of Borrower delivered to Bank in connection with the Perfection Certificate or upon exercise of warrants to purchase capital stock of the Borrower reflected upon such capitalization table and (ii) Borrower shall provide Lenders notice with respect to, and copies of, the current capitalization table no later than thirty (30) days after the end of each quarter to the extent that there have been any amendments of, or changes to, the capitalization table since the last time the same was delivered to Lenders.</w:t>
      </w:r>
    </w:p>
    <w:p>
      <w:pPr>
        <w:spacing w:after="0" w:line="192" w:lineRule="exact"/>
        <w:rPr>
          <w:rFonts w:ascii="Arial" w:cs="Arial" w:eastAsia="Arial" w:hAnsi="Arial"/>
          <w:sz w:val="18"/>
          <w:szCs w:val="18"/>
          <w:color w:val="auto"/>
        </w:rPr>
      </w:pPr>
    </w:p>
    <w:p>
      <w:pPr>
        <w:ind w:left="1840" w:hanging="348"/>
        <w:spacing w:after="0"/>
        <w:tabs>
          <w:tab w:leader="none" w:pos="184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 Intellectual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jc w:val="both"/>
        <w:ind w:right="40" w:firstLine="1492"/>
        <w:spacing w:after="0" w:line="264" w:lineRule="auto"/>
        <w:tabs>
          <w:tab w:leader="none" w:pos="188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6" w:lineRule="exact"/>
        <w:rPr>
          <w:sz w:val="20"/>
          <w:szCs w:val="20"/>
          <w:color w:val="auto"/>
        </w:rPr>
      </w:pPr>
    </w:p>
    <w:p>
      <w:pPr>
        <w:ind w:right="160" w:firstLine="921"/>
        <w:spacing w:after="0" w:line="277" w:lineRule="auto"/>
        <w:tabs>
          <w:tab w:leader="none" w:pos="1168" w:val="left"/>
        </w:tabs>
        <w:numPr>
          <w:ilvl w:val="0"/>
          <w:numId w:val="464"/>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ind w:firstLine="921"/>
        <w:spacing w:after="0" w:line="257" w:lineRule="auto"/>
        <w:tabs>
          <w:tab w:leader="none" w:pos="1158" w:val="left"/>
        </w:tabs>
        <w:numPr>
          <w:ilvl w:val="0"/>
          <w:numId w:val="464"/>
        </w:numPr>
        <w:rPr>
          <w:rFonts w:ascii="Arial" w:cs="Arial" w:eastAsia="Arial" w:hAnsi="Arial"/>
          <w:sz w:val="18"/>
          <w:szCs w:val="18"/>
          <w:color w:val="auto"/>
        </w:rPr>
      </w:pPr>
      <w:r>
        <w:rPr>
          <w:rFonts w:ascii="Arial" w:cs="Arial" w:eastAsia="Arial" w:hAnsi="Arial"/>
          <w:sz w:val="18"/>
          <w:szCs w:val="18"/>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3" w:right="279" w:bottom="1440" w:gutter="0" w:footer="0" w:header="0"/>
        </w:sectPr>
      </w:pPr>
    </w:p>
    <w:bookmarkStart w:id="538" w:name="page539"/>
    <w:bookmarkEnd w:id="53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and analysis of its operations and the Collateral. Such audits shall be conducted no more often than once every six months unless (and more frequently if) an Event of Default has occurred and is continuing.</w:t>
      </w:r>
    </w:p>
    <w:p>
      <w:pPr>
        <w:spacing w:after="0" w:line="166"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6.3. Inventory; Returns</w:t>
      </w:r>
      <w:r>
        <w:rPr>
          <w:rFonts w:ascii="Arial" w:cs="Arial" w:eastAsia="Arial" w:hAnsi="Arial"/>
          <w:sz w:val="17"/>
          <w:szCs w:val="17"/>
          <w:color w:val="auto"/>
        </w:rPr>
        <w:t>. Keep all Inventory in good and marketable condition, free from material defects. Returns and allowances between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One Hundred Thousand Dollars ($100,000.00) individually or in the aggregate in any calendar year.</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One Hundred Thousand Dollars ($100,000.00),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229" w:lineRule="exact"/>
        <w:rPr>
          <w:sz w:val="20"/>
          <w:szCs w:val="20"/>
          <w:color w:val="auto"/>
        </w:rPr>
      </w:pPr>
    </w:p>
    <w:p>
      <w:pPr>
        <w:ind w:right="140" w:firstLine="921"/>
        <w:spacing w:after="0" w:line="264" w:lineRule="auto"/>
        <w:tabs>
          <w:tab w:leader="none" w:pos="115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Maintain its primary and its Subsidiaries’ primary Collateral Accounts with Bank or its Affiliates in accounts which are subject to a Control Agreement in favor of Collateral Agent and which accounts shall represent at least fifty percent (50%) of the dollar value of Borrower’s and such Subsidiaries’ accounts at all financial institutions.</w:t>
      </w:r>
    </w:p>
    <w:p>
      <w:pPr>
        <w:spacing w:after="0" w:line="181"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539" w:name="page540"/>
    <w:bookmarkEnd w:id="539"/>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181" w:lineRule="exact"/>
        <w:rPr>
          <w:sz w:val="20"/>
          <w:szCs w:val="20"/>
          <w:color w:val="auto"/>
        </w:rPr>
      </w:pPr>
    </w:p>
    <w:p>
      <w:pPr>
        <w:ind w:right="340" w:firstLine="921"/>
        <w:spacing w:after="0" w:line="277" w:lineRule="auto"/>
        <w:tabs>
          <w:tab w:leader="none" w:pos="115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66" w:lineRule="exact"/>
        <w:rPr>
          <w:sz w:val="20"/>
          <w:szCs w:val="20"/>
          <w:color w:val="auto"/>
        </w:rPr>
      </w:pPr>
    </w:p>
    <w:p>
      <w:pPr>
        <w:jc w:val="both"/>
        <w:ind w:right="200" w:firstLine="456"/>
        <w:spacing w:after="0" w:line="293" w:lineRule="auto"/>
        <w:rPr>
          <w:sz w:val="20"/>
          <w:szCs w:val="20"/>
          <w:color w:val="auto"/>
        </w:rPr>
      </w:pPr>
      <w:r>
        <w:rPr>
          <w:rFonts w:ascii="Arial" w:cs="Arial" w:eastAsia="Arial" w:hAnsi="Arial"/>
          <w:sz w:val="16"/>
          <w:szCs w:val="16"/>
          <w:b w:val="1"/>
          <w:bCs w:val="1"/>
          <w:color w:val="auto"/>
        </w:rPr>
        <w:t>6.7. Protection of Intellectual Property Rights</w:t>
      </w:r>
      <w:r>
        <w:rPr>
          <w:rFonts w:ascii="Arial" w:cs="Arial" w:eastAsia="Arial" w:hAnsi="Arial"/>
          <w:sz w:val="16"/>
          <w:szCs w:val="16"/>
          <w:color w:val="auto"/>
        </w:rPr>
        <w:t>. Borrower and each of its Subsidiaries shall: (a) use commercially reasonable efforts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business practices to protect, defend and maintain the validity and enforceability of its Intellectual Property that is material to Borrower’s business;</w:t>
      </w:r>
    </w:p>
    <w:p>
      <w:pPr>
        <w:spacing w:after="0" w:line="1" w:lineRule="exact"/>
        <w:rPr>
          <w:sz w:val="20"/>
          <w:szCs w:val="20"/>
          <w:color w:val="auto"/>
        </w:rPr>
      </w:pPr>
    </w:p>
    <w:p>
      <w:pPr>
        <w:jc w:val="both"/>
        <w:ind w:right="20" w:firstLine="8"/>
        <w:spacing w:after="0" w:line="271" w:lineRule="auto"/>
        <w:tabs>
          <w:tab w:leader="none" w:pos="255" w:val="left"/>
        </w:tabs>
        <w:numPr>
          <w:ilvl w:val="0"/>
          <w:numId w:val="467"/>
        </w:numPr>
        <w:rPr>
          <w:rFonts w:ascii="Arial" w:cs="Arial" w:eastAsia="Arial" w:hAnsi="Arial"/>
          <w:sz w:val="17"/>
          <w:szCs w:val="17"/>
          <w:color w:val="auto"/>
        </w:rPr>
      </w:pPr>
      <w:r>
        <w:rPr>
          <w:rFonts w:ascii="Arial" w:cs="Arial" w:eastAsia="Arial" w:hAnsi="Arial"/>
          <w:sz w:val="17"/>
          <w:szCs w:val="17"/>
          <w:color w:val="auto"/>
        </w:rPr>
        <w:t>promptly after Borrower becomes aware thereof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Borrower shall obtain Collateral Agent’s and Lenders’ written consent prior to abandoning, modifying or delaying filing, prosecution or issuance of any Core IP. Borrower shall provide Collateral Agent and Lenders with notice, on a quarterly basis, of any abandonment, modification or delay in the filing, prosecution or issuance of any Non-Core IP during the preceding quarter.</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6.8. Litigation Cooperation</w:t>
      </w:r>
      <w:r>
        <w:rPr>
          <w:rFonts w:ascii="Arial" w:cs="Arial" w:eastAsia="Arial" w:hAnsi="Arial"/>
          <w:sz w:val="17"/>
          <w:szCs w:val="17"/>
          <w:color w:val="auto"/>
        </w:rPr>
        <w:t>. 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at reasonable times and with reasonable advance notice, unless an Event of Default has occurred and is continuing,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 In such event, Collateral Agent and the Lenders shall work cooperatively with Borrower to minimize disruption, to the extent reasonably possible, of Borrower’s ongoing operations.</w:t>
      </w:r>
    </w:p>
    <w:p>
      <w:pPr>
        <w:spacing w:after="0" w:line="17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6.9. Notices of Litigation and Default</w:t>
      </w:r>
      <w:r>
        <w:rPr>
          <w:rFonts w:ascii="Arial" w:cs="Arial" w:eastAsia="Arial" w:hAnsi="Arial"/>
          <w:sz w:val="17"/>
          <w:szCs w:val="17"/>
          <w:color w:val="auto"/>
        </w:rPr>
        <w:t>. After becoming aware thereof, Borrower will give prompt written notice to Collateral Agent and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or governmental proceedings pending or threatened (in writing) against Borrower or any of its Subsidiaries, which could reasonably be expected to result in damages or costs to Borrower or any of its Subsidiaries of One Hundred Thousand Dollars ($100,000.00)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Intentionally Omitted</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6.11. Landlord Waivers; Bailee Waivers</w:t>
      </w:r>
      <w:r>
        <w:rPr>
          <w:rFonts w:ascii="Arial" w:cs="Arial" w:eastAsia="Arial" w:hAnsi="Arial"/>
          <w:sz w:val="18"/>
          <w:szCs w:val="18"/>
          <w:color w:val="auto"/>
        </w:rPr>
        <w:t>. In the event that Borrower or any of its Subsidiaries, after the Effective Date, intends to add any new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or business locations, including warehouses, or otherwise store any portion of the Collateral with, or deliver any portion of the Collateral to, a bailee, in each case pursuant to Section 7.2, then Borrower or such Subsidiary will first provide at least thirty (30) days prior written notice to Collateral Agent and, in the event that the Collateral at any new location includes Borrower’s Books or is valued in excess of One Hundred Thousand ($100,000.00)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9" w:lineRule="exact"/>
        <w:rPr>
          <w:sz w:val="20"/>
          <w:szCs w:val="20"/>
          <w:color w:val="auto"/>
        </w:rPr>
      </w:pPr>
    </w:p>
    <w:p>
      <w:pPr>
        <w:ind w:right="420" w:firstLine="456"/>
        <w:spacing w:after="0" w:line="314" w:lineRule="auto"/>
        <w:rPr>
          <w:sz w:val="20"/>
          <w:szCs w:val="20"/>
          <w:color w:val="auto"/>
        </w:rPr>
      </w:pPr>
      <w:r>
        <w:rPr>
          <w:rFonts w:ascii="Arial" w:cs="Arial" w:eastAsia="Arial" w:hAnsi="Arial"/>
          <w:sz w:val="16"/>
          <w:szCs w:val="16"/>
          <w:b w:val="1"/>
          <w:bCs w:val="1"/>
          <w:color w:val="auto"/>
        </w:rPr>
        <w:t>6.12. Creation/Acquisition of Subsidiaries</w:t>
      </w:r>
      <w:r>
        <w:rPr>
          <w:rFonts w:ascii="Arial" w:cs="Arial" w:eastAsia="Arial" w:hAnsi="Arial"/>
          <w:sz w:val="16"/>
          <w:szCs w:val="16"/>
          <w:color w:val="auto"/>
        </w:rPr>
        <w:t>. 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40" w:name="page541"/>
    <w:bookmarkEnd w:id="54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Borrower under the Loan Documents and, in each case, grant a continuing pledge and security interest in and to the assets of such Subsidiary (substantially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Borrower (or its Subsidiary, as applicable) shall grant and pledge to Collateral Agent, for the ratable benefit of the Lenders, to secure payment and performance of the Obligations a perfected security interest in the stock, units or other evidence of ownership of each such newly created Subsidiary, provided, however, that in the case of a Foreign Subsidiary, Borrower (or any domestic Subsidiary which is the owner of such Foreign Subsidiary) shall not be required to pledge or grant a security interest in more than sixty five percent (65%) of the outstanding equity securities of such Foreign Subsidiary and no assets of such Foreign Subsidiary shall be required to be pledged or subject to a security interest hereunder if Borrower demonstrates to the reasonable satisfaction of Collateral Agent that such Foreign Subsidiary providing such guarantee or pledge and security interest or Borrower providing a perfected security interest in more than sixty five percent (65%) of the outstanding equity securities would create a present and existing adverse tax consequence to Borrower under the U.S. Internal Revenue Code. Notwithstanding the foregoing, Borrower shall not be required to pledge or grant a security interest in more than sixty five percent (65%) of the outstanding equity securities of the Australia Subsidiary and no assets of the Australia Subsidiary shall be required to be pledged or subject to a security interest hereunder.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6.13. Further Assurances</w:t>
      </w:r>
      <w:r>
        <w:rPr>
          <w:rFonts w:ascii="Arial" w:cs="Arial" w:eastAsia="Arial" w:hAnsi="Arial"/>
          <w:sz w:val="18"/>
          <w:szCs w:val="18"/>
          <w:color w:val="auto"/>
        </w:rPr>
        <w:t>.</w:t>
      </w:r>
    </w:p>
    <w:p>
      <w:pPr>
        <w:spacing w:after="0" w:line="229" w:lineRule="exact"/>
        <w:rPr>
          <w:sz w:val="20"/>
          <w:szCs w:val="20"/>
          <w:color w:val="auto"/>
        </w:rPr>
      </w:pPr>
    </w:p>
    <w:p>
      <w:pPr>
        <w:ind w:right="740" w:firstLine="921"/>
        <w:spacing w:after="0" w:line="277" w:lineRule="auto"/>
        <w:tabs>
          <w:tab w:leader="none" w:pos="1158" w:val="left"/>
        </w:tabs>
        <w:numPr>
          <w:ilvl w:val="1"/>
          <w:numId w:val="468"/>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jc w:val="both"/>
        <w:ind w:right="480" w:firstLine="921"/>
        <w:spacing w:after="0" w:line="312" w:lineRule="auto"/>
        <w:tabs>
          <w:tab w:leader="none" w:pos="1168" w:val="left"/>
        </w:tabs>
        <w:numPr>
          <w:ilvl w:val="1"/>
          <w:numId w:val="468"/>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291" w:lineRule="exact"/>
        <w:rPr>
          <w:rFonts w:ascii="Arial" w:cs="Arial" w:eastAsia="Arial" w:hAnsi="Arial"/>
          <w:sz w:val="16"/>
          <w:szCs w:val="16"/>
          <w:color w:val="auto"/>
        </w:rPr>
      </w:pPr>
    </w:p>
    <w:p>
      <w:pPr>
        <w:ind w:left="460" w:hanging="452"/>
        <w:spacing w:after="0"/>
        <w:tabs>
          <w:tab w:leader="none" w:pos="46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all or any part of its business or property, except for Transfers (a) of Inventory in the ordinary course of business; (b) of worn out or obsolete Equipment; and (c) in connection with Permitted Liens, Permitted Investments and Permitted Licenses.</w:t>
      </w:r>
    </w:p>
    <w:p>
      <w:pPr>
        <w:spacing w:after="0" w:line="17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7.2. Changes in Business, Management, Ownership, or Business Locations</w:t>
      </w:r>
      <w:r>
        <w:rPr>
          <w:rFonts w:ascii="Arial" w:cs="Arial" w:eastAsia="Arial" w:hAnsi="Arial"/>
          <w:sz w:val="17"/>
          <w:szCs w:val="17"/>
          <w:color w:val="auto"/>
        </w:rPr>
        <w:t>. (a)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 (5)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private investors so long as Borrower identifies to Collateral Agent the private investors prior to the closing of the transaction). Borrower shall not, without at least thirty (30) days’ prior written notice to Collateral Agent: (A) add any new offices or business locations, including warehouses (unless such new offices or business locations contain less than One Hundred Thousand Dollars ($100,000.00)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4"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541" w:name="page542"/>
    <w:bookmarkEnd w:id="541"/>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4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 hereof.</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7.7. Distributions; Investments</w:t>
      </w:r>
      <w:r>
        <w:rPr>
          <w:rFonts w:ascii="Arial" w:cs="Arial" w:eastAsia="Arial" w:hAnsi="Arial"/>
          <w:sz w:val="18"/>
          <w:szCs w:val="18"/>
          <w:color w:val="auto"/>
        </w:rPr>
        <w:t>. (a) Pay any dividends (other than dividends payable solely in capital stock) or make any distribution or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 or (b) directly or indirectly make any Investment other than Permitted Investments, or permit any of its Subsidiaries to do so.</w:t>
      </w:r>
    </w:p>
    <w:p>
      <w:pPr>
        <w:spacing w:after="0" w:line="18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80" w:lineRule="exact"/>
        <w:rPr>
          <w:sz w:val="20"/>
          <w:szCs w:val="20"/>
          <w:color w:val="auto"/>
        </w:rPr>
      </w:pPr>
    </w:p>
    <w:p>
      <w:pPr>
        <w:jc w:val="both"/>
        <w:ind w:right="320" w:firstLine="456"/>
        <w:spacing w:after="0" w:line="289"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 Become an “investment company” or a company controlled by an “investment company”,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7.11. Compliance with Anti-Terrorism Laws</w:t>
      </w:r>
      <w:r>
        <w:rPr>
          <w:rFonts w:ascii="Arial" w:cs="Arial" w:eastAsia="Arial" w:hAnsi="Arial"/>
          <w:sz w:val="18"/>
          <w:szCs w:val="18"/>
          <w:color w:val="auto"/>
        </w:rPr>
        <w:t>. Collateral Agent hereby notifies Borrower and each of its Subsidiaries that pursuant to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542" w:name="page543"/>
    <w:bookmarkEnd w:id="54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w:t>
      </w:r>
    </w:p>
    <w:p>
      <w:pPr>
        <w:spacing w:after="0" w:line="2" w:lineRule="exact"/>
        <w:rPr>
          <w:sz w:val="20"/>
          <w:szCs w:val="20"/>
          <w:color w:val="auto"/>
        </w:rPr>
      </w:pPr>
    </w:p>
    <w:p>
      <w:pPr>
        <w:ind w:right="20" w:firstLine="8"/>
        <w:spacing w:after="0" w:line="290" w:lineRule="auto"/>
        <w:tabs>
          <w:tab w:leader="none" w:pos="255" w:val="left"/>
        </w:tabs>
        <w:numPr>
          <w:ilvl w:val="0"/>
          <w:numId w:val="470"/>
        </w:numPr>
        <w:rPr>
          <w:rFonts w:ascii="Arial" w:cs="Arial" w:eastAsia="Arial" w:hAnsi="Arial"/>
          <w:sz w:val="16"/>
          <w:szCs w:val="16"/>
          <w:color w:val="auto"/>
        </w:rPr>
      </w:pPr>
      <w:r>
        <w:rPr>
          <w:rFonts w:ascii="Arial" w:cs="Arial" w:eastAsia="Arial" w:hAnsi="Arial"/>
          <w:sz w:val="16"/>
          <w:szCs w:val="16"/>
          <w:color w:val="auto"/>
        </w:rPr>
        <w:t>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309" w:lineRule="exact"/>
        <w:rPr>
          <w:sz w:val="20"/>
          <w:szCs w:val="20"/>
          <w:color w:val="auto"/>
        </w:rPr>
      </w:pPr>
    </w:p>
    <w:p>
      <w:pPr>
        <w:ind w:left="460" w:hanging="452"/>
        <w:spacing w:after="0"/>
        <w:tabs>
          <w:tab w:leader="none" w:pos="46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312" w:lineRule="auto"/>
        <w:tabs>
          <w:tab w:leader="none" w:pos="1158" w:val="left"/>
        </w:tabs>
        <w:numPr>
          <w:ilvl w:val="1"/>
          <w:numId w:val="472"/>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146" w:lineRule="exact"/>
        <w:rPr>
          <w:rFonts w:ascii="Arial" w:cs="Arial" w:eastAsia="Arial" w:hAnsi="Arial"/>
          <w:sz w:val="16"/>
          <w:szCs w:val="16"/>
          <w:color w:val="auto"/>
        </w:rPr>
      </w:pPr>
    </w:p>
    <w:p>
      <w:pPr>
        <w:ind w:firstLine="921"/>
        <w:spacing w:after="0" w:line="285" w:lineRule="auto"/>
        <w:tabs>
          <w:tab w:leader="none" w:pos="1168" w:val="left"/>
        </w:tabs>
        <w:numPr>
          <w:ilvl w:val="1"/>
          <w:numId w:val="472"/>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w:t>
      </w:r>
    </w:p>
    <w:p>
      <w:pPr>
        <w:spacing w:after="0" w:line="2" w:lineRule="exact"/>
        <w:rPr>
          <w:rFonts w:ascii="Arial" w:cs="Arial" w:eastAsia="Arial" w:hAnsi="Arial"/>
          <w:sz w:val="16"/>
          <w:szCs w:val="16"/>
          <w:color w:val="auto"/>
        </w:rPr>
      </w:pPr>
    </w:p>
    <w:p>
      <w:pPr>
        <w:ind w:right="140" w:firstLine="8"/>
        <w:spacing w:after="0" w:line="255" w:lineRule="auto"/>
        <w:tabs>
          <w:tab w:leader="none" w:pos="34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229" w:lineRule="exact"/>
        <w:rPr>
          <w:sz w:val="20"/>
          <w:szCs w:val="20"/>
          <w:color w:val="auto"/>
        </w:rPr>
      </w:pPr>
    </w:p>
    <w:p>
      <w:pPr>
        <w:ind w:right="160" w:firstLine="921"/>
        <w:spacing w:after="0" w:line="259" w:lineRule="auto"/>
        <w:tabs>
          <w:tab w:leader="none" w:pos="115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Authority and the same under subclauses (i)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543" w:name="page544"/>
    <w:bookmarkEnd w:id="543"/>
    <w:p>
      <w:pPr>
        <w:ind w:right="360" w:firstLine="8"/>
        <w:spacing w:after="0" w:line="277" w:lineRule="auto"/>
        <w:tabs>
          <w:tab w:leader="none" w:pos="265" w:val="left"/>
        </w:tabs>
        <w:numPr>
          <w:ilvl w:val="0"/>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are not, within ten (10) days after the occurrence thereof, discharged or stayed (whether through the posting of a bond or otherwise); provided, however, no Credit Extensions shall be made during any ten (10) day cure period; and</w:t>
      </w:r>
    </w:p>
    <w:p>
      <w:pPr>
        <w:spacing w:after="0" w:line="170" w:lineRule="exact"/>
        <w:rPr>
          <w:rFonts w:ascii="Arial" w:cs="Arial" w:eastAsia="Arial" w:hAnsi="Arial"/>
          <w:sz w:val="18"/>
          <w:szCs w:val="18"/>
          <w:color w:val="auto"/>
        </w:rPr>
      </w:pPr>
    </w:p>
    <w:p>
      <w:pPr>
        <w:ind w:right="100" w:firstLine="921"/>
        <w:spacing w:after="0" w:line="308" w:lineRule="auto"/>
        <w:tabs>
          <w:tab w:leader="none" w:pos="1168" w:val="left"/>
        </w:tabs>
        <w:numPr>
          <w:ilvl w:val="1"/>
          <w:numId w:val="475"/>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ind w:right="460" w:firstLine="456"/>
        <w:spacing w:after="0" w:line="289"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One Hundred Thousand Dollars ($100,000.00) or that could reasonably be expected to have a Material Adverse Change;</w:t>
      </w:r>
    </w:p>
    <w:p>
      <w:pPr>
        <w:spacing w:after="0" w:line="15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8.7. Judgments</w:t>
      </w:r>
      <w:r>
        <w:rPr>
          <w:rFonts w:ascii="Arial" w:cs="Arial" w:eastAsia="Arial" w:hAnsi="Arial"/>
          <w:sz w:val="16"/>
          <w:szCs w:val="16"/>
          <w:color w:val="auto"/>
        </w:rPr>
        <w:t>. One or more judgments, orders, or decrees for the payment of money in an amount, individually or in the aggregate, of at least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($100,000.00)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of its Subsidiaries or any Person acting for Borrower or any of its Subsidiaries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or any of its Subsidiaries and any creditor of Borrower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8.10. Guaranty</w:t>
      </w:r>
      <w:r>
        <w:rPr>
          <w:rFonts w:ascii="Arial" w:cs="Arial" w:eastAsia="Arial" w:hAnsi="Arial"/>
          <w:sz w:val="18"/>
          <w:szCs w:val="18"/>
          <w:color w:val="auto"/>
        </w:rPr>
        <w:t>. (a) Any Guaranty terminates or ceases for any reason to be in full force and effect; (b) any Guarantor does not perform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covenant under any Guaranty; (c) any circumstance described in Sections 8.3, 8.4, 8.5, 8.7, or 8.8 occurs with respect to any Guarantor, or (d) the liquidation, winding up, or termination of existence of any Guarantor.</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8.11. Governmental Approvals</w:t>
      </w:r>
      <w:r>
        <w:rPr>
          <w:rFonts w:ascii="Arial" w:cs="Arial" w:eastAsia="Arial" w:hAnsi="Arial"/>
          <w:sz w:val="18"/>
          <w:szCs w:val="18"/>
          <w:color w:val="auto"/>
        </w:rPr>
        <w:t>. Any Governmental Approval shall have been revoked, rescinded, suspended, modified in an adverse manner,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Collateral purported to be secured thereby, subject to no prior or equal Lien, other than Permitted Liens which are permitted to have priority in accordance with the terms of this Agreement.</w:t>
      </w:r>
    </w:p>
    <w:p>
      <w:pPr>
        <w:spacing w:after="0" w:line="325" w:lineRule="exact"/>
        <w:rPr>
          <w:sz w:val="20"/>
          <w:szCs w:val="20"/>
          <w:color w:val="auto"/>
        </w:rPr>
      </w:pPr>
    </w:p>
    <w:p>
      <w:pPr>
        <w:ind w:left="460" w:right="8800" w:hanging="452"/>
        <w:spacing w:after="0" w:line="425" w:lineRule="auto"/>
        <w:tabs>
          <w:tab w:leader="none" w:pos="449" w:val="left"/>
        </w:tabs>
        <w:numPr>
          <w:ilvl w:val="0"/>
          <w:numId w:val="4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RIGHTS AND REMEDIES </w:t>
      </w:r>
      <w:r>
        <w:rPr>
          <w:rFonts w:ascii="Arial" w:cs="Arial" w:eastAsia="Arial" w:hAnsi="Arial"/>
          <w:sz w:val="17"/>
          <w:szCs w:val="17"/>
          <w:b w:val="1"/>
          <w:bCs w:val="1"/>
          <w:color w:val="auto"/>
        </w:rPr>
        <w:t>9.1. Rights and Remedies</w:t>
      </w:r>
      <w:r>
        <w:rPr>
          <w:rFonts w:ascii="Arial" w:cs="Arial" w:eastAsia="Arial" w:hAnsi="Arial"/>
          <w:sz w:val="17"/>
          <w:szCs w:val="17"/>
          <w:color w:val="auto"/>
        </w:rPr>
        <w:t>.</w:t>
      </w: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544" w:name="page545"/>
    <w:bookmarkEnd w:id="544"/>
    <w:p>
      <w:pPr>
        <w:ind w:left="-20" w:right="100" w:firstLine="921"/>
        <w:spacing w:after="0" w:line="271" w:lineRule="auto"/>
        <w:tabs>
          <w:tab w:leader="none" w:pos="1138" w:val="left"/>
        </w:tabs>
        <w:numPr>
          <w:ilvl w:val="0"/>
          <w:numId w:val="4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left="-20" w:right="680" w:firstLine="921"/>
        <w:spacing w:after="0" w:line="308" w:lineRule="auto"/>
        <w:tabs>
          <w:tab w:leader="none" w:pos="1148" w:val="left"/>
        </w:tabs>
        <w:numPr>
          <w:ilvl w:val="0"/>
          <w:numId w:val="477"/>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1680" w:hanging="208"/>
        <w:spacing w:after="0"/>
        <w:tabs>
          <w:tab w:leader="none" w:pos="168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20" w:right="160" w:firstLine="1492"/>
        <w:spacing w:after="0" w:line="277" w:lineRule="auto"/>
        <w:tabs>
          <w:tab w:leader="none" w:pos="172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1780" w:hanging="308"/>
        <w:spacing w:after="0"/>
        <w:tabs>
          <w:tab w:leader="none" w:pos="178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 Proceeding.</w:t>
      </w:r>
    </w:p>
    <w:p>
      <w:pPr>
        <w:spacing w:after="0" w:line="225" w:lineRule="exact"/>
        <w:rPr>
          <w:rFonts w:ascii="Arial" w:cs="Arial" w:eastAsia="Arial" w:hAnsi="Arial"/>
          <w:sz w:val="18"/>
          <w:szCs w:val="18"/>
          <w:color w:val="auto"/>
        </w:rPr>
      </w:pPr>
    </w:p>
    <w:p>
      <w:pPr>
        <w:ind w:left="-20" w:right="60" w:firstLine="921"/>
        <w:spacing w:after="0" w:line="308" w:lineRule="auto"/>
        <w:tabs>
          <w:tab w:leader="none" w:pos="1138" w:val="left"/>
        </w:tabs>
        <w:numPr>
          <w:ilvl w:val="0"/>
          <w:numId w:val="477"/>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20" w:right="220" w:firstLine="1492"/>
        <w:spacing w:after="0" w:line="342" w:lineRule="auto"/>
        <w:tabs>
          <w:tab w:leader="none" w:pos="1678" w:val="left"/>
        </w:tabs>
        <w:numPr>
          <w:ilvl w:val="1"/>
          <w:numId w:val="477"/>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3" w:lineRule="exact"/>
        <w:rPr>
          <w:rFonts w:ascii="Arial" w:cs="Arial" w:eastAsia="Arial" w:hAnsi="Arial"/>
          <w:sz w:val="16"/>
          <w:szCs w:val="16"/>
          <w:color w:val="auto"/>
        </w:rPr>
      </w:pPr>
    </w:p>
    <w:p>
      <w:pPr>
        <w:ind w:left="-20" w:firstLine="1492"/>
        <w:spacing w:after="0" w:line="276" w:lineRule="auto"/>
        <w:tabs>
          <w:tab w:leader="none" w:pos="1728" w:val="left"/>
        </w:tabs>
        <w:numPr>
          <w:ilvl w:val="1"/>
          <w:numId w:val="477"/>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72" w:lineRule="exact"/>
        <w:rPr>
          <w:rFonts w:ascii="Arial" w:cs="Arial" w:eastAsia="Arial" w:hAnsi="Arial"/>
          <w:sz w:val="17"/>
          <w:szCs w:val="17"/>
          <w:color w:val="auto"/>
        </w:rPr>
      </w:pPr>
    </w:p>
    <w:p>
      <w:pPr>
        <w:ind w:left="-20" w:right="40" w:firstLine="1492"/>
        <w:spacing w:after="0" w:line="255" w:lineRule="auto"/>
        <w:tabs>
          <w:tab w:leader="none" w:pos="177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ind w:left="-20" w:right="420" w:firstLine="1492"/>
        <w:spacing w:after="0" w:line="342" w:lineRule="auto"/>
        <w:tabs>
          <w:tab w:leader="none" w:pos="1768" w:val="left"/>
        </w:tabs>
        <w:numPr>
          <w:ilvl w:val="1"/>
          <w:numId w:val="477"/>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720" w:hanging="248"/>
        <w:spacing w:after="0"/>
        <w:tabs>
          <w:tab w:leader="none" w:pos="172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545" w:name="page546"/>
    <w:bookmarkEnd w:id="545"/>
    <w:p>
      <w:pPr>
        <w:ind w:firstLine="1492"/>
        <w:spacing w:after="0" w:line="264" w:lineRule="auto"/>
        <w:tabs>
          <w:tab w:leader="none" w:pos="1788" w:val="left"/>
        </w:tabs>
        <w:numPr>
          <w:ilvl w:val="0"/>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81" w:lineRule="exact"/>
        <w:rPr>
          <w:rFonts w:ascii="Arial" w:cs="Arial" w:eastAsia="Arial" w:hAnsi="Arial"/>
          <w:sz w:val="18"/>
          <w:szCs w:val="18"/>
          <w:color w:val="auto"/>
        </w:rPr>
      </w:pPr>
    </w:p>
    <w:p>
      <w:pPr>
        <w:ind w:right="420" w:firstLine="1492"/>
        <w:spacing w:after="0" w:line="342" w:lineRule="auto"/>
        <w:tabs>
          <w:tab w:leader="none" w:pos="1838"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3" w:lineRule="exact"/>
        <w:rPr>
          <w:rFonts w:ascii="Arial" w:cs="Arial" w:eastAsia="Arial" w:hAnsi="Arial"/>
          <w:sz w:val="16"/>
          <w:szCs w:val="16"/>
          <w:color w:val="auto"/>
        </w:rPr>
      </w:pPr>
    </w:p>
    <w:p>
      <w:pPr>
        <w:ind w:right="40" w:firstLine="1492"/>
        <w:spacing w:after="0" w:line="293" w:lineRule="auto"/>
        <w:tabs>
          <w:tab w:leader="none" w:pos="1888" w:val="left"/>
        </w:tabs>
        <w:numPr>
          <w:ilvl w:val="0"/>
          <w:numId w:val="478"/>
        </w:numPr>
        <w:rPr>
          <w:rFonts w:ascii="Arial" w:cs="Arial" w:eastAsia="Arial" w:hAnsi="Arial"/>
          <w:sz w:val="16"/>
          <w:szCs w:val="16"/>
          <w:color w:val="auto"/>
        </w:rPr>
      </w:pPr>
      <w:r>
        <w:rPr>
          <w:rFonts w:ascii="Arial" w:cs="Arial" w:eastAsia="Arial" w:hAnsi="Arial"/>
          <w:sz w:val="16"/>
          <w:szCs w:val="16"/>
          <w:color w:val="auto"/>
        </w:rPr>
        <w:t>for 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and(ii) pay in advance all letter of credit fees scheduled to be paid or payable over the remaining term of any Letters of Credit; and</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the Lien Termination Date. Collateral Agent’s foregoing appointment as Borrower’s or any of its Subsidiaries’ attorney in fact, and all of Collateral Agent’s rights and powers, coupled with an interest, are irrevocable until the Lien Termination Date.</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3" w:right="259" w:bottom="1440" w:gutter="0" w:footer="0" w:header="0"/>
        </w:sectPr>
      </w:pPr>
    </w:p>
    <w:bookmarkStart w:id="546" w:name="page547"/>
    <w:bookmarkEnd w:id="546"/>
    <w:p>
      <w:pPr>
        <w:ind w:right="20" w:firstLine="45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9.4. Application of Payments and Proceeds</w:t>
      </w:r>
      <w:r>
        <w:rPr>
          <w:rFonts w:ascii="Arial" w:cs="Arial" w:eastAsia="Arial" w:hAnsi="Arial"/>
          <w:sz w:val="16"/>
          <w:szCs w:val="16"/>
          <w:color w:val="auto"/>
        </w:rPr>
        <w:t>. 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9.5. Liability for Collateral</w:t>
      </w:r>
      <w:r>
        <w:rPr>
          <w:rFonts w:ascii="Arial" w:cs="Arial" w:eastAsia="Arial" w:hAnsi="Arial"/>
          <w:sz w:val="16"/>
          <w:szCs w:val="16"/>
          <w:color w:val="auto"/>
        </w:rPr>
        <w:t>. So long as Collateral Agent and the Lenders comply with reasonable banking practices regarding the safekeeping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Collateral in the possession or under the control of Collateral Agent and the Lenders, Collateral Agent and the Lenders shall not be liable or responsible for:</w:t>
      </w:r>
    </w:p>
    <w:p>
      <w:pPr>
        <w:spacing w:after="0" w:line="32" w:lineRule="exact"/>
        <w:rPr>
          <w:sz w:val="20"/>
          <w:szCs w:val="20"/>
          <w:color w:val="auto"/>
        </w:rPr>
      </w:pPr>
    </w:p>
    <w:p>
      <w:pPr>
        <w:ind w:firstLine="8"/>
        <w:spacing w:after="0" w:line="261" w:lineRule="auto"/>
        <w:tabs>
          <w:tab w:leader="none" w:pos="24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 Failure by Collateral Agent or any Lender, at any time or times, to require strict performance by Borrower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0" w:right="299" w:bottom="1440" w:gutter="0" w:footer="0" w:header="0"/>
        </w:sectPr>
      </w:pPr>
    </w:p>
    <w:bookmarkStart w:id="547" w:name="page548"/>
    <w:bookmarkEnd w:id="54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compromise, settlement, extension, or renewal of accounts, documents, instruments, chattel paper, and guarantees held by Collateral Agent or any Lender on which Borrower or any Subsidiary is liable.</w:t>
      </w:r>
    </w:p>
    <w:p>
      <w:pPr>
        <w:spacing w:after="0" w:line="315"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ind w:firstLine="8"/>
        <w:spacing w:after="0" w:line="252" w:lineRule="auto"/>
        <w:tabs>
          <w:tab w:leader="none" w:pos="25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facsimile transmission, provided however, that if such transmission is not on a Business Day, on the next Business Day after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221"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7"/>
          <w:szCs w:val="17"/>
          <w:color w:val="auto"/>
        </w:rPr>
        <w:t>ANAPTYSBIO, INC.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366-9055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hsuria@anaptysbio.com</w:t>
      </w:r>
    </w:p>
    <w:p>
      <w:pPr>
        <w:sectPr>
          <w:pgSz w:w="11900" w:h="16838" w:orient="portrait"/>
          <w:cols w:equalWidth="0" w:num="1">
            <w:col w:w="11360"/>
          </w:cols>
          <w:pgMar w:left="240" w:top="273" w:right="299" w:bottom="1440" w:gutter="0" w:footer="0" w:header="0"/>
        </w:sectPr>
      </w:pPr>
    </w:p>
    <w:p>
      <w:pPr>
        <w:spacing w:after="0" w:line="116"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mrossiter@fenwick.com</w:t>
      </w:r>
    </w:p>
    <w:p>
      <w:pPr>
        <w:spacing w:after="0" w:line="139" w:lineRule="exact"/>
        <w:rPr>
          <w:sz w:val="20"/>
          <w:szCs w:val="20"/>
          <w:color w:val="auto"/>
        </w:rPr>
      </w:pPr>
    </w:p>
    <w:p>
      <w:pPr>
        <w:sectPr>
          <w:pgSz w:w="11900" w:h="16838" w:orient="portrait"/>
          <w:cols w:equalWidth="0" w:num="2">
            <w:col w:w="3080" w:space="720"/>
            <w:col w:w="7560"/>
          </w:cols>
          <w:pgMar w:left="240" w:top="273" w:right="299" w:bottom="1440" w:gutter="0" w:footer="0" w:header="0"/>
          <w:type w:val="continuous"/>
        </w:sectPr>
      </w:pPr>
    </w:p>
    <w:p>
      <w:pPr>
        <w:ind w:left="920"/>
        <w:spacing w:after="0"/>
        <w:tabs>
          <w:tab w:leader="none" w:pos="378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OXFORD FINANCE LLC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Alexandria, Virginia 22314</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(703) 519-5225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LegalDepartment@oxfordfinance.com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8"/>
          <w:szCs w:val="18"/>
          <w:color w:val="auto"/>
        </w:rPr>
        <w:t>SILICON VALLEY BANK</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4370 La Jolla Village Drive, Suite 1050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92122</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Michael White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784-3310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mwhite@svb.com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(which shall not</w:t>
      </w:r>
      <w:r>
        <w:rPr>
          <w:sz w:val="20"/>
          <w:szCs w:val="20"/>
          <w:color w:val="auto"/>
        </w:rPr>
        <w:tab/>
      </w:r>
      <w:r>
        <w:rPr>
          <w:rFonts w:ascii="Arial" w:cs="Arial" w:eastAsia="Arial" w:hAnsi="Arial"/>
          <w:sz w:val="17"/>
          <w:szCs w:val="17"/>
          <w:color w:val="auto"/>
        </w:rPr>
        <w:t>Cooley LLP</w:t>
      </w:r>
    </w:p>
    <w:p>
      <w:pPr>
        <w:spacing w:after="0" w:line="23"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6"/>
          <w:szCs w:val="16"/>
          <w:color w:val="auto"/>
        </w:rPr>
        <w:t>4401 Eastgate Mall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George Samuel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550 6420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gsamuel@cooley.com</w:t>
      </w:r>
    </w:p>
    <w:p>
      <w:pPr>
        <w:spacing w:after="0" w:line="369" w:lineRule="exact"/>
        <w:rPr>
          <w:sz w:val="20"/>
          <w:szCs w:val="20"/>
          <w:color w:val="auto"/>
        </w:rPr>
      </w:pPr>
    </w:p>
    <w:p>
      <w:pPr>
        <w:ind w:left="460" w:hanging="452"/>
        <w:spacing w:after="0"/>
        <w:tabs>
          <w:tab w:leader="none" w:pos="46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California law governs the Loan Documents without regard to principles of conflicts of law. Borrower, Collateral Agent and each Lender each submit to the exclusive jurisdiction of the State and Federal courts in Santa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3" w:right="299" w:bottom="1440" w:gutter="0" w:footer="0" w:header="0"/>
          <w:type w:val="continuous"/>
        </w:sectPr>
      </w:pPr>
    </w:p>
    <w:bookmarkStart w:id="548" w:name="page549"/>
    <w:bookmarkEnd w:id="54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8"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336" w:lineRule="exact"/>
        <w:rPr>
          <w:sz w:val="20"/>
          <w:szCs w:val="20"/>
          <w:color w:val="auto"/>
        </w:rPr>
      </w:pPr>
    </w:p>
    <w:p>
      <w:pPr>
        <w:ind w:left="460" w:hanging="452"/>
        <w:spacing w:after="0"/>
        <w:tabs>
          <w:tab w:leader="none" w:pos="46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549" w:name="page550"/>
    <w:bookmarkEnd w:id="54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12.5. Correction of Loan Documents</w:t>
      </w:r>
      <w:r>
        <w:rPr>
          <w:rFonts w:ascii="Arial" w:cs="Arial" w:eastAsia="Arial" w:hAnsi="Arial"/>
          <w:sz w:val="18"/>
          <w:szCs w:val="18"/>
          <w:color w:val="auto"/>
        </w:rPr>
        <w:t>. 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12.6. Amendments in Writing; Integration</w:t>
      </w:r>
      <w:r>
        <w:rPr>
          <w:rFonts w:ascii="Arial" w:cs="Arial" w:eastAsia="Arial" w:hAnsi="Arial"/>
          <w:sz w:val="17"/>
          <w:szCs w:val="17"/>
          <w:color w:val="auto"/>
        </w:rPr>
        <w:t>. (a) No amendment, modification, termination or waiver of any provision of this Agreement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700" w:firstLine="1492"/>
        <w:spacing w:after="0" w:line="277" w:lineRule="auto"/>
        <w:tabs>
          <w:tab w:leader="none" w:pos="1698" w:val="left"/>
        </w:tabs>
        <w:numPr>
          <w:ilvl w:val="0"/>
          <w:numId w:val="484"/>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748" w:val="left"/>
        </w:tabs>
        <w:numPr>
          <w:ilvl w:val="0"/>
          <w:numId w:val="484"/>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550" w:name="page551"/>
    <w:bookmarkEnd w:id="550"/>
    <w:p>
      <w:pPr>
        <w:ind w:firstLine="1492"/>
        <w:spacing w:after="0" w:line="285" w:lineRule="auto"/>
        <w:tabs>
          <w:tab w:leader="none" w:pos="1798" w:val="left"/>
        </w:tabs>
        <w:numPr>
          <w:ilvl w:val="1"/>
          <w:numId w:val="4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7" w:lineRule="exact"/>
        <w:rPr>
          <w:rFonts w:ascii="Arial" w:cs="Arial" w:eastAsia="Arial" w:hAnsi="Arial"/>
          <w:sz w:val="16"/>
          <w:szCs w:val="16"/>
          <w:color w:val="auto"/>
        </w:rPr>
      </w:pPr>
    </w:p>
    <w:p>
      <w:pPr>
        <w:jc w:val="both"/>
        <w:ind w:right="160" w:firstLine="1492"/>
        <w:spacing w:after="0" w:line="264" w:lineRule="auto"/>
        <w:tabs>
          <w:tab w:leader="none" w:pos="1788"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620" w:firstLine="921"/>
        <w:spacing w:after="0" w:line="264" w:lineRule="auto"/>
        <w:tabs>
          <w:tab w:leader="none" w:pos="115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12.7.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the Lien Termination Date has occurred. Without limiting the foregoing, except as otherwise provided in Section 4.1, the grant of security interest by Borrower in Section 4.1 shall survive until the termination of all Bank Services Agreements.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551" w:name="page552"/>
    <w:bookmarkEnd w:id="55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7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12.10. Right of Set Off</w:t>
      </w:r>
      <w:r>
        <w:rPr>
          <w:rFonts w:ascii="Arial" w:cs="Arial" w:eastAsia="Arial" w:hAnsi="Arial"/>
          <w:sz w:val="17"/>
          <w:szCs w:val="17"/>
          <w:color w:val="auto"/>
        </w:rPr>
        <w:t>. Borrower hereby grants to Collateral Agent and to each Lender, a lien, security interest and right of set off as security for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12.11. Silicon Valley Bank as Agent. </w:t>
      </w:r>
      <w:r>
        <w:rPr>
          <w:rFonts w:ascii="Arial" w:cs="Arial" w:eastAsia="Arial" w:hAnsi="Arial"/>
          <w:sz w:val="18"/>
          <w:szCs w:val="18"/>
          <w:color w:val="auto"/>
        </w:rPr>
        <w:t>Collateral Agent hereby appoints SVB as its agent (and SVB hereby accepts such appointment)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perfecting Collateral Agent’s Liens in assets which, in accordance with Article 8 or Article 9, as applicable, of the Code can be perfected by possession or control, including without limitation, all deposit accounts maintained at SVB.</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12.12. Cooperation of Borrower</w:t>
      </w:r>
      <w:r>
        <w:rPr>
          <w:rFonts w:ascii="Arial" w:cs="Arial" w:eastAsia="Arial" w:hAnsi="Arial"/>
          <w:sz w:val="16"/>
          <w:szCs w:val="16"/>
          <w:color w:val="auto"/>
        </w:rPr>
        <w:t>. If necessary, Borrower agrees to (i) execute any documents (including new Secured Promissory Notes)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effectuate and acknowledge each assignment of a Term Loan Commitment or Loan to an assignee in accordance with Section 12.1, (ii) make Borrower’s management available to meet with Collateral Agent and prospective participants and assignees of Term Loan Commitments or Credit Extensions (which meetings shall be conducted no more often once every six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09"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52" w:name="page553"/>
    <w:bookmarkEnd w:id="5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February 1, 2016, but if the Term B Loans are advanced, such date shall be August 1, 2016 and if the Term C Loans are advanced, such date shall be February 1, 2017.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3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Australia Subsidiary</w:t>
      </w:r>
      <w:r>
        <w:rPr>
          <w:rFonts w:ascii="Arial" w:cs="Arial" w:eastAsia="Arial" w:hAnsi="Arial"/>
          <w:sz w:val="17"/>
          <w:szCs w:val="17"/>
          <w:color w:val="auto"/>
        </w:rPr>
        <w:t>” means that certain Subsidiary of Borrower to be formed under the laws of Australia in accordance with the provisions of this Agreement and based substantially on the terms and conditions as provided to Collateral Agent and Lenders in writing as of the date hereof.</w:t>
      </w:r>
    </w:p>
    <w:p>
      <w:pPr>
        <w:spacing w:after="0" w:line="13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is, with respect to a Term Loan, the per annum rate of interest (based on a year of three hundred sixty (360) days) equal to the greater of</w:t>
      </w:r>
    </w:p>
    <w:p>
      <w:pPr>
        <w:spacing w:after="0" w:line="50" w:lineRule="exact"/>
        <w:rPr>
          <w:sz w:val="20"/>
          <w:szCs w:val="20"/>
          <w:color w:val="auto"/>
        </w:rPr>
      </w:pPr>
    </w:p>
    <w:p>
      <w:pPr>
        <w:ind w:left="220" w:hanging="212"/>
        <w:spacing w:after="0"/>
        <w:tabs>
          <w:tab w:leader="none" w:pos="22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six and ninety five hundredths percent (6.95%) and (ii) the sum of (a) the three (3) month U.S. LIBOR rate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three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(3) Business Days prior to the Funding Date of such Term Loan (which shall not, in any case, be less than twenty three hundredths percent (0.23%), plus</w:t>
      </w:r>
    </w:p>
    <w:p>
      <w:pPr>
        <w:spacing w:after="0" w:line="32" w:lineRule="exact"/>
        <w:rPr>
          <w:rFonts w:ascii="Arial" w:cs="Arial" w:eastAsia="Arial" w:hAnsi="Arial"/>
          <w:sz w:val="17"/>
          <w:szCs w:val="17"/>
          <w:color w:val="auto"/>
        </w:rPr>
      </w:pPr>
    </w:p>
    <w:p>
      <w:pPr>
        <w:ind w:left="260" w:hanging="252"/>
        <w:spacing w:after="0"/>
        <w:tabs>
          <w:tab w:leader="none" w:pos="2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six and seventy two hundredths percent (6.72%).</w:t>
      </w:r>
    </w:p>
    <w:p>
      <w:pPr>
        <w:spacing w:after="0" w:line="20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spacing w:after="0" w:line="1" w:lineRule="exact"/>
        <w:rPr>
          <w:sz w:val="20"/>
          <w:szCs w:val="20"/>
          <w:color w:val="auto"/>
        </w:rPr>
      </w:pPr>
    </w:p>
    <w:p>
      <w:pPr>
        <w:ind w:right="600" w:firstLine="8"/>
        <w:spacing w:after="0" w:line="255" w:lineRule="auto"/>
        <w:tabs>
          <w:tab w:leader="none" w:pos="24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9" w:right="239" w:bottom="1440" w:gutter="0" w:footer="0" w:header="0"/>
        </w:sectPr>
      </w:pPr>
    </w:p>
    <w:bookmarkStart w:id="553" w:name="page554"/>
    <w:bookmarkEnd w:id="5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7"/>
          <w:szCs w:val="17"/>
          <w:b w:val="1"/>
          <w:bCs w:val="1"/>
          <w:color w:val="auto"/>
        </w:rPr>
        <w:t>Auction Rate Security</w:t>
      </w:r>
      <w:r>
        <w:rPr>
          <w:rFonts w:ascii="Arial" w:cs="Arial" w:eastAsia="Arial" w:hAnsi="Arial"/>
          <w:sz w:val="17"/>
          <w:szCs w:val="17"/>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69" w:right="259" w:bottom="1440" w:gutter="0" w:footer="0" w:header="0"/>
        </w:sectPr>
      </w:pPr>
    </w:p>
    <w:bookmarkStart w:id="554" w:name="page555"/>
    <w:bookmarkEnd w:id="554"/>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IP</w:t>
      </w:r>
      <w:r>
        <w:rPr>
          <w:rFonts w:ascii="Arial" w:cs="Arial" w:eastAsia="Arial" w:hAnsi="Arial"/>
          <w:sz w:val="18"/>
          <w:szCs w:val="18"/>
          <w:color w:val="auto"/>
        </w:rPr>
        <w:t>” means Intellectual Property required to protect Borrower’s (i) existing somatic hypermutation technology platform as utilized on an on-going basis for antibody development, (ii) antibody product programs actively being pursued as part of the company’s internal or partnered pipeline, including but without limitation the anti-IL-33 and anti-IL-36R antibody programs, and (iii) future acquired or developed Intellectual Property that is material to Borrower’s then-current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XXXX046061, maintained with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555" w:name="page556"/>
    <w:bookmarkEnd w:id="555"/>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w:t>
      </w:r>
    </w:p>
    <w:p>
      <w:pPr>
        <w:spacing w:after="0" w:line="2" w:lineRule="exact"/>
        <w:rPr>
          <w:sz w:val="20"/>
          <w:szCs w:val="20"/>
          <w:color w:val="auto"/>
        </w:rPr>
      </w:pPr>
    </w:p>
    <w:p>
      <w:pPr>
        <w:ind w:right="80" w:firstLine="8"/>
        <w:spacing w:after="0" w:line="268" w:lineRule="auto"/>
        <w:tabs>
          <w:tab w:leader="none" w:pos="215" w:val="left"/>
        </w:tabs>
        <w:numPr>
          <w:ilvl w:val="0"/>
          <w:numId w:val="491"/>
        </w:numPr>
        <w:rPr>
          <w:rFonts w:ascii="Arial" w:cs="Arial" w:eastAsia="Arial" w:hAnsi="Arial"/>
          <w:sz w:val="17"/>
          <w:szCs w:val="17"/>
          <w:color w:val="auto"/>
        </w:rPr>
      </w:pPr>
      <w:r>
        <w:rPr>
          <w:rFonts w:ascii="Arial" w:cs="Arial" w:eastAsia="Arial" w:hAnsi="Arial"/>
          <w:sz w:val="17"/>
          <w:szCs w:val="17"/>
          <w:color w:val="auto"/>
        </w:rPr>
        <w:t>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five percent (5.00%).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or territory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556" w:name="page557"/>
    <w:bookmarkEnd w:id="556"/>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160" w:hanging="239"/>
        <w:spacing w:after="0"/>
        <w:tabs>
          <w:tab w:leader="none" w:pos="11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160" w:hanging="239"/>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40" w:firstLine="921"/>
        <w:spacing w:after="0" w:line="308" w:lineRule="auto"/>
        <w:tabs>
          <w:tab w:leader="none" w:pos="1158" w:val="left"/>
        </w:tabs>
        <w:numPr>
          <w:ilvl w:val="0"/>
          <w:numId w:val="493"/>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 Patents.</w:t>
      </w:r>
    </w:p>
    <w:p>
      <w:pPr>
        <w:spacing w:after="0" w:line="146" w:lineRule="exact"/>
        <w:rPr>
          <w:rFonts w:ascii="Arial" w:cs="Arial" w:eastAsia="Arial" w:hAnsi="Arial"/>
          <w:sz w:val="17"/>
          <w:szCs w:val="17"/>
          <w:color w:val="auto"/>
        </w:rPr>
      </w:pPr>
    </w:p>
    <w:p>
      <w:pPr>
        <w:ind w:left="1140" w:hanging="219"/>
        <w:spacing w:after="0"/>
        <w:tabs>
          <w:tab w:leader="none" w:pos="11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3" w:right="319" w:bottom="1440" w:gutter="0" w:footer="0" w:header="0"/>
        </w:sectPr>
      </w:pPr>
    </w:p>
    <w:bookmarkStart w:id="557" w:name="page558"/>
    <w:bookmarkEnd w:id="557"/>
    <w:p>
      <w:pPr>
        <w:ind w:right="16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Hamza Suria as of the Effective Date and (ii) Chief Development Officer, who is Marco Londei as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 Termination Date</w:t>
      </w:r>
      <w:r>
        <w:rPr>
          <w:rFonts w:ascii="Arial" w:cs="Arial" w:eastAsia="Arial" w:hAnsi="Arial"/>
          <w:sz w:val="18"/>
          <w:szCs w:val="18"/>
          <w:color w:val="auto"/>
        </w:rPr>
        <w:t>” means the date upon which all Obligations (other than inchoate indemnity obligations and any other obligations which, by their terms, are to survive the termination of this Agreement) have been satisfied in full, and Collateral Agent and the Lenders are under no further obligation to make Credit Extensions hereunder, and the Collateral Agent is obligated to terminate the Liens on the Collateral granted under this Agreement pursuant to Section 4.2(b) or 4.2(c).</w:t>
      </w:r>
    </w:p>
    <w:p>
      <w:pPr>
        <w:spacing w:after="0" w:line="180"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adverse change in the business, operations or condition (financial or otherwise) or prospects of Borrower or any Subsidiary; or (c) a material impairment of the prospect of repayment of any portion of the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January 1, 2019.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Non-Core IP</w:t>
      </w:r>
      <w:r>
        <w:rPr>
          <w:rFonts w:ascii="Arial" w:cs="Arial" w:eastAsia="Arial" w:hAnsi="Arial"/>
          <w:sz w:val="18"/>
          <w:szCs w:val="18"/>
          <w:color w:val="auto"/>
        </w:rPr>
        <w:t>” means Borrower’s Intellectual Property that is not Core IP.</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Prepayment Fee, the Final Payment, and other amounts Borrower owes the Lenders now or later, in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69" w:right="259" w:bottom="1440" w:gutter="0" w:footer="0" w:header="0"/>
        </w:sectPr>
      </w:pPr>
    </w:p>
    <w:bookmarkStart w:id="558" w:name="page559"/>
    <w:bookmarkEnd w:id="55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4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160" w:hanging="239"/>
        <w:spacing w:after="0"/>
        <w:tabs>
          <w:tab w:leader="none" w:pos="11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firstLine="921"/>
        <w:spacing w:after="0" w:line="297" w:lineRule="auto"/>
        <w:tabs>
          <w:tab w:leader="none" w:pos="1158"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 and</w:t>
      </w:r>
    </w:p>
    <w:p>
      <w:pPr>
        <w:spacing w:after="0" w:line="236" w:lineRule="exact"/>
        <w:rPr>
          <w:rFonts w:ascii="Arial" w:cs="Arial" w:eastAsia="Arial" w:hAnsi="Arial"/>
          <w:sz w:val="17"/>
          <w:szCs w:val="17"/>
          <w:color w:val="auto"/>
        </w:rPr>
      </w:pPr>
    </w:p>
    <w:p>
      <w:pPr>
        <w:ind w:firstLine="921"/>
        <w:spacing w:after="0" w:line="264" w:lineRule="auto"/>
        <w:tabs>
          <w:tab w:leader="none" w:pos="1168"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559" w:name="page560"/>
    <w:bookmarkEnd w:id="5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160" w:hanging="239"/>
        <w:spacing w:after="0"/>
        <w:tabs>
          <w:tab w:leader="none" w:pos="11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right="500" w:firstLine="921"/>
        <w:spacing w:after="0" w:line="342" w:lineRule="auto"/>
        <w:tabs>
          <w:tab w:leader="none" w:pos="1168" w:val="left"/>
        </w:tabs>
        <w:numPr>
          <w:ilvl w:val="0"/>
          <w:numId w:val="495"/>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ind w:right="80" w:firstLine="921"/>
        <w:spacing w:after="0" w:line="259" w:lineRule="auto"/>
        <w:tabs>
          <w:tab w:leader="none" w:pos="1138"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Twenty Five Thousand Dollars ($25,000.00) in the aggregate for (i) and (ii) in any fiscal year;</w:t>
      </w:r>
    </w:p>
    <w:p>
      <w:pPr>
        <w:spacing w:after="0" w:line="186" w:lineRule="exact"/>
        <w:rPr>
          <w:rFonts w:ascii="Arial" w:cs="Arial" w:eastAsia="Arial" w:hAnsi="Arial"/>
          <w:sz w:val="18"/>
          <w:szCs w:val="18"/>
          <w:color w:val="auto"/>
        </w:rPr>
      </w:pPr>
    </w:p>
    <w:p>
      <w:pPr>
        <w:ind w:right="520" w:firstLine="921"/>
        <w:spacing w:after="0" w:line="308" w:lineRule="auto"/>
        <w:tabs>
          <w:tab w:leader="none" w:pos="1168" w:val="left"/>
        </w:tabs>
        <w:numPr>
          <w:ilvl w:val="0"/>
          <w:numId w:val="495"/>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620" w:firstLine="921"/>
        <w:spacing w:after="0" w:line="342" w:lineRule="auto"/>
        <w:tabs>
          <w:tab w:leader="none" w:pos="1168" w:val="left"/>
        </w:tabs>
        <w:numPr>
          <w:ilvl w:val="0"/>
          <w:numId w:val="495"/>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 and</w:t>
      </w:r>
    </w:p>
    <w:p>
      <w:pPr>
        <w:spacing w:after="0" w:line="123" w:lineRule="exact"/>
        <w:rPr>
          <w:rFonts w:ascii="Arial" w:cs="Arial" w:eastAsia="Arial" w:hAnsi="Arial"/>
          <w:sz w:val="16"/>
          <w:szCs w:val="16"/>
          <w:color w:val="auto"/>
        </w:rPr>
      </w:pPr>
    </w:p>
    <w:p>
      <w:pPr>
        <w:ind w:right="340" w:firstLine="921"/>
        <w:spacing w:after="0" w:line="277" w:lineRule="auto"/>
        <w:tabs>
          <w:tab w:leader="none" w:pos="1128"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are (A) licenses of over-the-counter software that is commercially available to the public, and (B) non-exclusive and exclusive licenses for the use of the Intellectual Property of Borrower or any of its Subsidiaries entered into in the ordinary course of business or which constitute licenses approved by Borrower’s Board of Directors (whether in the ordinary course of business or otherwise), provided, that, with respect to each such license described in clause (B), (i) no Event of Default has occurred or is continuing at the time of such license and there is no breach of this Agreement as a consequence of entering into such license; (ii) the license constitutes an arms-length transaction, the terms of which, on their face, do not provide for a sale or assignment of any Core IP and do not restrict the ability of Borrower or any of its Subsidiaries, as applicable, to pledge, grant a security interest in or lien on, or assign or otherwise Transfer any Core IP; (iii) in the case of any exclusive license, (x) Borrower delivers written notice within thirty (30) days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with respect to Core IP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560" w:name="page561"/>
    <w:bookmarkEnd w:id="5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Liens existing on the Effective Date and disclosed on the Perfection Certificates or arising under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240" w:firstLine="921"/>
        <w:spacing w:after="0" w:line="264" w:lineRule="auto"/>
        <w:tabs>
          <w:tab w:leader="none" w:pos="1168" w:val="left"/>
        </w:tabs>
        <w:numPr>
          <w:ilvl w:val="0"/>
          <w:numId w:val="496"/>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7" w:lineRule="exact"/>
        <w:rPr>
          <w:rFonts w:ascii="Arial" w:cs="Arial" w:eastAsia="Arial" w:hAnsi="Arial"/>
          <w:sz w:val="18"/>
          <w:szCs w:val="18"/>
          <w:color w:val="auto"/>
        </w:rPr>
      </w:pPr>
    </w:p>
    <w:p>
      <w:pPr>
        <w:jc w:val="both"/>
        <w:ind w:right="20" w:firstLine="921"/>
        <w:spacing w:after="0" w:line="281" w:lineRule="auto"/>
        <w:tabs>
          <w:tab w:leader="none" w:pos="1158" w:val="left"/>
        </w:tabs>
        <w:numPr>
          <w:ilvl w:val="0"/>
          <w:numId w:val="496"/>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jc w:val="both"/>
        <w:ind w:firstLine="921"/>
        <w:spacing w:after="0" w:line="259" w:lineRule="auto"/>
        <w:tabs>
          <w:tab w:leader="none" w:pos="1168" w:val="left"/>
        </w:tabs>
        <w:numPr>
          <w:ilvl w:val="0"/>
          <w:numId w:val="496"/>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496"/>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40" w:firstLine="921"/>
        <w:spacing w:after="0" w:line="342" w:lineRule="auto"/>
        <w:tabs>
          <w:tab w:leader="none" w:pos="1138" w:val="left"/>
        </w:tabs>
        <w:numPr>
          <w:ilvl w:val="0"/>
          <w:numId w:val="496"/>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(c),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23" w:lineRule="exact"/>
        <w:rPr>
          <w:rFonts w:ascii="Arial" w:cs="Arial" w:eastAsia="Arial" w:hAnsi="Arial"/>
          <w:sz w:val="16"/>
          <w:szCs w:val="16"/>
          <w:color w:val="auto"/>
        </w:rPr>
      </w:pPr>
    </w:p>
    <w:p>
      <w:pPr>
        <w:ind w:right="100" w:firstLine="921"/>
        <w:spacing w:after="0" w:line="279" w:lineRule="auto"/>
        <w:tabs>
          <w:tab w:leader="none" w:pos="1168" w:val="left"/>
        </w:tabs>
        <w:numPr>
          <w:ilvl w:val="0"/>
          <w:numId w:val="496"/>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ind w:firstLine="921"/>
        <w:spacing w:after="0" w:line="264" w:lineRule="auto"/>
        <w:tabs>
          <w:tab w:leader="none" w:pos="1168"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 and</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Closing Letter</w:t>
      </w:r>
      <w:r>
        <w:rPr>
          <w:rFonts w:ascii="Arial" w:cs="Arial" w:eastAsia="Arial" w:hAnsi="Arial"/>
          <w:sz w:val="18"/>
          <w:szCs w:val="18"/>
          <w:color w:val="auto"/>
        </w:rPr>
        <w:t>” is that certain Post Closing Letter dated as of the Effective Date by and between Collateral Agent and Borrower.</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69" w:right="279" w:bottom="1440" w:gutter="0" w:footer="0" w:header="0"/>
        </w:sectPr>
      </w:pPr>
    </w:p>
    <w:bookmarkStart w:id="561" w:name="page562"/>
    <w:bookmarkEnd w:id="561"/>
    <w:p>
      <w:pPr>
        <w:ind w:right="8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300" w:firstLine="1492"/>
        <w:spacing w:after="0" w:line="277" w:lineRule="auto"/>
        <w:tabs>
          <w:tab w:leader="none" w:pos="169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(3.00%) of the principal amount of such Term Loan prepaid;</w:t>
      </w:r>
    </w:p>
    <w:p>
      <w:pPr>
        <w:spacing w:after="0" w:line="170" w:lineRule="exact"/>
        <w:rPr>
          <w:rFonts w:ascii="Arial" w:cs="Arial" w:eastAsia="Arial" w:hAnsi="Arial"/>
          <w:sz w:val="18"/>
          <w:szCs w:val="18"/>
          <w:color w:val="auto"/>
        </w:rPr>
      </w:pPr>
    </w:p>
    <w:p>
      <w:pPr>
        <w:ind w:right="520" w:firstLine="1492"/>
        <w:spacing w:after="0" w:line="342" w:lineRule="auto"/>
        <w:tabs>
          <w:tab w:leader="none" w:pos="1748" w:val="left"/>
        </w:tabs>
        <w:numPr>
          <w:ilvl w:val="0"/>
          <w:numId w:val="497"/>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(2.00%) of the principal amount of the Term Loans prepaid; and</w:t>
      </w:r>
    </w:p>
    <w:p>
      <w:pPr>
        <w:spacing w:after="0" w:line="123" w:lineRule="exact"/>
        <w:rPr>
          <w:rFonts w:ascii="Arial" w:cs="Arial" w:eastAsia="Arial" w:hAnsi="Arial"/>
          <w:sz w:val="16"/>
          <w:szCs w:val="16"/>
          <w:color w:val="auto"/>
        </w:rPr>
      </w:pPr>
    </w:p>
    <w:p>
      <w:pPr>
        <w:ind w:right="180" w:firstLine="1492"/>
        <w:spacing w:after="0" w:line="277" w:lineRule="auto"/>
        <w:tabs>
          <w:tab w:leader="none" w:pos="179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and prior to the Maturity Date, one percent (1.00%) of the principal amount of the Term Loans prepaid.</w:t>
      </w:r>
    </w:p>
    <w:p>
      <w:pPr>
        <w:spacing w:after="0" w:line="16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7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date of the occurrence of the Term B Draw Event and ending on the earlier of</w:t>
      </w:r>
    </w:p>
    <w:p>
      <w:pPr>
        <w:spacing w:after="0" w:line="27" w:lineRule="exact"/>
        <w:rPr>
          <w:sz w:val="20"/>
          <w:szCs w:val="20"/>
          <w:color w:val="auto"/>
        </w:rPr>
      </w:pPr>
    </w:p>
    <w:p>
      <w:pPr>
        <w:ind w:right="180" w:firstLine="8"/>
        <w:spacing w:after="0" w:line="261" w:lineRule="auto"/>
        <w:tabs>
          <w:tab w:leader="none" w:pos="21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December 31, 2015 and (ii) the occurrence of an Event of Default; provided, however, that the Second Draw Period shall not commence if on the date of the occurrence of the Term B Draw Event an Event of Default has occurred and is continuing.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562" w:name="page563"/>
    <w:bookmarkEnd w:id="562"/>
    <w:p>
      <w:pPr>
        <w:ind w:right="2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is defined in Section 2.2(a)(iii) hereof.</w:t>
      </w:r>
    </w:p>
    <w:p>
      <w:pPr>
        <w:spacing w:after="0" w:line="225"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Draw Event</w:t>
      </w:r>
      <w:r>
        <w:rPr>
          <w:rFonts w:ascii="Arial" w:cs="Arial" w:eastAsia="Arial" w:hAnsi="Arial"/>
          <w:sz w:val="18"/>
          <w:szCs w:val="18"/>
          <w:color w:val="auto"/>
        </w:rPr>
        <w:t>” means the receipt by Collateral Agent and Lenders of evidence, in form and substance satisfactory to Collateral Agent and Lenders, of Borrower completing the first multi-dose PK/toxicology study relating to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Draw Event</w:t>
      </w:r>
      <w:r>
        <w:rPr>
          <w:rFonts w:ascii="Arial" w:cs="Arial" w:eastAsia="Arial" w:hAnsi="Arial"/>
          <w:sz w:val="18"/>
          <w:szCs w:val="18"/>
          <w:color w:val="auto"/>
        </w:rPr>
        <w:t>” means the receipt by Collateral Agent and Lenders of evidence, in form and substance satisfactory to Collateral Agent and Lenders, of Borrower receiving FDA approval on IND submission on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is, for any Lender, the obligation of such Lender to make a Term Loan, up to the principal amount shown on </w:t>
      </w:r>
      <w:r>
        <w:rPr>
          <w:rFonts w:ascii="Arial" w:cs="Arial" w:eastAsia="Arial" w:hAnsi="Arial"/>
          <w:sz w:val="16"/>
          <w:szCs w:val="16"/>
          <w:u w:val="single" w:color="auto"/>
          <w:color w:val="auto"/>
        </w:rPr>
        <w:t>Schedule 1.1</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207" w:lineRule="exact"/>
        <w:rPr>
          <w:sz w:val="20"/>
          <w:szCs w:val="20"/>
          <w:color w:val="auto"/>
        </w:rPr>
      </w:pPr>
    </w:p>
    <w:p>
      <w:pPr>
        <w:jc w:val="both"/>
        <w:ind w:right="2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commencing on the date of the occurrence of the later of (i) the making of Term B Loans in accordance with the terms of this Agreement and (ii) the Term C Draw Event and ending on the earlier of (i) December 31, 2016 and (ii) the occurrence of an Event of Default; provided, however, that the Third Draw Period shall not commence if on the date of the occurrence of the later of (i) the advance of the Term B Loans and (ii) the Term C Draw Event, an Event of Default has occurred and is continuing.</w:t>
      </w:r>
    </w:p>
    <w:p>
      <w:pPr>
        <w:spacing w:after="0" w:line="18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69" w:right="259" w:bottom="1440" w:gutter="0" w:footer="0" w:header="0"/>
        </w:sectPr>
      </w:pPr>
    </w:p>
    <w:bookmarkStart w:id="563" w:name="page564"/>
    <w:bookmarkEnd w:id="56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 OXFORD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Finance, Secretary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564" w:name="page565"/>
    <w:bookmarkEnd w:id="5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B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C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Aggregate (all Term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7,500,000.00</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7,500,000.00</w:t>
            </w:r>
          </w:p>
        </w:tc>
        <w:tc>
          <w:tcPr>
            <w:tcW w:w="102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15,000,000.00</w:t>
            </w:r>
          </w:p>
        </w:tc>
        <w:tc>
          <w:tcPr>
            <w:tcW w:w="10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565" w:name="page566"/>
    <w:bookmarkEnd w:id="5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420"/>
          </w:cols>
          <w:pgMar w:left="240" w:top="269" w:right="239" w:bottom="1440" w:gutter="0" w:footer="0" w:header="0"/>
        </w:sectPr>
      </w:pPr>
    </w:p>
    <w:bookmarkStart w:id="566" w:name="page567"/>
    <w:bookmarkEnd w:id="5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567" w:name="page568"/>
    <w:bookmarkEnd w:id="56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LETTER</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of ANAPTYSBIO, INC., a Delaware corporation with offices located at 10421 Pacific</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Center Court, Suite 200, San Diego, CA 92121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November , 2014,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0" w:lineRule="exact"/>
        <w:rPr>
          <w:sz w:val="20"/>
          <w:szCs w:val="20"/>
          <w:color w:val="auto"/>
        </w:rPr>
      </w:pPr>
    </w:p>
    <w:p>
      <w:pPr>
        <w:ind w:firstLine="464"/>
        <w:spacing w:after="0" w:line="277" w:lineRule="auto"/>
        <w:tabs>
          <w:tab w:leader="none" w:pos="63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260"/>
          </w:cols>
          <w:pgMar w:left="240" w:top="269" w:right="399" w:bottom="1440" w:gutter="0" w:footer="0" w:header="0"/>
        </w:sectPr>
      </w:pPr>
    </w:p>
    <w:bookmarkStart w:id="568" w:name="page569"/>
    <w:bookmarkEnd w:id="568"/>
    <w:tbl>
      <w:tblPr>
        <w:tblLayout w:type="fixed"/>
        <w:tblInd w:w="452"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7. The proceeds of the Term [A][B][C] Loan shall be disbursed as follows: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--Lender’s Legal Fees</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Disbursement from SVB:</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SVB:</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TOTAL TERM [A][B][C] LOAN NET PROCEEDS FROM LENDERS</w:t>
            </w:r>
          </w:p>
        </w:tc>
        <w:tc>
          <w:tcPr>
            <w:tcW w:w="11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32" w:hanging="176"/>
        <w:spacing w:after="0"/>
        <w:tabs>
          <w:tab w:leader="none" w:pos="63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Term [A][B][C] Loan shall amortize in accordance with the Amortization Table attached hereto.</w:t>
      </w:r>
    </w:p>
    <w:p>
      <w:pPr>
        <w:spacing w:after="0" w:line="225" w:lineRule="exact"/>
        <w:rPr>
          <w:rFonts w:ascii="Arial" w:cs="Arial" w:eastAsia="Arial" w:hAnsi="Arial"/>
          <w:sz w:val="18"/>
          <w:szCs w:val="18"/>
          <w:color w:val="auto"/>
        </w:rPr>
      </w:pPr>
    </w:p>
    <w:p>
      <w:pPr>
        <w:ind w:left="632" w:hanging="176"/>
        <w:spacing w:after="0"/>
        <w:tabs>
          <w:tab w:leader="none" w:pos="632" w:val="left"/>
        </w:tabs>
        <w:numPr>
          <w:ilvl w:val="0"/>
          <w:numId w:val="500"/>
        </w:numPr>
        <w:rPr>
          <w:rFonts w:ascii="Arial" w:cs="Arial" w:eastAsia="Arial" w:hAnsi="Arial"/>
          <w:sz w:val="17"/>
          <w:szCs w:val="17"/>
          <w:color w:val="auto"/>
        </w:rPr>
      </w:pPr>
      <w:r>
        <w:rPr>
          <w:rFonts w:ascii="Arial" w:cs="Arial" w:eastAsia="Arial" w:hAnsi="Arial"/>
          <w:sz w:val="17"/>
          <w:szCs w:val="17"/>
          <w:color w:val="auto"/>
        </w:rPr>
        <w:t>The aggregate net proceeds of the Term Loans shall be transferred to the Designated Deposit Account as follows:</w:t>
      </w:r>
    </w:p>
    <w:p>
      <w:pPr>
        <w:sectPr>
          <w:pgSz w:w="11900" w:h="16838" w:orient="portrait"/>
          <w:cols w:equalWidth="0" w:num="1">
            <w:col w:w="10452"/>
          </w:cols>
          <w:pgMar w:left="248" w:top="274" w:right="1199" w:bottom="1440" w:gutter="0" w:footer="0" w:header="0"/>
        </w:sectPr>
      </w:pPr>
    </w:p>
    <w:p>
      <w:pPr>
        <w:spacing w:after="0" w:line="26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Account Name:</w:t>
      </w:r>
    </w:p>
    <w:p>
      <w:pPr>
        <w:spacing w:after="0" w:line="14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7"/>
          <w:szCs w:val="17"/>
          <w:color w:val="auto"/>
        </w:rPr>
        <w:t>Bank Address: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39" w:lineRule="exact"/>
        <w:rPr>
          <w:sz w:val="20"/>
          <w:szCs w:val="20"/>
          <w:color w:val="auto"/>
        </w:rPr>
      </w:pPr>
    </w:p>
    <w:p>
      <w:pPr>
        <w:sectPr>
          <w:pgSz w:w="11900" w:h="16838" w:orient="portrait"/>
          <w:cols w:equalWidth="0" w:num="2">
            <w:col w:w="2972" w:space="720"/>
            <w:col w:w="6760"/>
          </w:cols>
          <w:pgMar w:left="248" w:top="274" w:right="1199" w:bottom="1440" w:gutter="0" w:footer="0" w:header="0"/>
          <w:type w:val="continuous"/>
        </w:sectPr>
      </w:pPr>
    </w:p>
    <w:p>
      <w:pPr>
        <w:ind w:left="912"/>
        <w:spacing w:after="0"/>
        <w:rPr>
          <w:sz w:val="20"/>
          <w:szCs w:val="20"/>
          <w:color w:val="auto"/>
        </w:rPr>
      </w:pPr>
      <w:r>
        <w:rPr>
          <w:rFonts w:ascii="Arial" w:cs="Arial" w:eastAsia="Arial" w:hAnsi="Arial"/>
          <w:sz w:val="18"/>
          <w:szCs w:val="18"/>
          <w:color w:val="auto"/>
        </w:rPr>
        <w:t>Account Number:</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ABA Number:</w:t>
      </w:r>
    </w:p>
    <w:p>
      <w:pPr>
        <w:spacing w:after="0" w:line="225" w:lineRule="exact"/>
        <w:rPr>
          <w:sz w:val="20"/>
          <w:szCs w:val="20"/>
          <w:color w:val="auto"/>
        </w:rPr>
      </w:pPr>
    </w:p>
    <w:p>
      <w:pPr>
        <w:ind w:left="4112"/>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12" w:hanging="212"/>
        <w:spacing w:after="0" w:line="277" w:lineRule="auto"/>
        <w:tabs>
          <w:tab w:leader="none" w:pos="21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52"/>
          </w:cols>
          <w:pgMar w:left="248" w:top="274" w:right="1199" w:bottom="1440" w:gutter="0" w:footer="0" w:header="0"/>
          <w:type w:val="continuous"/>
        </w:sectPr>
      </w:pPr>
    </w:p>
    <w:bookmarkStart w:id="569" w:name="page570"/>
    <w:bookmarkEnd w:id="5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right"/>
        <w:ind w:right="3019"/>
        <w:spacing w:after="0"/>
        <w:rPr>
          <w:sz w:val="20"/>
          <w:szCs w:val="20"/>
          <w:color w:val="auto"/>
        </w:rPr>
      </w:pPr>
      <w:r>
        <w:rPr>
          <w:rFonts w:ascii="Arial" w:cs="Arial" w:eastAsia="Arial" w:hAnsi="Arial"/>
          <w:sz w:val="18"/>
          <w:szCs w:val="18"/>
          <w:i w:val="1"/>
          <w:iCs w:val="1"/>
          <w:color w:val="auto"/>
        </w:rPr>
        <w:t>[Signature Page to Disbursement Letter]</w:t>
      </w:r>
    </w:p>
    <w:p>
      <w:pPr>
        <w:sectPr>
          <w:pgSz w:w="11900" w:h="16838" w:orient="portrait"/>
          <w:cols w:equalWidth="0" w:num="1">
            <w:col w:w="10219"/>
          </w:cols>
          <w:pgMar w:left="240" w:top="274" w:right="1440" w:bottom="1440" w:gutter="0" w:footer="0" w:header="0"/>
        </w:sectPr>
      </w:pPr>
    </w:p>
    <w:bookmarkStart w:id="570" w:name="page571"/>
    <w:bookmarkEnd w:id="5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[A][B][C]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571" w:name="page572"/>
    <w:bookmarkEnd w:id="57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4"/>
          </w:tcPr>
          <w:p>
            <w:pPr>
              <w:ind w:left="44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0"/>
                <w:szCs w:val="20"/>
                <w:color w:val="auto"/>
              </w:rPr>
            </w:pPr>
          </w:p>
        </w:tc>
      </w:tr>
      <w:tr>
        <w:trPr>
          <w:trHeight w:val="247"/>
        </w:trPr>
        <w:tc>
          <w:tcPr>
            <w:tcW w:w="1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3"/>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432"/>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900" w:type="dxa"/>
            <w:vAlign w:val="bottom"/>
            <w:gridSpan w:val="10"/>
          </w:tcPr>
          <w:p>
            <w:pPr>
              <w:ind w:left="100"/>
              <w:spacing w:after="0"/>
              <w:rPr>
                <w:sz w:val="20"/>
                <w:szCs w:val="20"/>
                <w:color w:val="auto"/>
              </w:rPr>
            </w:pPr>
            <w:r>
              <w:rPr>
                <w:rFonts w:ascii="Arial" w:cs="Arial" w:eastAsia="Arial" w:hAnsi="Arial"/>
                <w:sz w:val="18"/>
                <w:szCs w:val="18"/>
                <w:color w:val="auto"/>
              </w:rPr>
              <w:t>ANAPTYSBIO, INC.</w:t>
            </w:r>
          </w:p>
        </w:tc>
        <w:tc>
          <w:tcPr>
            <w:tcW w:w="720" w:type="dxa"/>
            <w:vAlign w:val="bottom"/>
            <w:tcBorders>
              <w:right w:val="single" w:sz="8" w:color="auto"/>
            </w:tcBorders>
          </w:tcPr>
          <w:p>
            <w:pPr>
              <w:spacing w:after="0"/>
              <w:rPr>
                <w:sz w:val="24"/>
                <w:szCs w:val="24"/>
                <w:color w:val="auto"/>
              </w:rPr>
            </w:pPr>
          </w:p>
        </w:tc>
      </w:tr>
      <w:tr>
        <w:trPr>
          <w:trHeight w:val="459"/>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From Account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240"/>
              <w:spacing w:after="0"/>
              <w:rPr>
                <w:sz w:val="20"/>
                <w:szCs w:val="20"/>
                <w:color w:val="auto"/>
              </w:rPr>
            </w:pPr>
            <w:r>
              <w:rPr>
                <w:rFonts w:ascii="Arial" w:cs="Arial" w:eastAsia="Arial" w:hAnsi="Arial"/>
                <w:sz w:val="18"/>
                <w:szCs w:val="18"/>
                <w:color w:val="auto"/>
              </w:rPr>
              <w:t>To Account #</w:t>
            </w:r>
          </w:p>
        </w:tc>
        <w:tc>
          <w:tcPr>
            <w:tcW w:w="720" w:type="dxa"/>
            <w:vAlign w:val="bottom"/>
            <w:tcBorders>
              <w:right w:val="single" w:sz="8" w:color="auto"/>
            </w:tcBorders>
          </w:tcPr>
          <w:p>
            <w:pPr>
              <w:spacing w:after="0"/>
              <w:rPr>
                <w:sz w:val="24"/>
                <w:szCs w:val="24"/>
                <w:color w:val="auto"/>
              </w:rPr>
            </w:pPr>
          </w:p>
        </w:tc>
      </w:tr>
      <w:tr>
        <w:trPr>
          <w:trHeight w:val="209"/>
        </w:trPr>
        <w:tc>
          <w:tcPr>
            <w:tcW w:w="1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(Deposit Account #)</w:t>
            </w: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(Loan Account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Principal $</w:t>
            </w:r>
          </w:p>
        </w:tc>
        <w:tc>
          <w:tcPr>
            <w:tcW w:w="3660" w:type="dxa"/>
            <w:vAlign w:val="bottom"/>
            <w:tcBorders>
              <w:bottom w:val="single" w:sz="8" w:color="auto"/>
            </w:tcBorders>
            <w:gridSpan w:val="3"/>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color w:val="auto"/>
              </w:rPr>
              <w:t>and/or Interest $</w:t>
            </w:r>
          </w:p>
        </w:tc>
        <w:tc>
          <w:tcPr>
            <w:tcW w:w="3540" w:type="dxa"/>
            <w:vAlign w:val="bottom"/>
            <w:tcBorders>
              <w:bottom w:val="single" w:sz="8" w:color="auto"/>
            </w:tcBorders>
            <w:gridSpan w:val="4"/>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439"/>
        </w:trPr>
        <w:tc>
          <w:tcPr>
            <w:tcW w:w="484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Authorized Signature: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940"/>
              <w:spacing w:after="0"/>
              <w:rPr>
                <w:sz w:val="20"/>
                <w:szCs w:val="20"/>
                <w:color w:val="auto"/>
              </w:rPr>
            </w:pPr>
            <w:r>
              <w:rPr>
                <w:rFonts w:ascii="Arial" w:cs="Arial" w:eastAsia="Arial" w:hAnsi="Arial"/>
                <w:sz w:val="18"/>
                <w:szCs w:val="18"/>
                <w:color w:val="auto"/>
              </w:rPr>
              <w:t>Phone Number:</w:t>
            </w:r>
          </w:p>
        </w:tc>
        <w:tc>
          <w:tcPr>
            <w:tcW w:w="720" w:type="dxa"/>
            <w:vAlign w:val="bottom"/>
            <w:tcBorders>
              <w:right w:val="single" w:sz="8" w:color="auto"/>
            </w:tcBorders>
          </w:tcPr>
          <w:p>
            <w:pPr>
              <w:spacing w:after="0"/>
              <w:rPr>
                <w:sz w:val="24"/>
                <w:szCs w:val="24"/>
                <w:color w:val="auto"/>
              </w:rPr>
            </w:pPr>
          </w:p>
        </w:tc>
      </w:tr>
      <w:tr>
        <w:trPr>
          <w:trHeight w:val="223"/>
        </w:trPr>
        <w:tc>
          <w:tcPr>
            <w:tcW w:w="20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Print Name/Title:</w:t>
            </w:r>
          </w:p>
        </w:tc>
        <w:tc>
          <w:tcPr>
            <w:tcW w:w="2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301"/>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76465" cy="25425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6465" cy="2542540"/>
                    </a:xfrm>
                    <a:prstGeom prst="rect">
                      <a:avLst/>
                    </a:prstGeom>
                    <a:noFill/>
                  </pic:spPr>
                </pic:pic>
              </a:graphicData>
            </a:graphic>
          </wp:anchor>
        </w:drawing>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60" w:type="dxa"/>
            <w:vAlign w:val="bottom"/>
            <w:gridSpan w:val="4"/>
          </w:tcPr>
          <w:p>
            <w:pPr>
              <w:ind w:left="20"/>
              <w:spacing w:after="0"/>
              <w:rPr>
                <w:sz w:val="20"/>
                <w:szCs w:val="20"/>
                <w:color w:val="auto"/>
              </w:rPr>
            </w:pPr>
            <w:r>
              <w:rPr>
                <w:rFonts w:ascii="Arial" w:cs="Arial" w:eastAsia="Arial" w:hAnsi="Arial"/>
                <w:sz w:val="18"/>
                <w:szCs w:val="18"/>
                <w:color w:val="auto"/>
              </w:rPr>
              <w:t>From Account #</w:t>
            </w: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To Account #</w:t>
            </w:r>
          </w:p>
        </w:tc>
      </w:tr>
      <w:tr>
        <w:trPr>
          <w:trHeight w:val="224"/>
        </w:trPr>
        <w:tc>
          <w:tcPr>
            <w:tcW w:w="1520" w:type="dxa"/>
            <w:vAlign w:val="bottom"/>
          </w:tcPr>
          <w:p>
            <w:pPr>
              <w:spacing w:after="0"/>
              <w:rPr>
                <w:sz w:val="19"/>
                <w:szCs w:val="19"/>
                <w:color w:val="auto"/>
              </w:rPr>
            </w:pPr>
          </w:p>
        </w:tc>
        <w:tc>
          <w:tcPr>
            <w:tcW w:w="334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(Loan Account #)</w:t>
            </w:r>
          </w:p>
        </w:tc>
        <w:tc>
          <w:tcPr>
            <w:tcW w:w="1700" w:type="dxa"/>
            <w:vAlign w:val="bottom"/>
          </w:tcPr>
          <w:p>
            <w:pPr>
              <w:spacing w:after="0"/>
              <w:rPr>
                <w:sz w:val="19"/>
                <w:szCs w:val="19"/>
                <w:color w:val="auto"/>
              </w:rPr>
            </w:pPr>
          </w:p>
        </w:tc>
        <w:tc>
          <w:tcPr>
            <w:tcW w:w="386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(Deposit Account #)</w:t>
            </w:r>
          </w:p>
        </w:tc>
      </w:tr>
      <w:tr>
        <w:trPr>
          <w:trHeight w:val="458"/>
        </w:trPr>
        <w:tc>
          <w:tcPr>
            <w:tcW w:w="19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15"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Pr>
          <w:p>
            <w:pPr>
              <w:ind w:left="920"/>
              <w:spacing w:after="0"/>
              <w:rPr>
                <w:sz w:val="20"/>
                <w:szCs w:val="20"/>
                <w:color w:val="auto"/>
              </w:rPr>
            </w:pPr>
            <w:r>
              <w:rPr>
                <w:rFonts w:ascii="Arial" w:cs="Arial" w:eastAsia="Arial" w:hAnsi="Arial"/>
                <w:sz w:val="18"/>
                <w:szCs w:val="18"/>
                <w:color w:val="auto"/>
                <w:w w:val="88"/>
              </w:rPr>
              <w:t>Phone Number:</w:t>
            </w:r>
          </w:p>
        </w:tc>
      </w:tr>
      <w:tr>
        <w:trPr>
          <w:trHeight w:val="223"/>
        </w:trPr>
        <w:tc>
          <w:tcPr>
            <w:tcW w:w="152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4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76465" cy="3202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6465" cy="320294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Deadline for same day processing is noon, Pacific Time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Name: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660"/>
              <w:spacing w:after="0"/>
              <w:rPr>
                <w:sz w:val="20"/>
                <w:szCs w:val="20"/>
                <w:color w:val="auto"/>
              </w:rPr>
            </w:pPr>
            <w:r>
              <w:rPr>
                <w:rFonts w:ascii="Arial" w:cs="Arial" w:eastAsia="Arial" w:hAnsi="Arial"/>
                <w:sz w:val="18"/>
                <w:szCs w:val="18"/>
                <w:color w:val="auto"/>
              </w:rPr>
              <w:t>Amount of Wire: $</w:t>
            </w:r>
          </w:p>
        </w:tc>
        <w:tc>
          <w:tcPr>
            <w:tcW w:w="140" w:type="dxa"/>
            <w:vAlign w:val="bottom"/>
          </w:tcPr>
          <w:p>
            <w:pPr>
              <w:spacing w:after="0"/>
              <w:rPr>
                <w:sz w:val="20"/>
                <w:szCs w:val="20"/>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Account Number:</w:t>
            </w: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City and State:</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9"/>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Bank Transit (ABA)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560"/>
              <w:spacing w:after="0"/>
              <w:rPr>
                <w:sz w:val="20"/>
                <w:szCs w:val="20"/>
                <w:color w:val="auto"/>
              </w:rPr>
            </w:pPr>
            <w:r>
              <w:rPr>
                <w:rFonts w:ascii="Arial" w:cs="Arial" w:eastAsia="Arial" w:hAnsi="Arial"/>
                <w:sz w:val="18"/>
                <w:szCs w:val="18"/>
                <w:color w:val="auto"/>
              </w:rPr>
              <w:t>Beneficiary Bank Code (Swift, Sort, Chip, etc.):</w:t>
            </w:r>
          </w:p>
        </w:tc>
        <w:tc>
          <w:tcPr>
            <w:tcW w:w="140" w:type="dxa"/>
            <w:vAlign w:val="bottom"/>
          </w:tcPr>
          <w:p>
            <w:pPr>
              <w:spacing w:after="0"/>
              <w:rPr>
                <w:sz w:val="24"/>
                <w:szCs w:val="24"/>
                <w:color w:val="auto"/>
              </w:rPr>
            </w:pPr>
          </w:p>
        </w:tc>
      </w:tr>
      <w:tr>
        <w:trPr>
          <w:trHeight w:val="209"/>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60" w:type="dxa"/>
            <w:vAlign w:val="bottom"/>
            <w:gridSpan w:val="3"/>
          </w:tcPr>
          <w:p>
            <w:pPr>
              <w:ind w:left="1040"/>
              <w:spacing w:after="0"/>
              <w:rPr>
                <w:sz w:val="20"/>
                <w:szCs w:val="20"/>
                <w:color w:val="auto"/>
              </w:rPr>
            </w:pPr>
            <w:r>
              <w:rPr>
                <w:rFonts w:ascii="Arial" w:cs="Arial" w:eastAsia="Arial" w:hAnsi="Arial"/>
                <w:sz w:val="18"/>
                <w:szCs w:val="18"/>
                <w:b w:val="1"/>
                <w:bCs w:val="1"/>
                <w:color w:val="auto"/>
              </w:rPr>
              <w:t>(For International Wire Only)</w:t>
            </w: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Intermediary Bank:</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520"/>
              <w:spacing w:after="0"/>
              <w:rPr>
                <w:sz w:val="20"/>
                <w:szCs w:val="20"/>
                <w:color w:val="auto"/>
              </w:rPr>
            </w:pPr>
            <w:r>
              <w:rPr>
                <w:rFonts w:ascii="Arial" w:cs="Arial" w:eastAsia="Arial" w:hAnsi="Arial"/>
                <w:sz w:val="18"/>
                <w:szCs w:val="18"/>
                <w:color w:val="auto"/>
              </w:rPr>
              <w:t>Transit (ABA) #:</w:t>
            </w:r>
          </w:p>
        </w:tc>
        <w:tc>
          <w:tcPr>
            <w:tcW w:w="140" w:type="dxa"/>
            <w:vAlign w:val="bottom"/>
          </w:tcPr>
          <w:p>
            <w:pPr>
              <w:spacing w:after="0"/>
              <w:rPr>
                <w:sz w:val="20"/>
                <w:szCs w:val="20"/>
                <w:color w:val="auto"/>
              </w:rPr>
            </w:pPr>
          </w:p>
        </w:tc>
      </w:tr>
      <w:tr>
        <w:trPr>
          <w:trHeight w:val="223"/>
        </w:trPr>
        <w:tc>
          <w:tcPr>
            <w:tcW w:w="1740" w:type="dxa"/>
            <w:vAlign w:val="bottom"/>
            <w:gridSpan w:val="3"/>
          </w:tcPr>
          <w:p>
            <w:pPr>
              <w:spacing w:after="0"/>
              <w:rPr>
                <w:sz w:val="20"/>
                <w:szCs w:val="20"/>
                <w:color w:val="auto"/>
              </w:rPr>
            </w:pPr>
            <w:r>
              <w:rPr>
                <w:rFonts w:ascii="Arial" w:cs="Arial" w:eastAsia="Arial" w:hAnsi="Arial"/>
                <w:sz w:val="18"/>
                <w:szCs w:val="18"/>
                <w:color w:val="auto"/>
              </w:rPr>
              <w:t>For Further Credit to:</w:t>
            </w:r>
          </w:p>
        </w:tc>
        <w:tc>
          <w:tcPr>
            <w:tcW w:w="120" w:type="dxa"/>
            <w:vAlign w:val="bottom"/>
            <w:tcBorders>
              <w:top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Instruction:</w:t>
      </w:r>
    </w:p>
    <w:p>
      <w:pPr>
        <w:spacing w:after="0" w:line="36" w:lineRule="exact"/>
        <w:rPr>
          <w:sz w:val="20"/>
          <w:szCs w:val="20"/>
          <w:color w:val="auto"/>
        </w:rPr>
      </w:pPr>
    </w:p>
    <w:p>
      <w:pPr>
        <w:ind w:left="140" w:right="36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3"/>
          </w:tcPr>
          <w:p>
            <w:pPr>
              <w:spacing w:after="0"/>
              <w:rPr>
                <w:sz w:val="20"/>
                <w:szCs w:val="20"/>
                <w:color w:val="auto"/>
              </w:rPr>
            </w:pPr>
            <w:r>
              <w:rPr>
                <w:rFonts w:ascii="Arial" w:cs="Arial" w:eastAsia="Arial" w:hAnsi="Arial"/>
                <w:sz w:val="18"/>
                <w:szCs w:val="18"/>
                <w:color w:val="auto"/>
              </w:rPr>
              <w:t>Authorized Signature:</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5"/>
          </w:tcPr>
          <w:p>
            <w:pPr>
              <w:ind w:left="5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120" w:type="dxa"/>
            <w:vAlign w:val="bottom"/>
          </w:tcPr>
          <w:p>
            <w:pPr>
              <w:spacing w:after="0"/>
              <w:rPr>
                <w:sz w:val="20"/>
                <w:szCs w:val="20"/>
                <w:color w:val="auto"/>
              </w:rPr>
            </w:pPr>
          </w:p>
        </w:tc>
      </w:tr>
      <w:tr>
        <w:trPr>
          <w:trHeight w:val="223"/>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Print Name/Title:</w:t>
            </w:r>
          </w:p>
        </w:tc>
        <w:tc>
          <w:tcPr>
            <w:tcW w:w="1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40" w:type="dxa"/>
            <w:vAlign w:val="bottom"/>
            <w:gridSpan w:val="3"/>
          </w:tcPr>
          <w:p>
            <w:pPr>
              <w:ind w:left="560"/>
              <w:spacing w:after="0"/>
              <w:rPr>
                <w:sz w:val="20"/>
                <w:szCs w:val="20"/>
                <w:color w:val="auto"/>
              </w:rPr>
            </w:pPr>
            <w:r>
              <w:rPr>
                <w:rFonts w:ascii="Arial" w:cs="Arial" w:eastAsia="Arial" w:hAnsi="Arial"/>
                <w:sz w:val="18"/>
                <w:szCs w:val="18"/>
                <w:color w:val="auto"/>
              </w:rPr>
              <w:t>Print Name/Title:</w:t>
            </w:r>
          </w:p>
        </w:tc>
        <w:tc>
          <w:tcPr>
            <w:tcW w:w="2740" w:type="dxa"/>
            <w:vAlign w:val="bottom"/>
            <w:tcBorders>
              <w:top w:val="single" w:sz="8" w:color="auto"/>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2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ind w:left="560"/>
              <w:spacing w:after="0"/>
              <w:rPr>
                <w:sz w:val="20"/>
                <w:szCs w:val="20"/>
                <w:color w:val="auto"/>
              </w:rPr>
            </w:pPr>
            <w:r>
              <w:rPr>
                <w:rFonts w:ascii="Arial" w:cs="Arial" w:eastAsia="Arial" w:hAnsi="Arial"/>
                <w:sz w:val="18"/>
                <w:szCs w:val="18"/>
                <w:color w:val="auto"/>
              </w:rPr>
              <w:t>Telephone #:</w:t>
            </w:r>
          </w:p>
        </w:tc>
        <w:tc>
          <w:tcPr>
            <w:tcW w:w="24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ectPr>
          <w:pgSz w:w="11900" w:h="16838" w:orient="portrait"/>
          <w:cols w:equalWidth="0" w:num="1">
            <w:col w:w="11460"/>
          </w:cols>
          <w:pgMar w:left="240" w:top="269" w:right="199" w:bottom="1440" w:gutter="0" w:footer="0" w:header="0"/>
        </w:sectPr>
      </w:pPr>
    </w:p>
    <w:bookmarkStart w:id="572" w:name="page573"/>
    <w:bookmarkEnd w:id="5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65"/>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92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SILICON VALLEY BANK, as Lender</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FROM:</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ANAPTYSBIO, INC.</w:t>
            </w:r>
          </w:p>
        </w:tc>
      </w:tr>
    </w:tbl>
    <w:p>
      <w:pPr>
        <w:spacing w:after="0" w:line="19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ANAPTYSBIO,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7"/>
          <w:szCs w:val="17"/>
          <w:b w:val="1"/>
          <w:bCs w:val="1"/>
          <w:color w:val="auto"/>
        </w:rPr>
        <w:t>Loan Agreement</w:t>
      </w:r>
      <w:r>
        <w:rPr>
          <w:rFonts w:ascii="Arial" w:cs="Arial" w:eastAsia="Arial" w:hAnsi="Arial"/>
          <w:sz w:val="17"/>
          <w:szCs w:val="17"/>
          <w:color w:val="auto"/>
        </w:rPr>
        <w:t>;” capitalized terms used but not otherwise defined herein shall have the meanings given them in the Loan Agreement),</w:t>
      </w:r>
    </w:p>
    <w:p>
      <w:pPr>
        <w:spacing w:after="0" w:line="162"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(a) 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720" w:hanging="256"/>
        <w:spacing w:after="0"/>
        <w:tabs>
          <w:tab w:leader="none" w:pos="7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right="100" w:firstLine="464"/>
        <w:spacing w:after="0" w:line="279" w:lineRule="auto"/>
        <w:tabs>
          <w:tab w:leader="none" w:pos="701" w:val="left"/>
        </w:tabs>
        <w:numPr>
          <w:ilvl w:val="0"/>
          <w:numId w:val="502"/>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firstLine="464"/>
        <w:spacing w:after="0" w:line="264" w:lineRule="auto"/>
        <w:tabs>
          <w:tab w:leader="none" w:pos="711"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502"/>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040" w:type="dxa"/>
            <w:vAlign w:val="bottom"/>
          </w:tcPr>
          <w:p>
            <w:pPr>
              <w:ind w:left="1480"/>
              <w:spacing w:after="0"/>
              <w:rPr>
                <w:sz w:val="20"/>
                <w:szCs w:val="20"/>
                <w:color w:val="auto"/>
              </w:rPr>
            </w:pPr>
            <w:r>
              <w:rPr>
                <w:rFonts w:ascii="Arial" w:cs="Arial" w:eastAsia="Arial" w:hAnsi="Arial"/>
                <w:sz w:val="14"/>
                <w:szCs w:val="14"/>
                <w:b w:val="1"/>
                <w:bCs w:val="1"/>
                <w:color w:val="auto"/>
              </w:rPr>
              <w:t>Reporting Covenant</w:t>
            </w:r>
          </w:p>
        </w:tc>
        <w:tc>
          <w:tcPr>
            <w:tcW w:w="3780" w:type="dxa"/>
            <w:vAlign w:val="bottom"/>
          </w:tcPr>
          <w:p>
            <w:pPr>
              <w:ind w:left="1620"/>
              <w:spacing w:after="0"/>
              <w:rPr>
                <w:sz w:val="20"/>
                <w:szCs w:val="20"/>
                <w:color w:val="auto"/>
              </w:rPr>
            </w:pPr>
            <w:r>
              <w:rPr>
                <w:rFonts w:ascii="Arial" w:cs="Arial" w:eastAsia="Arial" w:hAnsi="Arial"/>
                <w:sz w:val="14"/>
                <w:szCs w:val="14"/>
                <w:b w:val="1"/>
                <w:bCs w:val="1"/>
                <w:color w:val="auto"/>
              </w:rPr>
              <w:t>Requirement</w:t>
            </w:r>
          </w:p>
        </w:tc>
        <w:tc>
          <w:tcPr>
            <w:tcW w:w="1680" w:type="dxa"/>
            <w:vAlign w:val="bottom"/>
          </w:tcPr>
          <w:p>
            <w:pPr>
              <w:ind w:left="3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480" w:type="dxa"/>
            <w:vAlign w:val="bottom"/>
          </w:tcPr>
          <w:p>
            <w:pPr>
              <w:spacing w:after="0"/>
              <w:rPr>
                <w:sz w:val="16"/>
                <w:szCs w:val="16"/>
                <w:color w:val="auto"/>
              </w:rPr>
            </w:pPr>
          </w:p>
        </w:tc>
      </w:tr>
      <w:tr>
        <w:trPr>
          <w:trHeight w:val="309"/>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w:t>
            </w:r>
          </w:p>
        </w:tc>
        <w:tc>
          <w:tcPr>
            <w:tcW w:w="404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Monthly within 30 days</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2)</w:t>
            </w:r>
          </w:p>
        </w:tc>
        <w:tc>
          <w:tcPr>
            <w:tcW w:w="4040" w:type="dxa"/>
            <w:vAlign w:val="bottom"/>
          </w:tcPr>
          <w:p>
            <w:pPr>
              <w:ind w:left="160"/>
              <w:spacing w:after="0"/>
              <w:rPr>
                <w:sz w:val="20"/>
                <w:szCs w:val="20"/>
                <w:color w:val="auto"/>
              </w:rPr>
            </w:pPr>
            <w:r>
              <w:rPr>
                <w:rFonts w:ascii="Arial" w:cs="Arial" w:eastAsia="Arial" w:hAnsi="Arial"/>
                <w:sz w:val="18"/>
                <w:szCs w:val="18"/>
                <w:color w:val="auto"/>
              </w:rPr>
              <w:t>Annual (CPA Audited)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Within 180 days after FYE</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w:t>
            </w:r>
          </w:p>
        </w:tc>
        <w:tc>
          <w:tcPr>
            <w:tcW w:w="4040" w:type="dxa"/>
            <w:vAlign w:val="bottom"/>
          </w:tcPr>
          <w:p>
            <w:pPr>
              <w:ind w:left="160"/>
              <w:spacing w:after="0"/>
              <w:rPr>
                <w:sz w:val="20"/>
                <w:szCs w:val="20"/>
                <w:color w:val="auto"/>
              </w:rPr>
            </w:pPr>
            <w:r>
              <w:rPr>
                <w:rFonts w:ascii="Arial" w:cs="Arial" w:eastAsia="Arial" w:hAnsi="Arial"/>
                <w:sz w:val="18"/>
                <w:szCs w:val="18"/>
                <w:color w:val="auto"/>
                <w:w w:val="93"/>
              </w:rPr>
              <w:t>Annual Financial Projections/Budget (prepared on a</w:t>
            </w:r>
          </w:p>
        </w:tc>
        <w:tc>
          <w:tcPr>
            <w:tcW w:w="3780" w:type="dxa"/>
            <w:vAlign w:val="bottom"/>
          </w:tcPr>
          <w:p>
            <w:pPr>
              <w:ind w:left="140"/>
              <w:spacing w:after="0"/>
              <w:rPr>
                <w:sz w:val="20"/>
                <w:szCs w:val="20"/>
                <w:color w:val="auto"/>
              </w:rPr>
            </w:pPr>
            <w:r>
              <w:rPr>
                <w:rFonts w:ascii="Arial" w:cs="Arial" w:eastAsia="Arial" w:hAnsi="Arial"/>
                <w:sz w:val="18"/>
                <w:szCs w:val="18"/>
                <w:color w:val="auto"/>
              </w:rPr>
              <w:t>Annually (within 10 days of FYE), and when</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monthly basis)</w:t>
            </w:r>
          </w:p>
        </w:tc>
        <w:tc>
          <w:tcPr>
            <w:tcW w:w="3780" w:type="dxa"/>
            <w:vAlign w:val="bottom"/>
          </w:tcPr>
          <w:p>
            <w:pPr>
              <w:ind w:left="140"/>
              <w:spacing w:after="0"/>
              <w:rPr>
                <w:sz w:val="20"/>
                <w:szCs w:val="20"/>
                <w:color w:val="auto"/>
              </w:rPr>
            </w:pPr>
            <w:r>
              <w:rPr>
                <w:rFonts w:ascii="Arial" w:cs="Arial" w:eastAsia="Arial" w:hAnsi="Arial"/>
                <w:sz w:val="18"/>
                <w:szCs w:val="18"/>
                <w:color w:val="auto"/>
              </w:rPr>
              <w:t>revised</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bl>
    <w:p>
      <w:pPr>
        <w:sectPr>
          <w:pgSz w:w="11900" w:h="16838" w:orient="portrait"/>
          <w:cols w:equalWidth="0" w:num="1">
            <w:col w:w="11380"/>
          </w:cols>
          <w:pgMar w:left="240" w:top="270" w:right="279" w:bottom="1440" w:gutter="0" w:footer="0" w:header="0"/>
        </w:sectPr>
      </w:pPr>
    </w:p>
    <w:bookmarkStart w:id="573" w:name="page574"/>
    <w:bookmarkEnd w:id="5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w:t>
            </w:r>
          </w:p>
        </w:tc>
        <w:tc>
          <w:tcPr>
            <w:tcW w:w="4080" w:type="dxa"/>
            <w:vAlign w:val="bottom"/>
          </w:tcPr>
          <w:p>
            <w:pPr>
              <w:ind w:left="160"/>
              <w:spacing w:after="0"/>
              <w:rPr>
                <w:sz w:val="20"/>
                <w:szCs w:val="20"/>
                <w:color w:val="auto"/>
              </w:rPr>
            </w:pPr>
            <w:r>
              <w:rPr>
                <w:rFonts w:ascii="Arial" w:cs="Arial" w:eastAsia="Arial" w:hAnsi="Arial"/>
                <w:sz w:val="18"/>
                <w:szCs w:val="18"/>
                <w:color w:val="auto"/>
              </w:rPr>
              <w:t>A/R &amp; A/P agings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w:t>
            </w:r>
          </w:p>
        </w:tc>
        <w:tc>
          <w:tcPr>
            <w:tcW w:w="120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5)</w:t>
            </w:r>
          </w:p>
        </w:tc>
        <w:tc>
          <w:tcPr>
            <w:tcW w:w="4080" w:type="dxa"/>
            <w:vAlign w:val="bottom"/>
          </w:tcPr>
          <w:p>
            <w:pPr>
              <w:ind w:left="160"/>
              <w:spacing w:after="0"/>
              <w:rPr>
                <w:sz w:val="20"/>
                <w:szCs w:val="20"/>
                <w:color w:val="auto"/>
              </w:rPr>
            </w:pPr>
            <w:r>
              <w:rPr>
                <w:rFonts w:ascii="Arial" w:cs="Arial" w:eastAsia="Arial" w:hAnsi="Arial"/>
                <w:sz w:val="18"/>
                <w:szCs w:val="18"/>
                <w:color w:val="auto"/>
              </w:rPr>
              <w:t>8-K, 10-K and 10-Q Filings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 within 5 days of filing</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6)</w:t>
            </w:r>
          </w:p>
        </w:tc>
        <w:tc>
          <w:tcPr>
            <w:tcW w:w="408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3360" w:type="dxa"/>
            <w:vAlign w:val="bottom"/>
          </w:tcPr>
          <w:p>
            <w:pPr>
              <w:ind w:left="100"/>
              <w:spacing w:after="0"/>
              <w:rPr>
                <w:sz w:val="20"/>
                <w:szCs w:val="20"/>
                <w:color w:val="auto"/>
              </w:rPr>
            </w:pPr>
            <w:r>
              <w:rPr>
                <w:rFonts w:ascii="Arial" w:cs="Arial" w:eastAsia="Arial" w:hAnsi="Arial"/>
                <w:sz w:val="18"/>
                <w:szCs w:val="18"/>
                <w:color w:val="auto"/>
              </w:rPr>
              <w:t>Monthly within 30 days</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7)</w:t>
            </w:r>
          </w:p>
        </w:tc>
        <w:tc>
          <w:tcPr>
            <w:tcW w:w="4080" w:type="dxa"/>
            <w:vAlign w:val="bottom"/>
          </w:tcPr>
          <w:p>
            <w:pPr>
              <w:ind w:left="160"/>
              <w:spacing w:after="0"/>
              <w:rPr>
                <w:sz w:val="20"/>
                <w:szCs w:val="20"/>
                <w:color w:val="auto"/>
              </w:rPr>
            </w:pPr>
            <w:r>
              <w:rPr>
                <w:rFonts w:ascii="Arial" w:cs="Arial" w:eastAsia="Arial" w:hAnsi="Arial"/>
                <w:sz w:val="18"/>
                <w:szCs w:val="18"/>
                <w:color w:val="auto"/>
              </w:rPr>
              <w:t>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When required</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8)</w:t>
            </w:r>
          </w:p>
        </w:tc>
        <w:tc>
          <w:tcPr>
            <w:tcW w:w="4080" w:type="dxa"/>
            <w:vAlign w:val="bottom"/>
          </w:tcPr>
          <w:p>
            <w:pPr>
              <w:ind w:left="160"/>
              <w:spacing w:after="0"/>
              <w:rPr>
                <w:sz w:val="20"/>
                <w:szCs w:val="20"/>
                <w:color w:val="auto"/>
              </w:rPr>
            </w:pPr>
            <w:r>
              <w:rPr>
                <w:rFonts w:ascii="Arial" w:cs="Arial" w:eastAsia="Arial" w:hAnsi="Arial"/>
                <w:sz w:val="18"/>
                <w:szCs w:val="18"/>
                <w:color w:val="auto"/>
              </w:rPr>
              <w:t>Non-Core 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Quarterly</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9)</w:t>
            </w:r>
          </w:p>
        </w:tc>
        <w:tc>
          <w:tcPr>
            <w:tcW w:w="4080" w:type="dxa"/>
            <w:vAlign w:val="bottom"/>
          </w:tcPr>
          <w:p>
            <w:pPr>
              <w:ind w:left="160"/>
              <w:spacing w:after="0"/>
              <w:rPr>
                <w:sz w:val="20"/>
                <w:szCs w:val="20"/>
                <w:color w:val="auto"/>
              </w:rPr>
            </w:pPr>
            <w:r>
              <w:rPr>
                <w:rFonts w:ascii="Arial" w:cs="Arial" w:eastAsia="Arial" w:hAnsi="Arial"/>
                <w:sz w:val="18"/>
                <w:szCs w:val="18"/>
                <w:color w:val="auto"/>
              </w:rPr>
              <w:t>Total amount of Borrower’s cash and cash</w:t>
            </w: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w w:val="91"/>
              </w:rPr>
              <w:t>equivalents at the last day of the measurement period</w:t>
            </w:r>
          </w:p>
        </w:tc>
        <w:tc>
          <w:tcPr>
            <w:tcW w:w="3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jc w:val="both"/>
        <w:ind w:left="480" w:right="7240" w:hanging="472"/>
        <w:spacing w:after="0" w:line="310" w:lineRule="auto"/>
        <w:tabs>
          <w:tab w:leader="none" w:pos="480" w:val="left"/>
        </w:tabs>
        <w:numPr>
          <w:ilvl w:val="0"/>
          <w:numId w:val="503"/>
        </w:numPr>
        <w:rPr>
          <w:rFonts w:ascii="Arial" w:cs="Arial" w:eastAsia="Arial" w:hAnsi="Arial"/>
          <w:sz w:val="15"/>
          <w:szCs w:val="15"/>
          <w:b w:val="1"/>
          <w:bCs w:val="1"/>
          <w:color w:val="auto"/>
        </w:rPr>
      </w:pPr>
      <w:r>
        <w:rPr>
          <w:rFonts w:ascii="Arial" w:cs="Arial" w:eastAsia="Arial" w:hAnsi="Arial"/>
          <w:sz w:val="15"/>
          <w:szCs w:val="15"/>
          <w:color w:val="auto"/>
        </w:rPr>
        <w:t>Total amount of Borrower’s Subsidiaries’ cash and cash equivalents at the last day of the measurement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period</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Yes</w:t>
            </w:r>
          </w:p>
        </w:tc>
        <w:tc>
          <w:tcPr>
            <w:tcW w:w="500" w:type="dxa"/>
            <w:vAlign w:val="bottom"/>
          </w:tcPr>
          <w:p>
            <w:pPr>
              <w:ind w:left="4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85"/>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(Please list all accounts; attach separate sheet if additional space needed)</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Institution Name</w:t>
            </w:r>
          </w:p>
        </w:tc>
        <w:tc>
          <w:tcPr>
            <w:tcW w:w="2840" w:type="dxa"/>
            <w:vAlign w:val="bottom"/>
            <w:vMerge w:val="restart"/>
          </w:tcPr>
          <w:p>
            <w:pPr>
              <w:jc w:val="right"/>
              <w:ind w:right="1419"/>
              <w:spacing w:after="0"/>
              <w:rPr>
                <w:sz w:val="20"/>
                <w:szCs w:val="20"/>
                <w:color w:val="auto"/>
              </w:rPr>
            </w:pPr>
            <w:r>
              <w:rPr>
                <w:rFonts w:ascii="Arial" w:cs="Arial" w:eastAsia="Arial" w:hAnsi="Arial"/>
                <w:sz w:val="14"/>
                <w:szCs w:val="14"/>
                <w:b w:val="1"/>
                <w:bCs w:val="1"/>
                <w:color w:val="auto"/>
              </w:rPr>
              <w:t>Account Number</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New Account?</w:t>
            </w: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Account Control Agreement in</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place?</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500"/>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Other Matters</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w w:val="90"/>
              </w:rPr>
              <w:t>Have there been any transfers/sales/disposals/retirement of Collateral or IP prohibited by the Loan Agreement?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hanging="472"/>
        <w:spacing w:after="0"/>
        <w:tabs>
          <w:tab w:leader="none" w:pos="480" w:val="left"/>
        </w:tabs>
        <w:numPr>
          <w:ilvl w:val="0"/>
          <w:numId w:val="504"/>
        </w:numPr>
        <w:rPr>
          <w:rFonts w:ascii="Arial" w:cs="Arial" w:eastAsia="Arial" w:hAnsi="Arial"/>
          <w:sz w:val="18"/>
          <w:szCs w:val="18"/>
          <w:b w:val="1"/>
          <w:bCs w:val="1"/>
          <w:color w:val="auto"/>
        </w:rPr>
      </w:pPr>
      <w:r>
        <w:rPr>
          <w:rFonts w:ascii="Arial" w:cs="Arial" w:eastAsia="Arial" w:hAnsi="Arial"/>
          <w:sz w:val="18"/>
          <w:szCs w:val="18"/>
          <w:color w:val="auto"/>
        </w:rPr>
        <w:t>Have there been any new or pending claims or causes of action against Borrower that involve more than One Hundred</w:t>
      </w:r>
    </w:p>
    <w:p>
      <w:pPr>
        <w:spacing w:after="0" w:line="23" w:lineRule="exact"/>
        <w:rPr>
          <w:sz w:val="20"/>
          <w:szCs w:val="20"/>
          <w:color w:val="auto"/>
        </w:rPr>
      </w:pPr>
    </w:p>
    <w:p>
      <w:pPr>
        <w:ind w:left="480"/>
        <w:spacing w:after="0"/>
        <w:tabs>
          <w:tab w:leader="none" w:pos="9740" w:val="left"/>
          <w:tab w:leader="none" w:pos="10900" w:val="left"/>
        </w:tabs>
        <w:rPr>
          <w:sz w:val="20"/>
          <w:szCs w:val="20"/>
          <w:color w:val="auto"/>
        </w:rPr>
      </w:pPr>
      <w:r>
        <w:rPr>
          <w:rFonts w:ascii="Arial" w:cs="Arial" w:eastAsia="Arial" w:hAnsi="Arial"/>
          <w:sz w:val="18"/>
          <w:szCs w:val="18"/>
          <w:color w:val="auto"/>
        </w:rPr>
        <w:t>Thousand Dollars ($100,000.00)?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03" w:lineRule="exact"/>
        <w:rPr>
          <w:sz w:val="20"/>
          <w:szCs w:val="20"/>
          <w:color w:val="auto"/>
        </w:rPr>
      </w:pPr>
    </w:p>
    <w:p>
      <w:pPr>
        <w:ind w:left="480" w:right="2120" w:hanging="472"/>
        <w:spacing w:after="0" w:line="286" w:lineRule="auto"/>
        <w:tabs>
          <w:tab w:leader="none" w:pos="480" w:val="left"/>
        </w:tabs>
        <w:numPr>
          <w:ilvl w:val="0"/>
          <w:numId w:val="505"/>
        </w:numPr>
        <w:rPr>
          <w:rFonts w:ascii="Arial" w:cs="Arial" w:eastAsia="Arial" w:hAnsi="Arial"/>
          <w:sz w:val="16"/>
          <w:szCs w:val="16"/>
          <w:b w:val="1"/>
          <w:bCs w:val="1"/>
          <w:color w:val="auto"/>
        </w:rPr>
      </w:pPr>
      <w:r>
        <w:rPr>
          <w:rFonts w:ascii="Arial" w:cs="Arial" w:eastAsia="Arial" w:hAnsi="Arial"/>
          <w:sz w:val="16"/>
          <w:szCs w:val="16"/>
          <w:color w:val="auto"/>
        </w:rPr>
        <w:t>Have there been any (A) amendments of or other changes to the Operating Documents or (B) material changes to the capitalization table of Borrower and to the Operating Documents of Borrower or any of its Subsidiaries (other than with respect to the grant, exercise, cancellation or modification of options to purchase Borrower’s Common Stock outstanding or hereafter issued by Borrower from the option pool set forth on the capitalization table of Borrower delivered to Bank in</w:t>
      </w:r>
    </w:p>
    <w:p>
      <w:pPr>
        <w:spacing w:after="0" w:line="2" w:lineRule="exact"/>
        <w:rPr>
          <w:sz w:val="20"/>
          <w:szCs w:val="20"/>
          <w:color w:val="auto"/>
        </w:rPr>
      </w:pPr>
    </w:p>
    <w:p>
      <w:pPr>
        <w:ind w:left="480" w:right="2120"/>
        <w:spacing w:after="0" w:line="281" w:lineRule="auto"/>
        <w:rPr>
          <w:sz w:val="20"/>
          <w:szCs w:val="20"/>
          <w:color w:val="auto"/>
        </w:rPr>
      </w:pPr>
      <w:r>
        <w:rPr>
          <w:rFonts w:ascii="Arial" w:cs="Arial" w:eastAsia="Arial" w:hAnsi="Arial"/>
          <w:sz w:val="16"/>
          <w:szCs w:val="16"/>
          <w:color w:val="auto"/>
        </w:rPr>
        <w:t>connection with the Perfection Certificate or upon exercise of warrants to purchase capital stock of the Borrower reflected upon such capitalization table)? If yes, provide copies of any such amendments or changes with this Compliance</w:t>
      </w:r>
    </w:p>
    <w:p>
      <w:pPr>
        <w:sectPr>
          <w:pgSz w:w="11900" w:h="16838" w:orient="portrait"/>
          <w:cols w:equalWidth="0" w:num="1">
            <w:col w:w="11400"/>
          </w:cols>
          <w:pgMar w:left="240" w:top="378" w:right="259" w:bottom="1440" w:gutter="0" w:footer="0" w:header="0"/>
        </w:sectPr>
      </w:pP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w:t>
      </w:r>
    </w:p>
    <w:p>
      <w:pPr>
        <w:sectPr>
          <w:pgSz w:w="11900" w:h="16838" w:orient="portrait"/>
          <w:cols w:equalWidth="0" w:num="3">
            <w:col w:w="9040" w:space="720"/>
            <w:col w:w="440" w:space="720"/>
            <w:col w:w="480"/>
          </w:cols>
          <w:pgMar w:left="240" w:top="378" w:right="259" w:bottom="1440" w:gutter="0" w:footer="0" w:header="0"/>
          <w:type w:val="continuous"/>
        </w:sectPr>
      </w:pPr>
    </w:p>
    <w:bookmarkStart w:id="574" w:name="page575"/>
    <w:bookmarkEnd w:id="5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LENDER USE ONLY</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Received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220" w:type="dxa"/>
            <w:vAlign w:val="bottom"/>
          </w:tcPr>
          <w:p>
            <w:pPr>
              <w:spacing w:after="0"/>
              <w:rPr>
                <w:sz w:val="20"/>
                <w:szCs w:val="20"/>
                <w:color w:val="auto"/>
              </w:rPr>
            </w:pPr>
            <w:r>
              <w:rPr>
                <w:rFonts w:ascii="Arial" w:cs="Arial" w:eastAsia="Arial" w:hAnsi="Arial"/>
                <w:sz w:val="18"/>
                <w:szCs w:val="18"/>
                <w:color w:val="auto"/>
              </w:rPr>
              <w:t>Verified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820" w:type="dxa"/>
            <w:vAlign w:val="bottom"/>
            <w:gridSpan w:val="2"/>
          </w:tcPr>
          <w:p>
            <w:pPr>
              <w:spacing w:after="0"/>
              <w:rPr>
                <w:sz w:val="20"/>
                <w:szCs w:val="20"/>
                <w:color w:val="auto"/>
              </w:rPr>
            </w:pPr>
            <w:r>
              <w:rPr>
                <w:rFonts w:ascii="Arial" w:cs="Arial" w:eastAsia="Arial" w:hAnsi="Arial"/>
                <w:sz w:val="18"/>
                <w:szCs w:val="18"/>
                <w:color w:val="auto"/>
              </w:rPr>
              <w:t>Compliance Status:</w:t>
            </w:r>
          </w:p>
        </w:tc>
        <w:tc>
          <w:tcPr>
            <w:tcW w:w="660" w:type="dxa"/>
            <w:vAlign w:val="bottom"/>
          </w:tcPr>
          <w:p>
            <w:pPr>
              <w:ind w:left="120"/>
              <w:spacing w:after="0"/>
              <w:rPr>
                <w:sz w:val="20"/>
                <w:szCs w:val="20"/>
                <w:color w:val="auto"/>
              </w:rPr>
            </w:pPr>
            <w:r>
              <w:rPr>
                <w:rFonts w:ascii="Arial" w:cs="Arial" w:eastAsia="Arial" w:hAnsi="Arial"/>
                <w:sz w:val="18"/>
                <w:szCs w:val="18"/>
                <w:color w:val="auto"/>
              </w:rPr>
              <w:t>Yes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-445135</wp:posOffset>
            </wp:positionV>
            <wp:extent cx="119189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-222250</wp:posOffset>
            </wp:positionV>
            <wp:extent cx="119189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1">
            <w:col w:w="11260"/>
          </w:cols>
          <w:pgMar w:left="240" w:top="269" w:right="399" w:bottom="1440" w:gutter="0" w:footer="0" w:header="0"/>
        </w:sectPr>
      </w:pPr>
    </w:p>
    <w:bookmarkStart w:id="575" w:name="page576"/>
    <w:bookmarkEnd w:id="5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576" w:name="page577"/>
    <w:bookmarkEnd w:id="5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[A][B][C] Loan)</w:t>
      </w:r>
    </w:p>
    <w:p>
      <w:pPr>
        <w:spacing w:after="0" w:line="238"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Dated: [DATE]</w:t>
      </w:r>
    </w:p>
    <w:p>
      <w:pPr>
        <w:spacing w:after="0" w:line="237" w:lineRule="exact"/>
        <w:rPr>
          <w:sz w:val="20"/>
          <w:szCs w:val="20"/>
          <w:color w:val="auto"/>
        </w:rPr>
      </w:pPr>
    </w:p>
    <w:p>
      <w:pPr>
        <w:ind w:right="240" w:firstLine="456"/>
        <w:spacing w:after="0" w:line="274" w:lineRule="auto"/>
        <w:rPr>
          <w:sz w:val="20"/>
          <w:szCs w:val="20"/>
          <w:color w:val="auto"/>
        </w:rPr>
      </w:pPr>
      <w:r>
        <w:rPr>
          <w:rFonts w:ascii="Arial" w:cs="Arial" w:eastAsia="Arial" w:hAnsi="Arial"/>
          <w:sz w:val="17"/>
          <w:szCs w:val="17"/>
          <w:color w:val="auto"/>
        </w:rPr>
        <w:t>FOR VALUE RECEIVED, the undersigned, ANAPTYSBIO, INC., a Delaware corporation with offices located at 10421 Pacific Center Court, Suite 200,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[OXFORD FINANCE LLC][SILICON VALLEY BANK]</w:t>
      </w:r>
    </w:p>
    <w:p>
      <w:pPr>
        <w:ind w:right="1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the principal amount of [ ] MILLION DOLLARS ($ ) or such lesser amount as shall equal the outstanding principal balance of the Term [A][B][C] Loan made to Borrower by Lender, plus interest on the aggregate unpaid principal amount of such Term [A][B][C] Loan, at the rates and in accordance with the terms of the Loan and Security Agreement dated December ,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Principal, interest and all other amounts due with respect to the Term [A][B][C]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[A][B][C]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[A][B][C] Loan, interest on the Term [A][B][C]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420"/>
          </w:cols>
          <w:pgMar w:left="240" w:top="269" w:right="239" w:bottom="1440" w:gutter="0" w:footer="0" w:header="0"/>
        </w:sectPr>
      </w:pPr>
    </w:p>
    <w:bookmarkStart w:id="577" w:name="page578"/>
    <w:bookmarkEnd w:id="5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480"/>
          </w:cols>
          <w:pgMar w:left="700" w:top="274" w:right="719" w:bottom="1440" w:gutter="0" w:footer="0" w:header="0"/>
        </w:sectPr>
      </w:pPr>
    </w:p>
    <w:bookmarkStart w:id="578" w:name="page579"/>
    <w:bookmarkEnd w:id="5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Date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2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Scheduled</w:t>
            </w:r>
          </w:p>
        </w:tc>
        <w:tc>
          <w:tcPr>
            <w:tcW w:w="20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Notation By</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2280" w:type="dxa"/>
            <w:vAlign w:val="bottom"/>
            <w:gridSpan w:val="2"/>
            <w:vMerge w:val="continue"/>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Payment Amount</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79" w:name="page580"/>
    <w:bookmarkEnd w:id="5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Warrant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580" w:name="page581"/>
    <w:bookmarkEnd w:id="58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273"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ANAPTYSBIO, INC., a Delaware corporation</w:t>
      </w:r>
    </w:p>
    <w:p>
      <w:pPr>
        <w:spacing w:after="0" w:line="140" w:lineRule="exact"/>
        <w:rPr>
          <w:sz w:val="20"/>
          <w:szCs w:val="20"/>
          <w:color w:val="auto"/>
        </w:rPr>
      </w:pPr>
    </w:p>
    <w:p>
      <w:pPr>
        <w:sectPr>
          <w:pgSz w:w="11900" w:h="16838" w:orient="portrait"/>
          <w:cols w:equalWidth="0" w:num="2">
            <w:col w:w="1360" w:space="720"/>
            <w:col w:w="934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[3.75% of the funded Term Loan/Warrant Price]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Series C Preferred (Subject to Section 1.7)</w:t>
      </w:r>
    </w:p>
    <w:p>
      <w:pPr>
        <w:spacing w:after="0" w:line="140" w:lineRule="exact"/>
        <w:rPr>
          <w:sz w:val="20"/>
          <w:szCs w:val="20"/>
          <w:color w:val="auto"/>
        </w:rPr>
      </w:pPr>
    </w:p>
    <w:p>
      <w:pPr>
        <w:sectPr>
          <w:pgSz w:w="11900" w:h="16838" w:orient="portrait"/>
          <w:cols w:equalWidth="0" w:num="2">
            <w:col w:w="1560" w:space="520"/>
            <w:col w:w="934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$0.65 per share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129" w:lineRule="exact"/>
        <w:rPr>
          <w:sz w:val="20"/>
          <w:szCs w:val="20"/>
          <w:color w:val="auto"/>
        </w:rPr>
      </w:pPr>
    </w:p>
    <w:p>
      <w:pPr>
        <w:sectPr>
          <w:pgSz w:w="11900" w:h="16838" w:orient="portrait"/>
          <w:cols w:equalWidth="0" w:num="2">
            <w:col w:w="1360" w:space="720"/>
            <w:col w:w="934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10 years after the Issue Date] See also Section 5.1(b).</w:t>
      </w:r>
    </w:p>
    <w:p>
      <w:pPr>
        <w:spacing w:after="0" w:line="136" w:lineRule="exact"/>
        <w:rPr>
          <w:sz w:val="20"/>
          <w:szCs w:val="20"/>
          <w:color w:val="auto"/>
        </w:rPr>
      </w:pPr>
    </w:p>
    <w:p>
      <w:pPr>
        <w:sectPr>
          <w:pgSz w:w="11900" w:h="16838" w:orient="portrait"/>
          <w:cols w:equalWidth="0" w:num="2">
            <w:col w:w="1360" w:space="720"/>
            <w:col w:w="9340"/>
          </w:cols>
          <w:pgMar w:left="240" w:top="273"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Arial" w:cs="Arial" w:eastAsia="Arial" w:hAnsi="Arial"/>
          <w:sz w:val="18"/>
          <w:szCs w:val="18"/>
          <w:color w:val="auto"/>
        </w:rPr>
        <w:t>This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dated as of December , 2014 among Oxford Finance LLC, as Lender and Collateral Agent, the Lenders from time to time party thereto, including Silicon Valley Bank and the Company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360" w:space="720"/>
            <w:col w:w="9340"/>
          </w:cols>
          <w:pgMar w:left="240" w:top="273" w:right="239" w:bottom="1440" w:gutter="0" w:footer="0" w:header="0"/>
          <w:type w:val="continuous"/>
        </w:sectPr>
      </w:pPr>
    </w:p>
    <w:p>
      <w:pPr>
        <w:ind w:firstLine="456"/>
        <w:spacing w:after="0" w:line="274" w:lineRule="auto"/>
        <w:rPr>
          <w:sz w:val="20"/>
          <w:szCs w:val="20"/>
          <w:color w:val="auto"/>
        </w:rPr>
      </w:pPr>
      <w:r>
        <w:rPr>
          <w:rFonts w:ascii="Arial" w:cs="Arial" w:eastAsia="Arial" w:hAnsi="Arial"/>
          <w:sz w:val="17"/>
          <w:szCs w:val="17"/>
          <w:color w:val="auto"/>
        </w:rPr>
        <w:t>THIS WARRANT CERTIFIES THAT, for good and valuable consideration, [SILICON VALLEY BANK][OXFORD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 “</w:t>
      </w:r>
      <w:r>
        <w:rPr>
          <w:rFonts w:ascii="Arial" w:cs="Arial" w:eastAsia="Arial" w:hAnsi="Arial"/>
          <w:sz w:val="17"/>
          <w:szCs w:val="17"/>
          <w:b w:val="1"/>
          <w:bCs w:val="1"/>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 [</w:t>
      </w:r>
      <w:r>
        <w:rPr>
          <w:rFonts w:ascii="Arial" w:cs="Arial" w:eastAsia="Arial" w:hAnsi="Arial"/>
          <w:sz w:val="17"/>
          <w:szCs w:val="17"/>
          <w:i w:val="1"/>
          <w:iCs w:val="1"/>
          <w:color w:val="auto"/>
        </w:rPr>
        <w:t>for SVB, add</w:t>
      </w:r>
      <w:r>
        <w:rPr>
          <w:rFonts w:ascii="Arial" w:cs="Arial" w:eastAsia="Arial" w:hAnsi="Arial"/>
          <w:sz w:val="17"/>
          <w:szCs w:val="17"/>
          <w:color w:val="auto"/>
        </w:rPr>
        <w:t>: Reference is made to Section 5.4 of this Warrant whereby Silicon Valley Bank shall transfer this Warrant to its parent company, SVB Financial Group.]</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jc w:val="both"/>
        <w:ind w:right="220" w:firstLine="1484"/>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1500" w:right="220"/>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ectPr>
          <w:pgSz w:w="11900" w:h="16838" w:orient="portrait"/>
          <w:cols w:equalWidth="0" w:num="1">
            <w:col w:w="11420"/>
          </w:cols>
          <w:pgMar w:left="240" w:top="273" w:right="239" w:bottom="1440" w:gutter="0" w:footer="0" w:header="0"/>
          <w:type w:val="continuous"/>
        </w:sectPr>
      </w:pPr>
    </w:p>
    <w:bookmarkStart w:id="581" w:name="page582"/>
    <w:bookmarkEnd w:id="581"/>
    <w:p>
      <w:pPr>
        <w:ind w:left="1500" w:right="338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 the Fair Market Value (as determined pursuant to Section 1.3 below) of one Share; and B = the Warrant Price.</w:t>
      </w:r>
    </w:p>
    <w:p>
      <w:pPr>
        <w:spacing w:after="0" w:line="6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ind w:right="260" w:firstLine="1484"/>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1492"/>
        <w:spacing w:after="0" w:line="271" w:lineRule="auto"/>
        <w:tabs>
          <w:tab w:leader="none" w:pos="1728"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260" w:firstLine="1492"/>
        <w:spacing w:after="0" w:line="257" w:lineRule="auto"/>
        <w:tabs>
          <w:tab w:leader="none" w:pos="1728"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4" w:right="239" w:bottom="1440" w:gutter="0" w:footer="0" w:header="0"/>
        </w:sectPr>
      </w:pPr>
    </w:p>
    <w:bookmarkStart w:id="582" w:name="page583"/>
    <w:bookmarkEnd w:id="582"/>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jc w:val="both"/>
        <w:ind w:right="80" w:firstLine="1492"/>
        <w:spacing w:after="0" w:line="279" w:lineRule="auto"/>
        <w:tabs>
          <w:tab w:leader="none" w:pos="1738" w:val="left"/>
        </w:tabs>
        <w:numPr>
          <w:ilvl w:val="1"/>
          <w:numId w:val="507"/>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60" w:firstLine="1492"/>
        <w:spacing w:after="0" w:line="285" w:lineRule="auto"/>
        <w:tabs>
          <w:tab w:leader="none" w:pos="1728" w:val="left"/>
        </w:tabs>
        <w:numPr>
          <w:ilvl w:val="1"/>
          <w:numId w:val="507"/>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the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40" w:firstLine="1484"/>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4" w:right="259" w:bottom="1440" w:gutter="0" w:footer="0" w:header="0"/>
        </w:sectPr>
      </w:pPr>
    </w:p>
    <w:bookmarkStart w:id="583" w:name="page584"/>
    <w:bookmarkEnd w:id="583"/>
    <w:p>
      <w:pPr>
        <w:ind w:right="20" w:firstLine="148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right="20" w:firstLine="1484"/>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9" w:lineRule="exact"/>
        <w:rPr>
          <w:sz w:val="20"/>
          <w:szCs w:val="20"/>
          <w:color w:val="auto"/>
        </w:rPr>
      </w:pPr>
    </w:p>
    <w:p>
      <w:pPr>
        <w:jc w:val="both"/>
        <w:ind w:right="240" w:firstLine="1484"/>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7"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484"/>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firstLine="1492"/>
        <w:spacing w:after="0" w:line="264" w:lineRule="auto"/>
        <w:tabs>
          <w:tab w:leader="none" w:pos="1728"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509"/>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74" w:right="259" w:bottom="1440" w:gutter="0" w:footer="0" w:header="0"/>
        </w:sectPr>
      </w:pPr>
    </w:p>
    <w:bookmarkStart w:id="584" w:name="page585"/>
    <w:bookmarkEnd w:id="584"/>
    <w:p>
      <w:pPr>
        <w:ind w:left="1740" w:hanging="248"/>
        <w:spacing w:after="0"/>
        <w:tabs>
          <w:tab w:leader="none" w:pos="1740" w:val="left"/>
        </w:tabs>
        <w:numPr>
          <w:ilvl w:val="0"/>
          <w:numId w:val="5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24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240" w:firstLine="1492"/>
        <w:spacing w:after="0" w:line="277" w:lineRule="auto"/>
        <w:tabs>
          <w:tab w:leader="none" w:pos="172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10" w:lineRule="exact"/>
        <w:rPr>
          <w:rFonts w:ascii="Arial" w:cs="Arial" w:eastAsia="Arial" w:hAnsi="Arial"/>
          <w:sz w:val="16"/>
          <w:szCs w:val="16"/>
          <w:color w:val="auto"/>
        </w:rPr>
      </w:pPr>
    </w:p>
    <w:p>
      <w:pPr>
        <w:ind w:left="1740" w:hanging="248"/>
        <w:spacing w:after="0"/>
        <w:tabs>
          <w:tab w:leader="none" w:pos="17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right="60" w:firstLine="1948"/>
        <w:spacing w:after="0" w:line="264" w:lineRule="auto"/>
        <w:tabs>
          <w:tab w:leader="none" w:pos="219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00" w:firstLine="1948"/>
        <w:spacing w:after="0" w:line="264" w:lineRule="auto"/>
        <w:tabs>
          <w:tab w:leader="none" w:pos="219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0" w:firstLine="1948"/>
        <w:spacing w:after="0" w:line="277" w:lineRule="auto"/>
        <w:tabs>
          <w:tab w:leader="none" w:pos="219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9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right="20" w:firstLine="1484"/>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w:t>
      </w:r>
    </w:p>
    <w:p>
      <w:pPr>
        <w:sectPr>
          <w:pgSz w:w="11900" w:h="16838" w:orient="portrait"/>
          <w:cols w:equalWidth="0" w:num="1">
            <w:col w:w="11400"/>
          </w:cols>
          <w:pgMar w:left="240" w:top="273" w:right="25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unreasonable effort or expense) necessary to verify any information furnished to Holder or to which Holder has access.</w:t>
      </w:r>
    </w:p>
    <w:p>
      <w:pPr>
        <w:spacing w:after="0" w:line="225" w:lineRule="exact"/>
        <w:rPr>
          <w:sz w:val="20"/>
          <w:szCs w:val="20"/>
          <w:color w:val="auto"/>
        </w:rPr>
      </w:pPr>
    </w:p>
    <w:p>
      <w:pPr>
        <w:ind w:right="200" w:firstLine="1484"/>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40" w:firstLine="1484"/>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3"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 that certain Third Amended and Restated Investor Rights Agreement by and among the Company and the investors party thereto, dated July 15, 2013 (as such agreement may be amended and restated) or similar agreement.</w:t>
      </w:r>
    </w:p>
    <w:p>
      <w:pPr>
        <w:spacing w:after="0" w:line="181"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 as expressly set forth in this Warrant, will not be considered a stockholder for any purpose until the exercise of this Warrant.</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5" w:lineRule="exact"/>
        <w:rPr>
          <w:sz w:val="20"/>
          <w:szCs w:val="20"/>
          <w:color w:val="auto"/>
        </w:rPr>
      </w:pPr>
    </w:p>
    <w:p>
      <w:pPr>
        <w:ind w:right="60" w:firstLine="1492"/>
        <w:spacing w:after="0" w:line="277" w:lineRule="auto"/>
        <w:tabs>
          <w:tab w:leader="none" w:pos="1728"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w:t>
      </w:r>
      <w:r>
        <w:rPr>
          <w:rFonts w:ascii="Arial" w:cs="Arial" w:eastAsia="Arial" w:hAnsi="Arial"/>
          <w:sz w:val="18"/>
          <w:szCs w:val="18"/>
          <w:i w:val="1"/>
          <w:iCs w:val="1"/>
          <w:color w:val="auto"/>
        </w:rPr>
        <w:t>for SVB</w:t>
      </w:r>
      <w:r>
        <w:rPr>
          <w:rFonts w:ascii="Arial" w:cs="Arial" w:eastAsia="Arial" w:hAnsi="Arial"/>
          <w:sz w:val="18"/>
          <w:szCs w:val="18"/>
          <w:color w:val="auto"/>
        </w:rPr>
        <w:t>: Pacific][</w:t>
      </w:r>
      <w:r>
        <w:rPr>
          <w:rFonts w:ascii="Arial" w:cs="Arial" w:eastAsia="Arial" w:hAnsi="Arial"/>
          <w:sz w:val="18"/>
          <w:szCs w:val="18"/>
          <w:i w:val="1"/>
          <w:iCs w:val="1"/>
          <w:color w:val="auto"/>
        </w:rPr>
        <w:t>for Oxford</w:t>
      </w:r>
      <w:r>
        <w:rPr>
          <w:rFonts w:ascii="Arial" w:cs="Arial" w:eastAsia="Arial" w:hAnsi="Arial"/>
          <w:sz w:val="18"/>
          <w:szCs w:val="18"/>
          <w:color w:val="auto"/>
        </w:rPr>
        <w:t>: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62"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w:t>
      </w:r>
    </w:p>
    <w:p>
      <w:pPr>
        <w:sectPr>
          <w:pgSz w:w="11900" w:h="16838" w:orient="portrait"/>
          <w:cols w:equalWidth="0" w:num="1">
            <w:col w:w="11400"/>
          </w:cols>
          <w:pgMar w:left="240" w:top="274" w:right="259" w:bottom="1440" w:gutter="0" w:footer="0" w:header="0"/>
        </w:sectPr>
      </w:pPr>
    </w:p>
    <w:bookmarkStart w:id="586" w:name="page587"/>
    <w:bookmarkEnd w:id="586"/>
    <w:p>
      <w:pPr>
        <w:ind w:left="1500"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SET FORTH IN THAT CERTAIN WARRANT TO PURCHASE STOCK ISSUED BY THE ISSUER TO [SILICON VALLEY BANK][OXFORD FINANCE LLC] DATED [DATE],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80"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93" w:lineRule="exact"/>
        <w:rPr>
          <w:sz w:val="20"/>
          <w:szCs w:val="20"/>
          <w:color w:val="auto"/>
        </w:rPr>
      </w:pPr>
    </w:p>
    <w:p>
      <w:pPr>
        <w:ind w:right="80" w:firstLine="1484"/>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w:t>
      </w:r>
      <w:r>
        <w:rPr>
          <w:rFonts w:ascii="Arial" w:cs="Arial" w:eastAsia="Arial" w:hAnsi="Arial"/>
          <w:sz w:val="16"/>
          <w:szCs w:val="16"/>
          <w:i w:val="1"/>
          <w:iCs w:val="1"/>
          <w:color w:val="auto"/>
        </w:rPr>
        <w:t>for SVB</w:t>
      </w:r>
      <w:r>
        <w:rPr>
          <w:rFonts w:ascii="Arial" w:cs="Arial" w:eastAsia="Arial" w:hAnsi="Arial"/>
          <w:sz w:val="16"/>
          <w:szCs w:val="16"/>
          <w:color w:val="auto"/>
        </w:rPr>
        <w:t>: SVB Financial Group (Silicon Valley Bank’s parent company) or any other][</w:t>
      </w:r>
      <w:r>
        <w:rPr>
          <w:rFonts w:ascii="Arial" w:cs="Arial" w:eastAsia="Arial" w:hAnsi="Arial"/>
          <w:sz w:val="16"/>
          <w:szCs w:val="16"/>
          <w:i w:val="1"/>
          <w:iCs w:val="1"/>
          <w:color w:val="auto"/>
        </w:rPr>
        <w:t>for Oxford</w:t>
      </w:r>
      <w:r>
        <w:rPr>
          <w:rFonts w:ascii="Arial" w:cs="Arial" w:eastAsia="Arial" w:hAnsi="Arial"/>
          <w:sz w:val="16"/>
          <w:szCs w:val="16"/>
          <w:color w:val="auto"/>
        </w:rPr>
        <w:t>: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for SVB</w:t>
      </w:r>
      <w:r>
        <w:rPr>
          <w:rFonts w:ascii="Arial" w:cs="Arial" w:eastAsia="Arial" w:hAnsi="Arial"/>
          <w:sz w:val="16"/>
          <w:szCs w:val="16"/>
          <w:u w:val="single" w:color="auto"/>
          <w:color w:val="auto"/>
        </w:rPr>
        <w:t>: 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5"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for Oxford</w:t>
      </w:r>
      <w:r>
        <w:rPr>
          <w:rFonts w:ascii="Arial" w:cs="Arial" w:eastAsia="Arial" w:hAnsi="Arial"/>
          <w:sz w:val="18"/>
          <w:szCs w:val="18"/>
          <w:u w:val="single" w:color="auto"/>
          <w:color w:val="auto"/>
        </w:rPr>
        <w:t>: Transfer Procedure</w:t>
      </w:r>
      <w:r>
        <w:rPr>
          <w:rFonts w:ascii="Arial" w:cs="Arial" w:eastAsia="Arial" w:hAnsi="Arial"/>
          <w:sz w:val="18"/>
          <w:szCs w:val="18"/>
          <w:color w:val="auto"/>
        </w:rPr>
        <w:t>. After receipt by Oxford of the executed Warrant, Oxford may transfer all or part of this Warrant to one or more of Oxford’s affiliates (each, an “</w:t>
      </w:r>
      <w:r>
        <w:rPr>
          <w:rFonts w:ascii="Arial" w:cs="Arial" w:eastAsia="Arial" w:hAnsi="Arial"/>
          <w:sz w:val="18"/>
          <w:szCs w:val="18"/>
          <w:b w:val="1"/>
          <w:bCs w:val="1"/>
          <w:color w:val="auto"/>
        </w:rPr>
        <w:t>Oxford Affiliate</w:t>
      </w:r>
      <w:r>
        <w:rPr>
          <w:rFonts w:ascii="Arial" w:cs="Arial" w:eastAsia="Arial" w:hAnsi="Arial"/>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w:t>
      </w:r>
    </w:p>
    <w:p>
      <w:pPr>
        <w:sectPr>
          <w:pgSz w:w="11900" w:h="16838" w:orient="portrait"/>
          <w:cols w:equalWidth="0" w:num="1">
            <w:col w:w="11400"/>
          </w:cols>
          <w:pgMar w:left="240" w:top="274" w:right="259" w:bottom="1440" w:gutter="0" w:footer="0" w:header="0"/>
        </w:sectPr>
      </w:pPr>
    </w:p>
    <w:bookmarkStart w:id="587" w:name="page588"/>
    <w:bookmarkEnd w:id="58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3"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60" w:firstLine="8"/>
        <w:spacing w:after="0" w:line="295" w:lineRule="auto"/>
        <w:tabs>
          <w:tab w:leader="none" w:pos="315" w:val="left"/>
        </w:tabs>
        <w:numPr>
          <w:ilvl w:val="0"/>
          <w:numId w:val="514"/>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408-496-2405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warradmi@svb.com]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hsuria@anaptysbio.com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11"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w:t>
      </w:r>
    </w:p>
    <w:p>
      <w:pPr>
        <w:sectPr>
          <w:pgSz w:w="11900" w:h="16838" w:orient="portrait"/>
          <w:cols w:equalWidth="0" w:num="1">
            <w:col w:w="11320"/>
          </w:cols>
          <w:pgMar w:left="240" w:top="273" w:right="33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 in writing signed by the party against which enforcement of such change, waiver, discharge or termination is sought.</w:t>
      </w:r>
    </w:p>
    <w:p>
      <w:pPr>
        <w:spacing w:after="0" w:line="225" w:lineRule="exact"/>
        <w:rPr>
          <w:sz w:val="20"/>
          <w:szCs w:val="20"/>
          <w:color w:val="auto"/>
        </w:rPr>
      </w:pPr>
    </w:p>
    <w:p>
      <w:pPr>
        <w:ind w:right="580" w:firstLine="1484"/>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right="300" w:firstLine="1484"/>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right="520" w:firstLine="1484"/>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is][banks in California are] 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3" w:right="239" w:bottom="1440" w:gutter="0" w:footer="0" w:header="0"/>
        </w:sectPr>
      </w:pPr>
    </w:p>
    <w:bookmarkStart w:id="589" w:name="page590"/>
    <w:bookmarkEnd w:id="58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 [OXFORD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0820"/>
          </w:cols>
          <w:pgMar w:left="240" w:top="274" w:right="839" w:bottom="1440" w:gutter="0" w:footer="0" w:header="0"/>
        </w:sectPr>
      </w:pPr>
    </w:p>
    <w:bookmarkStart w:id="590" w:name="page591"/>
    <w:bookmarkEnd w:id="590"/>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2"/>
          </w:tcPr>
          <w:p>
            <w:pPr>
              <w:jc w:val="center"/>
              <w:ind w:right="1700"/>
              <w:spacing w:after="0"/>
              <w:rPr>
                <w:sz w:val="20"/>
                <w:szCs w:val="20"/>
                <w:color w:val="auto"/>
              </w:rPr>
            </w:pPr>
            <w:r>
              <w:rPr>
                <w:rFonts w:ascii="Arial" w:cs="Arial" w:eastAsia="Arial" w:hAnsi="Arial"/>
                <w:sz w:val="18"/>
                <w:szCs w:val="18"/>
                <w:color w:val="auto"/>
                <w:w w:val="96"/>
              </w:rPr>
              <w:t>APPENDIX 1</w:t>
            </w:r>
          </w:p>
        </w:tc>
        <w:tc>
          <w:tcPr>
            <w:tcW w:w="242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w w:val="92"/>
              </w:rPr>
              <w:t>1. The undersigned Holder hereby exercises its right purchase</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97"/>
              </w:rPr>
              <w:t>shares of the Common/Series</w:t>
            </w:r>
          </w:p>
        </w:tc>
        <w:tc>
          <w:tcPr>
            <w:tcW w:w="242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ectPr>
          <w:pgSz w:w="11900" w:h="16838" w:orient="portrait"/>
          <w:cols w:equalWidth="0" w:num="1">
            <w:col w:w="11320"/>
          </w:cols>
          <w:pgMar w:left="240" w:top="273" w:right="33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check in the amount of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payable to order of the Company enclosed herewith</w:t>
      </w:r>
    </w:p>
    <w:p>
      <w:pPr>
        <w:spacing w:after="0" w:line="153" w:lineRule="exact"/>
        <w:rPr>
          <w:sz w:val="20"/>
          <w:szCs w:val="20"/>
          <w:color w:val="auto"/>
        </w:rPr>
      </w:pPr>
    </w:p>
    <w:p>
      <w:pPr>
        <w:sectPr>
          <w:pgSz w:w="11900" w:h="16838" w:orient="portrait"/>
          <w:cols w:equalWidth="0" w:num="3">
            <w:col w:w="520" w:space="180"/>
            <w:col w:w="1980" w:space="400"/>
            <w:col w:w="8240"/>
          </w:cols>
          <w:pgMar w:left="240" w:top="273"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Wire transfer of immediately available funds to the Company’s account</w:t>
      </w:r>
    </w:p>
    <w:p>
      <w:pPr>
        <w:spacing w:after="0" w:line="131" w:lineRule="exact"/>
        <w:rPr>
          <w:sz w:val="20"/>
          <w:szCs w:val="20"/>
          <w:color w:val="auto"/>
        </w:rPr>
      </w:pPr>
    </w:p>
    <w:p>
      <w:pPr>
        <w:sectPr>
          <w:pgSz w:w="11900" w:h="16838" w:orient="portrait"/>
          <w:cols w:equalWidth="0" w:num="2">
            <w:col w:w="520" w:space="180"/>
            <w:col w:w="10620"/>
          </w:cols>
          <w:pgMar w:left="240" w:top="273" w:right="339" w:bottom="1440" w:gutter="0" w:footer="0" w:header="0"/>
          <w:type w:val="continuous"/>
        </w:sectPr>
      </w:pPr>
    </w:p>
    <w:p>
      <w:pPr>
        <w:ind w:left="700" w:hanging="246"/>
        <w:spacing w:after="0"/>
        <w:tabs>
          <w:tab w:leader="none" w:pos="7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320"/>
          </w:cols>
          <w:pgMar w:left="240" w:top="273" w:right="339" w:bottom="1440" w:gutter="0" w:footer="0" w:header="0"/>
          <w:type w:val="continuous"/>
        </w:sectPr>
      </w:pPr>
    </w:p>
    <w:bookmarkStart w:id="591" w:name="page592"/>
    <w:bookmarkEnd w:id="59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Appendix 2 for Oxford Warrants: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right"/>
        <w:ind w:right="5060"/>
        <w:spacing w:after="0"/>
        <w:rPr>
          <w:sz w:val="20"/>
          <w:szCs w:val="20"/>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For value received, Oxford Finance LLC hereby sells, assigns and transfers unto</w:t>
      </w:r>
    </w:p>
    <w:p>
      <w:pPr>
        <w:spacing w:after="0" w:line="264" w:lineRule="exact"/>
        <w:rPr>
          <w:sz w:val="20"/>
          <w:szCs w:val="20"/>
          <w:color w:val="auto"/>
        </w:rPr>
      </w:pPr>
    </w:p>
    <w:p>
      <w:pPr>
        <w:ind w:left="3440"/>
        <w:spacing w:after="0"/>
        <w:tabs>
          <w:tab w:leader="none" w:pos="4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[OXFORD TRANSFEREE]</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0"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that certain Warrant to Purchase Stock issued by ANAPTYSBIO, INC. (the “Company”), on [DATE]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1380"/>
          </w:cols>
          <w:pgMar w:left="240" w:top="273" w:right="279" w:bottom="1440" w:gutter="0" w:footer="0" w:header="0"/>
        </w:sectPr>
      </w:pPr>
    </w:p>
    <w:bookmarkStart w:id="592" w:name="page593"/>
    <w:bookmarkEnd w:id="59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593" w:name="page594"/>
    <w:bookmarkEnd w:id="593"/>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ANAPTYSBIO, INC.</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20" w:type="dxa"/>
            <w:vAlign w:val="bottom"/>
          </w:tcPr>
          <w:p>
            <w:pPr>
              <w:spacing w:after="0"/>
              <w:rPr>
                <w:sz w:val="20"/>
                <w:szCs w:val="20"/>
                <w:color w:val="auto"/>
              </w:rPr>
            </w:pP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648"/>
        </w:trPr>
        <w:tc>
          <w:tcPr>
            <w:tcW w:w="1920" w:type="dxa"/>
            <w:vAlign w:val="bottom"/>
          </w:tcPr>
          <w:p>
            <w:pPr>
              <w:spacing w:after="0"/>
              <w:rPr>
                <w:sz w:val="24"/>
                <w:szCs w:val="24"/>
                <w:color w:val="auto"/>
              </w:rPr>
            </w:pPr>
          </w:p>
        </w:tc>
        <w:tc>
          <w:tcPr>
            <w:tcW w:w="576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Description of Collateral</w:t>
            </w:r>
          </w:p>
        </w:tc>
      </w:tr>
      <w:tr>
        <w:trPr>
          <w:trHeight w:val="20"/>
        </w:trPr>
        <w:tc>
          <w:tcPr>
            <w:tcW w:w="1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1420"/>
          </w:cols>
          <w:pgMar w:left="240" w:top="269" w:right="239" w:bottom="1440" w:gutter="0" w:footer="0" w:header="0"/>
        </w:sectPr>
      </w:pPr>
    </w:p>
    <w:bookmarkStart w:id="594" w:name="page595"/>
    <w:bookmarkEnd w:id="59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100" w:type="dxa"/>
            <w:vAlign w:val="bottom"/>
            <w:gridSpan w:val="3"/>
          </w:tcPr>
          <w:p>
            <w:pPr>
              <w:ind w:left="1320"/>
              <w:spacing w:after="0"/>
              <w:rPr>
                <w:sz w:val="20"/>
                <w:szCs w:val="20"/>
                <w:color w:val="auto"/>
              </w:rPr>
            </w:pPr>
            <w:r>
              <w:rPr>
                <w:rFonts w:ascii="Arial" w:cs="Arial" w:eastAsia="Arial" w:hAnsi="Arial"/>
                <w:sz w:val="18"/>
                <w:szCs w:val="18"/>
                <w:b w:val="1"/>
                <w:bCs w:val="1"/>
                <w:color w:val="auto"/>
              </w:rPr>
              <w:t>SUBSIDIARIES OF THE REGISTRANT</w:t>
            </w:r>
          </w:p>
        </w:tc>
      </w:tr>
      <w:tr>
        <w:trPr>
          <w:trHeight w:val="392"/>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28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24"/>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AnaptysBio Pty</w:t>
            </w:r>
          </w:p>
        </w:tc>
        <w:tc>
          <w:tcPr>
            <w:tcW w:w="1560" w:type="dxa"/>
            <w:vAlign w:val="bottom"/>
          </w:tcPr>
          <w:p>
            <w:pPr>
              <w:spacing w:after="0"/>
              <w:rPr>
                <w:sz w:val="20"/>
                <w:szCs w:val="20"/>
                <w:color w:val="auto"/>
              </w:rPr>
            </w:pPr>
            <w:r>
              <w:rPr>
                <w:rFonts w:ascii="Arial" w:cs="Arial" w:eastAsia="Arial" w:hAnsi="Arial"/>
                <w:sz w:val="18"/>
                <w:szCs w:val="18"/>
                <w:color w:val="auto"/>
              </w:rPr>
              <w:t>Ltd</w:t>
            </w:r>
          </w:p>
        </w:tc>
        <w:tc>
          <w:tcPr>
            <w:tcW w:w="3280" w:type="dxa"/>
            <w:vAlign w:val="bottom"/>
          </w:tcPr>
          <w:p>
            <w:pPr>
              <w:spacing w:after="0"/>
              <w:rPr>
                <w:sz w:val="19"/>
                <w:szCs w:val="19"/>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35626C"/>
    <w:multiLevelType w:val="hybridMultilevel"/>
    <w:lvl w:ilvl="0">
      <w:lvlJc w:val="left"/>
      <w:lvlText w:val="(%1)"/>
      <w:numFmt w:val="decimal"/>
      <w:start w:val="1"/>
    </w:lvl>
  </w:abstractNum>
  <w:abstractNum w:abstractNumId="1">
    <w:nsid w:val="665ACA49"/>
    <w:multiLevelType w:val="hybridMultilevel"/>
    <w:lvl w:ilvl="0">
      <w:lvlJc w:val="left"/>
      <w:lvlText w:val="$"/>
      <w:numFmt w:val="bullet"/>
      <w:start w:val="1"/>
    </w:lvl>
  </w:abstractNum>
  <w:abstractNum w:abstractNumId="2">
    <w:nsid w:val="6835B2AE"/>
    <w:multiLevelType w:val="hybridMultilevel"/>
    <w:lvl w:ilvl="0">
      <w:lvlJc w:val="left"/>
      <w:lvlText w:val="•"/>
      <w:numFmt w:val="bullet"/>
      <w:start w:val="1"/>
    </w:lvl>
  </w:abstractNum>
  <w:abstractNum w:abstractNumId="3">
    <w:nsid w:val="4C187C90"/>
    <w:multiLevelType w:val="hybridMultilevel"/>
    <w:lvl w:ilvl="0">
      <w:lvlJc w:val="left"/>
      <w:lvlText w:val="•"/>
      <w:numFmt w:val="bullet"/>
      <w:start w:val="1"/>
    </w:lvl>
  </w:abstractNum>
  <w:abstractNum w:abstractNumId="4">
    <w:nsid w:val="541F28CD"/>
    <w:multiLevelType w:val="hybridMultilevel"/>
    <w:lvl w:ilvl="0">
      <w:lvlJc w:val="left"/>
      <w:lvlText w:val="•"/>
      <w:numFmt w:val="bullet"/>
      <w:start w:val="1"/>
    </w:lvl>
  </w:abstractNum>
  <w:abstractNum w:abstractNumId="5">
    <w:nsid w:val="7F65FD16"/>
    <w:multiLevelType w:val="hybridMultilevel"/>
    <w:lvl w:ilvl="0">
      <w:lvlJc w:val="left"/>
      <w:lvlText w:val="•"/>
      <w:numFmt w:val="bullet"/>
      <w:start w:val="1"/>
    </w:lvl>
  </w:abstractNum>
  <w:abstractNum w:abstractNumId="6">
    <w:nsid w:val="77C9FD68"/>
    <w:multiLevelType w:val="hybridMultilevel"/>
    <w:lvl w:ilvl="0">
      <w:lvlJc w:val="left"/>
      <w:lvlText w:val="•"/>
      <w:numFmt w:val="bullet"/>
      <w:start w:val="1"/>
    </w:lvl>
  </w:abstractNum>
  <w:abstractNum w:abstractNumId="7">
    <w:nsid w:val="298A92BA"/>
    <w:multiLevelType w:val="hybridMultilevel"/>
    <w:lvl w:ilvl="0">
      <w:lvlJc w:val="left"/>
      <w:lvlText w:val="•"/>
      <w:numFmt w:val="bullet"/>
      <w:start w:val="1"/>
    </w:lvl>
  </w:abstractNum>
  <w:abstractNum w:abstractNumId="8">
    <w:nsid w:val="6FE95EAC"/>
    <w:multiLevelType w:val="hybridMultilevel"/>
    <w:lvl w:ilvl="0">
      <w:lvlJc w:val="left"/>
      <w:lvlText w:val="•"/>
      <w:numFmt w:val="bullet"/>
      <w:start w:val="1"/>
    </w:lvl>
  </w:abstractNum>
  <w:abstractNum w:abstractNumId="9">
    <w:nsid w:val="4B697C7A"/>
    <w:multiLevelType w:val="hybridMultilevel"/>
    <w:lvl w:ilvl="0">
      <w:lvlJc w:val="left"/>
      <w:lvlText w:val="•"/>
      <w:numFmt w:val="bullet"/>
      <w:start w:val="1"/>
    </w:lvl>
  </w:abstractNum>
  <w:abstractNum w:abstractNumId="10">
    <w:nsid w:val="51A27AA6"/>
    <w:multiLevelType w:val="hybridMultilevel"/>
    <w:lvl w:ilvl="0">
      <w:lvlJc w:val="left"/>
      <w:lvlText w:val="•"/>
      <w:numFmt w:val="bullet"/>
      <w:start w:val="1"/>
    </w:lvl>
  </w:abstractNum>
  <w:abstractNum w:abstractNumId="11">
    <w:nsid w:val="613183F2"/>
    <w:multiLevelType w:val="hybridMultilevel"/>
    <w:lvl w:ilvl="0">
      <w:lvlJc w:val="left"/>
      <w:lvlText w:val="•"/>
      <w:numFmt w:val="bullet"/>
      <w:start w:val="1"/>
    </w:lvl>
  </w:abstractNum>
  <w:abstractNum w:abstractNumId="12">
    <w:nsid w:val="634102B4"/>
    <w:multiLevelType w:val="hybridMultilevel"/>
    <w:lvl w:ilvl="0">
      <w:lvlJc w:val="left"/>
      <w:lvlText w:val="•"/>
      <w:numFmt w:val="bullet"/>
      <w:start w:val="1"/>
    </w:lvl>
  </w:abstractNum>
  <w:abstractNum w:abstractNumId="13">
    <w:nsid w:val="65BF9DA8"/>
    <w:multiLevelType w:val="hybridMultilevel"/>
    <w:lvl w:ilvl="0">
      <w:lvlJc w:val="left"/>
      <w:lvlText w:val="•"/>
      <w:numFmt w:val="bullet"/>
      <w:start w:val="1"/>
    </w:lvl>
  </w:abstractNum>
  <w:abstractNum w:abstractNumId="14">
    <w:nsid w:val="21A2ECCA"/>
    <w:multiLevelType w:val="hybridMultilevel"/>
    <w:lvl w:ilvl="0">
      <w:lvlJc w:val="left"/>
      <w:lvlText w:val="(%1)"/>
      <w:numFmt w:val="decimal"/>
      <w:start w:val="1"/>
    </w:lvl>
  </w:abstractNum>
  <w:abstractNum w:abstractNumId="15">
    <w:nsid w:val="4D5C4899"/>
    <w:multiLevelType w:val="hybridMultilevel"/>
    <w:lvl w:ilvl="0">
      <w:lvlJc w:val="left"/>
      <w:lvlText w:val="(%1)"/>
      <w:numFmt w:val="decimal"/>
      <w:start w:val="1"/>
    </w:lvl>
  </w:abstractNum>
  <w:abstractNum w:abstractNumId="16">
    <w:nsid w:val="3C3B72B2"/>
    <w:multiLevelType w:val="hybridMultilevel"/>
    <w:lvl w:ilvl="0">
      <w:lvlJc w:val="left"/>
      <w:lvlText w:val="•"/>
      <w:numFmt w:val="bullet"/>
      <w:start w:val="1"/>
    </w:lvl>
  </w:abstractNum>
  <w:abstractNum w:abstractNumId="17">
    <w:nsid w:val="155EC4C2"/>
    <w:multiLevelType w:val="hybridMultilevel"/>
    <w:lvl w:ilvl="0">
      <w:lvlJc w:val="left"/>
      <w:lvlText w:val="•"/>
      <w:numFmt w:val="bullet"/>
      <w:start w:val="1"/>
    </w:lvl>
  </w:abstractNum>
  <w:abstractNum w:abstractNumId="18">
    <w:nsid w:val="65D2A137"/>
    <w:multiLevelType w:val="hybridMultilevel"/>
    <w:lvl w:ilvl="0">
      <w:lvlJc w:val="left"/>
      <w:lvlText w:val="•"/>
      <w:numFmt w:val="bullet"/>
      <w:start w:val="1"/>
    </w:lvl>
  </w:abstractNum>
  <w:abstractNum w:abstractNumId="19">
    <w:nsid w:val="6EBB1F2A"/>
    <w:multiLevelType w:val="hybridMultilevel"/>
    <w:lvl w:ilvl="0">
      <w:lvlJc w:val="left"/>
      <w:lvlText w:val="•"/>
      <w:numFmt w:val="bullet"/>
      <w:start w:val="1"/>
    </w:lvl>
  </w:abstractNum>
  <w:abstractNum w:abstractNumId="20">
    <w:nsid w:val="6FBF29CB"/>
    <w:multiLevelType w:val="hybridMultilevel"/>
    <w:lvl w:ilvl="0">
      <w:lvlJc w:val="left"/>
      <w:lvlText w:val="•"/>
      <w:numFmt w:val="bullet"/>
      <w:start w:val="1"/>
    </w:lvl>
  </w:abstractNum>
  <w:abstractNum w:abstractNumId="21">
    <w:nsid w:val="550B8808"/>
    <w:multiLevelType w:val="hybridMultilevel"/>
    <w:lvl w:ilvl="0">
      <w:lvlJc w:val="left"/>
      <w:lvlText w:val="•"/>
      <w:numFmt w:val="bullet"/>
      <w:start w:val="1"/>
    </w:lvl>
  </w:abstractNum>
  <w:abstractNum w:abstractNumId="22">
    <w:nsid w:val="34CC3ACF"/>
    <w:multiLevelType w:val="hybridMultilevel"/>
    <w:lvl w:ilvl="0">
      <w:lvlJc w:val="left"/>
      <w:lvlText w:val="•"/>
      <w:numFmt w:val="bullet"/>
      <w:start w:val="1"/>
    </w:lvl>
  </w:abstractNum>
  <w:abstractNum w:abstractNumId="23">
    <w:nsid w:val="4E556261"/>
    <w:multiLevelType w:val="hybridMultilevel"/>
    <w:lvl w:ilvl="0">
      <w:lvlJc w:val="left"/>
      <w:lvlText w:val="•"/>
      <w:numFmt w:val="bullet"/>
      <w:start w:val="1"/>
    </w:lvl>
  </w:abstractNum>
  <w:abstractNum w:abstractNumId="24">
    <w:nsid w:val="4C672FC9"/>
    <w:multiLevelType w:val="hybridMultilevel"/>
    <w:lvl w:ilvl="0">
      <w:lvlJc w:val="left"/>
      <w:lvlText w:val="•"/>
      <w:numFmt w:val="bullet"/>
      <w:start w:val="1"/>
    </w:lvl>
  </w:abstractNum>
  <w:abstractNum w:abstractNumId="25">
    <w:nsid w:val="52A311C3"/>
    <w:multiLevelType w:val="hybridMultilevel"/>
    <w:lvl w:ilvl="0">
      <w:lvlJc w:val="left"/>
      <w:lvlText w:val="•"/>
      <w:numFmt w:val="bullet"/>
      <w:start w:val="1"/>
    </w:lvl>
  </w:abstractNum>
  <w:abstractNum w:abstractNumId="26">
    <w:nsid w:val="44EF6B80"/>
    <w:multiLevelType w:val="hybridMultilevel"/>
    <w:lvl w:ilvl="0">
      <w:lvlJc w:val="left"/>
      <w:lvlText w:val="•"/>
      <w:numFmt w:val="bullet"/>
      <w:start w:val="1"/>
    </w:lvl>
  </w:abstractNum>
  <w:abstractNum w:abstractNumId="27">
    <w:nsid w:val="12FCDE5E"/>
    <w:multiLevelType w:val="hybridMultilevel"/>
    <w:lvl w:ilvl="0">
      <w:lvlJc w:val="left"/>
      <w:lvlText w:val="•"/>
      <w:numFmt w:val="bullet"/>
      <w:start w:val="1"/>
    </w:lvl>
  </w:abstractNum>
  <w:abstractNum w:abstractNumId="28">
    <w:nsid w:val="4A1D606E"/>
    <w:multiLevelType w:val="hybridMultilevel"/>
    <w:lvl w:ilvl="0">
      <w:lvlJc w:val="left"/>
      <w:lvlText w:val="•"/>
      <w:numFmt w:val="bullet"/>
      <w:start w:val="1"/>
    </w:lvl>
  </w:abstractNum>
  <w:abstractNum w:abstractNumId="29">
    <w:nsid w:val="4382503"/>
    <w:multiLevelType w:val="hybridMultilevel"/>
    <w:lvl w:ilvl="0">
      <w:lvlJc w:val="left"/>
      <w:lvlText w:val="•"/>
      <w:numFmt w:val="bullet"/>
      <w:start w:val="1"/>
    </w:lvl>
  </w:abstractNum>
  <w:abstractNum w:abstractNumId="30">
    <w:nsid w:val="59B76E28"/>
    <w:multiLevelType w:val="hybridMultilevel"/>
    <w:lvl w:ilvl="0">
      <w:lvlJc w:val="left"/>
      <w:lvlText w:val="•"/>
      <w:numFmt w:val="bullet"/>
      <w:start w:val="1"/>
    </w:lvl>
  </w:abstractNum>
  <w:abstractNum w:abstractNumId="31">
    <w:nsid w:val="4252C2DA"/>
    <w:multiLevelType w:val="hybridMultilevel"/>
    <w:lvl w:ilvl="0">
      <w:lvlJc w:val="left"/>
      <w:lvlText w:val="•"/>
      <w:numFmt w:val="bullet"/>
      <w:start w:val="1"/>
    </w:lvl>
  </w:abstractNum>
  <w:abstractNum w:abstractNumId="32">
    <w:nsid w:val="6A92EF4C"/>
    <w:multiLevelType w:val="hybridMultilevel"/>
    <w:lvl w:ilvl="0">
      <w:lvlJc w:val="left"/>
      <w:lvlText w:val="•"/>
      <w:numFmt w:val="bullet"/>
      <w:start w:val="1"/>
    </w:lvl>
  </w:abstractNum>
  <w:abstractNum w:abstractNumId="33">
    <w:nsid w:val="41ED20D7"/>
    <w:multiLevelType w:val="hybridMultilevel"/>
    <w:lvl w:ilvl="0">
      <w:lvlJc w:val="left"/>
      <w:lvlText w:val="•"/>
      <w:numFmt w:val="bullet"/>
      <w:start w:val="1"/>
    </w:lvl>
  </w:abstractNum>
  <w:abstractNum w:abstractNumId="34">
    <w:nsid w:val="E6B3F6A"/>
    <w:multiLevelType w:val="hybridMultilevel"/>
    <w:lvl w:ilvl="0">
      <w:lvlJc w:val="left"/>
      <w:lvlText w:val="•"/>
      <w:numFmt w:val="bullet"/>
      <w:start w:val="1"/>
    </w:lvl>
  </w:abstractNum>
  <w:abstractNum w:abstractNumId="35">
    <w:nsid w:val="3EB21819"/>
    <w:multiLevelType w:val="hybridMultilevel"/>
    <w:lvl w:ilvl="0">
      <w:lvlJc w:val="left"/>
      <w:lvlText w:val="•"/>
      <w:numFmt w:val="bullet"/>
      <w:start w:val="1"/>
    </w:lvl>
  </w:abstractNum>
  <w:abstractNum w:abstractNumId="36">
    <w:nsid w:val="41531DED"/>
    <w:multiLevelType w:val="hybridMultilevel"/>
    <w:lvl w:ilvl="0">
      <w:lvlJc w:val="left"/>
      <w:lvlText w:val="•"/>
      <w:numFmt w:val="bullet"/>
      <w:start w:val="1"/>
    </w:lvl>
  </w:abstractNum>
  <w:abstractNum w:abstractNumId="37">
    <w:nsid w:val="6353CD2"/>
    <w:multiLevelType w:val="hybridMultilevel"/>
    <w:lvl w:ilvl="0">
      <w:lvlJc w:val="left"/>
      <w:lvlText w:val="•"/>
      <w:numFmt w:val="bullet"/>
      <w:start w:val="1"/>
    </w:lvl>
  </w:abstractNum>
  <w:abstractNum w:abstractNumId="38">
    <w:nsid w:val="683CAAD3"/>
    <w:multiLevelType w:val="hybridMultilevel"/>
    <w:lvl w:ilvl="0">
      <w:lvlJc w:val="left"/>
      <w:lvlText w:val="•"/>
      <w:numFmt w:val="bullet"/>
      <w:start w:val="1"/>
    </w:lvl>
  </w:abstractNum>
  <w:abstractNum w:abstractNumId="39">
    <w:nsid w:val="313C7C99"/>
    <w:multiLevelType w:val="hybridMultilevel"/>
    <w:lvl w:ilvl="0">
      <w:lvlJc w:val="left"/>
      <w:lvlText w:val="$"/>
      <w:numFmt w:val="bullet"/>
      <w:start w:val="1"/>
    </w:lvl>
  </w:abstractNum>
  <w:abstractNum w:abstractNumId="40">
    <w:nsid w:val="519EB94C"/>
    <w:multiLevelType w:val="hybridMultilevel"/>
    <w:lvl w:ilvl="0">
      <w:lvlJc w:val="left"/>
      <w:lvlText w:val="$"/>
      <w:numFmt w:val="bullet"/>
      <w:start w:val="1"/>
    </w:lvl>
  </w:abstractNum>
  <w:abstractNum w:abstractNumId="41">
    <w:nsid w:val="39DF2579"/>
    <w:multiLevelType w:val="hybridMultilevel"/>
    <w:lvl w:ilvl="0">
      <w:lvlJc w:val="left"/>
      <w:lvlText w:val="•"/>
      <w:numFmt w:val="bullet"/>
      <w:start w:val="1"/>
    </w:lvl>
  </w:abstractNum>
  <w:abstractNum w:abstractNumId="42">
    <w:nsid w:val="126E008B"/>
    <w:multiLevelType w:val="hybridMultilevel"/>
    <w:lvl w:ilvl="0">
      <w:lvlJc w:val="left"/>
      <w:lvlText w:val="•"/>
      <w:numFmt w:val="bullet"/>
      <w:start w:val="1"/>
    </w:lvl>
  </w:abstractNum>
  <w:abstractNum w:abstractNumId="43">
    <w:nsid w:val="34DFBC00"/>
    <w:multiLevelType w:val="hybridMultilevel"/>
    <w:lvl w:ilvl="0">
      <w:lvlJc w:val="left"/>
      <w:lvlText w:val="(%1)"/>
      <w:numFmt w:val="decimal"/>
      <w:start w:val="1"/>
    </w:lvl>
  </w:abstractNum>
  <w:abstractNum w:abstractNumId="44">
    <w:nsid w:val="1F9EC322"/>
    <w:multiLevelType w:val="hybridMultilevel"/>
    <w:lvl w:ilvl="0">
      <w:lvlJc w:val="left"/>
      <w:lvlText w:val="•"/>
      <w:numFmt w:val="bullet"/>
      <w:start w:val="1"/>
    </w:lvl>
  </w:abstractNum>
  <w:abstractNum w:abstractNumId="45">
    <w:nsid w:val="3410ED56"/>
    <w:multiLevelType w:val="hybridMultilevel"/>
    <w:lvl w:ilvl="0">
      <w:lvlJc w:val="left"/>
      <w:lvlText w:val="•"/>
      <w:numFmt w:val="bullet"/>
      <w:start w:val="1"/>
    </w:lvl>
  </w:abstractNum>
  <w:abstractNum w:abstractNumId="46">
    <w:nsid w:val="23C049A"/>
    <w:multiLevelType w:val="hybridMultilevel"/>
    <w:lvl w:ilvl="0">
      <w:lvlJc w:val="left"/>
      <w:lvlText w:val="$"/>
      <w:numFmt w:val="bullet"/>
      <w:start w:val="1"/>
    </w:lvl>
  </w:abstractNum>
  <w:abstractNum w:abstractNumId="47">
    <w:nsid w:val="5BDA35D4"/>
    <w:multiLevelType w:val="hybridMultilevel"/>
    <w:lvl w:ilvl="0">
      <w:lvlJc w:val="left"/>
      <w:lvlText w:val="•"/>
      <w:numFmt w:val="bullet"/>
      <w:start w:val="1"/>
    </w:lvl>
  </w:abstractNum>
  <w:abstractNum w:abstractNumId="48">
    <w:nsid w:val="496FB218"/>
    <w:multiLevelType w:val="hybridMultilevel"/>
    <w:lvl w:ilvl="0">
      <w:lvlJc w:val="left"/>
      <w:lvlText w:val="•"/>
      <w:numFmt w:val="bullet"/>
      <w:start w:val="1"/>
    </w:lvl>
  </w:abstractNum>
  <w:abstractNum w:abstractNumId="49">
    <w:nsid w:val="680EA5D1"/>
    <w:multiLevelType w:val="hybridMultilevel"/>
    <w:lvl w:ilvl="0">
      <w:lvlJc w:val="left"/>
      <w:lvlText w:val="(%1)"/>
      <w:numFmt w:val="decimal"/>
      <w:start w:val="1"/>
    </w:lvl>
  </w:abstractNum>
  <w:abstractNum w:abstractNumId="50">
    <w:nsid w:val="4A9554FE"/>
    <w:multiLevelType w:val="hybridMultilevel"/>
    <w:lvl w:ilvl="0">
      <w:lvlJc w:val="left"/>
      <w:lvlText w:val="•"/>
      <w:numFmt w:val="bullet"/>
      <w:start w:val="1"/>
    </w:lvl>
  </w:abstractNum>
  <w:abstractNum w:abstractNumId="51">
    <w:nsid w:val="392EDBE4"/>
    <w:multiLevelType w:val="hybridMultilevel"/>
    <w:lvl w:ilvl="0">
      <w:lvlJc w:val="left"/>
      <w:lvlText w:val="•"/>
      <w:numFmt w:val="bullet"/>
      <w:start w:val="1"/>
    </w:lvl>
  </w:abstractNum>
  <w:abstractNum w:abstractNumId="52">
    <w:nsid w:val="3D1A2DD9"/>
    <w:multiLevelType w:val="hybridMultilevel"/>
    <w:lvl w:ilvl="0">
      <w:lvlJc w:val="left"/>
      <w:lvlText w:val="•"/>
      <w:numFmt w:val="bullet"/>
      <w:start w:val="1"/>
    </w:lvl>
  </w:abstractNum>
  <w:abstractNum w:abstractNumId="53">
    <w:nsid w:val="7F618FCD"/>
    <w:multiLevelType w:val="hybridMultilevel"/>
    <w:lvl w:ilvl="0">
      <w:lvlJc w:val="left"/>
      <w:lvlText w:val="•"/>
      <w:numFmt w:val="bullet"/>
      <w:start w:val="1"/>
    </w:lvl>
  </w:abstractNum>
  <w:abstractNum w:abstractNumId="54">
    <w:nsid w:val="7843E45"/>
    <w:multiLevelType w:val="hybridMultilevel"/>
    <w:lvl w:ilvl="0">
      <w:lvlJc w:val="left"/>
      <w:lvlText w:val="•"/>
      <w:numFmt w:val="bullet"/>
      <w:start w:val="1"/>
    </w:lvl>
  </w:abstractNum>
  <w:abstractNum w:abstractNumId="55">
    <w:nsid w:val="9815DA3"/>
    <w:multiLevelType w:val="hybridMultilevel"/>
    <w:lvl w:ilvl="0">
      <w:lvlJc w:val="left"/>
      <w:lvlText w:val="•"/>
      <w:numFmt w:val="bullet"/>
      <w:start w:val="1"/>
    </w:lvl>
  </w:abstractNum>
  <w:abstractNum w:abstractNumId="56">
    <w:nsid w:val="5204A191"/>
    <w:multiLevelType w:val="hybridMultilevel"/>
    <w:lvl w:ilvl="0">
      <w:lvlJc w:val="left"/>
      <w:lvlText w:val="(%1)"/>
      <w:numFmt w:val="decimal"/>
      <w:start w:val="1"/>
    </w:lvl>
  </w:abstractNum>
  <w:abstractNum w:abstractNumId="57">
    <w:nsid w:val="4C73A9C6"/>
    <w:multiLevelType w:val="hybridMultilevel"/>
    <w:lvl w:ilvl="0">
      <w:lvlJc w:val="left"/>
      <w:lvlText w:val="•"/>
      <w:numFmt w:val="bullet"/>
      <w:start w:val="1"/>
    </w:lvl>
  </w:abstractNum>
  <w:abstractNum w:abstractNumId="58">
    <w:nsid w:val="1C7E3C01"/>
    <w:multiLevelType w:val="hybridMultilevel"/>
    <w:lvl w:ilvl="0">
      <w:lvlJc w:val="left"/>
      <w:lvlText w:val="•"/>
      <w:numFmt w:val="bullet"/>
      <w:start w:val="1"/>
    </w:lvl>
  </w:abstractNum>
  <w:abstractNum w:abstractNumId="59">
    <w:nsid w:val="1C2201FF"/>
    <w:multiLevelType w:val="hybridMultilevel"/>
    <w:lvl w:ilvl="0">
      <w:lvlJc w:val="left"/>
      <w:lvlText w:val="•"/>
      <w:numFmt w:val="bullet"/>
      <w:start w:val="1"/>
    </w:lvl>
  </w:abstractNum>
  <w:abstractNum w:abstractNumId="60">
    <w:nsid w:val="50ABCEC9"/>
    <w:multiLevelType w:val="hybridMultilevel"/>
    <w:lvl w:ilvl="0">
      <w:lvlJc w:val="left"/>
      <w:lvlText w:val="•"/>
      <w:numFmt w:val="bullet"/>
      <w:start w:val="1"/>
    </w:lvl>
  </w:abstractNum>
  <w:abstractNum w:abstractNumId="61">
    <w:nsid w:val="7635AA2A"/>
    <w:multiLevelType w:val="hybridMultilevel"/>
    <w:lvl w:ilvl="0">
      <w:lvlJc w:val="left"/>
      <w:lvlText w:val="•"/>
      <w:numFmt w:val="bullet"/>
      <w:start w:val="1"/>
    </w:lvl>
  </w:abstractNum>
  <w:abstractNum w:abstractNumId="62">
    <w:nsid w:val="5E74C4D9"/>
    <w:multiLevelType w:val="hybridMultilevel"/>
    <w:lvl w:ilvl="0">
      <w:lvlJc w:val="left"/>
      <w:lvlText w:val="•"/>
      <w:numFmt w:val="bullet"/>
      <w:start w:val="1"/>
    </w:lvl>
  </w:abstractNum>
  <w:abstractNum w:abstractNumId="63">
    <w:nsid w:val="3B3EBE15"/>
    <w:multiLevelType w:val="hybridMultilevel"/>
    <w:lvl w:ilvl="0">
      <w:lvlJc w:val="left"/>
      <w:lvlText w:val="•"/>
      <w:numFmt w:val="bullet"/>
      <w:start w:val="1"/>
    </w:lvl>
  </w:abstractNum>
  <w:abstractNum w:abstractNumId="64">
    <w:nsid w:val="3822CB01"/>
    <w:multiLevelType w:val="hybridMultilevel"/>
    <w:lvl w:ilvl="0">
      <w:lvlJc w:val="left"/>
      <w:lvlText w:val="•"/>
      <w:numFmt w:val="bullet"/>
      <w:start w:val="1"/>
    </w:lvl>
  </w:abstractNum>
  <w:abstractNum w:abstractNumId="65">
    <w:nsid w:val="6CE00443"/>
    <w:multiLevelType w:val="hybridMultilevel"/>
    <w:lvl w:ilvl="0">
      <w:lvlJc w:val="left"/>
      <w:lvlText w:val="•"/>
      <w:numFmt w:val="bullet"/>
      <w:start w:val="1"/>
    </w:lvl>
  </w:abstractNum>
  <w:abstractNum w:abstractNumId="66">
    <w:nsid w:val="79F0D62F"/>
    <w:multiLevelType w:val="hybridMultilevel"/>
    <w:lvl w:ilvl="0">
      <w:lvlJc w:val="left"/>
      <w:lvlText w:val="•"/>
      <w:numFmt w:val="bullet"/>
      <w:start w:val="1"/>
    </w:lvl>
  </w:abstractNum>
  <w:abstractNum w:abstractNumId="67">
    <w:nsid w:val="7975E8EE"/>
    <w:multiLevelType w:val="hybridMultilevel"/>
    <w:lvl w:ilvl="0">
      <w:lvlJc w:val="left"/>
      <w:lvlText w:val="•"/>
      <w:numFmt w:val="bullet"/>
      <w:start w:val="1"/>
    </w:lvl>
  </w:abstractNum>
  <w:abstractNum w:abstractNumId="68">
    <w:nsid w:val="73154115"/>
    <w:multiLevelType w:val="hybridMultilevel"/>
    <w:lvl w:ilvl="0">
      <w:lvlJc w:val="left"/>
      <w:lvlText w:val="*"/>
      <w:numFmt w:val="bullet"/>
      <w:start w:val="1"/>
    </w:lvl>
  </w:abstractNum>
  <w:abstractNum w:abstractNumId="69">
    <w:nsid w:val="622D8102"/>
    <w:multiLevelType w:val="hybridMultilevel"/>
    <w:lvl w:ilvl="0">
      <w:lvlJc w:val="left"/>
      <w:lvlText w:val="•"/>
      <w:numFmt w:val="bullet"/>
      <w:start w:val="1"/>
    </w:lvl>
  </w:abstractNum>
  <w:abstractNum w:abstractNumId="70">
    <w:nsid w:val="2AB26587"/>
    <w:multiLevelType w:val="hybridMultilevel"/>
    <w:lvl w:ilvl="0">
      <w:lvlJc w:val="left"/>
      <w:lvlText w:val="•"/>
      <w:numFmt w:val="bullet"/>
      <w:start w:val="1"/>
    </w:lvl>
  </w:abstractNum>
  <w:abstractNum w:abstractNumId="71">
    <w:nsid w:val="44B3FA61"/>
    <w:multiLevelType w:val="hybridMultilevel"/>
    <w:lvl w:ilvl="0">
      <w:lvlJc w:val="left"/>
      <w:lvlText w:val="•"/>
      <w:numFmt w:val="bullet"/>
      <w:start w:val="1"/>
    </w:lvl>
  </w:abstractNum>
  <w:abstractNum w:abstractNumId="72">
    <w:nsid w:val="1C0CA67C"/>
    <w:multiLevelType w:val="hybridMultilevel"/>
    <w:lvl w:ilvl="0">
      <w:lvlJc w:val="left"/>
      <w:lvlText w:val="•"/>
      <w:numFmt w:val="bullet"/>
      <w:start w:val="1"/>
    </w:lvl>
  </w:abstractNum>
  <w:abstractNum w:abstractNumId="73">
    <w:nsid w:val="3D206613"/>
    <w:multiLevelType w:val="hybridMultilevel"/>
    <w:lvl w:ilvl="0">
      <w:lvlJc w:val="left"/>
      <w:lvlText w:val="(%1)"/>
      <w:numFmt w:val="decimal"/>
      <w:start w:val="1"/>
    </w:lvl>
  </w:abstractNum>
  <w:abstractNum w:abstractNumId="74">
    <w:nsid w:val="7993B662"/>
    <w:multiLevelType w:val="hybridMultilevel"/>
    <w:lvl w:ilvl="0">
      <w:lvlJc w:val="left"/>
      <w:lvlText w:val="•"/>
      <w:numFmt w:val="bullet"/>
      <w:start w:val="1"/>
    </w:lvl>
  </w:abstractNum>
  <w:abstractNum w:abstractNumId="75">
    <w:nsid w:val="3BAB699E"/>
    <w:multiLevelType w:val="hybridMultilevel"/>
    <w:lvl w:ilvl="0">
      <w:lvlJc w:val="left"/>
      <w:lvlText w:val="(%1)"/>
      <w:numFmt w:val="decimal"/>
      <w:start w:val="1"/>
    </w:lvl>
  </w:abstractNum>
  <w:abstractNum w:abstractNumId="76">
    <w:nsid w:val="71315369"/>
    <w:multiLevelType w:val="hybridMultilevel"/>
    <w:lvl w:ilvl="0">
      <w:lvlJc w:val="left"/>
      <w:lvlText w:val="(%1)"/>
      <w:numFmt w:val="decimal"/>
      <w:start w:val="1"/>
    </w:lvl>
  </w:abstractNum>
  <w:abstractNum w:abstractNumId="77">
    <w:nsid w:val="7BCFBAFC"/>
    <w:multiLevelType w:val="hybridMultilevel"/>
    <w:lvl w:ilvl="0">
      <w:lvlJc w:val="left"/>
      <w:lvlText w:val="(%1)"/>
      <w:numFmt w:val="decimal"/>
      <w:start w:val="3"/>
    </w:lvl>
  </w:abstractNum>
  <w:abstractNum w:abstractNumId="78">
    <w:nsid w:val="17859F72"/>
    <w:multiLevelType w:val="hybridMultilevel"/>
    <w:lvl w:ilvl="0">
      <w:lvlJc w:val="left"/>
      <w:lvlText w:val="(%1)"/>
      <w:numFmt w:val="lowerRoman"/>
      <w:start w:val="1"/>
    </w:lvl>
  </w:abstractNum>
  <w:abstractNum w:abstractNumId="79">
    <w:nsid w:val="3AA10581"/>
    <w:multiLevelType w:val="hybridMultilevel"/>
    <w:lvl w:ilvl="0">
      <w:lvlJc w:val="left"/>
      <w:lvlText w:val="(%1)"/>
      <w:numFmt w:val="lowerRoman"/>
      <w:start w:val="1"/>
    </w:lvl>
  </w:abstractNum>
  <w:abstractNum w:abstractNumId="80">
    <w:nsid w:val="63DE60CD"/>
    <w:multiLevelType w:val="hybridMultilevel"/>
    <w:lvl w:ilvl="0">
      <w:lvlJc w:val="left"/>
      <w:lvlText w:val="•"/>
      <w:numFmt w:val="bullet"/>
      <w:start w:val="1"/>
    </w:lvl>
  </w:abstractNum>
  <w:abstractNum w:abstractNumId="81">
    <w:nsid w:val="621AF471"/>
    <w:multiLevelType w:val="hybridMultilevel"/>
    <w:lvl w:ilvl="0">
      <w:lvlJc w:val="left"/>
      <w:lvlText w:val="•"/>
      <w:numFmt w:val="bullet"/>
      <w:start w:val="1"/>
    </w:lvl>
  </w:abstractNum>
  <w:abstractNum w:abstractNumId="82">
    <w:nsid w:val="73CFE165"/>
    <w:multiLevelType w:val="hybridMultilevel"/>
    <w:lvl w:ilvl="0">
      <w:lvlJc w:val="left"/>
      <w:lvlText w:val="•"/>
      <w:numFmt w:val="bullet"/>
      <w:start w:val="1"/>
    </w:lvl>
  </w:abstractNum>
  <w:abstractNum w:abstractNumId="83">
    <w:nsid w:val="20F88EA6"/>
    <w:multiLevelType w:val="hybridMultilevel"/>
    <w:lvl w:ilvl="0">
      <w:lvlJc w:val="left"/>
      <w:lvlText w:val="•"/>
      <w:numFmt w:val="bullet"/>
      <w:start w:val="1"/>
    </w:lvl>
  </w:abstractNum>
  <w:abstractNum w:abstractNumId="84">
    <w:nsid w:val="617C843E"/>
    <w:multiLevelType w:val="hybridMultilevel"/>
    <w:lvl w:ilvl="0">
      <w:lvlJc w:val="left"/>
      <w:lvlText w:val="(%1)"/>
      <w:numFmt w:val="decimal"/>
      <w:start w:val="1"/>
    </w:lvl>
  </w:abstractNum>
  <w:abstractNum w:abstractNumId="85">
    <w:nsid w:val="7B541FAB"/>
    <w:multiLevelType w:val="hybridMultilevel"/>
    <w:lvl w:ilvl="0">
      <w:lvlJc w:val="left"/>
      <w:lvlText w:val="(%1)"/>
      <w:numFmt w:val="decimal"/>
      <w:start w:val="1"/>
    </w:lvl>
  </w:abstractNum>
  <w:abstractNum w:abstractNumId="86">
    <w:nsid w:val="2A79EC49"/>
    <w:multiLevelType w:val="hybridMultilevel"/>
    <w:lvl w:ilvl="0">
      <w:lvlJc w:val="left"/>
      <w:lvlText w:val="•"/>
      <w:numFmt w:val="bullet"/>
      <w:start w:val="1"/>
    </w:lvl>
  </w:abstractNum>
  <w:abstractNum w:abstractNumId="87">
    <w:nsid w:val="338125CF"/>
    <w:multiLevelType w:val="hybridMultilevel"/>
    <w:lvl w:ilvl="0">
      <w:lvlJc w:val="left"/>
      <w:lvlText w:val="*"/>
      <w:numFmt w:val="bullet"/>
      <w:start w:val="1"/>
    </w:lvl>
  </w:abstractNum>
  <w:abstractNum w:abstractNumId="88">
    <w:nsid w:val="47C7C971"/>
    <w:multiLevelType w:val="hybridMultilevel"/>
    <w:lvl w:ilvl="0">
      <w:lvlJc w:val="left"/>
      <w:lvlText w:val="(%1)"/>
      <w:numFmt w:val="decimal"/>
      <w:start w:val="1"/>
    </w:lvl>
    <w:lvl w:ilvl="1">
      <w:lvlJc w:val="left"/>
      <w:lvlText w:val="(%2)"/>
      <w:numFmt w:val="lowerLetter"/>
      <w:start w:val="2"/>
    </w:lvl>
  </w:abstractNum>
  <w:abstractNum w:abstractNumId="89">
    <w:nsid w:val="46F8284B"/>
    <w:multiLevelType w:val="hybridMultilevel"/>
    <w:lvl w:ilvl="0">
      <w:lvlJc w:val="left"/>
      <w:lvlText w:val="(%1)"/>
      <w:numFmt w:val="decimal"/>
      <w:start w:val="9"/>
    </w:lvl>
    <w:lvl w:ilvl="1">
      <w:lvlJc w:val="left"/>
      <w:lvlText w:val="(%2)"/>
      <w:numFmt w:val="lowerLetter"/>
      <w:start w:val="4"/>
    </w:lvl>
  </w:abstractNum>
  <w:abstractNum w:abstractNumId="90">
    <w:nsid w:val="4FA327CE"/>
    <w:multiLevelType w:val="hybridMultilevel"/>
    <w:lvl w:ilvl="0">
      <w:lvlJc w:val="left"/>
      <w:lvlText w:val="%1"/>
      <w:numFmt w:val="decimal"/>
      <w:start w:val="1"/>
    </w:lvl>
    <w:lvl w:ilvl="1">
      <w:lvlJc w:val="left"/>
      <w:lvlText w:val="(%2)"/>
      <w:numFmt w:val="lowerLetter"/>
      <w:start w:val="2"/>
    </w:lvl>
  </w:abstractNum>
  <w:abstractNum w:abstractNumId="91">
    <w:nsid w:val="1873983A"/>
    <w:multiLevelType w:val="hybridMultilevel"/>
    <w:lvl w:ilvl="0">
      <w:lvlJc w:val="left"/>
      <w:lvlText w:val="•"/>
      <w:numFmt w:val="bullet"/>
      <w:start w:val="1"/>
    </w:lvl>
  </w:abstractNum>
  <w:abstractNum w:abstractNumId="92">
    <w:nsid w:val="3D2DD275"/>
    <w:multiLevelType w:val="hybridMultilevel"/>
    <w:lvl w:ilvl="0">
      <w:lvlJc w:val="left"/>
      <w:lvlText w:val="•"/>
      <w:numFmt w:val="bullet"/>
      <w:start w:val="1"/>
    </w:lvl>
  </w:abstractNum>
  <w:abstractNum w:abstractNumId="93">
    <w:nsid w:val="2E17ECA7"/>
    <w:multiLevelType w:val="hybridMultilevel"/>
    <w:lvl w:ilvl="0">
      <w:lvlJc w:val="left"/>
      <w:lvlText w:val="•"/>
      <w:numFmt w:val="bullet"/>
      <w:start w:val="1"/>
    </w:lvl>
  </w:abstractNum>
  <w:abstractNum w:abstractNumId="94">
    <w:nsid w:val="53B2564F"/>
    <w:multiLevelType w:val="hybridMultilevel"/>
    <w:lvl w:ilvl="0">
      <w:lvlJc w:val="left"/>
      <w:lvlText w:val="•"/>
      <w:numFmt w:val="bullet"/>
      <w:start w:val="1"/>
    </w:lvl>
  </w:abstractNum>
  <w:abstractNum w:abstractNumId="95">
    <w:nsid w:val="75509D76"/>
    <w:multiLevelType w:val="hybridMultilevel"/>
    <w:lvl w:ilvl="0">
      <w:lvlJc w:val="left"/>
      <w:lvlText w:val="•"/>
      <w:numFmt w:val="bullet"/>
      <w:start w:val="1"/>
    </w:lvl>
  </w:abstractNum>
  <w:abstractNum w:abstractNumId="96">
    <w:nsid w:val="1AF7F0EA"/>
    <w:multiLevelType w:val="hybridMultilevel"/>
    <w:lvl w:ilvl="0">
      <w:lvlJc w:val="left"/>
      <w:lvlText w:val="•"/>
      <w:numFmt w:val="bullet"/>
      <w:start w:val="1"/>
    </w:lvl>
  </w:abstractNum>
  <w:abstractNum w:abstractNumId="97">
    <w:nsid w:val="4DA32C7E"/>
    <w:multiLevelType w:val="hybridMultilevel"/>
    <w:lvl w:ilvl="0">
      <w:lvlJc w:val="left"/>
      <w:lvlText w:val="•"/>
      <w:numFmt w:val="bullet"/>
      <w:start w:val="1"/>
    </w:lvl>
  </w:abstractNum>
  <w:abstractNum w:abstractNumId="98">
    <w:nsid w:val="6EC68664"/>
    <w:multiLevelType w:val="hybridMultilevel"/>
    <w:lvl w:ilvl="0">
      <w:lvlJc w:val="left"/>
      <w:lvlText w:val="•"/>
      <w:numFmt w:val="bullet"/>
      <w:start w:val="1"/>
    </w:lvl>
  </w:abstractNum>
  <w:abstractNum w:abstractNumId="99">
    <w:nsid w:val="E0D31FF"/>
    <w:multiLevelType w:val="hybridMultilevel"/>
    <w:lvl w:ilvl="0">
      <w:lvlJc w:val="left"/>
      <w:lvlText w:val="•"/>
      <w:numFmt w:val="bullet"/>
      <w:start w:val="1"/>
    </w:lvl>
  </w:abstractNum>
  <w:abstractNum w:abstractNumId="100">
    <w:nsid w:val="2FD0AD81"/>
    <w:multiLevelType w:val="hybridMultilevel"/>
    <w:lvl w:ilvl="0">
      <w:lvlJc w:val="left"/>
      <w:lvlText w:val="•"/>
      <w:numFmt w:val="bullet"/>
      <w:start w:val="1"/>
    </w:lvl>
  </w:abstractNum>
  <w:abstractNum w:abstractNumId="101">
    <w:nsid w:val="1978EBEB"/>
    <w:multiLevelType w:val="hybridMultilevel"/>
    <w:lvl w:ilvl="0">
      <w:lvlJc w:val="left"/>
      <w:lvlText w:val="•"/>
      <w:numFmt w:val="bullet"/>
      <w:start w:val="1"/>
    </w:lvl>
  </w:abstractNum>
  <w:abstractNum w:abstractNumId="102">
    <w:nsid w:val="52C12C61"/>
    <w:multiLevelType w:val="hybridMultilevel"/>
    <w:lvl w:ilvl="0">
      <w:lvlJc w:val="left"/>
      <w:lvlText w:val="•"/>
      <w:numFmt w:val="bullet"/>
      <w:start w:val="1"/>
    </w:lvl>
  </w:abstractNum>
  <w:abstractNum w:abstractNumId="103">
    <w:nsid w:val="4BDD53FD"/>
    <w:multiLevelType w:val="hybridMultilevel"/>
    <w:lvl w:ilvl="0">
      <w:lvlJc w:val="left"/>
      <w:lvlText w:val="•"/>
      <w:numFmt w:val="bullet"/>
      <w:start w:val="1"/>
    </w:lvl>
  </w:abstractNum>
  <w:abstractNum w:abstractNumId="104">
    <w:nsid w:val="569951FE"/>
    <w:multiLevelType w:val="hybridMultilevel"/>
    <w:lvl w:ilvl="0">
      <w:lvlJc w:val="left"/>
      <w:lvlText w:val="•"/>
      <w:numFmt w:val="bullet"/>
      <w:start w:val="1"/>
    </w:lvl>
  </w:abstractNum>
  <w:abstractNum w:abstractNumId="105">
    <w:nsid w:val="4C54E2C3"/>
    <w:multiLevelType w:val="hybridMultilevel"/>
    <w:lvl w:ilvl="0">
      <w:lvlJc w:val="left"/>
      <w:lvlText w:val="(%1)"/>
      <w:numFmt w:val="lowerLetter"/>
      <w:start w:val="2"/>
    </w:lvl>
  </w:abstractNum>
  <w:abstractNum w:abstractNumId="106">
    <w:nsid w:val="788BD9B"/>
    <w:multiLevelType w:val="hybridMultilevel"/>
    <w:lvl w:ilvl="0">
      <w:lvlJc w:val="left"/>
      <w:lvlText w:val="•"/>
      <w:numFmt w:val="bullet"/>
      <w:start w:val="1"/>
    </w:lvl>
  </w:abstractNum>
  <w:abstractNum w:abstractNumId="107">
    <w:nsid w:val="47CAA567"/>
    <w:multiLevelType w:val="hybridMultilevel"/>
    <w:lvl w:ilvl="0">
      <w:lvlJc w:val="left"/>
      <w:lvlText w:val="•"/>
      <w:numFmt w:val="bullet"/>
      <w:start w:val="1"/>
    </w:lvl>
  </w:abstractNum>
  <w:abstractNum w:abstractNumId="108">
    <w:nsid w:val="48249DBF"/>
    <w:multiLevelType w:val="hybridMultilevel"/>
    <w:lvl w:ilvl="0">
      <w:lvlJc w:val="left"/>
      <w:lvlText w:val="•"/>
      <w:numFmt w:val="bullet"/>
      <w:start w:val="1"/>
    </w:lvl>
    <w:lvl w:ilvl="1">
      <w:lvlJc w:val="left"/>
      <w:lvlText w:val="•"/>
      <w:numFmt w:val="bullet"/>
      <w:start w:val="1"/>
    </w:lvl>
  </w:abstractNum>
  <w:abstractNum w:abstractNumId="109">
    <w:nsid w:val="1F0E5D0D"/>
    <w:multiLevelType w:val="hybridMultilevel"/>
    <w:lvl w:ilvl="0">
      <w:lvlJc w:val="left"/>
      <w:lvlText w:val="(%1)"/>
      <w:numFmt w:val="lowerLetter"/>
      <w:start w:val="2"/>
    </w:lvl>
  </w:abstractNum>
  <w:abstractNum w:abstractNumId="110">
    <w:nsid w:val="26BAAE9"/>
    <w:multiLevelType w:val="hybridMultilevel"/>
    <w:lvl w:ilvl="0">
      <w:lvlJc w:val="left"/>
      <w:lvlText w:val="•"/>
      <w:numFmt w:val="bullet"/>
      <w:start w:val="1"/>
    </w:lvl>
  </w:abstractNum>
  <w:abstractNum w:abstractNumId="111">
    <w:nsid w:val="2C02FE8C"/>
    <w:multiLevelType w:val="hybridMultilevel"/>
    <w:lvl w:ilvl="0">
      <w:lvlJc w:val="left"/>
      <w:lvlText w:val="%1."/>
      <w:numFmt w:val="decimal"/>
      <w:start w:val="1"/>
    </w:lvl>
  </w:abstractNum>
  <w:abstractNum w:abstractNumId="112">
    <w:nsid w:val="129517E"/>
    <w:multiLevelType w:val="hybridMultilevel"/>
    <w:lvl w:ilvl="0">
      <w:lvlJc w:val="left"/>
      <w:lvlText w:val="%1."/>
      <w:numFmt w:val="decimal"/>
      <w:start w:val="2"/>
    </w:lvl>
  </w:abstractNum>
  <w:abstractNum w:abstractNumId="113">
    <w:nsid w:val="763B8C4E"/>
    <w:multiLevelType w:val="hybridMultilevel"/>
    <w:lvl w:ilvl="0">
      <w:lvlJc w:val="left"/>
      <w:lvlText w:val="•"/>
      <w:numFmt w:val="bullet"/>
      <w:start w:val="1"/>
    </w:lvl>
  </w:abstractNum>
  <w:abstractNum w:abstractNumId="114">
    <w:nsid w:val="4CFB8D32"/>
    <w:multiLevelType w:val="hybridMultilevel"/>
    <w:lvl w:ilvl="0">
      <w:lvlJc w:val="left"/>
      <w:lvlText w:val="%1."/>
      <w:numFmt w:val="decimal"/>
      <w:start w:val="4"/>
    </w:lvl>
  </w:abstractNum>
  <w:abstractNum w:abstractNumId="115">
    <w:nsid w:val="62A5D5BD"/>
    <w:multiLevelType w:val="hybridMultilevel"/>
    <w:lvl w:ilvl="0">
      <w:lvlJc w:val="left"/>
      <w:lvlText w:val="%1."/>
      <w:numFmt w:val="decimal"/>
      <w:start w:val="5"/>
    </w:lvl>
  </w:abstractNum>
  <w:abstractNum w:abstractNumId="116">
    <w:nsid w:val="718FABF9"/>
    <w:multiLevelType w:val="hybridMultilevel"/>
    <w:lvl w:ilvl="0">
      <w:lvlJc w:val="left"/>
      <w:lvlText w:val="%1."/>
      <w:numFmt w:val="decimal"/>
      <w:start w:val="6"/>
    </w:lvl>
  </w:abstractNum>
  <w:abstractNum w:abstractNumId="117">
    <w:nsid w:val="7775797C"/>
    <w:multiLevelType w:val="hybridMultilevel"/>
    <w:lvl w:ilvl="0">
      <w:lvlJc w:val="left"/>
      <w:lvlText w:val="(%1)"/>
      <w:numFmt w:val="decimal"/>
      <w:start w:val="1"/>
    </w:lvl>
  </w:abstractNum>
  <w:abstractNum w:abstractNumId="118">
    <w:nsid w:val="1626FB8C"/>
    <w:multiLevelType w:val="hybridMultilevel"/>
    <w:lvl w:ilvl="0">
      <w:lvlJc w:val="left"/>
      <w:lvlText w:val="%1."/>
      <w:numFmt w:val="decimal"/>
      <w:start w:val="7"/>
    </w:lvl>
  </w:abstractNum>
  <w:abstractNum w:abstractNumId="119">
    <w:nsid w:val="3957756A"/>
    <w:multiLevelType w:val="hybridMultilevel"/>
    <w:lvl w:ilvl="0">
      <w:lvlJc w:val="left"/>
      <w:lvlText w:val="%1."/>
      <w:numFmt w:val="decimal"/>
      <w:start w:val="8"/>
    </w:lvl>
  </w:abstractNum>
  <w:abstractNum w:abstractNumId="120">
    <w:nsid w:val="3E6DA1C7"/>
    <w:multiLevelType w:val="hybridMultilevel"/>
    <w:lvl w:ilvl="0">
      <w:lvlJc w:val="left"/>
      <w:lvlText w:val="%1."/>
      <w:numFmt w:val="decimal"/>
      <w:start w:val="9"/>
    </w:lvl>
  </w:abstractNum>
  <w:abstractNum w:abstractNumId="121">
    <w:nsid w:val="65CA235B"/>
    <w:multiLevelType w:val="hybridMultilevel"/>
    <w:lvl w:ilvl="0">
      <w:lvlJc w:val="left"/>
      <w:lvlText w:val="%1."/>
      <w:numFmt w:val="decimal"/>
      <w:start w:val="10"/>
    </w:lvl>
  </w:abstractNum>
  <w:abstractNum w:abstractNumId="122">
    <w:nsid w:val="51CB0DA4"/>
    <w:multiLevelType w:val="hybridMultilevel"/>
    <w:lvl w:ilvl="0">
      <w:lvlJc w:val="left"/>
      <w:lvlText w:val="%1."/>
      <w:numFmt w:val="decimal"/>
      <w:start w:val="11"/>
    </w:lvl>
  </w:abstractNum>
  <w:abstractNum w:abstractNumId="123">
    <w:nsid w:val="7B9B743C"/>
    <w:multiLevelType w:val="hybridMultilevel"/>
    <w:lvl w:ilvl="0">
      <w:lvlJc w:val="left"/>
      <w:lvlText w:val="%1."/>
      <w:numFmt w:val="decimal"/>
      <w:start w:val="12"/>
    </w:lvl>
  </w:abstractNum>
  <w:abstractNum w:abstractNumId="124">
    <w:nsid w:val="13E21002"/>
    <w:multiLevelType w:val="hybridMultilevel"/>
    <w:lvl w:ilvl="0">
      <w:lvlJc w:val="left"/>
      <w:lvlText w:val="%1."/>
      <w:numFmt w:val="decimal"/>
      <w:start w:val="1"/>
    </w:lvl>
  </w:abstractNum>
  <w:abstractNum w:abstractNumId="125">
    <w:nsid w:val="257D63F4"/>
    <w:multiLevelType w:val="hybridMultilevel"/>
    <w:lvl w:ilvl="0">
      <w:lvlJc w:val="left"/>
      <w:lvlText w:val="%1."/>
      <w:numFmt w:val="decimal"/>
      <w:start w:val="2"/>
    </w:lvl>
  </w:abstractNum>
  <w:abstractNum w:abstractNumId="126">
    <w:nsid w:val="70EC11B2"/>
    <w:multiLevelType w:val="hybridMultilevel"/>
    <w:lvl w:ilvl="0">
      <w:lvlJc w:val="left"/>
      <w:lvlText w:val="•"/>
      <w:numFmt w:val="bullet"/>
      <w:start w:val="1"/>
    </w:lvl>
  </w:abstractNum>
  <w:abstractNum w:abstractNumId="127">
    <w:nsid w:val="2EDA00ED"/>
    <w:multiLevelType w:val="hybridMultilevel"/>
    <w:lvl w:ilvl="0">
      <w:lvlJc w:val="left"/>
      <w:lvlText w:val="%1."/>
      <w:numFmt w:val="decimal"/>
      <w:start w:val="4"/>
    </w:lvl>
  </w:abstractNum>
  <w:abstractNum w:abstractNumId="128">
    <w:nsid w:val="73209072"/>
    <w:multiLevelType w:val="hybridMultilevel"/>
    <w:lvl w:ilvl="0">
      <w:lvlJc w:val="left"/>
      <w:lvlText w:val="%1."/>
      <w:numFmt w:val="decimal"/>
      <w:start w:val="5"/>
    </w:lvl>
  </w:abstractNum>
  <w:abstractNum w:abstractNumId="129">
    <w:nsid w:val="5FB29816"/>
    <w:multiLevelType w:val="hybridMultilevel"/>
    <w:lvl w:ilvl="0">
      <w:lvlJc w:val="left"/>
      <w:lvlText w:val="%1."/>
      <w:numFmt w:val="decimal"/>
      <w:start w:val="6"/>
    </w:lvl>
  </w:abstractNum>
  <w:abstractNum w:abstractNumId="130">
    <w:nsid w:val="3CE732EC"/>
    <w:multiLevelType w:val="hybridMultilevel"/>
    <w:lvl w:ilvl="0">
      <w:lvlJc w:val="left"/>
      <w:lvlText w:val="(%1)"/>
      <w:numFmt w:val="decimal"/>
      <w:start w:val="1"/>
    </w:lvl>
  </w:abstractNum>
  <w:abstractNum w:abstractNumId="131">
    <w:nsid w:val="22F13DF3"/>
    <w:multiLevelType w:val="hybridMultilevel"/>
    <w:lvl w:ilvl="0">
      <w:lvlJc w:val="left"/>
      <w:lvlText w:val="%1."/>
      <w:numFmt w:val="decimal"/>
      <w:start w:val="7"/>
    </w:lvl>
  </w:abstractNum>
  <w:abstractNum w:abstractNumId="132">
    <w:nsid w:val="792B8401"/>
    <w:multiLevelType w:val="hybridMultilevel"/>
    <w:lvl w:ilvl="0">
      <w:lvlJc w:val="left"/>
      <w:lvlText w:val="%1."/>
      <w:numFmt w:val="decimal"/>
      <w:start w:val="8"/>
    </w:lvl>
  </w:abstractNum>
  <w:abstractNum w:abstractNumId="133">
    <w:nsid w:val="FA85F4D"/>
    <w:multiLevelType w:val="hybridMultilevel"/>
    <w:lvl w:ilvl="0">
      <w:lvlJc w:val="left"/>
      <w:lvlText w:val="•"/>
      <w:numFmt w:val="bullet"/>
      <w:start w:val="1"/>
    </w:lvl>
  </w:abstractNum>
  <w:abstractNum w:abstractNumId="134">
    <w:nsid w:val="6ECE91F0"/>
    <w:multiLevelType w:val="hybridMultilevel"/>
    <w:lvl w:ilvl="0">
      <w:lvlJc w:val="left"/>
      <w:lvlText w:val="•"/>
      <w:numFmt w:val="bullet"/>
      <w:start w:val="1"/>
    </w:lvl>
  </w:abstractNum>
  <w:abstractNum w:abstractNumId="135">
    <w:nsid w:val="4FC4D600"/>
    <w:multiLevelType w:val="hybridMultilevel"/>
    <w:lvl w:ilvl="0">
      <w:lvlJc w:val="left"/>
      <w:lvlText w:val="•"/>
      <w:numFmt w:val="bullet"/>
      <w:start w:val="1"/>
    </w:lvl>
  </w:abstractNum>
  <w:abstractNum w:abstractNumId="136">
    <w:nsid w:val="5BFD4210"/>
    <w:multiLevelType w:val="hybridMultilevel"/>
    <w:lvl w:ilvl="0">
      <w:lvlJc w:val="left"/>
      <w:lvlText w:val="•"/>
      <w:numFmt w:val="bullet"/>
      <w:start w:val="1"/>
    </w:lvl>
  </w:abstractNum>
  <w:abstractNum w:abstractNumId="137">
    <w:nsid w:val="76574F8B"/>
    <w:multiLevelType w:val="hybridMultilevel"/>
    <w:lvl w:ilvl="0">
      <w:lvlJc w:val="left"/>
      <w:lvlText w:val="%1."/>
      <w:numFmt w:val="decimal"/>
      <w:start w:val="1"/>
    </w:lvl>
  </w:abstractNum>
  <w:abstractNum w:abstractNumId="138">
    <w:nsid w:val="178F7B67"/>
    <w:multiLevelType w:val="hybridMultilevel"/>
    <w:lvl w:ilvl="0">
      <w:lvlJc w:val="left"/>
      <w:lvlText w:val="%1."/>
      <w:numFmt w:val="decimal"/>
      <w:start w:val="1"/>
    </w:lvl>
  </w:abstractNum>
  <w:abstractNum w:abstractNumId="139">
    <w:nsid w:val="2421DFCF"/>
    <w:multiLevelType w:val="hybridMultilevel"/>
    <w:lvl w:ilvl="0">
      <w:lvlJc w:val="left"/>
      <w:lvlText w:val="%1."/>
      <w:numFmt w:val="decimal"/>
      <w:start w:val="1"/>
    </w:lvl>
  </w:abstractNum>
  <w:abstractNum w:abstractNumId="140">
    <w:nsid w:val="1565AC99"/>
    <w:multiLevelType w:val="hybridMultilevel"/>
    <w:lvl w:ilvl="0">
      <w:lvlJc w:val="left"/>
      <w:lvlText w:val="(%1)"/>
      <w:numFmt w:val="lowerLetter"/>
      <w:start w:val="2"/>
    </w:lvl>
  </w:abstractNum>
  <w:abstractNum w:abstractNumId="141">
    <w:nsid w:val="19FB2650"/>
    <w:multiLevelType w:val="hybridMultilevel"/>
    <w:lvl w:ilvl="0">
      <w:lvlJc w:val="left"/>
      <w:lvlText w:val="(%1)"/>
      <w:numFmt w:val="lowerLetter"/>
      <w:start w:val="1"/>
    </w:lvl>
  </w:abstractNum>
  <w:abstractNum w:abstractNumId="142">
    <w:nsid w:val="5024DE5B"/>
    <w:multiLevelType w:val="hybridMultilevel"/>
    <w:lvl w:ilvl="0">
      <w:lvlJc w:val="left"/>
      <w:lvlText w:val="+"/>
      <w:numFmt w:val="bullet"/>
      <w:start w:val="1"/>
    </w:lvl>
  </w:abstractNum>
  <w:abstractNum w:abstractNumId="143">
    <w:nsid w:val="168EFE17"/>
    <w:multiLevelType w:val="hybridMultilevel"/>
    <w:lvl w:ilvl="0">
      <w:lvlJc w:val="left"/>
      <w:lvlText w:val="%1."/>
      <w:numFmt w:val="decimal"/>
      <w:start w:val="1"/>
    </w:lvl>
    <w:lvl w:ilvl="1">
      <w:lvlJc w:val="left"/>
      <w:lvlText w:val="(%2)"/>
      <w:numFmt w:val="lowerLetter"/>
      <w:start w:val="1"/>
    </w:lvl>
  </w:abstractNum>
  <w:abstractNum w:abstractNumId="144">
    <w:nsid w:val="1036B29F"/>
    <w:multiLevelType w:val="hybridMultilevel"/>
    <w:lvl w:ilvl="0">
      <w:lvlJc w:val="left"/>
      <w:lvlText w:val="(%1)"/>
      <w:numFmt w:val="lowerLetter"/>
      <w:start w:val="2"/>
    </w:lvl>
  </w:abstractNum>
  <w:abstractNum w:abstractNumId="145">
    <w:nsid w:val="1D206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6">
    <w:nsid w:val="7934D3D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47">
    <w:nsid w:val="1C65E9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8">
    <w:nsid w:val="1495E50A"/>
    <w:multiLevelType w:val="hybridMultilevel"/>
    <w:lvl w:ilvl="0">
      <w:lvlJc w:val="left"/>
      <w:lvlText w:val="%1"/>
      <w:numFmt w:val="lowerLetter"/>
      <w:start w:val="1"/>
    </w:lvl>
    <w:lvl w:ilvl="1">
      <w:lvlJc w:val="left"/>
      <w:lvlText w:val="(%2)"/>
      <w:numFmt w:val="lowerRoman"/>
      <w:start w:val="1"/>
    </w:lvl>
  </w:abstractNum>
  <w:abstractNum w:abstractNumId="149">
    <w:nsid w:val="F5BCF61"/>
    <w:multiLevelType w:val="hybridMultilevel"/>
    <w:lvl w:ilvl="0">
      <w:lvlJc w:val="left"/>
      <w:lvlText w:val="(%1)"/>
      <w:numFmt w:val="lowerLetter"/>
      <w:start w:val="3"/>
    </w:lvl>
    <w:lvl w:ilvl="1">
      <w:lvlJc w:val="left"/>
      <w:lvlText w:val="(%2)"/>
      <w:numFmt w:val="lowerRoman"/>
      <w:start w:val="1"/>
    </w:lvl>
  </w:abstractNum>
  <w:abstractNum w:abstractNumId="150">
    <w:nsid w:val="3B1DD403"/>
    <w:multiLevelType w:val="hybridMultilevel"/>
    <w:lvl w:ilvl="0">
      <w:lvlJc w:val="left"/>
      <w:lvlText w:val="%1"/>
      <w:numFmt w:val="lowerLetter"/>
      <w:start w:val="1"/>
    </w:lvl>
    <w:lvl w:ilvl="1">
      <w:lvlJc w:val="left"/>
      <w:lvlText w:val="(%2)"/>
      <w:numFmt w:val="lowerRoman"/>
      <w:start w:val="1"/>
    </w:lvl>
  </w:abstractNum>
  <w:abstractNum w:abstractNumId="151">
    <w:nsid w:val="530386D1"/>
    <w:multiLevelType w:val="hybridMultilevel"/>
    <w:lvl w:ilvl="0">
      <w:lvlJc w:val="left"/>
      <w:lvlText w:val="(%1)"/>
      <w:numFmt w:val="lowerLetter"/>
      <w:start w:val="5"/>
    </w:lvl>
    <w:lvl w:ilvl="1">
      <w:lvlJc w:val="left"/>
      <w:lvlText w:val="(%2)"/>
      <w:numFmt w:val="lowerRoman"/>
      <w:start w:val="1"/>
    </w:lvl>
  </w:abstractNum>
  <w:abstractNum w:abstractNumId="152">
    <w:nsid w:val="7525F2BC"/>
    <w:multiLevelType w:val="hybridMultilevel"/>
    <w:lvl w:ilvl="0">
      <w:lvlJc w:val="left"/>
      <w:lvlText w:val="%1"/>
      <w:numFmt w:val="lowerLetter"/>
      <w:start w:val="1"/>
    </w:lvl>
    <w:lvl w:ilvl="1">
      <w:lvlJc w:val="left"/>
      <w:lvlText w:val="(%2)"/>
      <w:numFmt w:val="lowerRoman"/>
      <w:start w:val="1"/>
    </w:lvl>
  </w:abstractNum>
  <w:abstractNum w:abstractNumId="153">
    <w:nsid w:val="CE8E1A7"/>
    <w:multiLevelType w:val="hybridMultilevel"/>
    <w:lvl w:ilvl="0">
      <w:lvlJc w:val="left"/>
      <w:lvlText w:val="(%1)"/>
      <w:numFmt w:val="lowerLetter"/>
      <w:start w:val="7"/>
    </w:lvl>
    <w:lvl w:ilvl="1">
      <w:lvlJc w:val="left"/>
      <w:lvlText w:val="(%2)"/>
      <w:numFmt w:val="lowerRoman"/>
      <w:start w:val="1"/>
    </w:lvl>
  </w:abstractNum>
  <w:abstractNum w:abstractNumId="154">
    <w:nsid w:val="4E9EFB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55">
    <w:nsid w:val="90802B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56">
    <w:nsid w:val="3266459B"/>
    <w:multiLevelType w:val="hybridMultilevel"/>
    <w:lvl w:ilvl="0">
      <w:lvlJc w:val="left"/>
      <w:lvlText w:val="(%1)"/>
      <w:numFmt w:val="lowerRoman"/>
      <w:start w:val="2"/>
    </w:lvl>
  </w:abstractNum>
  <w:abstractNum w:abstractNumId="157">
    <w:nsid w:val="3F8B0CBF"/>
    <w:multiLevelType w:val="hybridMultilevel"/>
    <w:lvl w:ilvl="0">
      <w:lvlJc w:val="left"/>
      <w:lvlText w:val="%1"/>
      <w:numFmt w:val="lowerLetter"/>
      <w:start w:val="1"/>
    </w:lvl>
    <w:lvl w:ilvl="1">
      <w:lvlJc w:val="left"/>
      <w:lvlText w:val="(%2)"/>
      <w:numFmt w:val="lowerRoman"/>
      <w:start w:val="4"/>
    </w:lvl>
  </w:abstractNum>
  <w:abstractNum w:abstractNumId="158">
    <w:nsid w:val="37E203AB"/>
    <w:multiLevelType w:val="hybridMultilevel"/>
    <w:lvl w:ilvl="0">
      <w:lvlJc w:val="left"/>
      <w:lvlText w:val="(%1)"/>
      <w:numFmt w:val="lowerLetter"/>
      <w:start w:val="2"/>
    </w:lvl>
    <w:lvl w:ilvl="1">
      <w:lvlJc w:val="left"/>
      <w:lvlText w:val="%2"/>
      <w:numFmt w:val="lowerRoman"/>
      <w:start w:val="1"/>
    </w:lvl>
  </w:abstractNum>
  <w:abstractNum w:abstractNumId="159">
    <w:nsid w:val="2586D60E"/>
    <w:multiLevelType w:val="hybridMultilevel"/>
    <w:lvl w:ilvl="0">
      <w:lvlJc w:val="left"/>
      <w:lvlText w:val="%1"/>
      <w:numFmt w:val="decimal"/>
      <w:start w:val="1"/>
    </w:lvl>
    <w:lvl w:ilvl="1">
      <w:lvlJc w:val="left"/>
      <w:lvlText w:val="(%2)"/>
      <w:numFmt w:val="lowerLetter"/>
      <w:start w:val="3"/>
    </w:lvl>
  </w:abstractNum>
  <w:abstractNum w:abstractNumId="160">
    <w:nsid w:val="1F3DA4D5"/>
    <w:multiLevelType w:val="hybridMultilevel"/>
    <w:lvl w:ilvl="0">
      <w:lvlJc w:val="left"/>
      <w:lvlText w:val="%1."/>
      <w:numFmt w:val="decimal"/>
      <w:start w:val="4"/>
    </w:lvl>
    <w:lvl w:ilvl="1">
      <w:lvlJc w:val="left"/>
      <w:lvlText w:val="(%2)"/>
      <w:numFmt w:val="lowerLetter"/>
      <w:start w:val="1"/>
    </w:lvl>
  </w:abstractNum>
  <w:abstractNum w:abstractNumId="161">
    <w:nsid w:val="74C93698"/>
    <w:multiLevelType w:val="hybridMultilevel"/>
    <w:lvl w:ilvl="0">
      <w:lvlJc w:val="left"/>
      <w:lvlText w:val="%1."/>
      <w:numFmt w:val="decimal"/>
      <w:start w:val="5"/>
    </w:lvl>
  </w:abstractNum>
  <w:abstractNum w:abstractNumId="162">
    <w:nsid w:val="48781401"/>
    <w:multiLevelType w:val="hybridMultilevel"/>
    <w:lvl w:ilvl="0">
      <w:lvlJc w:val="left"/>
      <w:lvlText w:val="(%1)"/>
      <w:numFmt w:val="lowerLetter"/>
      <w:start w:val="1"/>
    </w:lvl>
  </w:abstractNum>
  <w:abstractNum w:abstractNumId="163">
    <w:nsid w:val="186928D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4">
    <w:nsid w:val="47195E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65">
    <w:nsid w:val="3746A5F2"/>
    <w:multiLevelType w:val="hybridMultilevel"/>
    <w:lvl w:ilvl="0">
      <w:lvlJc w:val="left"/>
      <w:lvlText w:val="(%1)"/>
      <w:numFmt w:val="lowerRoman"/>
      <w:start w:val="2"/>
    </w:lvl>
  </w:abstractNum>
  <w:abstractNum w:abstractNumId="166">
    <w:nsid w:val="682DFED6"/>
    <w:multiLevelType w:val="hybridMultilevel"/>
    <w:lvl w:ilvl="0">
      <w:lvlJc w:val="left"/>
      <w:lvlText w:val="(%1)"/>
      <w:numFmt w:val="upperLetter"/>
      <w:start w:val="1"/>
    </w:lvl>
  </w:abstractNum>
  <w:abstractNum w:abstractNumId="167">
    <w:nsid w:val="606ED7F6"/>
    <w:multiLevelType w:val="hybridMultilevel"/>
    <w:lvl w:ilvl="0">
      <w:lvlJc w:val="left"/>
      <w:lvlText w:val="%1"/>
      <w:numFmt w:val="lowerRoman"/>
      <w:start w:val="1"/>
    </w:lvl>
    <w:lvl w:ilvl="1">
      <w:lvlJc w:val="left"/>
      <w:lvlText w:val="(%2)"/>
      <w:numFmt w:val="upperLetter"/>
      <w:start w:val="2"/>
    </w:lvl>
  </w:abstractNum>
  <w:abstractNum w:abstractNumId="168">
    <w:nsid w:val="2D9DF57D"/>
    <w:multiLevelType w:val="hybridMultilevel"/>
    <w:lvl w:ilvl="0">
      <w:lvlJc w:val="left"/>
      <w:lvlText w:val="(%1)"/>
      <w:numFmt w:val="lowerRoman"/>
      <w:start w:val="5"/>
    </w:lvl>
    <w:lvl w:ilvl="1">
      <w:lvlJc w:val="left"/>
      <w:lvlText w:val="%2"/>
      <w:numFmt w:val="upperLetter"/>
      <w:start w:val="1"/>
    </w:lvl>
  </w:abstractNum>
  <w:abstractNum w:abstractNumId="169">
    <w:nsid w:val="7FBD7A3E"/>
    <w:multiLevelType w:val="hybridMultilevel"/>
    <w:lvl w:ilvl="0">
      <w:lvlJc w:val="left"/>
      <w:lvlText w:val="(%1)"/>
      <w:numFmt w:val="upperLetter"/>
      <w:start w:val="1"/>
    </w:lvl>
  </w:abstractNum>
  <w:abstractNum w:abstractNumId="170">
    <w:nsid w:val="490B7C5"/>
    <w:multiLevelType w:val="hybridMultilevel"/>
    <w:lvl w:ilvl="0">
      <w:lvlJc w:val="left"/>
      <w:lvlText w:val="(%1)"/>
      <w:numFmt w:val="upperLetter"/>
      <w:start w:val="2"/>
    </w:lvl>
  </w:abstractNum>
  <w:abstractNum w:abstractNumId="171">
    <w:nsid w:val="4303A216"/>
    <w:multiLevelType w:val="hybridMultilevel"/>
    <w:lvl w:ilvl="0">
      <w:lvlJc w:val="left"/>
      <w:lvlText w:val="(%1)"/>
      <w:numFmt w:val="upperLetter"/>
      <w:start w:val="7"/>
    </w:lvl>
  </w:abstractNum>
  <w:abstractNum w:abstractNumId="172">
    <w:nsid w:val="19B8A08E"/>
    <w:multiLevelType w:val="hybridMultilevel"/>
    <w:lvl w:ilvl="0">
      <w:lvlJc w:val="left"/>
      <w:lvlText w:val="%1"/>
      <w:numFmt w:val="lowerLetter"/>
      <w:start w:val="1"/>
    </w:lvl>
    <w:lvl w:ilvl="1">
      <w:lvlJc w:val="left"/>
      <w:lvlText w:val="(%2)"/>
      <w:numFmt w:val="lowerRoman"/>
      <w:start w:val="6"/>
    </w:lvl>
  </w:abstractNum>
  <w:abstractNum w:abstractNumId="173">
    <w:nsid w:val="54B59621"/>
    <w:multiLevelType w:val="hybridMultilevel"/>
    <w:lvl w:ilvl="0">
      <w:lvlJc w:val="left"/>
      <w:lvlText w:val="(%1)"/>
      <w:numFmt w:val="lowerLetter"/>
      <w:start w:val="9"/>
    </w:lvl>
    <w:lvl w:ilvl="1">
      <w:lvlJc w:val="left"/>
      <w:lvlText w:val="%2"/>
      <w:numFmt w:val="lowerRoman"/>
      <w:start w:val="1"/>
    </w:lvl>
  </w:abstractNum>
  <w:abstractNum w:abstractNumId="174">
    <w:nsid w:val="5992A02E"/>
    <w:multiLevelType w:val="hybridMultilevel"/>
    <w:lvl w:ilvl="0">
      <w:lvlJc w:val="left"/>
      <w:lvlText w:val="(%1)"/>
      <w:numFmt w:val="lowerLetter"/>
      <w:start w:val="11"/>
    </w:lvl>
    <w:lvl w:ilvl="1">
      <w:lvlJc w:val="left"/>
      <w:lvlText w:val="(%2)"/>
      <w:numFmt w:val="lowerRoman"/>
      <w:start w:val="1"/>
    </w:lvl>
  </w:abstractNum>
  <w:abstractNum w:abstractNumId="175">
    <w:nsid w:val="29EF532D"/>
    <w:multiLevelType w:val="hybridMultilevel"/>
    <w:lvl w:ilvl="0">
      <w:lvlJc w:val="left"/>
      <w:lvlText w:val="(%1)"/>
      <w:numFmt w:val="lowerLetter"/>
      <w:start w:val="13"/>
    </w:lvl>
  </w:abstractNum>
  <w:abstractNum w:abstractNumId="176">
    <w:nsid w:val="71D601AF"/>
    <w:multiLevelType w:val="hybridMultilevel"/>
    <w:lvl w:ilvl="0">
      <w:lvlJc w:val="left"/>
      <w:lvlText w:val="%1."/>
      <w:numFmt w:val="decimal"/>
      <w:start w:val="6"/>
    </w:lvl>
  </w:abstractNum>
  <w:abstractNum w:abstractNumId="177">
    <w:nsid w:val="52C77402"/>
    <w:multiLevelType w:val="hybridMultilevel"/>
    <w:lvl w:ilvl="0">
      <w:lvlJc w:val="left"/>
      <w:lvlText w:val="(%1)"/>
      <w:numFmt w:val="lowerRoman"/>
      <w:start w:val="2"/>
    </w:lvl>
    <w:lvl w:ilvl="1">
      <w:lvlJc w:val="left"/>
      <w:lvlText w:val="*"/>
      <w:numFmt w:val="bullet"/>
      <w:start w:val="1"/>
    </w:lvl>
  </w:abstractNum>
  <w:abstractNum w:abstractNumId="178">
    <w:nsid w:val="2BB5B1C6"/>
    <w:multiLevelType w:val="hybridMultilevel"/>
    <w:lvl w:ilvl="0">
      <w:lvlJc w:val="left"/>
      <w:lvlText w:val="(%1)"/>
      <w:numFmt w:val="lowerLetter"/>
      <w:start w:val="1"/>
    </w:lvl>
  </w:abstractNum>
  <w:abstractNum w:abstractNumId="179">
    <w:nsid w:val="66BE6B9"/>
    <w:multiLevelType w:val="hybridMultilevel"/>
    <w:lvl w:ilvl="0">
      <w:lvlJc w:val="left"/>
      <w:lvlText w:val="(%1)"/>
      <w:numFmt w:val="lowerLetter"/>
      <w:start w:val="2"/>
    </w:lvl>
  </w:abstractNum>
  <w:abstractNum w:abstractNumId="180">
    <w:nsid w:val="62234363"/>
    <w:multiLevelType w:val="hybridMultilevel"/>
    <w:lvl w:ilvl="0">
      <w:lvlJc w:val="left"/>
      <w:lvlText w:val="(%1)"/>
      <w:numFmt w:val="lowerLetter"/>
      <w:start w:val="3"/>
    </w:lvl>
  </w:abstractNum>
  <w:abstractNum w:abstractNumId="181">
    <w:nsid w:val="66D385C9"/>
    <w:multiLevelType w:val="hybridMultilevel"/>
    <w:lvl w:ilvl="0">
      <w:lvlJc w:val="left"/>
      <w:lvlText w:val="(%1)"/>
      <w:numFmt w:val="lowerLetter"/>
      <w:start w:val="1"/>
    </w:lvl>
  </w:abstractNum>
  <w:abstractNum w:abstractNumId="182">
    <w:nsid w:val="596F6D8A"/>
    <w:multiLevelType w:val="hybridMultilevel"/>
    <w:lvl w:ilvl="0">
      <w:lvlJc w:val="left"/>
      <w:lvlText w:val="(%1)"/>
      <w:numFmt w:val="decimal"/>
      <w:start w:val="1"/>
    </w:lvl>
  </w:abstractNum>
  <w:abstractNum w:abstractNumId="183">
    <w:nsid w:val="5749361F"/>
    <w:multiLevelType w:val="hybridMultilevel"/>
    <w:lvl w:ilvl="0">
      <w:lvlJc w:val="left"/>
      <w:lvlText w:val="(%1)"/>
      <w:numFmt w:val="lowerLetter"/>
      <w:start w:val="1"/>
    </w:lvl>
  </w:abstractNum>
  <w:abstractNum w:abstractNumId="184">
    <w:nsid w:val="73BC6770"/>
    <w:multiLevelType w:val="hybridMultilevel"/>
    <w:lvl w:ilvl="0">
      <w:lvlJc w:val="left"/>
      <w:lvlText w:val="(%1)"/>
      <w:numFmt w:val="lowerLetter"/>
      <w:start w:val="3"/>
    </w:lvl>
  </w:abstractNum>
  <w:abstractNum w:abstractNumId="185">
    <w:nsid w:val="280E6897"/>
    <w:multiLevelType w:val="hybridMultilevel"/>
    <w:lvl w:ilvl="0">
      <w:lvlJc w:val="left"/>
      <w:lvlText w:val="(%1)"/>
      <w:numFmt w:val="lowerLetter"/>
      <w:start w:val="1"/>
    </w:lvl>
  </w:abstractNum>
  <w:abstractNum w:abstractNumId="186">
    <w:nsid w:val="605138DE"/>
    <w:multiLevelType w:val="hybridMultilevel"/>
    <w:lvl w:ilvl="0">
      <w:lvlJc w:val="left"/>
      <w:lvlText w:val="(%1)"/>
      <w:numFmt w:val="lowerLetter"/>
      <w:start w:val="2"/>
    </w:lvl>
  </w:abstractNum>
  <w:abstractNum w:abstractNumId="187">
    <w:nsid w:val="2622AD0C"/>
    <w:multiLevelType w:val="hybridMultilevel"/>
    <w:lvl w:ilvl="0">
      <w:lvlJc w:val="left"/>
      <w:lvlText w:val="(%1)"/>
      <w:numFmt w:val="lowerLetter"/>
      <w:start w:val="1"/>
    </w:lvl>
  </w:abstractNum>
  <w:abstractNum w:abstractNumId="188">
    <w:nsid w:val="67997556"/>
    <w:multiLevelType w:val="hybridMultilevel"/>
    <w:lvl w:ilvl="0">
      <w:lvlJc w:val="left"/>
      <w:lvlText w:val="(%1)"/>
      <w:numFmt w:val="lowerLetter"/>
      <w:start w:val="1"/>
    </w:lvl>
    <w:lvl w:ilvl="1">
      <w:lvlJc w:val="left"/>
      <w:lvlText w:val="(%2)"/>
      <w:numFmt w:val="lowerRoman"/>
      <w:start w:val="1"/>
    </w:lvl>
  </w:abstractNum>
  <w:abstractNum w:abstractNumId="189">
    <w:nsid w:val="18333C89"/>
    <w:multiLevelType w:val="hybridMultilevel"/>
    <w:lvl w:ilvl="0">
      <w:lvlJc w:val="left"/>
      <w:lvlText w:val="(%1)"/>
      <w:numFmt w:val="lowerLetter"/>
      <w:start w:val="1"/>
    </w:lvl>
  </w:abstractNum>
  <w:abstractNum w:abstractNumId="190">
    <w:nsid w:val="4BA9831A"/>
    <w:multiLevelType w:val="hybridMultilevel"/>
    <w:lvl w:ilvl="0">
      <w:lvlJc w:val="left"/>
      <w:lvlText w:val="(%1)"/>
      <w:numFmt w:val="lowerLetter"/>
      <w:start w:val="1"/>
    </w:lvl>
  </w:abstractNum>
  <w:abstractNum w:abstractNumId="191">
    <w:nsid w:val="6D71A2B"/>
    <w:multiLevelType w:val="hybridMultilevel"/>
    <w:lvl w:ilvl="0">
      <w:lvlJc w:val="left"/>
      <w:lvlText w:val="(%1)"/>
      <w:numFmt w:val="lowerLetter"/>
      <w:start w:val="3"/>
    </w:lvl>
  </w:abstractNum>
  <w:abstractNum w:abstractNumId="192">
    <w:nsid w:val="CFC7321"/>
    <w:multiLevelType w:val="hybridMultilevel"/>
    <w:lvl w:ilvl="0">
      <w:lvlJc w:val="left"/>
      <w:lvlText w:val="(%1)"/>
      <w:numFmt w:val="lowerLetter"/>
      <w:start w:val="1"/>
    </w:lvl>
  </w:abstractNum>
  <w:abstractNum w:abstractNumId="193">
    <w:nsid w:val="1421971B"/>
    <w:multiLevelType w:val="hybridMultilevel"/>
    <w:lvl w:ilvl="0">
      <w:lvlJc w:val="left"/>
      <w:lvlText w:val="%1"/>
      <w:numFmt w:val="lowerLetter"/>
      <w:start w:val="1"/>
    </w:lvl>
    <w:lvl w:ilvl="1">
      <w:lvlJc w:val="left"/>
      <w:lvlText w:val="(%2)"/>
      <w:numFmt w:val="lowerLetter"/>
      <w:start w:val="1"/>
    </w:lvl>
  </w:abstractNum>
  <w:abstractNum w:abstractNumId="194">
    <w:nsid w:val="1F404301"/>
    <w:multiLevelType w:val="hybridMultilevel"/>
    <w:lvl w:ilvl="0">
      <w:lvlJc w:val="left"/>
      <w:lvlText w:val="(%1)"/>
      <w:numFmt w:val="lowerLetter"/>
      <w:start w:val="1"/>
    </w:lvl>
    <w:lvl w:ilvl="1">
      <w:lvlJc w:val="left"/>
      <w:lvlText w:val="%2"/>
      <w:numFmt w:val="lowerLetter"/>
      <w:start w:val="1"/>
    </w:lvl>
  </w:abstractNum>
  <w:abstractNum w:abstractNumId="195">
    <w:nsid w:val="116E0907"/>
    <w:multiLevelType w:val="hybridMultilevel"/>
    <w:lvl w:ilvl="0">
      <w:lvlJc w:val="left"/>
      <w:lvlText w:val="(%1)"/>
      <w:numFmt w:val="lowerLetter"/>
      <w:start w:val="4"/>
    </w:lvl>
  </w:abstractNum>
  <w:abstractNum w:abstractNumId="196">
    <w:nsid w:val="4B683D0D"/>
    <w:multiLevelType w:val="hybridMultilevel"/>
    <w:lvl w:ilvl="0">
      <w:lvlJc w:val="left"/>
      <w:lvlText w:val="(%1)"/>
      <w:numFmt w:val="lowerLetter"/>
      <w:start w:val="1"/>
    </w:lvl>
  </w:abstractNum>
  <w:abstractNum w:abstractNumId="197">
    <w:nsid w:val="76E41D8"/>
    <w:multiLevelType w:val="hybridMultilevel"/>
    <w:lvl w:ilvl="0">
      <w:lvlJc w:val="left"/>
      <w:lvlText w:val="%1"/>
      <w:numFmt w:val="lowerLetter"/>
      <w:start w:val="1"/>
    </w:lvl>
    <w:lvl w:ilvl="1">
      <w:lvlJc w:val="left"/>
      <w:lvlText w:val="(%2)"/>
      <w:numFmt w:val="lowerLetter"/>
      <w:start w:val="2"/>
    </w:lvl>
  </w:abstractNum>
  <w:abstractNum w:abstractNumId="198">
    <w:nsid w:val="71DCE0FD"/>
    <w:multiLevelType w:val="hybridMultilevel"/>
    <w:lvl w:ilvl="0">
      <w:lvlJc w:val="left"/>
      <w:lvlText w:val="(%1)"/>
      <w:numFmt w:val="lowerLetter"/>
      <w:start w:val="3"/>
    </w:lvl>
    <w:lvl w:ilvl="1">
      <w:lvlJc w:val="left"/>
      <w:lvlText w:val="(%2)"/>
      <w:numFmt w:val="lowerLetter"/>
      <w:start w:val="3"/>
    </w:lvl>
  </w:abstractNum>
  <w:abstractNum w:abstractNumId="199">
    <w:nsid w:val="7906328B"/>
    <w:multiLevelType w:val="hybridMultilevel"/>
    <w:lvl w:ilvl="0">
      <w:lvlJc w:val="left"/>
      <w:lvlText w:val="(%1)"/>
      <w:numFmt w:val="lowerLetter"/>
      <w:start w:val="1"/>
    </w:lvl>
  </w:abstractNum>
  <w:abstractNum w:abstractNumId="200">
    <w:nsid w:val="72BBC16"/>
    <w:multiLevelType w:val="hybridMultilevel"/>
    <w:lvl w:ilvl="0">
      <w:lvlJc w:val="left"/>
      <w:lvlText w:val="%1"/>
      <w:numFmt w:val="decimal"/>
      <w:start w:val="1"/>
    </w:lvl>
    <w:lvl w:ilvl="1">
      <w:lvlJc w:val="left"/>
      <w:lvlText w:val="(%2)"/>
      <w:numFmt w:val="lowerLetter"/>
      <w:start w:val="1"/>
    </w:lvl>
  </w:abstractNum>
  <w:abstractNum w:abstractNumId="201">
    <w:nsid w:val="766D98C2"/>
    <w:multiLevelType w:val="hybridMultilevel"/>
    <w:lvl w:ilvl="0">
      <w:lvlJc w:val="left"/>
      <w:lvlText w:val="(%1)"/>
      <w:numFmt w:val="decimal"/>
      <w:start w:val="10"/>
    </w:lvl>
    <w:lvl w:ilvl="1">
      <w:lvlJc w:val="left"/>
      <w:lvlText w:val="(%2)"/>
      <w:numFmt w:val="lowerLetter"/>
      <w:start w:val="2"/>
    </w:lvl>
  </w:abstractNum>
  <w:abstractNum w:abstractNumId="202">
    <w:nsid w:val="3C09D4A1"/>
    <w:multiLevelType w:val="hybridMultilevel"/>
    <w:lvl w:ilvl="0">
      <w:lvlJc w:val="left"/>
      <w:lvlText w:val="(%1)"/>
      <w:numFmt w:val="lowerLetter"/>
      <w:start w:val="3"/>
    </w:lvl>
  </w:abstractNum>
  <w:abstractNum w:abstractNumId="203">
    <w:nsid w:val="20E45CA4"/>
    <w:multiLevelType w:val="hybridMultilevel"/>
    <w:lvl w:ilvl="0">
      <w:lvlJc w:val="left"/>
      <w:lvlText w:val="(%1)"/>
      <w:numFmt w:val="lowerLetter"/>
      <w:start w:val="1"/>
    </w:lvl>
  </w:abstractNum>
  <w:abstractNum w:abstractNumId="204">
    <w:nsid w:val="4B232EE3"/>
    <w:multiLevelType w:val="hybridMultilevel"/>
    <w:lvl w:ilvl="0">
      <w:lvlJc w:val="left"/>
      <w:lvlText w:val="(%1)"/>
      <w:numFmt w:val="lowerLetter"/>
      <w:start w:val="2"/>
    </w:lvl>
  </w:abstractNum>
  <w:abstractNum w:abstractNumId="205">
    <w:nsid w:val="159C74CF"/>
    <w:multiLevelType w:val="hybridMultilevel"/>
    <w:lvl w:ilvl="0">
      <w:lvlJc w:val="left"/>
      <w:lvlText w:val="(%1)"/>
      <w:numFmt w:val="lowerLetter"/>
      <w:start w:val="4"/>
    </w:lvl>
  </w:abstractNum>
  <w:abstractNum w:abstractNumId="206">
    <w:nsid w:val="4AD3AFD2"/>
    <w:multiLevelType w:val="hybridMultilevel"/>
    <w:lvl w:ilvl="0">
      <w:lvlJc w:val="left"/>
      <w:lvlText w:val="(%1)"/>
      <w:numFmt w:val="lowerLetter"/>
      <w:start w:val="5"/>
    </w:lvl>
  </w:abstractNum>
  <w:abstractNum w:abstractNumId="207">
    <w:nsid w:val="3CF93092"/>
    <w:multiLevelType w:val="hybridMultilevel"/>
    <w:lvl w:ilvl="0">
      <w:lvlJc w:val="left"/>
      <w:lvlText w:val="(%1)"/>
      <w:numFmt w:val="lowerLetter"/>
      <w:start w:val="10"/>
    </w:lvl>
    <w:lvl w:ilvl="1">
      <w:lvlJc w:val="left"/>
      <w:lvlText w:val="(%2)"/>
      <w:numFmt w:val="decimal"/>
      <w:start w:val="1"/>
    </w:lvl>
  </w:abstractNum>
  <w:abstractNum w:abstractNumId="208">
    <w:nsid w:val="6863E8D2"/>
    <w:multiLevelType w:val="hybridMultilevel"/>
    <w:lvl w:ilvl="0">
      <w:lvlJc w:val="left"/>
      <w:lvlText w:val="(%1)"/>
      <w:numFmt w:val="lowerLetter"/>
      <w:start w:val="1"/>
    </w:lvl>
  </w:abstractNum>
  <w:abstractNum w:abstractNumId="209">
    <w:nsid w:val="76896198"/>
    <w:multiLevelType w:val="hybridMultilevel"/>
    <w:lvl w:ilvl="0">
      <w:lvlJc w:val="left"/>
      <w:lvlText w:val="(%1)"/>
      <w:numFmt w:val="lowerLetter"/>
      <w:start w:val="1"/>
    </w:lvl>
  </w:abstractNum>
  <w:abstractNum w:abstractNumId="210">
    <w:nsid w:val="4365174B"/>
    <w:multiLevelType w:val="hybridMultilevel"/>
    <w:lvl w:ilvl="0">
      <w:lvlJc w:val="left"/>
      <w:lvlText w:val="(%1)"/>
      <w:numFmt w:val="lowerLetter"/>
      <w:start w:val="3"/>
    </w:lvl>
    <w:lvl w:ilvl="1">
      <w:lvlJc w:val="left"/>
      <w:lvlText w:val="(%2)"/>
      <w:numFmt w:val="decimal"/>
      <w:start w:val="1"/>
    </w:lvl>
  </w:abstractNum>
  <w:abstractNum w:abstractNumId="211">
    <w:nsid w:val="4A872C35"/>
    <w:multiLevelType w:val="hybridMultilevel"/>
    <w:lvl w:ilvl="0">
      <w:lvlJc w:val="left"/>
      <w:lvlText w:val="(%1)"/>
      <w:numFmt w:val="decimal"/>
      <w:start w:val="6"/>
    </w:lvl>
  </w:abstractNum>
  <w:abstractNum w:abstractNumId="212">
    <w:nsid w:val="5D5CE761"/>
    <w:multiLevelType w:val="hybridMultilevel"/>
    <w:lvl w:ilvl="0">
      <w:lvlJc w:val="left"/>
      <w:lvlText w:val="(%1)"/>
      <w:numFmt w:val="lowerLetter"/>
      <w:start w:val="7"/>
    </w:lvl>
    <w:lvl w:ilvl="1">
      <w:lvlJc w:val="left"/>
      <w:lvlText w:val="(%2)"/>
      <w:numFmt w:val="decimal"/>
      <w:start w:val="1"/>
    </w:lvl>
  </w:abstractNum>
  <w:abstractNum w:abstractNumId="213">
    <w:nsid w:val="1CD484D5"/>
    <w:multiLevelType w:val="hybridMultilevel"/>
    <w:lvl w:ilvl="0">
      <w:lvlJc w:val="left"/>
      <w:lvlText w:val="%1"/>
      <w:numFmt w:val="decimal"/>
      <w:start w:val="1"/>
    </w:lvl>
    <w:lvl w:ilvl="1">
      <w:lvlJc w:val="left"/>
      <w:lvlText w:val="(%2)"/>
      <w:numFmt w:val="lowerLetter"/>
      <w:start w:val="1"/>
    </w:lvl>
  </w:abstractNum>
  <w:abstractNum w:abstractNumId="214">
    <w:nsid w:val="21D06255"/>
    <w:multiLevelType w:val="hybridMultilevel"/>
    <w:lvl w:ilvl="0">
      <w:lvlJc w:val="left"/>
      <w:lvlText w:val="(%1)"/>
      <w:numFmt w:val="decimal"/>
      <w:start w:val="15"/>
    </w:lvl>
    <w:lvl w:ilvl="1">
      <w:lvlJc w:val="left"/>
      <w:lvlText w:val="(%2)"/>
      <w:numFmt w:val="lowerLetter"/>
      <w:start w:val="2"/>
    </w:lvl>
  </w:abstractNum>
  <w:abstractNum w:abstractNumId="215">
    <w:nsid w:val="51194ED1"/>
    <w:multiLevelType w:val="hybridMultilevel"/>
    <w:lvl w:ilvl="0">
      <w:lvlJc w:val="left"/>
      <w:lvlText w:val="(%1)"/>
      <w:numFmt w:val="lowerLetter"/>
      <w:start w:val="1"/>
    </w:lvl>
  </w:abstractNum>
  <w:abstractNum w:abstractNumId="216">
    <w:nsid w:val="44E2ED6C"/>
    <w:multiLevelType w:val="hybridMultilevel"/>
    <w:lvl w:ilvl="0">
      <w:lvlJc w:val="left"/>
      <w:lvlText w:val="(%1)"/>
      <w:numFmt w:val="lowerLetter"/>
      <w:start w:val="9"/>
    </w:lvl>
  </w:abstractNum>
  <w:abstractNum w:abstractNumId="217">
    <w:nsid w:val="2219B33"/>
    <w:multiLevelType w:val="hybridMultilevel"/>
    <w:lvl w:ilvl="0">
      <w:lvlJc w:val="left"/>
      <w:lvlText w:val="(%1)"/>
      <w:numFmt w:val="lowerLetter"/>
      <w:start w:val="1"/>
    </w:lvl>
    <w:lvl w:ilvl="1">
      <w:lvlJc w:val="left"/>
      <w:lvlText w:val="(%2)"/>
      <w:numFmt w:val="lowerRoman"/>
      <w:start w:val="1"/>
    </w:lvl>
  </w:abstractNum>
  <w:abstractNum w:abstractNumId="218">
    <w:nsid w:val="773BFBDD"/>
    <w:multiLevelType w:val="hybridMultilevel"/>
    <w:lvl w:ilvl="0">
      <w:lvlJc w:val="left"/>
      <w:lvlText w:val="(%1)"/>
      <w:numFmt w:val="lowerLetter"/>
      <w:start w:val="2"/>
    </w:lvl>
  </w:abstractNum>
  <w:abstractNum w:abstractNumId="219">
    <w:nsid w:val="2C7C62C2"/>
    <w:multiLevelType w:val="hybridMultilevel"/>
    <w:lvl w:ilvl="0">
      <w:lvlJc w:val="left"/>
      <w:lvlText w:val="(%1)"/>
      <w:numFmt w:val="lowerLetter"/>
      <w:start w:val="4"/>
    </w:lvl>
  </w:abstractNum>
  <w:abstractNum w:abstractNumId="220">
    <w:nsid w:val="1A54D7BC"/>
    <w:multiLevelType w:val="hybridMultilevel"/>
    <w:lvl w:ilvl="0">
      <w:lvlJc w:val="left"/>
      <w:lvlText w:val="(%1)"/>
      <w:numFmt w:val="lowerLetter"/>
      <w:start w:val="5"/>
    </w:lvl>
  </w:abstractNum>
  <w:abstractNum w:abstractNumId="221">
    <w:nsid w:val="42E57EF7"/>
    <w:multiLevelType w:val="hybridMultilevel"/>
    <w:lvl w:ilvl="0">
      <w:lvlJc w:val="left"/>
      <w:lvlText w:val="(%1)"/>
      <w:numFmt w:val="lowerLetter"/>
      <w:start w:val="1"/>
    </w:lvl>
  </w:abstractNum>
  <w:abstractNum w:abstractNumId="222">
    <w:nsid w:val="33537CED"/>
    <w:multiLevelType w:val="hybridMultilevel"/>
    <w:lvl w:ilvl="0">
      <w:lvlJc w:val="left"/>
      <w:lvlText w:val="(%1)"/>
      <w:numFmt w:val="lowerLetter"/>
      <w:start w:val="3"/>
    </w:lvl>
    <w:lvl w:ilvl="1">
      <w:lvlJc w:val="left"/>
      <w:lvlText w:val="(%2)"/>
      <w:numFmt w:val="lowerRoman"/>
      <w:start w:val="1"/>
    </w:lvl>
  </w:abstractNum>
  <w:abstractNum w:abstractNumId="223">
    <w:nsid w:val="27514ADE"/>
    <w:multiLevelType w:val="hybridMultilevel"/>
    <w:lvl w:ilvl="0">
      <w:lvlJc w:val="left"/>
      <w:lvlText w:val="(%1)"/>
      <w:numFmt w:val="lowerLetter"/>
      <w:start w:val="1"/>
    </w:lvl>
  </w:abstractNum>
  <w:abstractNum w:abstractNumId="224">
    <w:nsid w:val="57071613"/>
    <w:multiLevelType w:val="hybridMultilevel"/>
    <w:lvl w:ilvl="0">
      <w:lvlJc w:val="left"/>
      <w:lvlText w:val="(%1)"/>
      <w:numFmt w:val="lowerLetter"/>
      <w:start w:val="1"/>
    </w:lvl>
    <w:lvl w:ilvl="1">
      <w:lvlJc w:val="left"/>
      <w:lvlText w:val="(%2)"/>
      <w:numFmt w:val="lowerRoman"/>
      <w:start w:val="1"/>
    </w:lvl>
  </w:abstractNum>
  <w:abstractNum w:abstractNumId="225">
    <w:nsid w:val="5293BFEF"/>
    <w:multiLevelType w:val="hybridMultilevel"/>
    <w:lvl w:ilvl="0">
      <w:lvlJc w:val="left"/>
      <w:lvlText w:val="(%1)"/>
      <w:numFmt w:val="lowerLetter"/>
      <w:start w:val="1"/>
    </w:lvl>
  </w:abstractNum>
  <w:abstractNum w:abstractNumId="226">
    <w:nsid w:val="38BF53E5"/>
    <w:multiLevelType w:val="hybridMultilevel"/>
    <w:lvl w:ilvl="0">
      <w:lvlJc w:val="left"/>
      <w:lvlText w:val="(%1)"/>
      <w:numFmt w:val="lowerLetter"/>
      <w:start w:val="2"/>
    </w:lvl>
  </w:abstractNum>
  <w:abstractNum w:abstractNumId="227">
    <w:nsid w:val="226F5320"/>
    <w:multiLevelType w:val="hybridMultilevel"/>
    <w:lvl w:ilvl="0">
      <w:lvlJc w:val="left"/>
      <w:lvlText w:val="(%1)"/>
      <w:numFmt w:val="lowerLetter"/>
      <w:start w:val="1"/>
    </w:lvl>
  </w:abstractNum>
  <w:abstractNum w:abstractNumId="228">
    <w:nsid w:val="5A0201C7"/>
    <w:multiLevelType w:val="hybridMultilevel"/>
    <w:lvl w:ilvl="0">
      <w:lvlJc w:val="left"/>
      <w:lvlText w:val="(%1)"/>
      <w:numFmt w:val="lowerLetter"/>
      <w:start w:val="1"/>
    </w:lvl>
  </w:abstractNum>
  <w:abstractNum w:abstractNumId="229">
    <w:nsid w:val="2A9C34E2"/>
    <w:multiLevelType w:val="hybridMultilevel"/>
    <w:lvl w:ilvl="0">
      <w:lvlJc w:val="left"/>
      <w:lvlText w:val="(%1)"/>
      <w:numFmt w:val="lowerLetter"/>
      <w:start w:val="2"/>
    </w:lvl>
  </w:abstractNum>
  <w:abstractNum w:abstractNumId="230">
    <w:nsid w:val="1B7585AB"/>
    <w:multiLevelType w:val="hybridMultilevel"/>
    <w:lvl w:ilvl="0">
      <w:lvlJc w:val="left"/>
      <w:lvlText w:val="(%1)"/>
      <w:numFmt w:val="lowerLetter"/>
      <w:start w:val="4"/>
    </w:lvl>
  </w:abstractNum>
  <w:abstractNum w:abstractNumId="231">
    <w:nsid w:val="612DBDDD"/>
    <w:multiLevelType w:val="hybridMultilevel"/>
    <w:lvl w:ilvl="0">
      <w:lvlJc w:val="left"/>
      <w:lvlText w:val="(%1)"/>
      <w:numFmt w:val="lowerLetter"/>
      <w:start w:val="1"/>
    </w:lvl>
  </w:abstractNum>
  <w:abstractNum w:abstractNumId="232">
    <w:nsid w:val="2109CDA4"/>
    <w:multiLevelType w:val="hybridMultilevel"/>
    <w:lvl w:ilvl="0">
      <w:lvlJc w:val="left"/>
      <w:lvlText w:val="(%1)"/>
      <w:numFmt w:val="lowerLetter"/>
      <w:start w:val="2"/>
    </w:lvl>
  </w:abstractNum>
  <w:abstractNum w:abstractNumId="233">
    <w:nsid w:val="577F5A4D"/>
    <w:multiLevelType w:val="hybridMultilevel"/>
    <w:lvl w:ilvl="0">
      <w:lvlJc w:val="left"/>
      <w:lvlText w:val="(%1)"/>
      <w:numFmt w:val="lowerLetter"/>
      <w:start w:val="1"/>
    </w:lvl>
  </w:abstractNum>
  <w:abstractNum w:abstractNumId="234">
    <w:nsid w:val="2121A81"/>
    <w:multiLevelType w:val="hybridMultilevel"/>
    <w:lvl w:ilvl="0">
      <w:lvlJc w:val="left"/>
      <w:lvlText w:val="(%1)"/>
      <w:numFmt w:val="lowerLetter"/>
      <w:start w:val="4"/>
    </w:lvl>
  </w:abstractNum>
  <w:abstractNum w:abstractNumId="235">
    <w:nsid w:val="6C2CFC88"/>
    <w:multiLevelType w:val="hybridMultilevel"/>
    <w:lvl w:ilvl="0">
      <w:lvlJc w:val="left"/>
      <w:lvlText w:val="(%1)"/>
      <w:numFmt w:val="lowerLetter"/>
      <w:start w:val="1"/>
    </w:lvl>
  </w:abstractNum>
  <w:abstractNum w:abstractNumId="236">
    <w:nsid w:val="6D1BCF1C"/>
    <w:multiLevelType w:val="hybridMultilevel"/>
    <w:lvl w:ilvl="0">
      <w:lvlJc w:val="left"/>
      <w:lvlText w:val="(%1)"/>
      <w:numFmt w:val="lowerLetter"/>
      <w:start w:val="1"/>
    </w:lvl>
  </w:abstractNum>
  <w:abstractNum w:abstractNumId="237">
    <w:nsid w:val="4CE5CA53"/>
    <w:multiLevelType w:val="hybridMultilevel"/>
    <w:lvl w:ilvl="0">
      <w:lvlJc w:val="left"/>
      <w:lvlText w:val="%1"/>
      <w:numFmt w:val="lowerLetter"/>
      <w:start w:val="1"/>
    </w:lvl>
    <w:lvl w:ilvl="1">
      <w:lvlJc w:val="left"/>
      <w:lvlText w:val="(%2)"/>
      <w:numFmt w:val="lowerLetter"/>
      <w:start w:val="4"/>
    </w:lvl>
  </w:abstractNum>
  <w:abstractNum w:abstractNumId="238">
    <w:nsid w:val="29262D1A"/>
    <w:multiLevelType w:val="hybridMultilevel"/>
    <w:lvl w:ilvl="0">
      <w:lvlJc w:val="left"/>
      <w:lvlText w:val="(%1)"/>
      <w:numFmt w:val="lowerLetter"/>
      <w:start w:val="9"/>
    </w:lvl>
    <w:lvl w:ilvl="1">
      <w:lvlJc w:val="left"/>
      <w:lvlText w:val="(%2)"/>
      <w:numFmt w:val="lowerLetter"/>
      <w:start w:val="10"/>
    </w:lvl>
  </w:abstractNum>
  <w:abstractNum w:abstractNumId="239">
    <w:nsid w:val="557FB7EE"/>
    <w:multiLevelType w:val="hybridMultilevel"/>
    <w:lvl w:ilvl="0">
      <w:lvlJc w:val="left"/>
      <w:lvlText w:val="(%1)"/>
      <w:numFmt w:val="lowerLetter"/>
      <w:start w:val="7"/>
    </w:lvl>
  </w:abstractNum>
  <w:abstractNum w:abstractNumId="240">
    <w:nsid w:val="436F2BEB"/>
    <w:multiLevelType w:val="hybridMultilevel"/>
    <w:lvl w:ilvl="0">
      <w:lvlJc w:val="left"/>
      <w:lvlText w:val="%1"/>
      <w:numFmt w:val="lowerLetter"/>
      <w:start w:val="1"/>
    </w:lvl>
    <w:lvl w:ilvl="1">
      <w:lvlJc w:val="left"/>
      <w:lvlText w:val="(%2)"/>
      <w:numFmt w:val="lowerLetter"/>
      <w:start w:val="1"/>
    </w:lvl>
  </w:abstractNum>
  <w:abstractNum w:abstractNumId="241">
    <w:nsid w:val="6C8B4466"/>
    <w:multiLevelType w:val="hybridMultilevel"/>
    <w:lvl w:ilvl="0">
      <w:lvlJc w:val="left"/>
      <w:lvlText w:val="(%1)"/>
      <w:numFmt w:val="lowerLetter"/>
      <w:start w:val="9"/>
    </w:lvl>
    <w:lvl w:ilvl="1">
      <w:lvlJc w:val="left"/>
      <w:lvlText w:val="(%2)"/>
      <w:numFmt w:val="lowerLetter"/>
      <w:start w:val="4"/>
    </w:lvl>
  </w:abstractNum>
  <w:abstractNum w:abstractNumId="242">
    <w:nsid w:val="2006E424"/>
    <w:multiLevelType w:val="hybridMultilevel"/>
    <w:lvl w:ilvl="0">
      <w:lvlJc w:val="left"/>
      <w:lvlText w:val="(%1)"/>
      <w:numFmt w:val="lowerRoman"/>
      <w:start w:val="2"/>
    </w:lvl>
  </w:abstractNum>
  <w:abstractNum w:abstractNumId="243">
    <w:nsid w:val="20CC134C"/>
    <w:multiLevelType w:val="hybridMultilevel"/>
    <w:lvl w:ilvl="0">
      <w:lvlJc w:val="left"/>
      <w:lvlText w:val="%1."/>
      <w:numFmt w:val="decimal"/>
      <w:start w:val="1"/>
    </w:lvl>
    <w:lvl w:ilvl="1">
      <w:lvlJc w:val="left"/>
      <w:lvlText w:val="(%2)"/>
      <w:numFmt w:val="lowerLetter"/>
      <w:start w:val="1"/>
    </w:lvl>
  </w:abstractNum>
  <w:abstractNum w:abstractNumId="244">
    <w:nsid w:val="95FC93B"/>
    <w:multiLevelType w:val="hybridMultilevel"/>
    <w:lvl w:ilvl="0">
      <w:lvlJc w:val="left"/>
      <w:lvlText w:val="(%1)"/>
      <w:numFmt w:val="lowerRoman"/>
      <w:start w:val="1"/>
    </w:lvl>
  </w:abstractNum>
  <w:abstractNum w:abstractNumId="245">
    <w:nsid w:val="41D74679"/>
    <w:multiLevelType w:val="hybridMultilevel"/>
    <w:lvl w:ilvl="0">
      <w:lvlJc w:val="left"/>
      <w:lvlText w:val="(%1)"/>
      <w:numFmt w:val="lowerLetter"/>
      <w:start w:val="5"/>
    </w:lvl>
    <w:lvl w:ilvl="1">
      <w:lvlJc w:val="left"/>
      <w:lvlText w:val="(%2)"/>
      <w:numFmt w:val="lowerRoman"/>
      <w:start w:val="1"/>
    </w:lvl>
  </w:abstractNum>
  <w:abstractNum w:abstractNumId="246">
    <w:nsid w:val="71E562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47">
    <w:nsid w:val="4E42B6A8"/>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48">
    <w:nsid w:val="43F8E1AC"/>
    <w:multiLevelType w:val="hybridMultilevel"/>
    <w:lvl w:ilvl="0">
      <w:lvlJc w:val="left"/>
      <w:lvlText w:val="(%1)"/>
      <w:numFmt w:val="decimal"/>
      <w:start w:val="12"/>
    </w:lvl>
    <w:lvl w:ilvl="1">
      <w:lvlJc w:val="left"/>
      <w:lvlText w:val="(%2)"/>
      <w:numFmt w:val="lowerLetter"/>
      <w:start w:val="14"/>
    </w:lvl>
    <w:lvl w:ilvl="2">
      <w:lvlJc w:val="left"/>
      <w:lvlText w:val="%3"/>
      <w:numFmt w:val="lowerRoman"/>
      <w:start w:val="1"/>
    </w:lvl>
  </w:abstractNum>
  <w:abstractNum w:abstractNumId="249">
    <w:nsid w:val="69215DFB"/>
    <w:multiLevelType w:val="hybridMultilevel"/>
    <w:lvl w:ilvl="0">
      <w:lvlJc w:val="left"/>
      <w:lvlText w:val="(%1)"/>
      <w:numFmt w:val="lowerLetter"/>
      <w:start w:val="19"/>
    </w:lvl>
  </w:abstractNum>
  <w:abstractNum w:abstractNumId="250">
    <w:nsid w:val="7ABF196A"/>
    <w:multiLevelType w:val="hybridMultilevel"/>
    <w:lvl w:ilvl="0">
      <w:lvlJc w:val="left"/>
      <w:lvlText w:val="(%1)"/>
      <w:numFmt w:val="lowerLetter"/>
      <w:start w:val="27"/>
    </w:lvl>
  </w:abstractNum>
  <w:abstractNum w:abstractNumId="251">
    <w:nsid w:val="5E4DB968"/>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252">
    <w:nsid w:val="2C06DCF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3">
    <w:nsid w:val="2E1296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4">
    <w:nsid w:val="59F044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5">
    <w:nsid w:val="30DF30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56">
    <w:nsid w:val="A656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7">
    <w:nsid w:val="3E5E582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8">
    <w:nsid w:val="257D4626"/>
    <w:multiLevelType w:val="hybridMultilevel"/>
    <w:lvl w:ilvl="0">
      <w:lvlJc w:val="left"/>
      <w:lvlText w:val="%1"/>
      <w:numFmt w:val="decimal"/>
      <w:start w:val="1"/>
    </w:lvl>
    <w:lvl w:ilvl="1">
      <w:lvlJc w:val="left"/>
      <w:lvlText w:val="(%2)"/>
      <w:numFmt w:val="lowerLetter"/>
      <w:start w:val="3"/>
    </w:lvl>
  </w:abstractNum>
  <w:abstractNum w:abstractNumId="259">
    <w:nsid w:val="5AA8580E"/>
    <w:multiLevelType w:val="hybridMultilevel"/>
    <w:lvl w:ilvl="0">
      <w:lvlJc w:val="left"/>
      <w:lvlText w:val="%1."/>
      <w:numFmt w:val="decimal"/>
      <w:start w:val="6"/>
    </w:lvl>
    <w:lvl w:ilvl="1">
      <w:lvlJc w:val="left"/>
      <w:lvlText w:val="%2"/>
      <w:numFmt w:val="lowerLetter"/>
      <w:start w:val="1"/>
    </w:lvl>
  </w:abstractNum>
  <w:abstractNum w:abstractNumId="260">
    <w:nsid w:val="68FA8D0D"/>
    <w:multiLevelType w:val="hybridMultilevel"/>
    <w:lvl w:ilvl="0">
      <w:lvlJc w:val="left"/>
      <w:lvlText w:val="%1"/>
      <w:numFmt w:val="decimal"/>
      <w:start w:val="1"/>
    </w:lvl>
    <w:lvl w:ilvl="1">
      <w:lvlJc w:val="left"/>
      <w:lvlText w:val="(%2)"/>
      <w:numFmt w:val="lowerLetter"/>
      <w:start w:val="1"/>
    </w:lvl>
  </w:abstractNum>
  <w:abstractNum w:abstractNumId="261">
    <w:nsid w:val="40F2CBD2"/>
    <w:multiLevelType w:val="hybridMultilevel"/>
    <w:lvl w:ilvl="0">
      <w:lvlJc w:val="left"/>
      <w:lvlText w:val="(%1)"/>
      <w:numFmt w:val="decimal"/>
      <w:start w:val="10"/>
    </w:lvl>
    <w:lvl w:ilvl="1">
      <w:lvlJc w:val="left"/>
      <w:lvlText w:val="(%2)"/>
      <w:numFmt w:val="lowerLetter"/>
      <w:start w:val="2"/>
    </w:lvl>
  </w:abstractNum>
  <w:abstractNum w:abstractNumId="262">
    <w:nsid w:val="3BD615E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63">
    <w:nsid w:val="A045AB2"/>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64">
    <w:nsid w:val="1872261F"/>
    <w:multiLevelType w:val="hybridMultilevel"/>
    <w:lvl w:ilvl="0">
      <w:lvlJc w:val="left"/>
      <w:lvlText w:val="(%1)"/>
      <w:numFmt w:val="lowerRoman"/>
      <w:start w:val="3"/>
    </w:lvl>
    <w:lvl w:ilvl="1">
      <w:lvlJc w:val="left"/>
      <w:lvlText w:val="(%2)"/>
      <w:numFmt w:val="lowerLetter"/>
      <w:start w:val="4"/>
    </w:lvl>
    <w:lvl w:ilvl="2">
      <w:lvlJc w:val="left"/>
      <w:lvlText w:val="(%3)"/>
      <w:numFmt w:val="lowerRoman"/>
      <w:start w:val="5"/>
    </w:lvl>
  </w:abstractNum>
  <w:abstractNum w:abstractNumId="265">
    <w:nsid w:val="3DE8306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66">
    <w:nsid w:val="7631573A"/>
    <w:multiLevelType w:val="hybridMultilevel"/>
    <w:lvl w:ilvl="0">
      <w:lvlJc w:val="left"/>
      <w:lvlText w:val="%1"/>
      <w:numFmt w:val="lowerLetter"/>
      <w:start w:val="1"/>
    </w:lvl>
    <w:lvl w:ilvl="1">
      <w:lvlJc w:val="left"/>
      <w:lvlText w:val="(%2)"/>
      <w:numFmt w:val="lowerRoman"/>
      <w:start w:val="2"/>
    </w:lvl>
  </w:abstractNum>
  <w:abstractNum w:abstractNumId="267">
    <w:nsid w:val="58DF53B"/>
    <w:multiLevelType w:val="hybridMultilevel"/>
    <w:lvl w:ilvl="0">
      <w:lvlJc w:val="left"/>
      <w:lvlText w:val="(%1)"/>
      <w:numFmt w:val="lowerLetter"/>
      <w:start w:val="6"/>
    </w:lvl>
    <w:lvl w:ilvl="1">
      <w:lvlJc w:val="left"/>
      <w:lvlText w:val="%2"/>
      <w:numFmt w:val="lowerRoman"/>
      <w:start w:val="1"/>
    </w:lvl>
  </w:abstractNum>
  <w:abstractNum w:abstractNumId="268">
    <w:nsid w:val="ACDFAC0"/>
    <w:multiLevelType w:val="hybridMultilevel"/>
    <w:lvl w:ilvl="0">
      <w:lvlJc w:val="left"/>
      <w:lvlText w:val="%1"/>
      <w:numFmt w:val="lowerLetter"/>
      <w:start w:val="1"/>
    </w:lvl>
    <w:lvl w:ilvl="1">
      <w:lvlJc w:val="left"/>
      <w:lvlText w:val="(%2)"/>
      <w:numFmt w:val="lowerRoman"/>
      <w:start w:val="1"/>
    </w:lvl>
  </w:abstractNum>
  <w:abstractNum w:abstractNumId="269">
    <w:nsid w:val="1F578454"/>
    <w:multiLevelType w:val="hybridMultilevel"/>
    <w:lvl w:ilvl="0">
      <w:lvlJc w:val="left"/>
      <w:lvlText w:val="(%1)"/>
      <w:numFmt w:val="lowerLetter"/>
      <w:start w:val="8"/>
    </w:lvl>
    <w:lvl w:ilvl="1">
      <w:lvlJc w:val="left"/>
      <w:lvlText w:val="%2"/>
      <w:numFmt w:val="lowerRoman"/>
      <w:start w:val="1"/>
    </w:lvl>
  </w:abstractNum>
  <w:abstractNum w:abstractNumId="270">
    <w:nsid w:val="5B0DAD2A"/>
    <w:multiLevelType w:val="hybridMultilevel"/>
    <w:lvl w:ilvl="0">
      <w:lvlJc w:val="left"/>
      <w:lvlText w:val="%1"/>
      <w:numFmt w:val="lowerLetter"/>
      <w:start w:val="1"/>
    </w:lvl>
    <w:lvl w:ilvl="1">
      <w:lvlJc w:val="left"/>
      <w:lvlText w:val="(%2)"/>
      <w:numFmt w:val="lowerLetter"/>
      <w:start w:val="9"/>
    </w:lvl>
  </w:abstractNum>
  <w:abstractNum w:abstractNumId="271">
    <w:nsid w:val="4E3D26AB"/>
    <w:multiLevelType w:val="hybridMultilevel"/>
    <w:lvl w:ilvl="0">
      <w:lvlJc w:val="left"/>
      <w:lvlText w:val="(%1)"/>
      <w:numFmt w:val="lowerLetter"/>
      <w:start w:val="9"/>
    </w:lvl>
    <w:lvl w:ilvl="1">
      <w:lvlJc w:val="left"/>
      <w:lvlText w:val="(%2)"/>
      <w:numFmt w:val="lowerLetter"/>
      <w:start w:val="10"/>
    </w:lvl>
  </w:abstractNum>
  <w:abstractNum w:abstractNumId="272">
    <w:nsid w:val="BE2C8BA"/>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73">
    <w:nsid w:val="7B14914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74">
    <w:nsid w:val="6F0939F8"/>
    <w:multiLevelType w:val="hybridMultilevel"/>
    <w:lvl w:ilvl="0">
      <w:lvlJc w:val="left"/>
      <w:lvlText w:val="%1"/>
      <w:numFmt w:val="lowerLetter"/>
      <w:start w:val="1"/>
    </w:lvl>
    <w:lvl w:ilvl="1">
      <w:lvlJc w:val="left"/>
      <w:lvlText w:val="(%2)"/>
      <w:numFmt w:val="lowerRoman"/>
      <w:start w:val="2"/>
    </w:lvl>
  </w:abstractNum>
  <w:abstractNum w:abstractNumId="275">
    <w:nsid w:val="154291F6"/>
    <w:multiLevelType w:val="hybridMultilevel"/>
    <w:lvl w:ilvl="0">
      <w:lvlJc w:val="left"/>
      <w:lvlText w:val="(%1)"/>
      <w:numFmt w:val="lowerLetter"/>
      <w:start w:val="2"/>
    </w:lvl>
    <w:lvl w:ilvl="1">
      <w:lvlJc w:val="left"/>
      <w:lvlText w:val="(%2)"/>
      <w:numFmt w:val="lowerRoman"/>
      <w:start w:val="1"/>
    </w:lvl>
  </w:abstractNum>
  <w:abstractNum w:abstractNumId="276">
    <w:nsid w:val="3CEBD7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7">
    <w:nsid w:val="60EE9C1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8">
    <w:nsid w:val="6385489E"/>
    <w:multiLevelType w:val="hybridMultilevel"/>
    <w:lvl w:ilvl="0">
      <w:lvlJc w:val="left"/>
      <w:lvlText w:val="%1"/>
      <w:numFmt w:val="decimal"/>
      <w:start w:val="1"/>
    </w:lvl>
    <w:lvl w:ilvl="1">
      <w:lvlJc w:val="left"/>
      <w:lvlText w:val="(%2)"/>
      <w:numFmt w:val="lowerLetter"/>
      <w:start w:val="2"/>
    </w:lvl>
  </w:abstractNum>
  <w:abstractNum w:abstractNumId="279">
    <w:nsid w:val="E4B973"/>
    <w:multiLevelType w:val="hybridMultilevel"/>
    <w:lvl w:ilvl="0">
      <w:lvlJc w:val="left"/>
      <w:lvlText w:val="%1."/>
      <w:numFmt w:val="decimal"/>
      <w:start w:val="9"/>
    </w:lvl>
    <w:lvl w:ilvl="1">
      <w:lvlJc w:val="left"/>
      <w:lvlText w:val="(%2)"/>
      <w:numFmt w:val="lowerLetter"/>
      <w:start w:val="1"/>
    </w:lvl>
  </w:abstractNum>
  <w:abstractNum w:abstractNumId="280">
    <w:nsid w:val="4A0FFA11"/>
    <w:multiLevelType w:val="hybridMultilevel"/>
    <w:lvl w:ilvl="0">
      <w:lvlJc w:val="left"/>
      <w:lvlText w:val="%1"/>
      <w:numFmt w:val="lowerLetter"/>
      <w:start w:val="1"/>
    </w:lvl>
    <w:lvl w:ilvl="1">
      <w:lvlJc w:val="left"/>
      <w:lvlText w:val="(%2)"/>
      <w:numFmt w:val="lowerLetter"/>
      <w:start w:val="6"/>
    </w:lvl>
  </w:abstractNum>
  <w:abstractNum w:abstractNumId="281">
    <w:nsid w:val="5E446208"/>
    <w:multiLevelType w:val="hybridMultilevel"/>
    <w:lvl w:ilvl="0">
      <w:lvlJc w:val="left"/>
      <w:lvlText w:val="(%1)"/>
      <w:numFmt w:val="lowerLetter"/>
      <w:start w:val="9"/>
    </w:lvl>
    <w:lvl w:ilvl="1">
      <w:lvlJc w:val="left"/>
      <w:lvlText w:val="(%2)"/>
      <w:numFmt w:val="lowerLetter"/>
      <w:start w:val="7"/>
    </w:lvl>
  </w:abstractNum>
  <w:abstractNum w:abstractNumId="282">
    <w:nsid w:val="5F3272DB"/>
    <w:multiLevelType w:val="hybridMultilevel"/>
    <w:lvl w:ilvl="0">
      <w:lvlJc w:val="left"/>
      <w:lvlText w:val="(%1)"/>
      <w:numFmt w:val="lowerLetter"/>
      <w:start w:val="35"/>
    </w:lvl>
    <w:lvl w:ilvl="1">
      <w:lvlJc w:val="left"/>
      <w:lvlText w:val="(%2)"/>
      <w:numFmt w:val="lowerLetter"/>
      <w:start w:val="8"/>
    </w:lvl>
  </w:abstractNum>
  <w:abstractNum w:abstractNumId="283">
    <w:nsid w:val="7616D704"/>
    <w:multiLevelType w:val="hybridMultilevel"/>
    <w:lvl w:ilvl="0">
      <w:lvlJc w:val="left"/>
      <w:lvlText w:val="%1"/>
      <w:numFmt w:val="decimal"/>
      <w:start w:val="1"/>
    </w:lvl>
    <w:lvl w:ilvl="1">
      <w:lvlJc w:val="left"/>
      <w:lvlText w:val="(%2)"/>
      <w:numFmt w:val="lowerRoman"/>
      <w:start w:val="1"/>
    </w:lvl>
  </w:abstractNum>
  <w:abstractNum w:abstractNumId="284">
    <w:nsid w:val="C56F860"/>
    <w:multiLevelType w:val="hybridMultilevel"/>
    <w:lvl w:ilvl="0">
      <w:lvlJc w:val="left"/>
      <w:lvlText w:val="(%1)"/>
      <w:numFmt w:val="decimal"/>
      <w:start w:val="90"/>
    </w:lvl>
    <w:lvl w:ilvl="1">
      <w:lvlJc w:val="left"/>
      <w:lvlText w:val="(%2)"/>
      <w:numFmt w:val="lowerRoman"/>
      <w:start w:val="2"/>
    </w:lvl>
  </w:abstractNum>
  <w:abstractNum w:abstractNumId="285">
    <w:nsid w:val="64D17722"/>
    <w:multiLevelType w:val="hybridMultilevel"/>
    <w:lvl w:ilvl="0">
      <w:lvlJc w:val="left"/>
      <w:lvlText w:val="(%1)"/>
      <w:numFmt w:val="decimal"/>
      <w:start w:val="90"/>
    </w:lvl>
    <w:lvl w:ilvl="1">
      <w:lvlJc w:val="left"/>
      <w:lvlText w:val="%2"/>
      <w:numFmt w:val="lowerRoman"/>
      <w:start w:val="1"/>
    </w:lvl>
  </w:abstractNum>
  <w:abstractNum w:abstractNumId="286">
    <w:nsid w:val="7924CA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287">
    <w:nsid w:val="CFD4EA7"/>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88">
    <w:nsid w:val="232FCF4D"/>
    <w:multiLevelType w:val="hybridMultilevel"/>
    <w:lvl w:ilvl="0">
      <w:lvlJc w:val="left"/>
      <w:lvlText w:val="(%1)"/>
      <w:numFmt w:val="lowerLetter"/>
      <w:start w:val="2"/>
    </w:lvl>
    <w:lvl w:ilvl="1">
      <w:lvlJc w:val="left"/>
      <w:lvlText w:val="(%2)"/>
      <w:numFmt w:val="lowerRoman"/>
      <w:start w:val="1"/>
    </w:lvl>
  </w:abstractNum>
  <w:abstractNum w:abstractNumId="289">
    <w:nsid w:val="1EA2103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90">
    <w:nsid w:val="67A5A6B5"/>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91">
    <w:nsid w:val="C2A5C5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92">
    <w:nsid w:val="5F94DC03"/>
    <w:multiLevelType w:val="hybridMultilevel"/>
    <w:lvl w:ilvl="0">
      <w:lvlJc w:val="left"/>
      <w:lvlText w:val="%1."/>
      <w:numFmt w:val="decimal"/>
      <w:start w:val="11"/>
    </w:lvl>
    <w:lvl w:ilvl="1">
      <w:lvlJc w:val="left"/>
      <w:lvlText w:val="(%2)"/>
      <w:numFmt w:val="lowerLetter"/>
      <w:start w:val="1"/>
    </w:lvl>
  </w:abstractNum>
  <w:abstractNum w:abstractNumId="293">
    <w:nsid w:val="237BBCA0"/>
    <w:multiLevelType w:val="hybridMultilevel"/>
    <w:lvl w:ilvl="0">
      <w:lvlJc w:val="left"/>
      <w:lvlText w:val="%1"/>
      <w:numFmt w:val="decimal"/>
      <w:start w:val="1"/>
    </w:lvl>
    <w:lvl w:ilvl="1">
      <w:lvlJc w:val="left"/>
      <w:lvlText w:val="(%2)"/>
      <w:numFmt w:val="lowerLetter"/>
      <w:start w:val="4"/>
    </w:lvl>
  </w:abstractNum>
  <w:abstractNum w:abstractNumId="294">
    <w:nsid w:val="162EB70D"/>
    <w:multiLevelType w:val="hybridMultilevel"/>
    <w:lvl w:ilvl="0">
      <w:lvlJc w:val="left"/>
      <w:lvlText w:val="%1."/>
      <w:numFmt w:val="decimal"/>
      <w:start w:val="12"/>
    </w:lvl>
    <w:lvl w:ilvl="1">
      <w:lvlJc w:val="left"/>
      <w:lvlText w:val="(%2)"/>
      <w:numFmt w:val="lowerLetter"/>
      <w:start w:val="1"/>
    </w:lvl>
  </w:abstractNum>
  <w:abstractNum w:abstractNumId="295">
    <w:nsid w:val="78070222"/>
    <w:multiLevelType w:val="hybridMultilevel"/>
    <w:lvl w:ilvl="0">
      <w:lvlJc w:val="left"/>
      <w:lvlText w:val="%1."/>
      <w:numFmt w:val="decimal"/>
      <w:start w:val="14"/>
    </w:lvl>
  </w:abstractNum>
  <w:abstractNum w:abstractNumId="296">
    <w:nsid w:val="6163ED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97">
    <w:nsid w:val="C600E47"/>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298">
    <w:nsid w:val="7D94F75D"/>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99">
    <w:nsid w:val="6C31E7C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00">
    <w:nsid w:val="2BB7929B"/>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301">
    <w:nsid w:val="58A2A487"/>
    <w:multiLevelType w:val="hybridMultilevel"/>
    <w:lvl w:ilvl="0">
      <w:lvlJc w:val="left"/>
      <w:lvlText w:val="%1."/>
      <w:numFmt w:val="decimal"/>
      <w:start w:val="8"/>
    </w:lvl>
    <w:lvl w:ilvl="1">
      <w:lvlJc w:val="left"/>
      <w:lvlText w:val="(%2)"/>
      <w:numFmt w:val="lowerLetter"/>
      <w:start w:val="1"/>
    </w:lvl>
  </w:abstractNum>
  <w:abstractNum w:abstractNumId="302">
    <w:nsid w:val="3A6F0E78"/>
    <w:multiLevelType w:val="hybridMultilevel"/>
    <w:lvl w:ilvl="0">
      <w:lvlJc w:val="left"/>
      <w:lvlText w:val="%1."/>
      <w:numFmt w:val="decimal"/>
      <w:start w:val="9"/>
    </w:lvl>
    <w:lvl w:ilvl="1">
      <w:lvlJc w:val="left"/>
      <w:lvlText w:val="(%2)"/>
      <w:numFmt w:val="lowerLetter"/>
      <w:start w:val="1"/>
    </w:lvl>
  </w:abstractNum>
  <w:abstractNum w:abstractNumId="303">
    <w:nsid w:val="379A5B56"/>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04">
    <w:nsid w:val="53B735D5"/>
    <w:multiLevelType w:val="hybridMultilevel"/>
    <w:lvl w:ilvl="0">
      <w:lvlJc w:val="left"/>
      <w:lvlText w:val="(%1)"/>
      <w:numFmt w:val="decimal"/>
      <w:start w:val="15"/>
    </w:lvl>
    <w:lvl w:ilvl="1">
      <w:lvlJc w:val="left"/>
      <w:lvlText w:val="%2."/>
      <w:numFmt w:val="decimal"/>
      <w:start w:val="9"/>
    </w:lvl>
    <w:lvl w:ilvl="2">
      <w:lvlJc w:val="left"/>
      <w:lvlText w:val="(%3)"/>
      <w:numFmt w:val="lowerLetter"/>
      <w:start w:val="4"/>
    </w:lvl>
  </w:abstractNum>
  <w:abstractNum w:abstractNumId="305">
    <w:nsid w:val="297848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06">
    <w:nsid w:val="4CDCED4C"/>
    <w:multiLevelType w:val="hybridMultilevel"/>
    <w:lvl w:ilvl="0">
      <w:lvlJc w:val="left"/>
      <w:lvlText w:val="%1"/>
      <w:numFmt w:val="lowerLetter"/>
      <w:start w:val="1"/>
    </w:lvl>
    <w:lvl w:ilvl="1">
      <w:lvlJc w:val="left"/>
      <w:lvlText w:val="(%2)"/>
      <w:numFmt w:val="lowerLetter"/>
      <w:start w:val="3"/>
    </w:lvl>
  </w:abstractNum>
  <w:abstractNum w:abstractNumId="307">
    <w:nsid w:val="10A30D9C"/>
    <w:multiLevelType w:val="hybridMultilevel"/>
    <w:lvl w:ilvl="0">
      <w:lvlJc w:val="left"/>
      <w:lvlText w:val="(%1)"/>
      <w:numFmt w:val="lowerLetter"/>
      <w:start w:val="9"/>
    </w:lvl>
    <w:lvl w:ilvl="1">
      <w:lvlJc w:val="left"/>
      <w:lvlText w:val="%2"/>
      <w:numFmt w:val="lowerLetter"/>
      <w:start w:val="1"/>
    </w:lvl>
  </w:abstractNum>
  <w:abstractNum w:abstractNumId="308">
    <w:nsid w:val="A66E486"/>
    <w:multiLevelType w:val="hybridMultilevel"/>
    <w:lvl w:ilvl="0">
      <w:lvlJc w:val="left"/>
      <w:lvlText w:val="%1."/>
      <w:numFmt w:val="decimal"/>
      <w:start w:val="12"/>
    </w:lvl>
    <w:lvl w:ilvl="1">
      <w:lvlJc w:val="left"/>
      <w:lvlText w:val="(%2)"/>
      <w:numFmt w:val="lowerLetter"/>
      <w:start w:val="1"/>
    </w:lvl>
  </w:abstractNum>
  <w:abstractNum w:abstractNumId="309">
    <w:nsid w:val="306235EA"/>
    <w:multiLevelType w:val="hybridMultilevel"/>
    <w:lvl w:ilvl="0">
      <w:lvlJc w:val="left"/>
      <w:lvlText w:val="%1"/>
      <w:numFmt w:val="decimal"/>
      <w:start w:val="1"/>
    </w:lvl>
    <w:lvl w:ilvl="1">
      <w:lvlJc w:val="left"/>
      <w:lvlText w:val="(%2)"/>
      <w:numFmt w:val="lowerLetter"/>
      <w:start w:val="2"/>
    </w:lvl>
  </w:abstractNum>
  <w:abstractNum w:abstractNumId="310">
    <w:nsid w:val="1187C70F"/>
    <w:multiLevelType w:val="hybridMultilevel"/>
    <w:lvl w:ilvl="0">
      <w:lvlJc w:val="left"/>
      <w:lvlText w:val="%1."/>
      <w:numFmt w:val="decimal"/>
      <w:start w:val="16"/>
    </w:lvl>
    <w:lvl w:ilvl="1">
      <w:lvlJc w:val="left"/>
      <w:lvlText w:val="%2"/>
      <w:numFmt w:val="lowerLetter"/>
      <w:start w:val="1"/>
    </w:lvl>
  </w:abstractNum>
  <w:abstractNum w:abstractNumId="311">
    <w:nsid w:val="5476DE98"/>
    <w:multiLevelType w:val="hybridMultilevel"/>
    <w:lvl w:ilvl="0">
      <w:lvlJc w:val="left"/>
      <w:lvlText w:val="1"/>
      <w:numFmt w:val="bullet"/>
      <w:start w:val="1"/>
    </w:lvl>
  </w:abstractNum>
  <w:abstractNum w:abstractNumId="312">
    <w:nsid w:val="EA697F2"/>
    <w:multiLevelType w:val="hybridMultilevel"/>
    <w:lvl w:ilvl="0">
      <w:lvlJc w:val="left"/>
      <w:lvlText w:val="2"/>
      <w:numFmt w:val="bullet"/>
      <w:start w:val="1"/>
    </w:lvl>
  </w:abstractNum>
  <w:abstractNum w:abstractNumId="313">
    <w:nsid w:val="70BA39EB"/>
    <w:multiLevelType w:val="hybridMultilevel"/>
    <w:lvl w:ilvl="0">
      <w:lvlJc w:val="left"/>
      <w:lvlText w:val="3"/>
      <w:numFmt w:val="bullet"/>
      <w:start w:val="1"/>
    </w:lvl>
  </w:abstractNum>
  <w:abstractNum w:abstractNumId="314">
    <w:nsid w:val="4A8DB59C"/>
    <w:multiLevelType w:val="hybridMultilevel"/>
    <w:lvl w:ilvl="0">
      <w:lvlJc w:val="left"/>
      <w:lvlText w:val="%1."/>
      <w:numFmt w:val="decimal"/>
      <w:start w:val="1"/>
    </w:lvl>
  </w:abstractNum>
  <w:abstractNum w:abstractNumId="315">
    <w:nsid w:val="1AFD905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6">
    <w:nsid w:val="558BB10D"/>
    <w:multiLevelType w:val="hybridMultilevel"/>
    <w:lvl w:ilvl="0">
      <w:lvlJc w:val="left"/>
      <w:lvlText w:val="%1"/>
      <w:numFmt w:val="decimal"/>
      <w:start w:val="1"/>
    </w:lvl>
    <w:lvl w:ilvl="1">
      <w:lvlJc w:val="left"/>
      <w:lvlText w:val="(%2)"/>
      <w:numFmt w:val="lowerRoman"/>
      <w:start w:val="5"/>
    </w:lvl>
  </w:abstractNum>
  <w:abstractNum w:abstractNumId="317">
    <w:nsid w:val="43B27FA7"/>
    <w:multiLevelType w:val="hybridMultilevel"/>
    <w:lvl w:ilvl="0">
      <w:lvlJc w:val="left"/>
      <w:lvlText w:val="%1."/>
      <w:numFmt w:val="decimal"/>
      <w:start w:val="7"/>
    </w:lvl>
    <w:lvl w:ilvl="1">
      <w:lvlJc w:val="left"/>
      <w:lvlText w:val="%2"/>
      <w:numFmt w:val="lowerRoman"/>
      <w:start w:val="1"/>
    </w:lvl>
  </w:abstractNum>
  <w:abstractNum w:abstractNumId="318">
    <w:nsid w:val="27FADEFA"/>
    <w:multiLevelType w:val="hybridMultilevel"/>
    <w:lvl w:ilvl="0">
      <w:lvlJc w:val="left"/>
      <w:lvlText w:val="%1."/>
      <w:numFmt w:val="decimal"/>
      <w:start w:val="9"/>
    </w:lvl>
    <w:lvl w:ilvl="1">
      <w:lvlJc w:val="left"/>
      <w:lvlText w:val="(%2)"/>
      <w:numFmt w:val="lowerLetter"/>
      <w:start w:val="1"/>
    </w:lvl>
  </w:abstractNum>
  <w:abstractNum w:abstractNumId="319">
    <w:nsid w:val="78BB80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20">
    <w:nsid w:val="62548FD8"/>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321">
    <w:nsid w:val="FA085B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322">
    <w:nsid w:val="4E5DCB5"/>
    <w:multiLevelType w:val="hybridMultilevel"/>
    <w:lvl w:ilvl="0">
      <w:lvlJc w:val="left"/>
      <w:lvlText w:val="%1."/>
      <w:numFmt w:val="decimal"/>
      <w:start w:val="1"/>
    </w:lvl>
  </w:abstractNum>
  <w:abstractNum w:abstractNumId="323">
    <w:nsid w:val="41E96BDB"/>
    <w:multiLevelType w:val="hybridMultilevel"/>
    <w:lvl w:ilvl="0">
      <w:lvlJc w:val="left"/>
      <w:lvlText w:val="%1."/>
      <w:numFmt w:val="decimal"/>
      <w:start w:val="5"/>
    </w:lvl>
  </w:abstractNum>
  <w:abstractNum w:abstractNumId="324">
    <w:nsid w:val="331C4250"/>
    <w:multiLevelType w:val="hybridMultilevel"/>
    <w:lvl w:ilvl="0">
      <w:lvlJc w:val="left"/>
      <w:lvlText w:val="%1."/>
      <w:numFmt w:val="decimal"/>
      <w:start w:val="14"/>
    </w:lvl>
  </w:abstractNum>
  <w:abstractNum w:abstractNumId="325">
    <w:nsid w:val="1B1493C2"/>
    <w:multiLevelType w:val="hybridMultilevel"/>
    <w:lvl w:ilvl="0">
      <w:lvlJc w:val="left"/>
      <w:lvlText w:val="%1."/>
      <w:numFmt w:val="decimal"/>
      <w:start w:val="16"/>
    </w:lvl>
  </w:abstractNum>
  <w:abstractNum w:abstractNumId="326">
    <w:nsid w:val="39F06DFD"/>
    <w:multiLevelType w:val="hybridMultilevel"/>
    <w:lvl w:ilvl="0">
      <w:lvlJc w:val="left"/>
      <w:lvlText w:val="%1."/>
      <w:numFmt w:val="decimal"/>
      <w:start w:val="1"/>
    </w:lvl>
  </w:abstractNum>
  <w:abstractNum w:abstractNumId="327">
    <w:nsid w:val="14802F5D"/>
    <w:multiLevelType w:val="hybridMultilevel"/>
    <w:lvl w:ilvl="0">
      <w:lvlJc w:val="left"/>
      <w:lvlText w:val="%1."/>
      <w:numFmt w:val="decimal"/>
      <w:start w:val="2"/>
    </w:lvl>
  </w:abstractNum>
  <w:abstractNum w:abstractNumId="328">
    <w:nsid w:val="2774A209"/>
    <w:multiLevelType w:val="hybridMultilevel"/>
    <w:lvl w:ilvl="0">
      <w:lvlJc w:val="left"/>
      <w:lvlText w:val="%1."/>
      <w:numFmt w:val="decimal"/>
      <w:start w:val="3"/>
    </w:lvl>
  </w:abstractNum>
  <w:abstractNum w:abstractNumId="329">
    <w:nsid w:val="3785655A"/>
    <w:multiLevelType w:val="hybridMultilevel"/>
    <w:lvl w:ilvl="0">
      <w:lvlJc w:val="left"/>
      <w:lvlText w:val="%1."/>
      <w:numFmt w:val="decimal"/>
      <w:start w:val="4"/>
    </w:lvl>
  </w:abstractNum>
  <w:abstractNum w:abstractNumId="330">
    <w:nsid w:val="B2172A"/>
    <w:multiLevelType w:val="hybridMultilevel"/>
    <w:lvl w:ilvl="0">
      <w:lvlJc w:val="left"/>
      <w:lvlText w:val="(%1)"/>
      <w:numFmt w:val="lowerLetter"/>
      <w:start w:val="24"/>
    </w:lvl>
  </w:abstractNum>
  <w:abstractNum w:abstractNumId="331">
    <w:nsid w:val="532C34A5"/>
    <w:multiLevelType w:val="hybridMultilevel"/>
    <w:lvl w:ilvl="0">
      <w:lvlJc w:val="left"/>
      <w:lvlText w:val="%1."/>
      <w:numFmt w:val="decimal"/>
      <w:start w:val="5"/>
    </w:lvl>
  </w:abstractNum>
  <w:abstractNum w:abstractNumId="332">
    <w:nsid w:val="102809E2"/>
    <w:multiLevelType w:val="hybridMultilevel"/>
    <w:lvl w:ilvl="0">
      <w:lvlJc w:val="left"/>
      <w:lvlText w:val="%1."/>
      <w:numFmt w:val="decimal"/>
      <w:start w:val="6"/>
    </w:lvl>
  </w:abstractNum>
  <w:abstractNum w:abstractNumId="333">
    <w:nsid w:val="3B2125A3"/>
    <w:multiLevelType w:val="hybridMultilevel"/>
    <w:lvl w:ilvl="0">
      <w:lvlJc w:val="left"/>
      <w:lvlText w:val="%1."/>
      <w:numFmt w:val="decimal"/>
      <w:start w:val="7"/>
    </w:lvl>
  </w:abstractNum>
  <w:abstractNum w:abstractNumId="334">
    <w:nsid w:val="AC68FFB"/>
    <w:multiLevelType w:val="hybridMultilevel"/>
    <w:lvl w:ilvl="0">
      <w:lvlJc w:val="left"/>
      <w:lvlText w:val="%1."/>
      <w:numFmt w:val="decimal"/>
      <w:start w:val="8"/>
    </w:lvl>
  </w:abstractNum>
  <w:abstractNum w:abstractNumId="335">
    <w:nsid w:val="63DF3FB7"/>
    <w:multiLevelType w:val="hybridMultilevel"/>
    <w:lvl w:ilvl="0">
      <w:lvlJc w:val="left"/>
      <w:lvlText w:val="%1."/>
      <w:numFmt w:val="decimal"/>
      <w:start w:val="9"/>
    </w:lvl>
  </w:abstractNum>
  <w:abstractNum w:abstractNumId="336">
    <w:nsid w:val="64996E13"/>
    <w:multiLevelType w:val="hybridMultilevel"/>
    <w:lvl w:ilvl="0">
      <w:lvlJc w:val="left"/>
      <w:lvlText w:val="%1."/>
      <w:numFmt w:val="decimal"/>
      <w:start w:val="10"/>
    </w:lvl>
  </w:abstractNum>
  <w:abstractNum w:abstractNumId="337">
    <w:nsid w:val="57A37D47"/>
    <w:multiLevelType w:val="hybridMultilevel"/>
    <w:lvl w:ilvl="0">
      <w:lvlJc w:val="left"/>
      <w:lvlText w:val="%1."/>
      <w:numFmt w:val="decimal"/>
      <w:start w:val="11"/>
    </w:lvl>
  </w:abstractNum>
  <w:abstractNum w:abstractNumId="338">
    <w:nsid w:val="74824D54"/>
    <w:multiLevelType w:val="hybridMultilevel"/>
    <w:lvl w:ilvl="0">
      <w:lvlJc w:val="left"/>
      <w:lvlText w:val="%1."/>
      <w:numFmt w:val="decimal"/>
      <w:start w:val="12"/>
    </w:lvl>
  </w:abstractNum>
  <w:abstractNum w:abstractNumId="339">
    <w:nsid w:val="6F00529A"/>
    <w:multiLevelType w:val="hybridMultilevel"/>
    <w:lvl w:ilvl="0">
      <w:lvlJc w:val="left"/>
      <w:lvlText w:val="%1."/>
      <w:numFmt w:val="decimal"/>
      <w:start w:val="13"/>
    </w:lvl>
  </w:abstractNum>
  <w:abstractNum w:abstractNumId="340">
    <w:nsid w:val="805B331"/>
    <w:multiLevelType w:val="hybridMultilevel"/>
    <w:lvl w:ilvl="0">
      <w:lvlJc w:val="left"/>
      <w:lvlText w:val="%1."/>
      <w:numFmt w:val="decimal"/>
      <w:start w:val="14"/>
    </w:lvl>
  </w:abstractNum>
  <w:abstractNum w:abstractNumId="341">
    <w:nsid w:val="60A1463"/>
    <w:multiLevelType w:val="hybridMultilevel"/>
    <w:lvl w:ilvl="0">
      <w:lvlJc w:val="left"/>
      <w:lvlText w:val="%1."/>
      <w:numFmt w:val="decimal"/>
      <w:start w:val="15"/>
    </w:lvl>
  </w:abstractNum>
  <w:abstractNum w:abstractNumId="342">
    <w:nsid w:val="43773132"/>
    <w:multiLevelType w:val="hybridMultilevel"/>
    <w:lvl w:ilvl="0">
      <w:lvlJc w:val="left"/>
      <w:lvlText w:val="%1."/>
      <w:numFmt w:val="decimal"/>
      <w:start w:val="16"/>
    </w:lvl>
  </w:abstractNum>
  <w:abstractNum w:abstractNumId="343">
    <w:nsid w:val="16AC4B23"/>
    <w:multiLevelType w:val="hybridMultilevel"/>
    <w:lvl w:ilvl="0">
      <w:lvlJc w:val="left"/>
      <w:lvlText w:val="(%1)"/>
      <w:numFmt w:val="lowerLetter"/>
      <w:start w:val="1"/>
    </w:lvl>
  </w:abstractNum>
  <w:abstractNum w:abstractNumId="344">
    <w:nsid w:val="76C44E4E"/>
    <w:multiLevelType w:val="hybridMultilevel"/>
    <w:lvl w:ilvl="0">
      <w:lvlJc w:val="left"/>
      <w:lvlText w:val="%1."/>
      <w:numFmt w:val="decimal"/>
      <w:start w:val="17"/>
    </w:lvl>
  </w:abstractNum>
  <w:abstractNum w:abstractNumId="345">
    <w:nsid w:val="E04E6CE"/>
    <w:multiLevelType w:val="hybridMultilevel"/>
    <w:lvl w:ilvl="0">
      <w:lvlJc w:val="left"/>
      <w:lvlText w:val="%1."/>
      <w:numFmt w:val="decimal"/>
      <w:start w:val="18"/>
    </w:lvl>
  </w:abstractNum>
  <w:abstractNum w:abstractNumId="346">
    <w:nsid w:val="31A9DB76"/>
    <w:multiLevelType w:val="hybridMultilevel"/>
    <w:lvl w:ilvl="0">
      <w:lvlJc w:val="left"/>
      <w:lvlText w:val="%1."/>
      <w:numFmt w:val="decimal"/>
      <w:start w:val="1"/>
    </w:lvl>
  </w:abstractNum>
  <w:abstractNum w:abstractNumId="347">
    <w:nsid w:val="4C4FFF5B"/>
    <w:multiLevelType w:val="hybridMultilevel"/>
    <w:lvl w:ilvl="0">
      <w:lvlJc w:val="left"/>
      <w:lvlText w:val="%1."/>
      <w:numFmt w:val="decimal"/>
      <w:start w:val="1"/>
    </w:lvl>
  </w:abstractNum>
  <w:abstractNum w:abstractNumId="348">
    <w:nsid w:val="51B76675"/>
    <w:multiLevelType w:val="hybridMultilevel"/>
    <w:lvl w:ilvl="0">
      <w:lvlJc w:val="left"/>
      <w:lvlText w:val="%1."/>
      <w:numFmt w:val="decimal"/>
      <w:start w:val="2"/>
    </w:lvl>
  </w:abstractNum>
  <w:abstractNum w:abstractNumId="349">
    <w:nsid w:val="59A4BA71"/>
    <w:multiLevelType w:val="hybridMultilevel"/>
    <w:lvl w:ilvl="0">
      <w:lvlJc w:val="left"/>
      <w:lvlText w:val="(%1)"/>
      <w:numFmt w:val="lowerLetter"/>
      <w:start w:val="24"/>
    </w:lvl>
  </w:abstractNum>
  <w:abstractNum w:abstractNumId="350">
    <w:nsid w:val="450B7FB6"/>
    <w:multiLevelType w:val="hybridMultilevel"/>
    <w:lvl w:ilvl="0">
      <w:lvlJc w:val="left"/>
      <w:lvlText w:val="(%1)"/>
      <w:numFmt w:val="lowerLetter"/>
      <w:start w:val="1"/>
    </w:lvl>
  </w:abstractNum>
  <w:abstractNum w:abstractNumId="351">
    <w:nsid w:val="340BF64D"/>
    <w:multiLevelType w:val="hybridMultilevel"/>
    <w:lvl w:ilvl="0">
      <w:lvlJc w:val="left"/>
      <w:lvlText w:val="%1."/>
      <w:numFmt w:val="decimal"/>
      <w:start w:val="1"/>
    </w:lvl>
  </w:abstractNum>
  <w:abstractNum w:abstractNumId="352">
    <w:nsid w:val="69454021"/>
    <w:multiLevelType w:val="hybridMultilevel"/>
    <w:lvl w:ilvl="0">
      <w:lvlJc w:val="left"/>
      <w:lvlText w:val="%1."/>
      <w:numFmt w:val="decimal"/>
      <w:start w:val="1"/>
    </w:lvl>
  </w:abstractNum>
  <w:abstractNum w:abstractNumId="353">
    <w:nsid w:val="49F15C6B"/>
    <w:multiLevelType w:val="hybridMultilevel"/>
    <w:lvl w:ilvl="0">
      <w:lvlJc w:val="left"/>
      <w:lvlText w:val="%1."/>
      <w:numFmt w:val="decimal"/>
      <w:start w:val="2"/>
    </w:lvl>
  </w:abstractNum>
  <w:abstractNum w:abstractNumId="354">
    <w:nsid w:val="75F56228"/>
    <w:multiLevelType w:val="hybridMultilevel"/>
    <w:lvl w:ilvl="0">
      <w:lvlJc w:val="left"/>
      <w:lvlText w:val="%1."/>
      <w:numFmt w:val="decimal"/>
      <w:start w:val="3"/>
    </w:lvl>
  </w:abstractNum>
  <w:abstractNum w:abstractNumId="355">
    <w:nsid w:val="1C618271"/>
    <w:multiLevelType w:val="hybridMultilevel"/>
    <w:lvl w:ilvl="0">
      <w:lvlJc w:val="left"/>
      <w:lvlText w:val="%1."/>
      <w:numFmt w:val="decimal"/>
      <w:start w:val="4"/>
    </w:lvl>
  </w:abstractNum>
  <w:abstractNum w:abstractNumId="356">
    <w:nsid w:val="6505F02E"/>
    <w:multiLevelType w:val="hybridMultilevel"/>
    <w:lvl w:ilvl="0">
      <w:lvlJc w:val="left"/>
      <w:lvlText w:val="%1."/>
      <w:numFmt w:val="decimal"/>
      <w:start w:val="5"/>
    </w:lvl>
  </w:abstractNum>
  <w:abstractNum w:abstractNumId="357">
    <w:nsid w:val="2FE5D025"/>
    <w:multiLevelType w:val="hybridMultilevel"/>
    <w:lvl w:ilvl="0">
      <w:lvlJc w:val="left"/>
      <w:lvlText w:val="(%1)"/>
      <w:numFmt w:val="lowerRoman"/>
      <w:start w:val="3"/>
    </w:lvl>
  </w:abstractNum>
  <w:abstractNum w:abstractNumId="358">
    <w:nsid w:val="30E1B1CF"/>
    <w:multiLevelType w:val="hybridMultilevel"/>
    <w:lvl w:ilvl="0">
      <w:lvlJc w:val="left"/>
      <w:lvlText w:val="%1."/>
      <w:numFmt w:val="decimal"/>
      <w:start w:val="6"/>
    </w:lvl>
  </w:abstractNum>
  <w:abstractNum w:abstractNumId="359">
    <w:nsid w:val="C7A9237"/>
    <w:multiLevelType w:val="hybridMultilevel"/>
    <w:lvl w:ilvl="0">
      <w:lvlJc w:val="left"/>
      <w:lvlText w:val="%1."/>
      <w:numFmt w:val="decimal"/>
      <w:start w:val="7"/>
    </w:lvl>
  </w:abstractNum>
  <w:abstractNum w:abstractNumId="360">
    <w:nsid w:val="676B3580"/>
    <w:multiLevelType w:val="hybridMultilevel"/>
    <w:lvl w:ilvl="0">
      <w:lvlJc w:val="left"/>
      <w:lvlText w:val="%1"/>
      <w:numFmt w:val="lowerLetter"/>
      <w:start w:val="1"/>
    </w:lvl>
    <w:lvl w:ilvl="1">
      <w:lvlJc w:val="left"/>
      <w:lvlText w:val="(%2)"/>
      <w:numFmt w:val="lowerLetter"/>
      <w:start w:val="1"/>
    </w:lvl>
  </w:abstractNum>
  <w:abstractNum w:abstractNumId="361">
    <w:nsid w:val="3193C8F9"/>
    <w:multiLevelType w:val="hybridMultilevel"/>
    <w:lvl w:ilvl="0">
      <w:lvlJc w:val="left"/>
      <w:lvlText w:val="(%1)"/>
      <w:numFmt w:val="lowerLetter"/>
      <w:start w:val="35"/>
    </w:lvl>
    <w:lvl w:ilvl="1">
      <w:lvlJc w:val="left"/>
      <w:lvlText w:val="%2"/>
      <w:numFmt w:val="lowerLetter"/>
      <w:start w:val="1"/>
    </w:lvl>
  </w:abstractNum>
  <w:abstractNum w:abstractNumId="362">
    <w:nsid w:val="5FA6C6DC"/>
    <w:multiLevelType w:val="hybridMultilevel"/>
    <w:lvl w:ilvl="0">
      <w:lvlJc w:val="left"/>
      <w:lvlText w:val="%1."/>
      <w:numFmt w:val="decimal"/>
      <w:start w:val="8"/>
    </w:lvl>
  </w:abstractNum>
  <w:abstractNum w:abstractNumId="363">
    <w:nsid w:val="77933F62"/>
    <w:multiLevelType w:val="hybridMultilevel"/>
    <w:lvl w:ilvl="0">
      <w:lvlJc w:val="left"/>
      <w:lvlText w:val="(%1)"/>
      <w:numFmt w:val="lowerRoman"/>
      <w:start w:val="2"/>
    </w:lvl>
  </w:abstractNum>
  <w:abstractNum w:abstractNumId="364">
    <w:nsid w:val="6CB4EE9C"/>
    <w:multiLevelType w:val="hybridMultilevel"/>
    <w:lvl w:ilvl="0">
      <w:lvlJc w:val="left"/>
      <w:lvlText w:val="%1."/>
      <w:numFmt w:val="decimal"/>
      <w:start w:val="9"/>
    </w:lvl>
  </w:abstractNum>
  <w:abstractNum w:abstractNumId="365">
    <w:nsid w:val="6A6D56D7"/>
    <w:multiLevelType w:val="hybridMultilevel"/>
    <w:lvl w:ilvl="0">
      <w:lvlJc w:val="left"/>
      <w:lvlText w:val="(%1)"/>
      <w:numFmt w:val="lowerRoman"/>
      <w:start w:val="1"/>
    </w:lvl>
  </w:abstractNum>
  <w:abstractNum w:abstractNumId="366">
    <w:nsid w:val="5B727F19"/>
    <w:multiLevelType w:val="hybridMultilevel"/>
    <w:lvl w:ilvl="0">
      <w:lvlJc w:val="left"/>
      <w:lvlText w:val="%1."/>
      <w:numFmt w:val="decimal"/>
      <w:start w:val="1"/>
    </w:lvl>
  </w:abstractNum>
  <w:abstractNum w:abstractNumId="367">
    <w:nsid w:val="514E5CB0"/>
    <w:multiLevelType w:val="hybridMultilevel"/>
    <w:lvl w:ilvl="0">
      <w:lvlJc w:val="left"/>
      <w:lvlText w:val="%1."/>
      <w:numFmt w:val="decimal"/>
      <w:start w:val="2"/>
    </w:lvl>
  </w:abstractNum>
  <w:abstractNum w:abstractNumId="368">
    <w:nsid w:val="4210D41E"/>
    <w:multiLevelType w:val="hybridMultilevel"/>
    <w:lvl w:ilvl="0">
      <w:lvlJc w:val="left"/>
      <w:lvlText w:val="%1."/>
      <w:numFmt w:val="decimal"/>
      <w:start w:val="1"/>
    </w:lvl>
  </w:abstractNum>
  <w:abstractNum w:abstractNumId="369">
    <w:nsid w:val="4FF4CC6D"/>
    <w:multiLevelType w:val="hybridMultilevel"/>
    <w:lvl w:ilvl="0">
      <w:lvlJc w:val="left"/>
      <w:lvlText w:val="%1."/>
      <w:numFmt w:val="decimal"/>
      <w:start w:val="2"/>
    </w:lvl>
  </w:abstractNum>
  <w:abstractNum w:abstractNumId="370">
    <w:nsid w:val="404EAF4A"/>
    <w:multiLevelType w:val="hybridMultilevel"/>
    <w:lvl w:ilvl="0">
      <w:lvlJc w:val="left"/>
      <w:lvlText w:val="%1."/>
      <w:numFmt w:val="decimal"/>
      <w:start w:val="3"/>
    </w:lvl>
  </w:abstractNum>
  <w:abstractNum w:abstractNumId="371">
    <w:nsid w:val="4A16874F"/>
    <w:multiLevelType w:val="hybridMultilevel"/>
    <w:lvl w:ilvl="0">
      <w:lvlJc w:val="left"/>
      <w:lvlText w:val="%1."/>
      <w:numFmt w:val="decimal"/>
      <w:start w:val="4"/>
    </w:lvl>
  </w:abstractNum>
  <w:abstractNum w:abstractNumId="372">
    <w:nsid w:val="55FEE0D1"/>
    <w:multiLevelType w:val="hybridMultilevel"/>
    <w:lvl w:ilvl="0">
      <w:lvlJc w:val="left"/>
      <w:lvlText w:val="(%1)"/>
      <w:numFmt w:val="lowerLetter"/>
      <w:start w:val="24"/>
    </w:lvl>
  </w:abstractNum>
  <w:abstractNum w:abstractNumId="373">
    <w:nsid w:val="3C5E07C"/>
    <w:multiLevelType w:val="hybridMultilevel"/>
    <w:lvl w:ilvl="0">
      <w:lvlJc w:val="left"/>
      <w:lvlText w:val="(%1)"/>
      <w:numFmt w:val="decimal"/>
      <w:start w:val="5"/>
    </w:lvl>
  </w:abstractNum>
  <w:abstractNum w:abstractNumId="374">
    <w:nsid w:val="60C2D273"/>
    <w:multiLevelType w:val="hybridMultilevel"/>
    <w:lvl w:ilvl="0">
      <w:lvlJc w:val="left"/>
      <w:lvlText w:val="%1."/>
      <w:numFmt w:val="decimal"/>
      <w:start w:val="5"/>
    </w:lvl>
  </w:abstractNum>
  <w:abstractNum w:abstractNumId="375">
    <w:nsid w:val="4CC32F1F"/>
    <w:multiLevelType w:val="hybridMultilevel"/>
    <w:lvl w:ilvl="0">
      <w:lvlJc w:val="left"/>
      <w:lvlText w:val="%1."/>
      <w:numFmt w:val="decimal"/>
      <w:start w:val="6"/>
    </w:lvl>
  </w:abstractNum>
  <w:abstractNum w:abstractNumId="376">
    <w:nsid w:val="11CAC74A"/>
    <w:multiLevelType w:val="hybridMultilevel"/>
    <w:lvl w:ilvl="0">
      <w:lvlJc w:val="left"/>
      <w:lvlText w:val="%1."/>
      <w:numFmt w:val="decimal"/>
      <w:start w:val="7"/>
    </w:lvl>
  </w:abstractNum>
  <w:abstractNum w:abstractNumId="377">
    <w:nsid w:val="126CADE9"/>
    <w:multiLevelType w:val="hybridMultilevel"/>
    <w:lvl w:ilvl="0">
      <w:lvlJc w:val="left"/>
      <w:lvlText w:val="%1."/>
      <w:numFmt w:val="decimal"/>
      <w:start w:val="8"/>
    </w:lvl>
  </w:abstractNum>
  <w:abstractNum w:abstractNumId="378">
    <w:nsid w:val="19132E7B"/>
    <w:multiLevelType w:val="hybridMultilevel"/>
    <w:lvl w:ilvl="0">
      <w:lvlJc w:val="left"/>
      <w:lvlText w:val="%1."/>
      <w:numFmt w:val="decimal"/>
      <w:start w:val="9"/>
    </w:lvl>
  </w:abstractNum>
  <w:abstractNum w:abstractNumId="379">
    <w:nsid w:val="63822DC0"/>
    <w:multiLevelType w:val="hybridMultilevel"/>
    <w:lvl w:ilvl="0">
      <w:lvlJc w:val="left"/>
      <w:lvlText w:val="%1."/>
      <w:numFmt w:val="decimal"/>
      <w:start w:val="10"/>
    </w:lvl>
  </w:abstractNum>
  <w:abstractNum w:abstractNumId="380">
    <w:nsid w:val="6C11685A"/>
    <w:multiLevelType w:val="hybridMultilevel"/>
    <w:lvl w:ilvl="0">
      <w:lvlJc w:val="left"/>
      <w:lvlText w:val="%1."/>
      <w:numFmt w:val="decimal"/>
      <w:start w:val="11"/>
    </w:lvl>
  </w:abstractNum>
  <w:abstractNum w:abstractNumId="381">
    <w:nsid w:val="5E1EAE31"/>
    <w:multiLevelType w:val="hybridMultilevel"/>
    <w:lvl w:ilvl="0">
      <w:lvlJc w:val="left"/>
      <w:lvlText w:val="%1."/>
      <w:numFmt w:val="decimal"/>
      <w:start w:val="12"/>
    </w:lvl>
  </w:abstractNum>
  <w:abstractNum w:abstractNumId="382">
    <w:nsid w:val="178E240D"/>
    <w:multiLevelType w:val="hybridMultilevel"/>
    <w:lvl w:ilvl="0">
      <w:lvlJc w:val="left"/>
      <w:lvlText w:val="%1."/>
      <w:numFmt w:val="decimal"/>
      <w:start w:val="13"/>
    </w:lvl>
  </w:abstractNum>
  <w:abstractNum w:abstractNumId="383">
    <w:nsid w:val="5556A87B"/>
    <w:multiLevelType w:val="hybridMultilevel"/>
    <w:lvl w:ilvl="0">
      <w:lvlJc w:val="left"/>
      <w:lvlText w:val="%1."/>
      <w:numFmt w:val="decimal"/>
      <w:start w:val="14"/>
    </w:lvl>
  </w:abstractNum>
  <w:abstractNum w:abstractNumId="384">
    <w:nsid w:val="28100A9C"/>
    <w:multiLevelType w:val="hybridMultilevel"/>
    <w:lvl w:ilvl="0">
      <w:lvlJc w:val="left"/>
      <w:lvlText w:val="%1."/>
      <w:numFmt w:val="decimal"/>
      <w:start w:val="15"/>
    </w:lvl>
  </w:abstractNum>
  <w:abstractNum w:abstractNumId="385">
    <w:nsid w:val="D838636"/>
    <w:multiLevelType w:val="hybridMultilevel"/>
    <w:lvl w:ilvl="0">
      <w:lvlJc w:val="left"/>
      <w:lvlText w:val="%1."/>
      <w:numFmt w:val="decimal"/>
      <w:start w:val="16"/>
    </w:lvl>
  </w:abstractNum>
  <w:abstractNum w:abstractNumId="386">
    <w:nsid w:val="71B82AED"/>
    <w:multiLevelType w:val="hybridMultilevel"/>
    <w:lvl w:ilvl="0">
      <w:lvlJc w:val="left"/>
      <w:lvlText w:val="%1."/>
      <w:numFmt w:val="decimal"/>
      <w:start w:val="17"/>
    </w:lvl>
  </w:abstractNum>
  <w:abstractNum w:abstractNumId="387">
    <w:nsid w:val="D15FACA"/>
    <w:multiLevelType w:val="hybridMultilevel"/>
    <w:lvl w:ilvl="0">
      <w:lvlJc w:val="left"/>
      <w:lvlText w:val="%1."/>
      <w:numFmt w:val="decimal"/>
      <w:start w:val="18"/>
    </w:lvl>
  </w:abstractNum>
  <w:abstractNum w:abstractNumId="388">
    <w:nsid w:val="3D69565B"/>
    <w:multiLevelType w:val="hybridMultilevel"/>
    <w:lvl w:ilvl="0">
      <w:lvlJc w:val="left"/>
      <w:lvlText w:val="%1."/>
      <w:numFmt w:val="decimal"/>
      <w:start w:val="3"/>
    </w:lvl>
  </w:abstractNum>
  <w:abstractNum w:abstractNumId="389">
    <w:nsid w:val="2299DCBC"/>
    <w:multiLevelType w:val="hybridMultilevel"/>
    <w:lvl w:ilvl="0">
      <w:lvlJc w:val="left"/>
      <w:lvlText w:val="%1."/>
      <w:numFmt w:val="decimal"/>
      <w:start w:val="4"/>
    </w:lvl>
  </w:abstractNum>
  <w:abstractNum w:abstractNumId="390">
    <w:nsid w:val="19908D02"/>
    <w:multiLevelType w:val="hybridMultilevel"/>
    <w:lvl w:ilvl="0">
      <w:lvlJc w:val="left"/>
      <w:lvlText w:val="*"/>
      <w:numFmt w:val="bullet"/>
      <w:start w:val="1"/>
    </w:lvl>
  </w:abstractNum>
  <w:abstractNum w:abstractNumId="391">
    <w:nsid w:val="24D48BDB"/>
    <w:multiLevelType w:val="hybridMultilevel"/>
    <w:lvl w:ilvl="0">
      <w:lvlJc w:val="left"/>
      <w:lvlText w:val="**"/>
      <w:numFmt w:val="bullet"/>
      <w:start w:val="1"/>
    </w:lvl>
  </w:abstractNum>
  <w:abstractNum w:abstractNumId="392">
    <w:nsid w:val="542DA5B5"/>
    <w:multiLevelType w:val="hybridMultilevel"/>
    <w:lvl w:ilvl="0">
      <w:lvlJc w:val="left"/>
      <w:lvlText w:val="%1."/>
      <w:numFmt w:val="decimal"/>
      <w:start w:val="5"/>
    </w:lvl>
  </w:abstractNum>
  <w:abstractNum w:abstractNumId="393">
    <w:nsid w:val="793753DE"/>
    <w:multiLevelType w:val="hybridMultilevel"/>
    <w:lvl w:ilvl="0">
      <w:lvlJc w:val="left"/>
      <w:lvlText w:val="%1."/>
      <w:numFmt w:val="decimal"/>
      <w:start w:val="8"/>
    </w:lvl>
  </w:abstractNum>
  <w:abstractNum w:abstractNumId="394">
    <w:nsid w:val="1C67CB3D"/>
    <w:multiLevelType w:val="hybridMultilevel"/>
    <w:lvl w:ilvl="0">
      <w:lvlJc w:val="left"/>
      <w:lvlText w:val="(%1)"/>
      <w:numFmt w:val="decimal"/>
      <w:start w:val="6"/>
    </w:lvl>
  </w:abstractNum>
  <w:abstractNum w:abstractNumId="395">
    <w:nsid w:val="40E29452"/>
    <w:multiLevelType w:val="hybridMultilevel"/>
    <w:lvl w:ilvl="0">
      <w:lvlJc w:val="left"/>
      <w:lvlText w:val="(%1)"/>
      <w:numFmt w:val="lowerRoman"/>
      <w:start w:val="10"/>
    </w:lvl>
  </w:abstractNum>
  <w:abstractNum w:abstractNumId="396">
    <w:nsid w:val="63A4AAB6"/>
    <w:multiLevelType w:val="hybridMultilevel"/>
    <w:lvl w:ilvl="0">
      <w:lvlJc w:val="left"/>
      <w:lvlText w:val="(%1)"/>
      <w:numFmt w:val="lowerLetter"/>
      <w:start w:val="1"/>
    </w:lvl>
  </w:abstractNum>
  <w:abstractNum w:abstractNumId="397">
    <w:nsid w:val="77DA4A57"/>
    <w:multiLevelType w:val="hybridMultilevel"/>
    <w:lvl w:ilvl="0">
      <w:lvlJc w:val="left"/>
      <w:lvlText w:val="(%1)"/>
      <w:numFmt w:val="lowerLetter"/>
      <w:start w:val="6"/>
    </w:lvl>
  </w:abstractNum>
  <w:abstractNum w:abstractNumId="398">
    <w:nsid w:val="1230F102"/>
    <w:multiLevelType w:val="hybridMultilevel"/>
    <w:lvl w:ilvl="0">
      <w:lvlJc w:val="left"/>
      <w:lvlText w:val="(%1)"/>
      <w:numFmt w:val="lowerLetter"/>
      <w:start w:val="15"/>
    </w:lvl>
  </w:abstractNum>
  <w:abstractNum w:abstractNumId="399">
    <w:nsid w:val="25B57ED4"/>
    <w:multiLevelType w:val="hybridMultilevel"/>
    <w:lvl w:ilvl="0">
      <w:lvlJc w:val="left"/>
      <w:lvlText w:val="(%1)"/>
      <w:numFmt w:val="lowerLetter"/>
      <w:start w:val="25"/>
    </w:lvl>
  </w:abstractNum>
  <w:abstractNum w:abstractNumId="400">
    <w:nsid w:val="47CF16C4"/>
    <w:multiLevelType w:val="hybridMultilevel"/>
    <w:lvl w:ilvl="0">
      <w:lvlJc w:val="left"/>
      <w:lvlText w:val="(%1)"/>
      <w:numFmt w:val="lowerLetter"/>
      <w:start w:val="27"/>
    </w:lvl>
  </w:abstractNum>
  <w:abstractNum w:abstractNumId="401">
    <w:nsid w:val="527FA04C"/>
    <w:multiLevelType w:val="hybridMultilevel"/>
    <w:lvl w:ilvl="0">
      <w:lvlJc w:val="left"/>
      <w:lvlText w:val="(%1)"/>
      <w:numFmt w:val="lowerRoman"/>
      <w:start w:val="1"/>
    </w:lvl>
  </w:abstractNum>
  <w:abstractNum w:abstractNumId="402">
    <w:nsid w:val="6FCC0624"/>
    <w:multiLevelType w:val="hybridMultilevel"/>
    <w:lvl w:ilvl="0">
      <w:lvlJc w:val="left"/>
      <w:lvlText w:val="(%1)"/>
      <w:numFmt w:val="lowerLetter"/>
      <w:start w:val="2"/>
    </w:lvl>
  </w:abstractNum>
  <w:abstractNum w:abstractNumId="403">
    <w:nsid w:val="1DCDF795"/>
    <w:multiLevelType w:val="hybridMultilevel"/>
    <w:lvl w:ilvl="0">
      <w:lvlJc w:val="left"/>
      <w:lvlText w:val="(%1)"/>
      <w:numFmt w:val="decimal"/>
      <w:start w:val="3"/>
    </w:lvl>
  </w:abstractNum>
  <w:abstractNum w:abstractNumId="404">
    <w:nsid w:val="564580C8"/>
    <w:multiLevelType w:val="hybridMultilevel"/>
    <w:lvl w:ilvl="0">
      <w:lvlJc w:val="left"/>
      <w:lvlText w:val="(%1)"/>
      <w:numFmt w:val="lowerRoman"/>
      <w:start w:val="3"/>
    </w:lvl>
  </w:abstractNum>
  <w:abstractNum w:abstractNumId="405">
    <w:nsid w:val="508ED897"/>
    <w:multiLevelType w:val="hybridMultilevel"/>
    <w:lvl w:ilvl="0">
      <w:lvlJc w:val="left"/>
      <w:lvlText w:val="(%1)"/>
      <w:numFmt w:val="decimal"/>
      <w:start w:val="60"/>
    </w:lvl>
  </w:abstractNum>
  <w:abstractNum w:abstractNumId="406">
    <w:nsid w:val="6A9126B5"/>
    <w:multiLevelType w:val="hybridMultilevel"/>
    <w:lvl w:ilvl="0">
      <w:lvlJc w:val="left"/>
      <w:lvlText w:val="(%1)"/>
      <w:numFmt w:val="decimal"/>
      <w:start w:val="180"/>
    </w:lvl>
  </w:abstractNum>
  <w:abstractNum w:abstractNumId="407">
    <w:nsid w:val="68104812"/>
    <w:multiLevelType w:val="hybridMultilevel"/>
    <w:lvl w:ilvl="0">
      <w:lvlJc w:val="left"/>
      <w:lvlText w:val="(%1)"/>
      <w:numFmt w:val="decimal"/>
      <w:start w:val="10"/>
    </w:lvl>
  </w:abstractNum>
  <w:abstractNum w:abstractNumId="408">
    <w:nsid w:val="62FB8680"/>
    <w:multiLevelType w:val="hybridMultilevel"/>
    <w:lvl w:ilvl="0">
      <w:lvlJc w:val="left"/>
      <w:lvlText w:val="(%1)"/>
      <w:numFmt w:val="decimal"/>
      <w:start w:val="60"/>
    </w:lvl>
  </w:abstractNum>
  <w:abstractNum w:abstractNumId="409">
    <w:nsid w:val="3A45530"/>
    <w:multiLevelType w:val="hybridMultilevel"/>
    <w:lvl w:ilvl="0">
      <w:lvlJc w:val="left"/>
      <w:lvlText w:val="(%1)"/>
      <w:numFmt w:val="lowerRoman"/>
      <w:start w:val="2"/>
    </w:lvl>
  </w:abstractNum>
  <w:abstractNum w:abstractNumId="410">
    <w:nsid w:val="4B9275D2"/>
    <w:multiLevelType w:val="hybridMultilevel"/>
    <w:lvl w:ilvl="0">
      <w:lvlJc w:val="left"/>
      <w:lvlText w:val="(%1)"/>
      <w:numFmt w:val="lowerRoman"/>
      <w:start w:val="3"/>
    </w:lvl>
  </w:abstractNum>
  <w:abstractNum w:abstractNumId="411">
    <w:nsid w:val="4F0CEEDB"/>
    <w:multiLevelType w:val="hybridMultilevel"/>
    <w:lvl w:ilvl="0">
      <w:lvlJc w:val="left"/>
      <w:lvlText w:val="(%1)"/>
      <w:numFmt w:val="lowerLetter"/>
      <w:start w:val="1"/>
    </w:lvl>
  </w:abstractNum>
  <w:abstractNum w:abstractNumId="412">
    <w:nsid w:val="61C30361"/>
    <w:multiLevelType w:val="hybridMultilevel"/>
    <w:lvl w:ilvl="0">
      <w:lvlJc w:val="left"/>
      <w:lvlText w:val="(%1)"/>
      <w:numFmt w:val="decimal"/>
      <w:start w:val="30"/>
    </w:lvl>
  </w:abstractNum>
  <w:abstractNum w:abstractNumId="413">
    <w:nsid w:val="632099E0"/>
    <w:multiLevelType w:val="hybridMultilevel"/>
    <w:lvl w:ilvl="0">
      <w:lvlJc w:val="left"/>
      <w:lvlText w:val="(%1)"/>
      <w:numFmt w:val="decimal"/>
      <w:start w:val="30"/>
    </w:lvl>
  </w:abstractNum>
  <w:abstractNum w:abstractNumId="414">
    <w:nsid w:val="24639756"/>
    <w:multiLevelType w:val="hybridMultilevel"/>
    <w:lvl w:ilvl="0">
      <w:lvlJc w:val="left"/>
      <w:lvlText w:val="(%1)"/>
      <w:numFmt w:val="upperLetter"/>
      <w:start w:val="6"/>
    </w:lvl>
  </w:abstractNum>
  <w:abstractNum w:abstractNumId="415">
    <w:nsid w:val="9D30DFD"/>
    <w:multiLevelType w:val="hybridMultilevel"/>
    <w:lvl w:ilvl="0">
      <w:lvlJc w:val="left"/>
      <w:lvlText w:val="(%1)"/>
      <w:numFmt w:val="lowerRoman"/>
      <w:start w:val="4"/>
    </w:lvl>
  </w:abstractNum>
  <w:abstractNum w:abstractNumId="416">
    <w:nsid w:val="70A42016"/>
    <w:multiLevelType w:val="hybridMultilevel"/>
    <w:lvl w:ilvl="0">
      <w:lvlJc w:val="left"/>
      <w:lvlText w:val="(%1)"/>
      <w:numFmt w:val="lowerLetter"/>
      <w:start w:val="24"/>
    </w:lvl>
  </w:abstractNum>
  <w:abstractNum w:abstractNumId="417">
    <w:nsid w:val="161BC243"/>
    <w:multiLevelType w:val="hybridMultilevel"/>
    <w:lvl w:ilvl="0">
      <w:lvlJc w:val="left"/>
      <w:lvlText w:val="(%1)"/>
      <w:numFmt w:val="lowerLetter"/>
      <w:start w:val="2"/>
    </w:lvl>
  </w:abstractNum>
  <w:abstractNum w:abstractNumId="418">
    <w:nsid w:val="16E908C8"/>
    <w:multiLevelType w:val="hybridMultilevel"/>
    <w:lvl w:ilvl="0">
      <w:lvlJc w:val="left"/>
      <w:lvlText w:val="(%1)"/>
      <w:numFmt w:val="lowerRoman"/>
      <w:start w:val="2"/>
    </w:lvl>
  </w:abstractNum>
  <w:abstractNum w:abstractNumId="419">
    <w:nsid w:val="2E0D7671"/>
    <w:multiLevelType w:val="hybridMultilevel"/>
    <w:lvl w:ilvl="0">
      <w:lvlJc w:val="left"/>
      <w:lvlText w:val="(%1)"/>
      <w:numFmt w:val="decimal"/>
      <w:start w:val="24"/>
    </w:lvl>
  </w:abstractNum>
  <w:abstractNum w:abstractNumId="420">
    <w:nsid w:val="38B59EFF"/>
    <w:multiLevelType w:val="hybridMultilevel"/>
    <w:lvl w:ilvl="0">
      <w:lvlJc w:val="left"/>
      <w:lvlText w:val="(%1)"/>
      <w:numFmt w:val="lowerRoman"/>
      <w:start w:val="1"/>
    </w:lvl>
  </w:abstractNum>
  <w:abstractNum w:abstractNumId="421">
    <w:nsid w:val="307995CA"/>
    <w:multiLevelType w:val="hybridMultilevel"/>
    <w:lvl w:ilvl="0">
      <w:lvlJc w:val="left"/>
      <w:lvlText w:val="(%1)"/>
      <w:numFmt w:val="lowerRoman"/>
      <w:start w:val="4"/>
    </w:lvl>
  </w:abstractNum>
  <w:abstractNum w:abstractNumId="422">
    <w:nsid w:val="52E2024D"/>
    <w:multiLevelType w:val="hybridMultilevel"/>
    <w:lvl w:ilvl="0">
      <w:lvlJc w:val="left"/>
      <w:lvlText w:val="(%1)"/>
      <w:numFmt w:val="lowerRoman"/>
      <w:start w:val="6"/>
    </w:lvl>
  </w:abstractNum>
  <w:abstractNum w:abstractNumId="423">
    <w:nsid w:val="CE344B5"/>
    <w:multiLevelType w:val="hybridMultilevel"/>
    <w:lvl w:ilvl="0">
      <w:lvlJc w:val="left"/>
      <w:lvlText w:val="(%1)"/>
      <w:numFmt w:val="lowerRoman"/>
      <w:start w:val="7"/>
    </w:lvl>
  </w:abstractNum>
  <w:abstractNum w:abstractNumId="424">
    <w:nsid w:val="29B0E9A8"/>
    <w:multiLevelType w:val="hybridMultilevel"/>
    <w:lvl w:ilvl="0">
      <w:lvlJc w:val="left"/>
      <w:lvlText w:val="(%1)"/>
      <w:numFmt w:val="lowerRoman"/>
      <w:start w:val="1"/>
    </w:lvl>
  </w:abstractNum>
  <w:abstractNum w:abstractNumId="425">
    <w:nsid w:val="6F49CD8A"/>
    <w:multiLevelType w:val="hybridMultilevel"/>
    <w:lvl w:ilvl="0">
      <w:lvlJc w:val="left"/>
      <w:lvlText w:val="(%1)"/>
      <w:numFmt w:val="decimal"/>
      <w:start w:val="30"/>
    </w:lvl>
  </w:abstractNum>
  <w:abstractNum w:abstractNumId="426">
    <w:nsid w:val="4DC5D907"/>
    <w:multiLevelType w:val="hybridMultilevel"/>
    <w:lvl w:ilvl="0">
      <w:lvlJc w:val="left"/>
      <w:lvlText w:val="%1."/>
      <w:numFmt w:val="upperLetter"/>
      <w:start w:val="3"/>
    </w:lvl>
  </w:abstractNum>
  <w:abstractNum w:abstractNumId="427">
    <w:nsid w:val="D55945E"/>
    <w:multiLevelType w:val="hybridMultilevel"/>
    <w:lvl w:ilvl="0">
      <w:lvlJc w:val="left"/>
      <w:lvlText w:val="%1."/>
      <w:numFmt w:val="decimal"/>
      <w:start w:val="3"/>
    </w:lvl>
  </w:abstractNum>
  <w:abstractNum w:abstractNumId="428">
    <w:nsid w:val="672417E1"/>
    <w:multiLevelType w:val="hybridMultilevel"/>
    <w:lvl w:ilvl="0">
      <w:lvlJc w:val="left"/>
      <w:lvlText w:val="%1."/>
      <w:numFmt w:val="decimal"/>
      <w:start w:val="1"/>
    </w:lvl>
  </w:abstractNum>
  <w:abstractNum w:abstractNumId="429">
    <w:nsid w:val="5FF6CA09"/>
    <w:multiLevelType w:val="hybridMultilevel"/>
    <w:lvl w:ilvl="0">
      <w:lvlJc w:val="left"/>
      <w:lvlText w:val="%1."/>
      <w:numFmt w:val="decimal"/>
      <w:start w:val="4"/>
    </w:lvl>
  </w:abstractNum>
  <w:abstractNum w:abstractNumId="430">
    <w:nsid w:val="330B1333"/>
    <w:multiLevelType w:val="hybridMultilevel"/>
    <w:lvl w:ilvl="0">
      <w:lvlJc w:val="left"/>
      <w:lvlText w:val="%1."/>
      <w:numFmt w:val="decimal"/>
      <w:start w:val="13"/>
    </w:lvl>
  </w:abstractNum>
  <w:abstractNum w:abstractNumId="431">
    <w:nsid w:val="2EF32EA6"/>
    <w:multiLevelType w:val="hybridMultilevel"/>
    <w:lvl w:ilvl="0">
      <w:lvlJc w:val="left"/>
      <w:lvlText w:val="%1."/>
      <w:numFmt w:val="decimal"/>
      <w:start w:val="19"/>
    </w:lvl>
  </w:abstractNum>
  <w:abstractNum w:abstractNumId="432">
    <w:nsid w:val="32766A55"/>
    <w:multiLevelType w:val="hybridMultilevel"/>
    <w:lvl w:ilvl="0">
      <w:lvlJc w:val="left"/>
      <w:lvlText w:val="%1."/>
      <w:numFmt w:val="decimal"/>
      <w:start w:val="25"/>
    </w:lvl>
  </w:abstractNum>
  <w:abstractNum w:abstractNumId="433">
    <w:nsid w:val="22D71957"/>
    <w:multiLevelType w:val="hybridMultilevel"/>
    <w:lvl w:ilvl="0">
      <w:lvlJc w:val="left"/>
      <w:lvlText w:val="%1."/>
      <w:numFmt w:val="decimal"/>
      <w:start w:val="1"/>
    </w:lvl>
  </w:abstractNum>
  <w:abstractNum w:abstractNumId="434">
    <w:nsid w:val="4CC1263B"/>
    <w:multiLevelType w:val="hybridMultilevel"/>
    <w:lvl w:ilvl="0">
      <w:lvlJc w:val="left"/>
      <w:lvlText w:val="%1."/>
      <w:numFmt w:val="decimal"/>
      <w:start w:val="4"/>
    </w:lvl>
  </w:abstractNum>
  <w:abstractNum w:abstractNumId="435">
    <w:nsid w:val="8BBEB1D"/>
    <w:multiLevelType w:val="hybridMultilevel"/>
    <w:lvl w:ilvl="0">
      <w:lvlJc w:val="left"/>
      <w:lvlText w:val="%1."/>
      <w:numFmt w:val="decimal"/>
      <w:start w:val="8"/>
    </w:lvl>
  </w:abstractNum>
  <w:abstractNum w:abstractNumId="436">
    <w:nsid w:val="7365F1EE"/>
    <w:multiLevelType w:val="hybridMultilevel"/>
    <w:lvl w:ilvl="0">
      <w:lvlJc w:val="left"/>
      <w:lvlText w:val="%1."/>
      <w:numFmt w:val="decimal"/>
      <w:start w:val="10"/>
    </w:lvl>
  </w:abstractNum>
  <w:abstractNum w:abstractNumId="437">
    <w:nsid w:val="37524CF0"/>
    <w:multiLevelType w:val="hybridMultilevel"/>
    <w:lvl w:ilvl="0">
      <w:lvlJc w:val="left"/>
      <w:lvlText w:val="%1."/>
      <w:numFmt w:val="decimal"/>
      <w:start w:val="1"/>
    </w:lvl>
  </w:abstractNum>
  <w:abstractNum w:abstractNumId="438">
    <w:nsid w:val="70CC332F"/>
    <w:multiLevelType w:val="hybridMultilevel"/>
    <w:lvl w:ilvl="0">
      <w:lvlJc w:val="left"/>
      <w:lvlText w:val="%1."/>
      <w:numFmt w:val="decimal"/>
      <w:start w:val="2"/>
    </w:lvl>
  </w:abstractNum>
  <w:abstractNum w:abstractNumId="439">
    <w:nsid w:val="5661786E"/>
    <w:multiLevelType w:val="hybridMultilevel"/>
    <w:lvl w:ilvl="0">
      <w:lvlJc w:val="left"/>
      <w:lvlText w:val="%1."/>
      <w:numFmt w:val="decimal"/>
      <w:start w:val="1"/>
    </w:lvl>
  </w:abstractNum>
  <w:abstractNum w:abstractNumId="440">
    <w:nsid w:val="3AF6A220"/>
    <w:multiLevelType w:val="hybridMultilevel"/>
    <w:lvl w:ilvl="0">
      <w:lvlJc w:val="left"/>
      <w:lvlText w:val="(%1)"/>
      <w:numFmt w:val="decimal"/>
      <w:start w:val="60"/>
    </w:lvl>
  </w:abstractNum>
  <w:abstractNum w:abstractNumId="441">
    <w:nsid w:val="3C5EA902"/>
    <w:multiLevelType w:val="hybridMultilevel"/>
    <w:lvl w:ilvl="0">
      <w:lvlJc w:val="left"/>
      <w:lvlText w:val="%1."/>
      <w:numFmt w:val="decimal"/>
      <w:start w:val="1"/>
    </w:lvl>
    <w:lvl w:ilvl="1">
      <w:lvlJc w:val="left"/>
      <w:lvlText w:val="-"/>
      <w:numFmt w:val="bullet"/>
      <w:start w:val="1"/>
    </w:lvl>
  </w:abstractNum>
  <w:abstractNum w:abstractNumId="442">
    <w:nsid w:val="256E6749"/>
    <w:multiLevelType w:val="hybridMultilevel"/>
    <w:lvl w:ilvl="0">
      <w:lvlJc w:val="left"/>
      <w:lvlText w:val="%1."/>
      <w:numFmt w:val="decimal"/>
      <w:start w:val="3"/>
    </w:lvl>
    <w:lvl w:ilvl="1">
      <w:lvlJc w:val="left"/>
      <w:lvlText w:val="-"/>
      <w:numFmt w:val="bullet"/>
      <w:start w:val="1"/>
    </w:lvl>
  </w:abstractNum>
  <w:abstractNum w:abstractNumId="443">
    <w:nsid w:val="1CB9A581"/>
    <w:multiLevelType w:val="hybridMultilevel"/>
    <w:lvl w:ilvl="0">
      <w:lvlJc w:val="left"/>
      <w:lvlText w:val="%1."/>
      <w:numFmt w:val="decimal"/>
      <w:start w:val="1"/>
    </w:lvl>
  </w:abstractNum>
  <w:abstractNum w:abstractNumId="444">
    <w:nsid w:val="1F7F42E2"/>
    <w:multiLevelType w:val="hybridMultilevel"/>
    <w:lvl w:ilvl="0">
      <w:lvlJc w:val="left"/>
      <w:lvlText w:val="%1."/>
      <w:numFmt w:val="decimal"/>
      <w:start w:val="2"/>
    </w:lvl>
  </w:abstractNum>
  <w:abstractNum w:abstractNumId="445">
    <w:nsid w:val="49D1FEA0"/>
    <w:multiLevelType w:val="hybridMultilevel"/>
    <w:lvl w:ilvl="0">
      <w:lvlJc w:val="left"/>
      <w:lvlText w:val="(%1)"/>
      <w:numFmt w:val="lowerLetter"/>
      <w:start w:val="1"/>
    </w:lvl>
    <w:lvl w:ilvl="1">
      <w:lvlJc w:val="left"/>
      <w:lvlText w:val="(%2)"/>
      <w:numFmt w:val="lowerRoman"/>
      <w:start w:val="2"/>
    </w:lvl>
  </w:abstractNum>
  <w:abstractNum w:abstractNumId="446">
    <w:nsid w:val="268CB37F"/>
    <w:multiLevelType w:val="hybridMultilevel"/>
    <w:lvl w:ilvl="0">
      <w:lvlJc w:val="left"/>
      <w:lvlText w:val="(%1)"/>
      <w:numFmt w:val="upperLetter"/>
      <w:start w:val="26"/>
    </w:lvl>
    <w:lvl w:ilvl="1">
      <w:lvlJc w:val="left"/>
      <w:lvlText w:val="(%2)"/>
      <w:numFmt w:val="lowerLetter"/>
      <w:start w:val="3"/>
    </w:lvl>
  </w:abstractNum>
  <w:abstractNum w:abstractNumId="447">
    <w:nsid w:val="102362F8"/>
    <w:multiLevelType w:val="hybridMultilevel"/>
    <w:lvl w:ilvl="0">
      <w:lvlJc w:val="left"/>
      <w:lvlText w:val="%1"/>
      <w:numFmt w:val="decimal"/>
      <w:start w:val="1"/>
    </w:lvl>
    <w:lvl w:ilvl="1">
      <w:lvlJc w:val="left"/>
      <w:lvlText w:val="(%2)"/>
      <w:numFmt w:val="lowerLetter"/>
      <w:start w:val="1"/>
    </w:lvl>
  </w:abstractNum>
  <w:abstractNum w:abstractNumId="448">
    <w:nsid w:val="5FEDC0E3"/>
    <w:multiLevelType w:val="hybridMultilevel"/>
    <w:lvl w:ilvl="0">
      <w:lvlJc w:val="left"/>
      <w:lvlText w:val="(%1)"/>
      <w:numFmt w:val="decimal"/>
      <w:start w:val="30"/>
    </w:lvl>
    <w:lvl w:ilvl="1">
      <w:lvlJc w:val="left"/>
      <w:lvlText w:val="(%2)"/>
      <w:numFmt w:val="lowerLetter"/>
      <w:start w:val="4"/>
    </w:lvl>
  </w:abstractNum>
  <w:abstractNum w:abstractNumId="449">
    <w:nsid w:val="3D75BC47"/>
    <w:multiLevelType w:val="hybridMultilevel"/>
    <w:lvl w:ilvl="0">
      <w:lvlJc w:val="left"/>
      <w:lvlText w:val="(%1)"/>
      <w:numFmt w:val="lowerLetter"/>
      <w:start w:val="1"/>
    </w:lvl>
  </w:abstractNum>
  <w:abstractNum w:abstractNumId="450">
    <w:nsid w:val="3E30D969"/>
    <w:multiLevelType w:val="hybridMultilevel"/>
    <w:lvl w:ilvl="0">
      <w:lvlJc w:val="left"/>
      <w:lvlText w:val="%1."/>
      <w:numFmt w:val="decimal"/>
      <w:start w:val="3"/>
    </w:lvl>
  </w:abstractNum>
  <w:abstractNum w:abstractNumId="451">
    <w:nsid w:val="18A35FE3"/>
    <w:multiLevelType w:val="hybridMultilevel"/>
    <w:lvl w:ilvl="0">
      <w:lvlJc w:val="left"/>
      <w:lvlText w:val="(%1)"/>
      <w:numFmt w:val="lowerLetter"/>
      <w:start w:val="1"/>
    </w:lvl>
  </w:abstractNum>
  <w:abstractNum w:abstractNumId="452">
    <w:nsid w:val="6DEF5211"/>
    <w:multiLevelType w:val="hybridMultilevel"/>
    <w:lvl w:ilvl="0">
      <w:lvlJc w:val="left"/>
      <w:lvlText w:val="(%1)"/>
      <w:numFmt w:val="lowerLetter"/>
      <w:start w:val="1"/>
    </w:lvl>
  </w:abstractNum>
  <w:abstractNum w:abstractNumId="453">
    <w:nsid w:val="1112DBB6"/>
    <w:multiLevelType w:val="hybridMultilevel"/>
    <w:lvl w:ilvl="0">
      <w:lvlJc w:val="left"/>
      <w:lvlText w:val="%1."/>
      <w:numFmt w:val="decimal"/>
      <w:start w:val="4"/>
    </w:lvl>
  </w:abstractNum>
  <w:abstractNum w:abstractNumId="454">
    <w:nsid w:val="2586A498"/>
    <w:multiLevelType w:val="hybridMultilevel"/>
    <w:lvl w:ilvl="0">
      <w:lvlJc w:val="left"/>
      <w:lvlText w:val="%1"/>
      <w:numFmt w:val="lowerLetter"/>
      <w:start w:val="1"/>
    </w:lvl>
    <w:lvl w:ilvl="1">
      <w:lvlJc w:val="left"/>
      <w:lvlText w:val="(%2)"/>
      <w:numFmt w:val="lowerLetter"/>
      <w:start w:val="1"/>
    </w:lvl>
  </w:abstractNum>
  <w:abstractNum w:abstractNumId="455">
    <w:nsid w:val="17A03BB9"/>
    <w:multiLevelType w:val="hybridMultilevel"/>
    <w:lvl w:ilvl="0">
      <w:lvlJc w:val="left"/>
      <w:lvlText w:val="(%1)"/>
      <w:numFmt w:val="lowerLetter"/>
      <w:start w:val="25"/>
    </w:lvl>
    <w:lvl w:ilvl="1">
      <w:lvlJc w:val="left"/>
      <w:lvlText w:val="%2"/>
      <w:numFmt w:val="lowerLetter"/>
      <w:start w:val="1"/>
    </w:lvl>
  </w:abstractNum>
  <w:abstractNum w:abstractNumId="456">
    <w:nsid w:val="5CA941"/>
    <w:multiLevelType w:val="hybridMultilevel"/>
    <w:lvl w:ilvl="0">
      <w:lvlJc w:val="left"/>
      <w:lvlText w:val="%1."/>
      <w:numFmt w:val="decimal"/>
      <w:start w:val="5"/>
    </w:lvl>
  </w:abstractNum>
  <w:abstractNum w:abstractNumId="457">
    <w:nsid w:val="734C7D9F"/>
    <w:multiLevelType w:val="hybridMultilevel"/>
    <w:lvl w:ilvl="0">
      <w:lvlJc w:val="left"/>
      <w:lvlText w:val="(%1)"/>
      <w:numFmt w:val="lowerRoman"/>
      <w:start w:val="2"/>
    </w:lvl>
  </w:abstractNum>
  <w:abstractNum w:abstractNumId="458">
    <w:nsid w:val="24F5D018"/>
    <w:multiLevelType w:val="hybridMultilevel"/>
    <w:lvl w:ilvl="0">
      <w:lvlJc w:val="left"/>
      <w:lvlText w:val="(%1)"/>
      <w:numFmt w:val="lowerLetter"/>
      <w:start w:val="1"/>
    </w:lvl>
  </w:abstractNum>
  <w:abstractNum w:abstractNumId="459">
    <w:nsid w:val="6780C122"/>
    <w:multiLevelType w:val="hybridMultilevel"/>
    <w:lvl w:ilvl="0">
      <w:lvlJc w:val="left"/>
      <w:lvlText w:val="%1."/>
      <w:numFmt w:val="decimal"/>
      <w:start w:val="6"/>
    </w:lvl>
    <w:lvl w:ilvl="1">
      <w:lvlJc w:val="left"/>
      <w:lvlText w:val="(%2)"/>
      <w:numFmt w:val="lowerLetter"/>
      <w:start w:val="1"/>
    </w:lvl>
  </w:abstractNum>
  <w:abstractNum w:abstractNumId="460">
    <w:nsid w:val="5343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1">
    <w:nsid w:val="5800E34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62">
    <w:nsid w:val="1673EFC8"/>
    <w:multiLevelType w:val="hybridMultilevel"/>
    <w:lvl w:ilvl="0">
      <w:lvlJc w:val="left"/>
      <w:lvlText w:val="(%1)"/>
      <w:numFmt w:val="lowerRoman"/>
      <w:start w:val="3"/>
    </w:lvl>
  </w:abstractNum>
  <w:abstractNum w:abstractNumId="463">
    <w:nsid w:val="5B9B1FD"/>
    <w:multiLevelType w:val="hybridMultilevel"/>
    <w:lvl w:ilvl="0">
      <w:lvlJc w:val="left"/>
      <w:lvlText w:val="(%1)"/>
      <w:numFmt w:val="lowerLetter"/>
      <w:start w:val="2"/>
    </w:lvl>
  </w:abstractNum>
  <w:abstractNum w:abstractNumId="464">
    <w:nsid w:val="7AD7FCA2"/>
    <w:multiLevelType w:val="hybridMultilevel"/>
    <w:lvl w:ilvl="0">
      <w:lvlJc w:val="left"/>
      <w:lvlText w:val="(%1)"/>
      <w:numFmt w:val="lowerLetter"/>
      <w:start w:val="1"/>
    </w:lvl>
  </w:abstractNum>
  <w:abstractNum w:abstractNumId="465">
    <w:nsid w:val="63351604"/>
    <w:multiLevelType w:val="hybridMultilevel"/>
    <w:lvl w:ilvl="0">
      <w:lvlJc w:val="left"/>
      <w:lvlText w:val="(%1)"/>
      <w:numFmt w:val="lowerLetter"/>
      <w:start w:val="3"/>
    </w:lvl>
  </w:abstractNum>
  <w:abstractNum w:abstractNumId="466">
    <w:nsid w:val="E759D1A"/>
    <w:multiLevelType w:val="hybridMultilevel"/>
    <w:lvl w:ilvl="0">
      <w:lvlJc w:val="left"/>
      <w:lvlText w:val="(%1)"/>
      <w:numFmt w:val="lowerLetter"/>
      <w:start w:val="2"/>
    </w:lvl>
  </w:abstractNum>
  <w:abstractNum w:abstractNumId="467">
    <w:nsid w:val="6E3DEE90"/>
    <w:multiLevelType w:val="hybridMultilevel"/>
    <w:lvl w:ilvl="0">
      <w:lvlJc w:val="left"/>
      <w:lvlText w:val="%1"/>
      <w:numFmt w:val="decimal"/>
      <w:start w:val="1"/>
    </w:lvl>
    <w:lvl w:ilvl="1">
      <w:lvlJc w:val="left"/>
      <w:lvlText w:val="(%2)"/>
      <w:numFmt w:val="lowerLetter"/>
      <w:start w:val="1"/>
    </w:lvl>
  </w:abstractNum>
  <w:abstractNum w:abstractNumId="468">
    <w:nsid w:val="1A8762F4"/>
    <w:multiLevelType w:val="hybridMultilevel"/>
    <w:lvl w:ilvl="0">
      <w:lvlJc w:val="left"/>
      <w:lvlText w:val="%1."/>
      <w:numFmt w:val="decimal"/>
      <w:start w:val="7"/>
    </w:lvl>
    <w:lvl w:ilvl="1">
      <w:lvlJc w:val="left"/>
      <w:lvlText w:val="%2"/>
      <w:numFmt w:val="lowerLetter"/>
      <w:start w:val="1"/>
    </w:lvl>
  </w:abstractNum>
  <w:abstractNum w:abstractNumId="469">
    <w:nsid w:val="7F41D049"/>
    <w:multiLevelType w:val="hybridMultilevel"/>
    <w:lvl w:ilvl="0">
      <w:lvlJc w:val="left"/>
      <w:lvlText w:val="(%1)"/>
      <w:numFmt w:val="lowerLetter"/>
      <w:start w:val="4"/>
    </w:lvl>
  </w:abstractNum>
  <w:abstractNum w:abstractNumId="470">
    <w:nsid w:val="449F66FE"/>
    <w:multiLevelType w:val="hybridMultilevel"/>
    <w:lvl w:ilvl="0">
      <w:lvlJc w:val="left"/>
      <w:lvlText w:val="%1."/>
      <w:numFmt w:val="decimal"/>
      <w:start w:val="8"/>
    </w:lvl>
  </w:abstractNum>
  <w:abstractNum w:abstractNumId="471">
    <w:nsid w:val="557E0515"/>
    <w:multiLevelType w:val="hybridMultilevel"/>
    <w:lvl w:ilvl="0">
      <w:lvlJc w:val="left"/>
      <w:lvlText w:val="%1"/>
      <w:numFmt w:val="decimal"/>
      <w:start w:val="1"/>
    </w:lvl>
    <w:lvl w:ilvl="1">
      <w:lvlJc w:val="left"/>
      <w:lvlText w:val="(%2)"/>
      <w:numFmt w:val="lowerLetter"/>
      <w:start w:val="1"/>
    </w:lvl>
  </w:abstractNum>
  <w:abstractNum w:abstractNumId="472">
    <w:nsid w:val="3BA0794B"/>
    <w:multiLevelType w:val="hybridMultilevel"/>
    <w:lvl w:ilvl="0">
      <w:lvlJc w:val="left"/>
      <w:lvlText w:val="(%1)"/>
      <w:numFmt w:val="decimal"/>
      <w:start w:val="30"/>
    </w:lvl>
    <w:lvl w:ilvl="1">
      <w:lvlJc w:val="left"/>
      <w:lvlText w:val="%2"/>
      <w:numFmt w:val="lowerLetter"/>
      <w:start w:val="1"/>
    </w:lvl>
  </w:abstractNum>
  <w:abstractNum w:abstractNumId="473">
    <w:nsid w:val="6A0DCE48"/>
    <w:multiLevelType w:val="hybridMultilevel"/>
    <w:lvl w:ilvl="0">
      <w:lvlJc w:val="left"/>
      <w:lvlText w:val="(%1)"/>
      <w:numFmt w:val="lowerLetter"/>
      <w:start w:val="1"/>
    </w:lvl>
  </w:abstractNum>
  <w:abstractNum w:abstractNumId="474">
    <w:nsid w:val="7237AA96"/>
    <w:multiLevelType w:val="hybridMultilevel"/>
    <w:lvl w:ilvl="0">
      <w:lvlJc w:val="left"/>
      <w:lvlText w:val="(%1)"/>
      <w:numFmt w:val="lowerLetter"/>
      <w:start w:val="35"/>
    </w:lvl>
    <w:lvl w:ilvl="1">
      <w:lvlJc w:val="left"/>
      <w:lvlText w:val="(%2)"/>
      <w:numFmt w:val="lowerLetter"/>
      <w:start w:val="2"/>
    </w:lvl>
  </w:abstractNum>
  <w:abstractNum w:abstractNumId="475">
    <w:nsid w:val="5B1FBC2D"/>
    <w:multiLevelType w:val="hybridMultilevel"/>
    <w:lvl w:ilvl="0">
      <w:lvlJc w:val="left"/>
      <w:lvlText w:val="%1."/>
      <w:numFmt w:val="decimal"/>
      <w:start w:val="9"/>
    </w:lvl>
  </w:abstractNum>
  <w:abstractNum w:abstractNumId="476">
    <w:nsid w:val="33DFCCE8"/>
    <w:multiLevelType w:val="hybridMultilevel"/>
    <w:lvl w:ilvl="0">
      <w:lvlJc w:val="left"/>
      <w:lvlText w:val="(%1)"/>
      <w:numFmt w:val="lowerLetter"/>
      <w:start w:val="1"/>
    </w:lvl>
    <w:lvl w:ilvl="1">
      <w:lvlJc w:val="left"/>
      <w:lvlText w:val="(%2)"/>
      <w:numFmt w:val="lowerRoman"/>
      <w:start w:val="1"/>
    </w:lvl>
  </w:abstractNum>
  <w:abstractNum w:abstractNumId="477">
    <w:nsid w:val="18C45E15"/>
    <w:multiLevelType w:val="hybridMultilevel"/>
    <w:lvl w:ilvl="0">
      <w:lvlJc w:val="left"/>
      <w:lvlText w:val="(%1)"/>
      <w:numFmt w:val="lowerRoman"/>
      <w:start w:val="6"/>
    </w:lvl>
  </w:abstractNum>
  <w:abstractNum w:abstractNumId="478">
    <w:nsid w:val="6B431F25"/>
    <w:multiLevelType w:val="hybridMultilevel"/>
    <w:lvl w:ilvl="0">
      <w:lvlJc w:val="left"/>
      <w:lvlText w:val="(%1)"/>
      <w:numFmt w:val="lowerLetter"/>
      <w:start w:val="1"/>
    </w:lvl>
  </w:abstractNum>
  <w:abstractNum w:abstractNumId="479">
    <w:nsid w:val="13CD8DCB"/>
    <w:multiLevelType w:val="hybridMultilevel"/>
    <w:lvl w:ilvl="0">
      <w:lvlJc w:val="left"/>
      <w:lvlText w:val="%1."/>
      <w:numFmt w:val="decimal"/>
      <w:start w:val="10"/>
    </w:lvl>
  </w:abstractNum>
  <w:abstractNum w:abstractNumId="480">
    <w:nsid w:val="563A1A5C"/>
    <w:multiLevelType w:val="hybridMultilevel"/>
    <w:lvl w:ilvl="0">
      <w:lvlJc w:val="left"/>
      <w:lvlText w:val="(%1)"/>
      <w:numFmt w:val="decimal"/>
      <w:start w:val="3"/>
    </w:lvl>
  </w:abstractNum>
  <w:abstractNum w:abstractNumId="481">
    <w:nsid w:val="2973F88F"/>
    <w:multiLevelType w:val="hybridMultilevel"/>
    <w:lvl w:ilvl="0">
      <w:lvlJc w:val="left"/>
      <w:lvlText w:val="%1."/>
      <w:numFmt w:val="decimal"/>
      <w:start w:val="11"/>
    </w:lvl>
  </w:abstractNum>
  <w:abstractNum w:abstractNumId="482">
    <w:nsid w:val="2C70EDAE"/>
    <w:multiLevelType w:val="hybridMultilevel"/>
    <w:lvl w:ilvl="0">
      <w:lvlJc w:val="left"/>
      <w:lvlText w:val="%1."/>
      <w:numFmt w:val="decimal"/>
      <w:start w:val="12"/>
    </w:lvl>
  </w:abstractNum>
  <w:abstractNum w:abstractNumId="483">
    <w:nsid w:val="44296C6D"/>
    <w:multiLevelType w:val="hybridMultilevel"/>
    <w:lvl w:ilvl="0">
      <w:lvlJc w:val="left"/>
      <w:lvlText w:val="(%1)"/>
      <w:numFmt w:val="lowerRoman"/>
      <w:start w:val="1"/>
    </w:lvl>
  </w:abstractNum>
  <w:abstractNum w:abstractNumId="484">
    <w:nsid w:val="3A86D445"/>
    <w:multiLevelType w:val="hybridMultilevel"/>
    <w:lvl w:ilvl="0">
      <w:lvlJc w:val="left"/>
      <w:lvlText w:val="%1"/>
      <w:numFmt w:val="lowerLetter"/>
      <w:start w:val="1"/>
    </w:lvl>
    <w:lvl w:ilvl="1">
      <w:lvlJc w:val="left"/>
      <w:lvlText w:val="(%2)"/>
      <w:numFmt w:val="lowerRoman"/>
      <w:start w:val="3"/>
    </w:lvl>
  </w:abstractNum>
  <w:abstractNum w:abstractNumId="485">
    <w:nsid w:val="51F79246"/>
    <w:multiLevelType w:val="hybridMultilevel"/>
    <w:lvl w:ilvl="0">
      <w:lvlJc w:val="left"/>
      <w:lvlText w:val="(%1)"/>
      <w:numFmt w:val="lowerLetter"/>
      <w:start w:val="2"/>
    </w:lvl>
    <w:lvl w:ilvl="1">
      <w:lvlJc w:val="left"/>
      <w:lvlText w:val="%2"/>
      <w:numFmt w:val="lowerRoman"/>
      <w:start w:val="1"/>
    </w:lvl>
  </w:abstractNum>
  <w:abstractNum w:abstractNumId="486">
    <w:nsid w:val="5BC9A827"/>
    <w:multiLevelType w:val="hybridMultilevel"/>
    <w:lvl w:ilvl="0">
      <w:lvlJc w:val="left"/>
      <w:lvlText w:val="%1."/>
      <w:numFmt w:val="decimal"/>
      <w:start w:val="13"/>
    </w:lvl>
  </w:abstractNum>
  <w:abstractNum w:abstractNumId="487">
    <w:nsid w:val="3AE37D86"/>
    <w:multiLevelType w:val="hybridMultilevel"/>
    <w:lvl w:ilvl="0">
      <w:lvlJc w:val="left"/>
      <w:lvlText w:val="(%1)"/>
      <w:numFmt w:val="lowerLetter"/>
      <w:start w:val="9"/>
    </w:lvl>
  </w:abstractNum>
  <w:abstractNum w:abstractNumId="488">
    <w:nsid w:val="45440FE5"/>
    <w:multiLevelType w:val="hybridMultilevel"/>
    <w:lvl w:ilvl="0">
      <w:lvlJc w:val="left"/>
      <w:lvlText w:val="(%1)"/>
      <w:numFmt w:val="lowerLetter"/>
      <w:start w:val="2"/>
    </w:lvl>
  </w:abstractNum>
  <w:abstractNum w:abstractNumId="489">
    <w:nsid w:val="BF783F"/>
    <w:multiLevelType w:val="hybridMultilevel"/>
    <w:lvl w:ilvl="0">
      <w:lvlJc w:val="left"/>
      <w:lvlText w:val="(%1)"/>
      <w:numFmt w:val="lowerLetter"/>
      <w:start w:val="3"/>
    </w:lvl>
  </w:abstractNum>
  <w:abstractNum w:abstractNumId="490">
    <w:nsid w:val="22643EA9"/>
    <w:multiLevelType w:val="hybridMultilevel"/>
    <w:lvl w:ilvl="0">
      <w:lvlJc w:val="left"/>
      <w:lvlText w:val="(%1)"/>
      <w:numFmt w:val="lowerRoman"/>
      <w:start w:val="1"/>
    </w:lvl>
  </w:abstractNum>
  <w:abstractNum w:abstractNumId="491">
    <w:nsid w:val="1887578D"/>
    <w:multiLevelType w:val="hybridMultilevel"/>
    <w:lvl w:ilvl="0">
      <w:lvlJc w:val="left"/>
      <w:lvlText w:val="(%1)"/>
      <w:numFmt w:val="lowerLetter"/>
      <w:start w:val="1"/>
    </w:lvl>
  </w:abstractNum>
  <w:abstractNum w:abstractNumId="492">
    <w:nsid w:val="58C05B8A"/>
    <w:multiLevelType w:val="hybridMultilevel"/>
    <w:lvl w:ilvl="0">
      <w:lvlJc w:val="left"/>
      <w:lvlText w:val="(%1)"/>
      <w:numFmt w:val="lowerLetter"/>
      <w:start w:val="3"/>
    </w:lvl>
  </w:abstractNum>
  <w:abstractNum w:abstractNumId="493">
    <w:nsid w:val="38D82E71"/>
    <w:multiLevelType w:val="hybridMultilevel"/>
    <w:lvl w:ilvl="0">
      <w:lvlJc w:val="left"/>
      <w:lvlText w:val="(%1)"/>
      <w:numFmt w:val="lowerLetter"/>
      <w:start w:val="1"/>
    </w:lvl>
  </w:abstractNum>
  <w:abstractNum w:abstractNumId="494">
    <w:nsid w:val="1E41098A"/>
    <w:multiLevelType w:val="hybridMultilevel"/>
    <w:lvl w:ilvl="0">
      <w:lvlJc w:val="left"/>
      <w:lvlText w:val="(%1)"/>
      <w:numFmt w:val="lowerLetter"/>
      <w:start w:val="1"/>
    </w:lvl>
  </w:abstractNum>
  <w:abstractNum w:abstractNumId="495">
    <w:nsid w:val="5398582C"/>
    <w:multiLevelType w:val="hybridMultilevel"/>
    <w:lvl w:ilvl="0">
      <w:lvlJc w:val="left"/>
      <w:lvlText w:val="(%1)"/>
      <w:numFmt w:val="lowerLetter"/>
      <w:start w:val="2"/>
    </w:lvl>
  </w:abstractNum>
  <w:abstractNum w:abstractNumId="496">
    <w:nsid w:val="1C0D4475"/>
    <w:multiLevelType w:val="hybridMultilevel"/>
    <w:lvl w:ilvl="0">
      <w:lvlJc w:val="left"/>
      <w:lvlText w:val="(%1)"/>
      <w:numFmt w:val="lowerRoman"/>
      <w:start w:val="1"/>
    </w:lvl>
  </w:abstractNum>
  <w:abstractNum w:abstractNumId="497">
    <w:nsid w:val="2CB6A6A4"/>
    <w:multiLevelType w:val="hybridMultilevel"/>
    <w:lvl w:ilvl="0">
      <w:lvlJc w:val="left"/>
      <w:lvlText w:val="(%1)"/>
      <w:numFmt w:val="lowerRoman"/>
      <w:start w:val="1"/>
    </w:lvl>
  </w:abstractNum>
  <w:abstractNum w:abstractNumId="498">
    <w:nsid w:val="41D646BC"/>
    <w:multiLevelType w:val="hybridMultilevel"/>
    <w:lvl w:ilvl="0">
      <w:lvlJc w:val="left"/>
      <w:lvlText w:val="%1."/>
      <w:numFmt w:val="decimal"/>
      <w:start w:val="1"/>
    </w:lvl>
  </w:abstractNum>
  <w:abstractNum w:abstractNumId="499">
    <w:nsid w:val="3694A76A"/>
    <w:multiLevelType w:val="hybridMultilevel"/>
    <w:lvl w:ilvl="0">
      <w:lvlJc w:val="left"/>
      <w:lvlText w:val="%1."/>
      <w:numFmt w:val="decimal"/>
      <w:start w:val="8"/>
    </w:lvl>
  </w:abstractNum>
  <w:abstractNum w:abstractNumId="500">
    <w:nsid w:val="2BF876EE"/>
    <w:multiLevelType w:val="hybridMultilevel"/>
    <w:lvl w:ilvl="0">
      <w:lvlJc w:val="left"/>
      <w:lvlText w:val="*"/>
      <w:numFmt w:val="bullet"/>
      <w:start w:val="1"/>
    </w:lvl>
  </w:abstractNum>
  <w:abstractNum w:abstractNumId="501">
    <w:nsid w:val="675ADBA"/>
    <w:multiLevelType w:val="hybridMultilevel"/>
    <w:lvl w:ilvl="0">
      <w:lvlJc w:val="left"/>
      <w:lvlText w:val="(%1)"/>
      <w:numFmt w:val="lowerLetter"/>
      <w:start w:val="2"/>
    </w:lvl>
  </w:abstractNum>
  <w:abstractNum w:abstractNumId="502">
    <w:nsid w:val="C12AC7F"/>
    <w:multiLevelType w:val="hybridMultilevel"/>
    <w:lvl w:ilvl="0">
      <w:lvlJc w:val="left"/>
      <w:lvlText w:val="%1)"/>
      <w:numFmt w:val="decimal"/>
      <w:start w:val="10"/>
    </w:lvl>
  </w:abstractNum>
  <w:abstractNum w:abstractNumId="503">
    <w:nsid w:val="6798F039"/>
    <w:multiLevelType w:val="hybridMultilevel"/>
    <w:lvl w:ilvl="0">
      <w:lvlJc w:val="left"/>
      <w:lvlText w:val="%1)"/>
      <w:numFmt w:val="decimal"/>
      <w:start w:val="3"/>
    </w:lvl>
  </w:abstractNum>
  <w:abstractNum w:abstractNumId="504">
    <w:nsid w:val="70837C02"/>
    <w:multiLevelType w:val="hybridMultilevel"/>
    <w:lvl w:ilvl="0">
      <w:lvlJc w:val="left"/>
      <w:lvlText w:val="%1)"/>
      <w:numFmt w:val="decimal"/>
      <w:start w:val="4"/>
    </w:lvl>
  </w:abstractNum>
  <w:abstractNum w:abstractNumId="505">
    <w:nsid w:val="7E4A5715"/>
    <w:multiLevelType w:val="hybridMultilevel"/>
    <w:lvl w:ilvl="0">
      <w:lvlJc w:val="left"/>
      <w:lvlText w:val="(%1)"/>
      <w:numFmt w:val="lowerLetter"/>
      <w:start w:val="1"/>
    </w:lvl>
  </w:abstractNum>
  <w:abstractNum w:abstractNumId="506">
    <w:nsid w:val="42B8AC67"/>
    <w:multiLevelType w:val="hybridMultilevel"/>
    <w:lvl w:ilvl="0">
      <w:lvlJc w:val="left"/>
      <w:lvlText w:val="%1"/>
      <w:numFmt w:val="lowerLetter"/>
      <w:start w:val="1"/>
    </w:lvl>
    <w:lvl w:ilvl="1">
      <w:lvlJc w:val="left"/>
      <w:lvlText w:val="(%2)"/>
      <w:numFmt w:val="lowerLetter"/>
      <w:start w:val="4"/>
    </w:lvl>
  </w:abstractNum>
  <w:abstractNum w:abstractNumId="507">
    <w:nsid w:val="246348EA"/>
    <w:multiLevelType w:val="hybridMultilevel"/>
    <w:lvl w:ilvl="0">
      <w:lvlJc w:val="left"/>
      <w:lvlText w:val="(%1)"/>
      <w:numFmt w:val="lowerLetter"/>
      <w:start w:val="25"/>
    </w:lvl>
    <w:lvl w:ilvl="1">
      <w:lvlJc w:val="left"/>
      <w:lvlText w:val="%2"/>
      <w:numFmt w:val="lowerLetter"/>
      <w:start w:val="1"/>
    </w:lvl>
  </w:abstractNum>
  <w:abstractNum w:abstractNumId="508">
    <w:nsid w:val="170EB52B"/>
    <w:multiLevelType w:val="hybridMultilevel"/>
    <w:lvl w:ilvl="0">
      <w:lvlJc w:val="left"/>
      <w:lvlText w:val="(%1)"/>
      <w:numFmt w:val="lowerLetter"/>
      <w:start w:val="1"/>
    </w:lvl>
  </w:abstractNum>
  <w:abstractNum w:abstractNumId="509">
    <w:nsid w:val="2DFBCB8C"/>
    <w:multiLevelType w:val="hybridMultilevel"/>
    <w:lvl w:ilvl="0">
      <w:lvlJc w:val="left"/>
      <w:lvlText w:val="(%1)"/>
      <w:numFmt w:val="lowerLetter"/>
      <w:start w:val="3"/>
    </w:lvl>
  </w:abstractNum>
  <w:abstractNum w:abstractNumId="510">
    <w:nsid w:val="3830D6B6"/>
    <w:multiLevelType w:val="hybridMultilevel"/>
    <w:lvl w:ilvl="0">
      <w:lvlJc w:val="left"/>
      <w:lvlText w:val="(%1)"/>
      <w:numFmt w:val="lowerLetter"/>
      <w:start w:val="1"/>
    </w:lvl>
  </w:abstractNum>
  <w:abstractNum w:abstractNumId="511">
    <w:nsid w:val="6D48CF87"/>
    <w:multiLevelType w:val="hybridMultilevel"/>
    <w:lvl w:ilvl="0">
      <w:lvlJc w:val="left"/>
      <w:lvlText w:val="(%1)"/>
      <w:numFmt w:val="decimal"/>
      <w:start w:val="1"/>
    </w:lvl>
  </w:abstractNum>
  <w:abstractNum w:abstractNumId="512">
    <w:nsid w:val="576FC41B"/>
    <w:multiLevelType w:val="hybridMultilevel"/>
    <w:lvl w:ilvl="0">
      <w:lvlJc w:val="left"/>
      <w:lvlText w:val="(%1)"/>
      <w:numFmt w:val="lowerLetter"/>
      <w:start w:val="1"/>
    </w:lvl>
  </w:abstractNum>
  <w:abstractNum w:abstractNumId="513">
    <w:nsid w:val="64A1C464"/>
    <w:multiLevelType w:val="hybridMultilevel"/>
    <w:lvl w:ilvl="0">
      <w:lvlJc w:val="left"/>
      <w:lvlText w:val="(%1)"/>
      <w:numFmt w:val="lowerRoman"/>
      <w:start w:val="3"/>
    </w:lvl>
  </w:abstractNum>
  <w:abstractNum w:abstractNumId="514">
    <w:nsid w:val="31723BF5"/>
    <w:multiLevelType w:val="hybridMultilevel"/>
    <w:lvl w:ilvl="0">
      <w:lvlJc w:val="left"/>
      <w:lvlText w:val="["/>
      <w:numFmt w:val="bullet"/>
      <w:start w:val="1"/>
    </w:lvl>
    <w:lvl w:ilvl="1">
      <w:lvlJc w:val="left"/>
      <w:lvlText w:val="%2."/>
      <w:numFmt w:val="decimal"/>
      <w:start w:val="2"/>
    </w:lvl>
  </w:abstractNum>
  <w:abstractNum w:abstractNumId="515">
    <w:nsid w:val="11F6986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2019-12-20T03:26:22Z</dcterms:created>
  <dcterms:modified xsi:type="dcterms:W3CDTF">2019-12-20T03:26:22Z</dcterms:modified>
</cp:coreProperties>
</file>