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383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83780"/>
                    </a:xfrm>
                    <a:prstGeom prst="rect">
                      <a:avLst/>
                    </a:prstGeom>
                    <a:noFill/>
                  </pic:spPr>
                </pic:pic>
              </a:graphicData>
            </a:graphic>
          </wp:anchor>
        </w:drawing>
      </w:r>
    </w:p>
    <w:p>
      <w:pPr>
        <w:spacing w:after="0" w:line="41" w:lineRule="exact"/>
        <w:rPr>
          <w:sz w:val="24"/>
          <w:szCs w:val="24"/>
          <w:color w:val="auto"/>
        </w:rPr>
      </w:pPr>
    </w:p>
    <w:p>
      <w:pPr>
        <w:sectPr>
          <w:pgSz w:w="11900" w:h="16843" w:orient="portrait"/>
          <w:cols w:equalWidth="0" w:num="2">
            <w:col w:w="2360" w:space="300"/>
            <w:col w:w="8860"/>
          </w:cols>
          <w:pgMar w:left="240" w:top="225" w:right="139" w:bottom="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Suria Hamza</w:t>
              </w:r>
            </w:hyperlink>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ANAPTYSBIO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8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rPr>
              <w:t>C/O ANAPTYSBIO, INC.</w:t>
            </w:r>
          </w:p>
        </w:tc>
        <w:tc>
          <w:tcPr>
            <w:tcW w:w="1260" w:type="dxa"/>
            <w:vAlign w:val="bottom"/>
          </w:tcPr>
          <w:p>
            <w:pPr>
              <w:spacing w:after="0"/>
              <w:rPr>
                <w:sz w:val="19"/>
                <w:szCs w:val="19"/>
                <w:color w:val="auto"/>
              </w:rPr>
            </w:pPr>
          </w:p>
        </w:tc>
        <w:tc>
          <w:tcPr>
            <w:tcW w:w="1940" w:type="dxa"/>
            <w:vAlign w:val="bottom"/>
            <w:gridSpan w:val="3"/>
          </w:tcPr>
          <w:p>
            <w:pPr>
              <w:ind w:left="160"/>
              <w:spacing w:after="0"/>
              <w:rPr>
                <w:sz w:val="20"/>
                <w:szCs w:val="20"/>
                <w:color w:val="auto"/>
              </w:rPr>
            </w:pPr>
            <w:r>
              <w:rPr>
                <w:rFonts w:ascii="Arial" w:cs="Arial" w:eastAsia="Arial" w:hAnsi="Arial"/>
                <w:sz w:val="17"/>
                <w:szCs w:val="17"/>
                <w:color w:val="0000FF"/>
              </w:rPr>
              <w:t>12/10/2018</w:t>
            </w: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54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10421 PACIFIC CENTER COURT,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President, CEO</w:t>
      </w:r>
    </w:p>
    <w:p>
      <w:pPr>
        <w:spacing w:after="0" w:line="427" w:lineRule="exact"/>
        <w:rPr>
          <w:sz w:val="20"/>
          <w:szCs w:val="20"/>
          <w:color w:val="auto"/>
        </w:rPr>
      </w:pPr>
    </w:p>
    <w:p>
      <w:pPr>
        <w:sectPr>
          <w:pgSz w:w="11900" w:h="16843" w:orient="portrait"/>
          <w:cols w:equalWidth="0" w:num="2">
            <w:col w:w="7980" w:space="74"/>
            <w:col w:w="3466"/>
          </w:cols>
          <w:pgMar w:left="240" w:top="225" w:right="139" w:bottom="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SAN DIEGO</w:t>
            </w:r>
          </w:p>
        </w:tc>
        <w:tc>
          <w:tcPr>
            <w:tcW w:w="1000" w:type="dxa"/>
            <w:vAlign w:val="bottom"/>
          </w:tcPr>
          <w:p>
            <w:pPr>
              <w:ind w:left="1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92121</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843"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483"/>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7"/>
                <w:szCs w:val="17"/>
                <w:color w:val="0000FF"/>
                <w:w w:val="93"/>
              </w:rPr>
              <w:t>12/10/2018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30,587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6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1.12</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65,649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7"/>
                <w:szCs w:val="17"/>
                <w:color w:val="0000FF"/>
                <w:w w:val="93"/>
              </w:rPr>
              <w:t>12/10/2018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15,276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70.5736</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50,373</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7"/>
                <w:szCs w:val="17"/>
                <w:color w:val="0000FF"/>
                <w:w w:val="93"/>
              </w:rPr>
              <w:t>12/10/2018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10,347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71.4894</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40,026</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7"/>
                <w:szCs w:val="17"/>
                <w:color w:val="0000FF"/>
                <w:w w:val="93"/>
              </w:rPr>
              <w:t>12/10/2018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4,964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72.4829</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35,062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7"/>
                <w:szCs w:val="17"/>
                <w:color w:val="0000FF"/>
                <w:w w:val="93"/>
              </w:rPr>
              <w:t>12/11/2018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4,998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ind w:left="42"/>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70.83</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30,064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7"/>
                <w:szCs w:val="17"/>
                <w:color w:val="0000FF"/>
                <w:w w:val="93"/>
              </w:rPr>
              <w:t>12/12/2018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30,000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6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1.12</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60,064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7"/>
                <w:szCs w:val="17"/>
                <w:color w:val="0000FF"/>
                <w:w w:val="93"/>
              </w:rPr>
              <w:t>12/12/2018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12,003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71.1056</w:t>
            </w:r>
            <w:r>
              <w:rPr>
                <w:rFonts w:ascii="Arial" w:cs="Arial" w:eastAsia="Arial" w:hAnsi="Arial"/>
                <w:sz w:val="22"/>
                <w:szCs w:val="22"/>
                <w:color w:val="008000"/>
                <w:w w:val="90"/>
                <w:vertAlign w:val="superscript"/>
              </w:rPr>
              <w:t>(5)</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48,061</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7"/>
                <w:szCs w:val="17"/>
                <w:color w:val="0000FF"/>
                <w:w w:val="93"/>
              </w:rPr>
              <w:t>12/12/2018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9,673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71.9237</w:t>
            </w:r>
            <w:r>
              <w:rPr>
                <w:rFonts w:ascii="Arial" w:cs="Arial" w:eastAsia="Arial" w:hAnsi="Arial"/>
                <w:sz w:val="22"/>
                <w:szCs w:val="22"/>
                <w:color w:val="008000"/>
                <w:w w:val="90"/>
                <w:vertAlign w:val="superscript"/>
              </w:rPr>
              <w:t>(6)</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38,388</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3"/>
              <w:spacing w:after="0"/>
              <w:rPr>
                <w:sz w:val="20"/>
                <w:szCs w:val="20"/>
                <w:color w:val="auto"/>
              </w:rPr>
            </w:pPr>
            <w:r>
              <w:rPr>
                <w:rFonts w:ascii="Arial" w:cs="Arial" w:eastAsia="Arial" w:hAnsi="Arial"/>
                <w:sz w:val="17"/>
                <w:szCs w:val="17"/>
                <w:color w:val="0000FF"/>
                <w:w w:val="93"/>
              </w:rPr>
              <w:t>12/12/2018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8,324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72.8758</w:t>
            </w:r>
            <w:r>
              <w:rPr>
                <w:rFonts w:ascii="Arial" w:cs="Arial" w:eastAsia="Arial" w:hAnsi="Arial"/>
                <w:sz w:val="22"/>
                <w:szCs w:val="22"/>
                <w:color w:val="008000"/>
                <w:w w:val="90"/>
                <w:vertAlign w:val="superscript"/>
              </w:rPr>
              <w:t>(7)</w:t>
            </w:r>
          </w:p>
        </w:tc>
        <w:tc>
          <w:tcPr>
            <w:tcW w:w="124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30,064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5"/>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5"/>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vMerge w:val="restart"/>
          </w:tcPr>
          <w:p>
            <w:pPr>
              <w:ind w:left="100"/>
              <w:spacing w:after="0" w:line="278"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80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30,587</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1.12</w:t>
            </w:r>
          </w:p>
        </w:tc>
        <w:tc>
          <w:tcPr>
            <w:tcW w:w="1080" w:type="dxa"/>
            <w:vAlign w:val="bottom"/>
          </w:tcPr>
          <w:p>
            <w:pPr>
              <w:jc w:val="right"/>
              <w:ind w:right="137"/>
              <w:spacing w:after="0" w:line="132" w:lineRule="exact"/>
              <w:rPr>
                <w:sz w:val="20"/>
                <w:szCs w:val="20"/>
                <w:color w:val="auto"/>
              </w:rPr>
            </w:pPr>
            <w:r>
              <w:rPr>
                <w:rFonts w:ascii="Arial" w:cs="Arial" w:eastAsia="Arial" w:hAnsi="Arial"/>
                <w:sz w:val="13"/>
                <w:szCs w:val="13"/>
                <w:color w:val="0000FF"/>
              </w:rPr>
              <w:t>12/10/2018</w:t>
            </w:r>
          </w:p>
        </w:tc>
        <w:tc>
          <w:tcPr>
            <w:tcW w:w="1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320"/>
              <w:spacing w:after="0" w:line="132" w:lineRule="exact"/>
              <w:rPr>
                <w:sz w:val="20"/>
                <w:szCs w:val="20"/>
                <w:color w:val="auto"/>
              </w:rPr>
            </w:pPr>
            <w:r>
              <w:rPr>
                <w:rFonts w:ascii="Arial" w:cs="Arial" w:eastAsia="Arial" w:hAnsi="Arial"/>
                <w:sz w:val="13"/>
                <w:szCs w:val="13"/>
                <w:color w:val="0000FF"/>
                <w:w w:val="95"/>
              </w:rPr>
              <w:t>30,587</w:t>
            </w:r>
          </w:p>
        </w:tc>
        <w:tc>
          <w:tcPr>
            <w:tcW w:w="820" w:type="dxa"/>
            <w:vAlign w:val="bottom"/>
            <w:vMerge w:val="continue"/>
          </w:tcPr>
          <w:p>
            <w:pPr>
              <w:spacing w:after="0"/>
              <w:rPr>
                <w:sz w:val="11"/>
                <w:szCs w:val="11"/>
                <w:color w:val="auto"/>
              </w:rPr>
            </w:pPr>
          </w:p>
        </w:tc>
        <w:tc>
          <w:tcPr>
            <w:tcW w:w="800" w:type="dxa"/>
            <w:vAlign w:val="bottom"/>
          </w:tcPr>
          <w:p>
            <w:pPr>
              <w:ind w:left="120"/>
              <w:spacing w:after="0" w:line="132" w:lineRule="exact"/>
              <w:rPr>
                <w:sz w:val="20"/>
                <w:szCs w:val="20"/>
                <w:color w:val="auto"/>
              </w:rPr>
            </w:pPr>
            <w:r>
              <w:rPr>
                <w:rFonts w:ascii="Arial" w:cs="Arial" w:eastAsia="Arial" w:hAnsi="Arial"/>
                <w:sz w:val="13"/>
                <w:szCs w:val="13"/>
                <w:color w:val="0000FF"/>
              </w:rPr>
              <w:t>12/08/2021</w:t>
            </w:r>
          </w:p>
        </w:tc>
        <w:tc>
          <w:tcPr>
            <w:tcW w:w="5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0000FF"/>
              </w:rPr>
              <w:t>110,361</w:t>
            </w: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80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30,000</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0000FF"/>
              </w:rPr>
              <w:t>80,361</w:t>
            </w:r>
            <w:r>
              <w:rPr>
                <w:rFonts w:ascii="Arial" w:cs="Arial" w:eastAsia="Arial" w:hAnsi="Arial"/>
                <w:sz w:val="22"/>
                <w:szCs w:val="22"/>
                <w:color w:val="008000"/>
                <w:vertAlign w:val="superscript"/>
              </w:rPr>
              <w:t>(9)</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1.12</w:t>
            </w:r>
          </w:p>
        </w:tc>
        <w:tc>
          <w:tcPr>
            <w:tcW w:w="1080" w:type="dxa"/>
            <w:vAlign w:val="bottom"/>
          </w:tcPr>
          <w:p>
            <w:pPr>
              <w:jc w:val="right"/>
              <w:ind w:right="137"/>
              <w:spacing w:after="0" w:line="145" w:lineRule="exact"/>
              <w:rPr>
                <w:sz w:val="20"/>
                <w:szCs w:val="20"/>
                <w:color w:val="auto"/>
              </w:rPr>
            </w:pPr>
            <w:r>
              <w:rPr>
                <w:rFonts w:ascii="Arial" w:cs="Arial" w:eastAsia="Arial" w:hAnsi="Arial"/>
                <w:sz w:val="13"/>
                <w:szCs w:val="13"/>
                <w:color w:val="0000FF"/>
              </w:rPr>
              <w:t>12/12/2018</w:t>
            </w:r>
          </w:p>
        </w:tc>
        <w:tc>
          <w:tcPr>
            <w:tcW w:w="1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5" w:lineRule="exact"/>
              <w:rPr>
                <w:sz w:val="20"/>
                <w:szCs w:val="20"/>
                <w:color w:val="auto"/>
              </w:rPr>
            </w:pPr>
            <w:r>
              <w:rPr>
                <w:rFonts w:ascii="Arial" w:cs="Arial" w:eastAsia="Arial" w:hAnsi="Arial"/>
                <w:sz w:val="13"/>
                <w:szCs w:val="13"/>
                <w:color w:val="0000FF"/>
                <w:w w:val="95"/>
              </w:rPr>
              <w:t>30,000</w:t>
            </w:r>
          </w:p>
        </w:tc>
        <w:tc>
          <w:tcPr>
            <w:tcW w:w="820" w:type="dxa"/>
            <w:vAlign w:val="bottom"/>
            <w:vMerge w:val="continue"/>
          </w:tcPr>
          <w:p>
            <w:pPr>
              <w:spacing w:after="0"/>
              <w:rPr>
                <w:sz w:val="12"/>
                <w:szCs w:val="12"/>
                <w:color w:val="auto"/>
              </w:rPr>
            </w:pPr>
          </w:p>
        </w:tc>
        <w:tc>
          <w:tcPr>
            <w:tcW w:w="800" w:type="dxa"/>
            <w:vAlign w:val="bottom"/>
          </w:tcPr>
          <w:p>
            <w:pPr>
              <w:ind w:left="120"/>
              <w:spacing w:after="0" w:line="145" w:lineRule="exact"/>
              <w:rPr>
                <w:sz w:val="20"/>
                <w:szCs w:val="20"/>
                <w:color w:val="auto"/>
              </w:rPr>
            </w:pPr>
            <w:r>
              <w:rPr>
                <w:rFonts w:ascii="Arial" w:cs="Arial" w:eastAsia="Arial" w:hAnsi="Arial"/>
                <w:sz w:val="13"/>
                <w:szCs w:val="13"/>
                <w:color w:val="0000FF"/>
              </w:rPr>
              <w:t>12/08/2021</w:t>
            </w:r>
          </w:p>
        </w:tc>
        <w:tc>
          <w:tcPr>
            <w:tcW w:w="5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continue"/>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10b5-1 trading plan adopted by the reporting person.</w:t>
      </w:r>
    </w:p>
    <w:p>
      <w:pPr>
        <w:spacing w:after="0" w:line="5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$70.01 to $71.00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$71.01 to $71.99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$72.13 to $73.07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$70.51 to $71.49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$71.51 to $72.48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price in Column 4 is a weighted average price. These shares were sold in multiple transactions at prices ranging from $72.52 to $73.04 per share, inclusive. The reporting person undertakes to</w:t>
      </w:r>
    </w:p>
    <w:p>
      <w:pPr>
        <w:sectPr>
          <w:pgSz w:w="11900" w:h="16843" w:orient="portrait"/>
          <w:cols w:equalWidth="0" w:num="1">
            <w:col w:w="11520"/>
          </w:cols>
          <w:pgMar w:left="240" w:top="225" w:right="139" w:bottom="0" w:gutter="0" w:footer="0" w:header="0"/>
          <w:type w:val="continuous"/>
        </w:sectPr>
      </w:pPr>
    </w:p>
    <w:bookmarkStart w:id="1" w:name="page2"/>
    <w:bookmarkEnd w:id="1"/>
    <w:p>
      <w:pPr>
        <w:ind w:right="80"/>
        <w:spacing w:after="0" w:line="272" w:lineRule="auto"/>
        <w:rPr>
          <w:sz w:val="20"/>
          <w:szCs w:val="20"/>
          <w:color w:val="auto"/>
        </w:rPr>
      </w:pPr>
      <w:r>
        <w:rPr>
          <w:rFonts w:ascii="Arial" w:cs="Arial" w:eastAsia="Arial" w:hAnsi="Arial"/>
          <w:sz w:val="13"/>
          <w:szCs w:val="13"/>
          <w:color w:val="008000"/>
        </w:rPr>
        <w:t>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10"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stock option is fully vested and immediately exercisable.</w:t>
      </w:r>
    </w:p>
    <w:p>
      <w:pPr>
        <w:spacing w:after="0" w:line="51" w:lineRule="exact"/>
        <w:rPr>
          <w:rFonts w:ascii="Arial" w:cs="Arial" w:eastAsia="Arial" w:hAnsi="Arial"/>
          <w:sz w:val="13"/>
          <w:szCs w:val="13"/>
          <w:color w:val="008000"/>
        </w:rPr>
      </w:pPr>
    </w:p>
    <w:p>
      <w:pPr>
        <w:ind w:firstLine="8"/>
        <w:spacing w:after="0" w:line="272"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80,361 shares of common stock as set forth in Table II above, the Reporting Person also holds (i) additional options to purchase up to an aggregate of 796,205 shares of common stock, which options vest according to their terms, and (ii) 30,064 shares of common stock held directly.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008000"/>
        </w:rPr>
        <w:t>Exhibit List - Exhibit 24.1 - Power of Attorney</w:t>
      </w:r>
    </w:p>
    <w:p>
      <w:pPr>
        <w:spacing w:after="0" w:line="6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/s/Eric Loumeau,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12/12/2018</w:t>
            </w:r>
          </w:p>
        </w:tc>
        <w:tc>
          <w:tcPr>
            <w:tcW w:w="0" w:type="dxa"/>
            <w:vAlign w:val="bottom"/>
          </w:tcPr>
          <w:p>
            <w:pPr>
              <w:spacing w:after="0"/>
              <w:rPr>
                <w:sz w:val="1"/>
                <w:szCs w:val="1"/>
                <w:color w:val="auto"/>
              </w:rPr>
            </w:pPr>
          </w:p>
        </w:tc>
      </w:tr>
      <w:tr>
        <w:trPr>
          <w:trHeight w:val="92"/>
        </w:trPr>
        <w:tc>
          <w:tcPr>
            <w:tcW w:w="20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0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280" w:top="129" w:right="37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Exhibit 24.1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Hamza Suria, Eric Loumeau, and Dominic Piscitelli, and each of them, his true and lawful attorney-in-fact to:</w:t>
      </w:r>
    </w:p>
    <w:p>
      <w:pPr>
        <w:spacing w:after="0" w:line="196" w:lineRule="exact"/>
        <w:rPr>
          <w:sz w:val="20"/>
          <w:szCs w:val="20"/>
          <w:color w:val="auto"/>
        </w:rPr>
      </w:pPr>
    </w:p>
    <w:p>
      <w:pPr>
        <w:ind w:right="1519" w:firstLine="7"/>
        <w:spacing w:after="0" w:line="250" w:lineRule="auto"/>
        <w:tabs>
          <w:tab w:leader="none" w:pos="83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AnaptysBio, Inc. ("Company"), any and all Form 3, 4 or 5 reports required to be filed by the undersigned in accordance with Section 16(a) of the Securities Exchange Act of 1934, as amended ("Exchange Act"), and the rules thereunder with respect to transactions in securities of the Company;</w:t>
      </w:r>
    </w:p>
    <w:p>
      <w:pPr>
        <w:spacing w:after="0" w:line="2" w:lineRule="exact"/>
        <w:rPr>
          <w:rFonts w:ascii="Courier New" w:cs="Courier New" w:eastAsia="Courier New" w:hAnsi="Courier New"/>
          <w:sz w:val="17"/>
          <w:szCs w:val="17"/>
          <w:color w:val="auto"/>
        </w:rPr>
      </w:pPr>
    </w:p>
    <w:p>
      <w:pPr>
        <w:ind w:right="1639" w:firstLine="7"/>
        <w:spacing w:after="0" w:line="250" w:lineRule="auto"/>
        <w:tabs>
          <w:tab w:leader="none" w:pos="83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report and timely file such report with the U.S. Securities and Exchange Commission and any stock exchange or similar authority; and</w:t>
      </w:r>
    </w:p>
    <w:p>
      <w:pPr>
        <w:spacing w:after="0" w:line="2" w:lineRule="exact"/>
        <w:rPr>
          <w:rFonts w:ascii="Courier New" w:cs="Courier New" w:eastAsia="Courier New" w:hAnsi="Courier New"/>
          <w:sz w:val="17"/>
          <w:szCs w:val="17"/>
          <w:color w:val="auto"/>
        </w:rPr>
      </w:pPr>
    </w:p>
    <w:p>
      <w:pPr>
        <w:ind w:right="1839" w:firstLine="7"/>
        <w:spacing w:after="0" w:line="252" w:lineRule="auto"/>
        <w:tabs>
          <w:tab w:leader="none" w:pos="83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 in-fact, may be of benefit to, 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attorney-in-fact may approve in his discretion.</w:t>
      </w:r>
    </w:p>
    <w:p>
      <w:pPr>
        <w:spacing w:after="0" w:line="195" w:lineRule="exact"/>
        <w:rPr>
          <w:rFonts w:ascii="Courier New" w:cs="Courier New" w:eastAsia="Courier New" w:hAnsi="Courier New"/>
          <w:sz w:val="17"/>
          <w:szCs w:val="17"/>
          <w:color w:val="auto"/>
        </w:rPr>
      </w:pP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98" w:lineRule="exact"/>
        <w:rPr>
          <w:rFonts w:ascii="Courier New" w:cs="Courier New" w:eastAsia="Courier New" w:hAnsi="Courier New"/>
          <w:sz w:val="17"/>
          <w:szCs w:val="17"/>
          <w:color w:val="auto"/>
        </w:rPr>
      </w:pPr>
    </w:p>
    <w:p>
      <w:pPr>
        <w:ind w:right="18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17"/>
          <w:szCs w:val="17"/>
          <w:color w:val="auto"/>
        </w:rPr>
      </w:pPr>
    </w:p>
    <w:p>
      <w:pPr>
        <w:ind w:right="235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the 31st day of September, 2018.</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Hamza Suria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Hamza Suria</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8"/>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2019-12-24T04:13:53Z</dcterms:created>
  <dcterms:modified xsi:type="dcterms:W3CDTF">2019-12-24T04:13:53Z</dcterms:modified>
</cp:coreProperties>
</file>